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theme/themeOverride2.xml" ContentType="application/vnd.openxmlformats-officedocument.themeOverride+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C6613" w14:textId="4CEBA1A3" w:rsidR="008F5107" w:rsidRDefault="00D35508" w:rsidP="00B65A09">
      <w:bookmarkStart w:id="0" w:name="_Hlk119315358"/>
      <w:r>
        <w:tab/>
      </w:r>
      <w:r>
        <w:tab/>
      </w:r>
      <w:r>
        <w:rPr>
          <w:noProof/>
        </w:rPr>
        <w:drawing>
          <wp:inline distT="0" distB="0" distL="0" distR="0" wp14:anchorId="140A745C" wp14:editId="701EAD55">
            <wp:extent cx="4312285" cy="1348105"/>
            <wp:effectExtent l="0" t="0" r="0" b="4445"/>
            <wp:docPr id="12" name="Picture 33" descr="Glava dokumenta z grbom Republike Slovenije in polnim nazivom Urada Republike Slovenije za preprečevanje pranja denarja, Ministrstvo za finance, Republika Slove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3" descr="Glava dokumenta z grbom Republike Slovenije in polnim nazivom Urada Republike Slovenije za preprečevanje pranja denarja, Ministrstvo za finance, Republika Slovenija."/>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312285" cy="1348105"/>
                    </a:xfrm>
                    <a:prstGeom prst="rect">
                      <a:avLst/>
                    </a:prstGeom>
                    <a:noFill/>
                    <a:ln>
                      <a:noFill/>
                    </a:ln>
                  </pic:spPr>
                </pic:pic>
              </a:graphicData>
            </a:graphic>
          </wp:inline>
        </w:drawing>
      </w:r>
    </w:p>
    <w:p w14:paraId="7BCEFF28" w14:textId="4F1F8C28" w:rsidR="008F5107" w:rsidRDefault="008F5107" w:rsidP="00D35508">
      <w:pPr>
        <w:pStyle w:val="Kazalovsebine1"/>
        <w:ind w:left="0" w:firstLine="0"/>
      </w:pPr>
    </w:p>
    <w:p w14:paraId="0850ABD5" w14:textId="19DCC0EE" w:rsidR="008F5107" w:rsidRDefault="008F5107" w:rsidP="00B65A09"/>
    <w:p w14:paraId="765E1B28" w14:textId="77777777" w:rsidR="008F5107" w:rsidRDefault="008F5107" w:rsidP="00B65A09"/>
    <w:p w14:paraId="22D1BCC4" w14:textId="3F5FF063" w:rsidR="00B65A09" w:rsidRDefault="00B65A09" w:rsidP="00B65A09"/>
    <w:p w14:paraId="5E95CCFF" w14:textId="33E633F8" w:rsidR="00D35508" w:rsidRDefault="00D35508" w:rsidP="00B65A09"/>
    <w:p w14:paraId="21648910" w14:textId="77777777" w:rsidR="00D35508" w:rsidRDefault="00D35508" w:rsidP="00B65A09"/>
    <w:p w14:paraId="72436760" w14:textId="3B54776E" w:rsidR="00B65A09" w:rsidRPr="0071188D" w:rsidRDefault="00B65A09" w:rsidP="008F5107">
      <w:pPr>
        <w:jc w:val="center"/>
        <w:rPr>
          <w:rFonts w:cs="Arial"/>
          <w:b/>
          <w:bCs/>
          <w:color w:val="2E74B5" w:themeColor="accent5" w:themeShade="BF"/>
          <w:sz w:val="48"/>
          <w:szCs w:val="48"/>
        </w:rPr>
      </w:pPr>
      <w:r w:rsidRPr="0071188D">
        <w:rPr>
          <w:rFonts w:cs="Arial"/>
          <w:b/>
          <w:bCs/>
          <w:color w:val="2E74B5" w:themeColor="accent5" w:themeShade="BF"/>
          <w:sz w:val="48"/>
          <w:szCs w:val="48"/>
        </w:rPr>
        <w:t>POROČILO O DELU</w:t>
      </w:r>
    </w:p>
    <w:p w14:paraId="1EE1C444" w14:textId="6B2A83CD" w:rsidR="00B65A09" w:rsidRPr="0071188D" w:rsidRDefault="00B65A09" w:rsidP="008F5107">
      <w:pPr>
        <w:jc w:val="center"/>
        <w:rPr>
          <w:rFonts w:cs="Arial"/>
          <w:b/>
          <w:bCs/>
          <w:color w:val="2E74B5" w:themeColor="accent5" w:themeShade="BF"/>
          <w:sz w:val="48"/>
          <w:szCs w:val="48"/>
        </w:rPr>
      </w:pPr>
      <w:r w:rsidRPr="0071188D">
        <w:rPr>
          <w:rFonts w:cs="Arial"/>
          <w:b/>
          <w:bCs/>
          <w:color w:val="2E74B5" w:themeColor="accent5" w:themeShade="BF"/>
          <w:sz w:val="48"/>
          <w:szCs w:val="48"/>
        </w:rPr>
        <w:t>URADA REPUBLIKE SLOVENIJE ZA PREPREČEVANJE PRANJA DENARJA</w:t>
      </w:r>
    </w:p>
    <w:p w14:paraId="7404D76D" w14:textId="5EB47236" w:rsidR="00B65A09" w:rsidRPr="0071188D" w:rsidRDefault="00B65A09" w:rsidP="00680499">
      <w:pPr>
        <w:jc w:val="center"/>
        <w:rPr>
          <w:rFonts w:cs="Arial"/>
          <w:b/>
          <w:bCs/>
          <w:color w:val="2E74B5" w:themeColor="accent5" w:themeShade="BF"/>
          <w:sz w:val="48"/>
          <w:szCs w:val="48"/>
        </w:rPr>
      </w:pPr>
      <w:r w:rsidRPr="0071188D">
        <w:rPr>
          <w:rFonts w:cs="Arial"/>
          <w:b/>
          <w:bCs/>
          <w:color w:val="2E74B5" w:themeColor="accent5" w:themeShade="BF"/>
          <w:sz w:val="48"/>
          <w:szCs w:val="48"/>
        </w:rPr>
        <w:t>ZA LETO 202</w:t>
      </w:r>
      <w:r w:rsidR="00B5158B" w:rsidRPr="0071188D">
        <w:rPr>
          <w:rFonts w:cs="Arial"/>
          <w:b/>
          <w:bCs/>
          <w:color w:val="2E74B5" w:themeColor="accent5" w:themeShade="BF"/>
          <w:sz w:val="48"/>
          <w:szCs w:val="48"/>
        </w:rPr>
        <w:t>1</w:t>
      </w:r>
    </w:p>
    <w:p w14:paraId="008934DC" w14:textId="77777777" w:rsidR="00B65A09" w:rsidRDefault="00B65A09" w:rsidP="00B65A09"/>
    <w:p w14:paraId="2ABD88E1" w14:textId="77777777" w:rsidR="00B65A09" w:rsidRDefault="00B65A09" w:rsidP="00B65A09"/>
    <w:p w14:paraId="4438F8FB" w14:textId="77777777" w:rsidR="00B65A09" w:rsidRDefault="00B65A09" w:rsidP="00B65A09"/>
    <w:p w14:paraId="58B480F9" w14:textId="77777777" w:rsidR="00B65A09" w:rsidRDefault="00B65A09" w:rsidP="00B65A09"/>
    <w:p w14:paraId="089496D0" w14:textId="77777777" w:rsidR="00B65A09" w:rsidRDefault="00B65A09" w:rsidP="00B65A09"/>
    <w:p w14:paraId="476A58EB" w14:textId="77777777" w:rsidR="00B65A09" w:rsidRDefault="00B65A09" w:rsidP="00B65A09"/>
    <w:p w14:paraId="55E2016B" w14:textId="77777777" w:rsidR="00B65A09" w:rsidRDefault="00B65A09" w:rsidP="00B65A09"/>
    <w:p w14:paraId="5A5D3BBD" w14:textId="4F627290" w:rsidR="00B65A09" w:rsidRDefault="00B65A09" w:rsidP="00B65A09"/>
    <w:p w14:paraId="0ED1DCE0" w14:textId="241339B2" w:rsidR="00680499" w:rsidRDefault="00680499" w:rsidP="00B65A09"/>
    <w:p w14:paraId="10991D9C" w14:textId="5D11A922" w:rsidR="00680499" w:rsidRDefault="00680499" w:rsidP="00B65A09"/>
    <w:p w14:paraId="099277CA" w14:textId="530A2C37" w:rsidR="00680499" w:rsidRDefault="00680499" w:rsidP="00B65A09"/>
    <w:p w14:paraId="484F1DC9" w14:textId="77777777" w:rsidR="00680499" w:rsidRDefault="00680499" w:rsidP="00B65A09"/>
    <w:p w14:paraId="6D8AF5B9" w14:textId="5341B132" w:rsidR="00B65A09" w:rsidRPr="00680499" w:rsidRDefault="00680499" w:rsidP="00680499">
      <w:pPr>
        <w:jc w:val="right"/>
        <w:rPr>
          <w:sz w:val="32"/>
          <w:szCs w:val="32"/>
        </w:rPr>
      </w:pPr>
      <w:r w:rsidRPr="00680499">
        <w:rPr>
          <w:sz w:val="32"/>
          <w:szCs w:val="32"/>
        </w:rPr>
        <w:t>November 2022</w:t>
      </w:r>
    </w:p>
    <w:p w14:paraId="0701BE76" w14:textId="69750B55" w:rsidR="00680499" w:rsidRDefault="00680499">
      <w:pPr>
        <w:jc w:val="left"/>
      </w:pPr>
      <w:r>
        <w:br w:type="page"/>
      </w:r>
    </w:p>
    <w:sdt>
      <w:sdtPr>
        <w:rPr>
          <w:rFonts w:eastAsiaTheme="minorHAnsi" w:cstheme="minorBidi"/>
          <w:color w:val="auto"/>
          <w:sz w:val="20"/>
          <w:szCs w:val="22"/>
          <w:lang w:eastAsia="en-US"/>
        </w:rPr>
        <w:id w:val="-456728336"/>
        <w:docPartObj>
          <w:docPartGallery w:val="Table of Contents"/>
          <w:docPartUnique/>
        </w:docPartObj>
      </w:sdtPr>
      <w:sdtEndPr>
        <w:rPr>
          <w:b/>
          <w:bCs/>
        </w:rPr>
      </w:sdtEndPr>
      <w:sdtContent>
        <w:p w14:paraId="56448BBA" w14:textId="05319F3C" w:rsidR="006E1169" w:rsidRDefault="006E1169">
          <w:pPr>
            <w:pStyle w:val="NaslovTOC"/>
          </w:pPr>
          <w:r>
            <w:t>V</w:t>
          </w:r>
          <w:r w:rsidR="008A3CD8">
            <w:t>SEBINA</w:t>
          </w:r>
        </w:p>
        <w:p w14:paraId="5BB6770B" w14:textId="77777777" w:rsidR="008A3CD8" w:rsidRPr="008A3CD8" w:rsidRDefault="008A3CD8" w:rsidP="00EC4FBC">
          <w:pPr>
            <w:pStyle w:val="Kazalovsebine4"/>
          </w:pPr>
        </w:p>
        <w:p w14:paraId="080FAAD3" w14:textId="78ABF263" w:rsidR="0059544E" w:rsidRDefault="007B1A45">
          <w:pPr>
            <w:pStyle w:val="Kazalovsebine1"/>
            <w:tabs>
              <w:tab w:val="right" w:leader="dot" w:pos="9062"/>
            </w:tabs>
            <w:rPr>
              <w:rFonts w:asciiTheme="minorHAnsi" w:eastAsiaTheme="minorEastAsia" w:hAnsiTheme="minorHAnsi"/>
              <w:b w:val="0"/>
              <w:noProof/>
              <w:sz w:val="22"/>
              <w:lang w:eastAsia="sl-SI"/>
            </w:rPr>
          </w:pPr>
          <w:r>
            <w:fldChar w:fldCharType="begin"/>
          </w:r>
          <w:r>
            <w:instrText xml:space="preserve"> TOC \o "1-4" \h \z \u </w:instrText>
          </w:r>
          <w:r>
            <w:fldChar w:fldCharType="separate"/>
          </w:r>
          <w:hyperlink w:anchor="_Toc119581673" w:history="1">
            <w:r w:rsidR="0059544E" w:rsidRPr="00F03AC7">
              <w:rPr>
                <w:rStyle w:val="Hiperpovezava"/>
                <w:noProof/>
              </w:rPr>
              <w:t>1</w:t>
            </w:r>
            <w:r w:rsidR="0059544E">
              <w:rPr>
                <w:rFonts w:asciiTheme="minorHAnsi" w:eastAsiaTheme="minorEastAsia" w:hAnsiTheme="minorHAnsi"/>
                <w:b w:val="0"/>
                <w:noProof/>
                <w:sz w:val="22"/>
                <w:lang w:eastAsia="sl-SI"/>
              </w:rPr>
              <w:tab/>
            </w:r>
            <w:r w:rsidR="0059544E" w:rsidRPr="00F03AC7">
              <w:rPr>
                <w:rStyle w:val="Hiperpovezava"/>
                <w:noProof/>
              </w:rPr>
              <w:t>UVOD</w:t>
            </w:r>
            <w:r w:rsidR="0059544E">
              <w:rPr>
                <w:noProof/>
                <w:webHidden/>
              </w:rPr>
              <w:tab/>
            </w:r>
            <w:r w:rsidR="0059544E">
              <w:rPr>
                <w:noProof/>
                <w:webHidden/>
              </w:rPr>
              <w:fldChar w:fldCharType="begin"/>
            </w:r>
            <w:r w:rsidR="0059544E">
              <w:rPr>
                <w:noProof/>
                <w:webHidden/>
              </w:rPr>
              <w:instrText xml:space="preserve"> PAGEREF _Toc119581673 \h </w:instrText>
            </w:r>
            <w:r w:rsidR="0059544E">
              <w:rPr>
                <w:noProof/>
                <w:webHidden/>
              </w:rPr>
            </w:r>
            <w:r w:rsidR="0059544E">
              <w:rPr>
                <w:noProof/>
                <w:webHidden/>
              </w:rPr>
              <w:fldChar w:fldCharType="separate"/>
            </w:r>
            <w:r w:rsidR="00EB043F">
              <w:rPr>
                <w:noProof/>
                <w:webHidden/>
              </w:rPr>
              <w:t>5</w:t>
            </w:r>
            <w:r w:rsidR="0059544E">
              <w:rPr>
                <w:noProof/>
                <w:webHidden/>
              </w:rPr>
              <w:fldChar w:fldCharType="end"/>
            </w:r>
          </w:hyperlink>
        </w:p>
        <w:p w14:paraId="5C190A16" w14:textId="71E69DF1" w:rsidR="0059544E" w:rsidRDefault="00185B52">
          <w:pPr>
            <w:pStyle w:val="Kazalovsebine2"/>
            <w:tabs>
              <w:tab w:val="right" w:leader="dot" w:pos="9062"/>
            </w:tabs>
            <w:rPr>
              <w:rFonts w:asciiTheme="minorHAnsi" w:eastAsiaTheme="minorEastAsia" w:hAnsiTheme="minorHAnsi"/>
              <w:noProof/>
              <w:sz w:val="22"/>
              <w:lang w:eastAsia="sl-SI"/>
            </w:rPr>
          </w:pPr>
          <w:hyperlink w:anchor="_Toc119581674" w:history="1">
            <w:r w:rsidR="0059544E" w:rsidRPr="00F03AC7">
              <w:rPr>
                <w:rStyle w:val="Hiperpovezava"/>
                <w:noProof/>
              </w:rPr>
              <w:t>1.1</w:t>
            </w:r>
            <w:r w:rsidR="0059544E">
              <w:rPr>
                <w:rFonts w:asciiTheme="minorHAnsi" w:eastAsiaTheme="minorEastAsia" w:hAnsiTheme="minorHAnsi"/>
                <w:noProof/>
                <w:sz w:val="22"/>
                <w:lang w:eastAsia="sl-SI"/>
              </w:rPr>
              <w:tab/>
            </w:r>
            <w:r w:rsidR="0059544E" w:rsidRPr="00F03AC7">
              <w:rPr>
                <w:rStyle w:val="Hiperpovezava"/>
                <w:noProof/>
              </w:rPr>
              <w:t>PRAVNA PODLAGA ZA DELO URADA</w:t>
            </w:r>
            <w:r w:rsidR="0059544E">
              <w:rPr>
                <w:noProof/>
                <w:webHidden/>
              </w:rPr>
              <w:tab/>
            </w:r>
            <w:r w:rsidR="0059544E">
              <w:rPr>
                <w:noProof/>
                <w:webHidden/>
              </w:rPr>
              <w:fldChar w:fldCharType="begin"/>
            </w:r>
            <w:r w:rsidR="0059544E">
              <w:rPr>
                <w:noProof/>
                <w:webHidden/>
              </w:rPr>
              <w:instrText xml:space="preserve"> PAGEREF _Toc119581674 \h </w:instrText>
            </w:r>
            <w:r w:rsidR="0059544E">
              <w:rPr>
                <w:noProof/>
                <w:webHidden/>
              </w:rPr>
            </w:r>
            <w:r w:rsidR="0059544E">
              <w:rPr>
                <w:noProof/>
                <w:webHidden/>
              </w:rPr>
              <w:fldChar w:fldCharType="separate"/>
            </w:r>
            <w:r w:rsidR="00EB043F">
              <w:rPr>
                <w:noProof/>
                <w:webHidden/>
              </w:rPr>
              <w:t>5</w:t>
            </w:r>
            <w:r w:rsidR="0059544E">
              <w:rPr>
                <w:noProof/>
                <w:webHidden/>
              </w:rPr>
              <w:fldChar w:fldCharType="end"/>
            </w:r>
          </w:hyperlink>
        </w:p>
        <w:p w14:paraId="47A4D8FD" w14:textId="6EC2FBD1" w:rsidR="0059544E" w:rsidRDefault="00185B52">
          <w:pPr>
            <w:pStyle w:val="Kazalovsebine2"/>
            <w:tabs>
              <w:tab w:val="right" w:leader="dot" w:pos="9062"/>
            </w:tabs>
            <w:rPr>
              <w:rFonts w:asciiTheme="minorHAnsi" w:eastAsiaTheme="minorEastAsia" w:hAnsiTheme="minorHAnsi"/>
              <w:noProof/>
              <w:sz w:val="22"/>
              <w:lang w:eastAsia="sl-SI"/>
            </w:rPr>
          </w:pPr>
          <w:hyperlink w:anchor="_Toc119581675" w:history="1">
            <w:r w:rsidR="0059544E" w:rsidRPr="00F03AC7">
              <w:rPr>
                <w:rStyle w:val="Hiperpovezava"/>
                <w:noProof/>
              </w:rPr>
              <w:t>1.2</w:t>
            </w:r>
            <w:r w:rsidR="0059544E">
              <w:rPr>
                <w:rFonts w:asciiTheme="minorHAnsi" w:eastAsiaTheme="minorEastAsia" w:hAnsiTheme="minorHAnsi"/>
                <w:noProof/>
                <w:sz w:val="22"/>
                <w:lang w:eastAsia="sl-SI"/>
              </w:rPr>
              <w:tab/>
            </w:r>
            <w:r w:rsidR="0059544E" w:rsidRPr="00F03AC7">
              <w:rPr>
                <w:rStyle w:val="Hiperpovezava"/>
                <w:noProof/>
              </w:rPr>
              <w:t>ORGANIZACIJSKA SHEMA URADA</w:t>
            </w:r>
            <w:r w:rsidR="0059544E">
              <w:rPr>
                <w:noProof/>
                <w:webHidden/>
              </w:rPr>
              <w:tab/>
            </w:r>
            <w:r w:rsidR="0059544E">
              <w:rPr>
                <w:noProof/>
                <w:webHidden/>
              </w:rPr>
              <w:fldChar w:fldCharType="begin"/>
            </w:r>
            <w:r w:rsidR="0059544E">
              <w:rPr>
                <w:noProof/>
                <w:webHidden/>
              </w:rPr>
              <w:instrText xml:space="preserve"> PAGEREF _Toc119581675 \h </w:instrText>
            </w:r>
            <w:r w:rsidR="0059544E">
              <w:rPr>
                <w:noProof/>
                <w:webHidden/>
              </w:rPr>
            </w:r>
            <w:r w:rsidR="0059544E">
              <w:rPr>
                <w:noProof/>
                <w:webHidden/>
              </w:rPr>
              <w:fldChar w:fldCharType="separate"/>
            </w:r>
            <w:r w:rsidR="00EB043F">
              <w:rPr>
                <w:noProof/>
                <w:webHidden/>
              </w:rPr>
              <w:t>7</w:t>
            </w:r>
            <w:r w:rsidR="0059544E">
              <w:rPr>
                <w:noProof/>
                <w:webHidden/>
              </w:rPr>
              <w:fldChar w:fldCharType="end"/>
            </w:r>
          </w:hyperlink>
        </w:p>
        <w:p w14:paraId="1A254A70" w14:textId="32D82EFF" w:rsidR="0059544E" w:rsidRDefault="00185B52">
          <w:pPr>
            <w:pStyle w:val="Kazalovsebine1"/>
            <w:tabs>
              <w:tab w:val="right" w:leader="dot" w:pos="9062"/>
            </w:tabs>
            <w:rPr>
              <w:rFonts w:asciiTheme="minorHAnsi" w:eastAsiaTheme="minorEastAsia" w:hAnsiTheme="minorHAnsi"/>
              <w:b w:val="0"/>
              <w:noProof/>
              <w:sz w:val="22"/>
              <w:lang w:eastAsia="sl-SI"/>
            </w:rPr>
          </w:pPr>
          <w:hyperlink w:anchor="_Toc119581676" w:history="1">
            <w:r w:rsidR="0059544E" w:rsidRPr="00F03AC7">
              <w:rPr>
                <w:rStyle w:val="Hiperpovezava"/>
                <w:noProof/>
              </w:rPr>
              <w:t>2</w:t>
            </w:r>
            <w:r w:rsidR="0059544E">
              <w:rPr>
                <w:rFonts w:asciiTheme="minorHAnsi" w:eastAsiaTheme="minorEastAsia" w:hAnsiTheme="minorHAnsi"/>
                <w:b w:val="0"/>
                <w:noProof/>
                <w:sz w:val="22"/>
                <w:lang w:eastAsia="sl-SI"/>
              </w:rPr>
              <w:tab/>
            </w:r>
            <w:r w:rsidR="0059544E" w:rsidRPr="00F03AC7">
              <w:rPr>
                <w:rStyle w:val="Hiperpovezava"/>
                <w:noProof/>
              </w:rPr>
              <w:t>GOTOVINSKE TRANSAKCIJE, NAKAZILA, POVEZANA S TRETJIMI DRŽAVAMI IN PRENOS GOTOVINE ČEZ MEJO EVROPSKE UNIJE</w:t>
            </w:r>
            <w:r w:rsidR="0059544E">
              <w:rPr>
                <w:noProof/>
                <w:webHidden/>
              </w:rPr>
              <w:tab/>
            </w:r>
            <w:r w:rsidR="0059544E">
              <w:rPr>
                <w:noProof/>
                <w:webHidden/>
              </w:rPr>
              <w:fldChar w:fldCharType="begin"/>
            </w:r>
            <w:r w:rsidR="0059544E">
              <w:rPr>
                <w:noProof/>
                <w:webHidden/>
              </w:rPr>
              <w:instrText xml:space="preserve"> PAGEREF _Toc119581676 \h </w:instrText>
            </w:r>
            <w:r w:rsidR="0059544E">
              <w:rPr>
                <w:noProof/>
                <w:webHidden/>
              </w:rPr>
            </w:r>
            <w:r w:rsidR="0059544E">
              <w:rPr>
                <w:noProof/>
                <w:webHidden/>
              </w:rPr>
              <w:fldChar w:fldCharType="separate"/>
            </w:r>
            <w:r w:rsidR="00EB043F">
              <w:rPr>
                <w:noProof/>
                <w:webHidden/>
              </w:rPr>
              <w:t>9</w:t>
            </w:r>
            <w:r w:rsidR="0059544E">
              <w:rPr>
                <w:noProof/>
                <w:webHidden/>
              </w:rPr>
              <w:fldChar w:fldCharType="end"/>
            </w:r>
          </w:hyperlink>
        </w:p>
        <w:p w14:paraId="23A56D13" w14:textId="08926B5B" w:rsidR="0059544E" w:rsidRDefault="00185B52">
          <w:pPr>
            <w:pStyle w:val="Kazalovsebine2"/>
            <w:tabs>
              <w:tab w:val="right" w:leader="dot" w:pos="9062"/>
            </w:tabs>
            <w:rPr>
              <w:rFonts w:asciiTheme="minorHAnsi" w:eastAsiaTheme="minorEastAsia" w:hAnsiTheme="minorHAnsi"/>
              <w:noProof/>
              <w:sz w:val="22"/>
              <w:lang w:eastAsia="sl-SI"/>
            </w:rPr>
          </w:pPr>
          <w:hyperlink w:anchor="_Toc119581677" w:history="1">
            <w:r w:rsidR="0059544E" w:rsidRPr="00F03AC7">
              <w:rPr>
                <w:rStyle w:val="Hiperpovezava"/>
                <w:noProof/>
              </w:rPr>
              <w:t>2.1</w:t>
            </w:r>
            <w:r w:rsidR="0059544E">
              <w:rPr>
                <w:rFonts w:asciiTheme="minorHAnsi" w:eastAsiaTheme="minorEastAsia" w:hAnsiTheme="minorHAnsi"/>
                <w:noProof/>
                <w:sz w:val="22"/>
                <w:lang w:eastAsia="sl-SI"/>
              </w:rPr>
              <w:tab/>
            </w:r>
            <w:r w:rsidR="0059544E" w:rsidRPr="00F03AC7">
              <w:rPr>
                <w:rStyle w:val="Hiperpovezava"/>
                <w:noProof/>
              </w:rPr>
              <w:t>GOTOVINSKE TRANSAKCIJE NAD 15.000 EUR</w:t>
            </w:r>
            <w:r w:rsidR="0059544E">
              <w:rPr>
                <w:noProof/>
                <w:webHidden/>
              </w:rPr>
              <w:tab/>
            </w:r>
            <w:r w:rsidR="0059544E">
              <w:rPr>
                <w:noProof/>
                <w:webHidden/>
              </w:rPr>
              <w:fldChar w:fldCharType="begin"/>
            </w:r>
            <w:r w:rsidR="0059544E">
              <w:rPr>
                <w:noProof/>
                <w:webHidden/>
              </w:rPr>
              <w:instrText xml:space="preserve"> PAGEREF _Toc119581677 \h </w:instrText>
            </w:r>
            <w:r w:rsidR="0059544E">
              <w:rPr>
                <w:noProof/>
                <w:webHidden/>
              </w:rPr>
            </w:r>
            <w:r w:rsidR="0059544E">
              <w:rPr>
                <w:noProof/>
                <w:webHidden/>
              </w:rPr>
              <w:fldChar w:fldCharType="separate"/>
            </w:r>
            <w:r w:rsidR="00EB043F">
              <w:rPr>
                <w:noProof/>
                <w:webHidden/>
              </w:rPr>
              <w:t>9</w:t>
            </w:r>
            <w:r w:rsidR="0059544E">
              <w:rPr>
                <w:noProof/>
                <w:webHidden/>
              </w:rPr>
              <w:fldChar w:fldCharType="end"/>
            </w:r>
          </w:hyperlink>
        </w:p>
        <w:p w14:paraId="1C564932" w14:textId="1FEF6EE8" w:rsidR="0059544E" w:rsidRDefault="00185B52">
          <w:pPr>
            <w:pStyle w:val="Kazalovsebine2"/>
            <w:tabs>
              <w:tab w:val="right" w:leader="dot" w:pos="9062"/>
            </w:tabs>
            <w:rPr>
              <w:rFonts w:asciiTheme="minorHAnsi" w:eastAsiaTheme="minorEastAsia" w:hAnsiTheme="minorHAnsi"/>
              <w:noProof/>
              <w:sz w:val="22"/>
              <w:lang w:eastAsia="sl-SI"/>
            </w:rPr>
          </w:pPr>
          <w:hyperlink w:anchor="_Toc119581678" w:history="1">
            <w:r w:rsidR="0059544E" w:rsidRPr="00F03AC7">
              <w:rPr>
                <w:rStyle w:val="Hiperpovezava"/>
                <w:noProof/>
              </w:rPr>
              <w:t>2.2</w:t>
            </w:r>
            <w:r w:rsidR="0059544E">
              <w:rPr>
                <w:rFonts w:asciiTheme="minorHAnsi" w:eastAsiaTheme="minorEastAsia" w:hAnsiTheme="minorHAnsi"/>
                <w:noProof/>
                <w:sz w:val="22"/>
                <w:lang w:eastAsia="sl-SI"/>
              </w:rPr>
              <w:tab/>
            </w:r>
            <w:r w:rsidR="0059544E" w:rsidRPr="00F03AC7">
              <w:rPr>
                <w:rStyle w:val="Hiperpovezava"/>
                <w:noProof/>
              </w:rPr>
              <w:t>NAKAZILA V VREDNOSTI NAD 15.000 EUR, POVEZANA S TVEGANIMI DRŽAVAMI</w:t>
            </w:r>
            <w:r w:rsidR="0059544E">
              <w:rPr>
                <w:noProof/>
                <w:webHidden/>
              </w:rPr>
              <w:tab/>
            </w:r>
            <w:r w:rsidR="0059544E">
              <w:rPr>
                <w:noProof/>
                <w:webHidden/>
              </w:rPr>
              <w:fldChar w:fldCharType="begin"/>
            </w:r>
            <w:r w:rsidR="0059544E">
              <w:rPr>
                <w:noProof/>
                <w:webHidden/>
              </w:rPr>
              <w:instrText xml:space="preserve"> PAGEREF _Toc119581678 \h </w:instrText>
            </w:r>
            <w:r w:rsidR="0059544E">
              <w:rPr>
                <w:noProof/>
                <w:webHidden/>
              </w:rPr>
            </w:r>
            <w:r w:rsidR="0059544E">
              <w:rPr>
                <w:noProof/>
                <w:webHidden/>
              </w:rPr>
              <w:fldChar w:fldCharType="separate"/>
            </w:r>
            <w:r w:rsidR="00EB043F">
              <w:rPr>
                <w:noProof/>
                <w:webHidden/>
              </w:rPr>
              <w:t>10</w:t>
            </w:r>
            <w:r w:rsidR="0059544E">
              <w:rPr>
                <w:noProof/>
                <w:webHidden/>
              </w:rPr>
              <w:fldChar w:fldCharType="end"/>
            </w:r>
          </w:hyperlink>
        </w:p>
        <w:p w14:paraId="3542CE18" w14:textId="6FFE9CED" w:rsidR="0059544E" w:rsidRDefault="00185B52">
          <w:pPr>
            <w:pStyle w:val="Kazalovsebine3"/>
            <w:tabs>
              <w:tab w:val="left" w:pos="1134"/>
            </w:tabs>
            <w:rPr>
              <w:rFonts w:asciiTheme="minorHAnsi" w:eastAsiaTheme="minorEastAsia" w:hAnsiTheme="minorHAnsi"/>
              <w:noProof/>
              <w:sz w:val="22"/>
              <w:lang w:eastAsia="sl-SI"/>
            </w:rPr>
          </w:pPr>
          <w:hyperlink w:anchor="_Toc119581679" w:history="1">
            <w:r w:rsidR="0059544E" w:rsidRPr="00F03AC7">
              <w:rPr>
                <w:rStyle w:val="Hiperpovezava"/>
                <w:noProof/>
              </w:rPr>
              <w:t>2.2.1</w:t>
            </w:r>
            <w:r w:rsidR="0059544E">
              <w:rPr>
                <w:rFonts w:asciiTheme="minorHAnsi" w:eastAsiaTheme="minorEastAsia" w:hAnsiTheme="minorHAnsi"/>
                <w:noProof/>
                <w:sz w:val="22"/>
                <w:lang w:eastAsia="sl-SI"/>
              </w:rPr>
              <w:tab/>
            </w:r>
            <w:r w:rsidR="0059544E" w:rsidRPr="00F03AC7">
              <w:rPr>
                <w:rStyle w:val="Hiperpovezava"/>
                <w:noProof/>
              </w:rPr>
              <w:t>Nakazila na račune tujih pravnih oseb s sedežem v tveganih državah</w:t>
            </w:r>
            <w:r w:rsidR="0059544E">
              <w:rPr>
                <w:noProof/>
                <w:webHidden/>
              </w:rPr>
              <w:tab/>
            </w:r>
            <w:r w:rsidR="0059544E">
              <w:rPr>
                <w:noProof/>
                <w:webHidden/>
              </w:rPr>
              <w:fldChar w:fldCharType="begin"/>
            </w:r>
            <w:r w:rsidR="0059544E">
              <w:rPr>
                <w:noProof/>
                <w:webHidden/>
              </w:rPr>
              <w:instrText xml:space="preserve"> PAGEREF _Toc119581679 \h </w:instrText>
            </w:r>
            <w:r w:rsidR="0059544E">
              <w:rPr>
                <w:noProof/>
                <w:webHidden/>
              </w:rPr>
            </w:r>
            <w:r w:rsidR="0059544E">
              <w:rPr>
                <w:noProof/>
                <w:webHidden/>
              </w:rPr>
              <w:fldChar w:fldCharType="separate"/>
            </w:r>
            <w:r w:rsidR="00EB043F">
              <w:rPr>
                <w:noProof/>
                <w:webHidden/>
              </w:rPr>
              <w:t>11</w:t>
            </w:r>
            <w:r w:rsidR="0059544E">
              <w:rPr>
                <w:noProof/>
                <w:webHidden/>
              </w:rPr>
              <w:fldChar w:fldCharType="end"/>
            </w:r>
          </w:hyperlink>
        </w:p>
        <w:p w14:paraId="5EE93AC5" w14:textId="47E460D1" w:rsidR="0059544E" w:rsidRDefault="00185B52">
          <w:pPr>
            <w:pStyle w:val="Kazalovsebine3"/>
            <w:tabs>
              <w:tab w:val="left" w:pos="1134"/>
            </w:tabs>
            <w:rPr>
              <w:rFonts w:asciiTheme="minorHAnsi" w:eastAsiaTheme="minorEastAsia" w:hAnsiTheme="minorHAnsi"/>
              <w:noProof/>
              <w:sz w:val="22"/>
              <w:lang w:eastAsia="sl-SI"/>
            </w:rPr>
          </w:pPr>
          <w:hyperlink w:anchor="_Toc119581680" w:history="1">
            <w:r w:rsidR="0059544E" w:rsidRPr="00F03AC7">
              <w:rPr>
                <w:rStyle w:val="Hiperpovezava"/>
                <w:noProof/>
              </w:rPr>
              <w:t>2.2.2</w:t>
            </w:r>
            <w:r w:rsidR="0059544E">
              <w:rPr>
                <w:rFonts w:asciiTheme="minorHAnsi" w:eastAsiaTheme="minorEastAsia" w:hAnsiTheme="minorHAnsi"/>
                <w:noProof/>
                <w:sz w:val="22"/>
                <w:lang w:eastAsia="sl-SI"/>
              </w:rPr>
              <w:tab/>
            </w:r>
            <w:r w:rsidR="0059544E" w:rsidRPr="00F03AC7">
              <w:rPr>
                <w:rStyle w:val="Hiperpovezava"/>
                <w:noProof/>
              </w:rPr>
              <w:t>Nakazila na račune tujih pravnih oseb na račune, odprte v tveganih državah</w:t>
            </w:r>
            <w:r w:rsidR="0059544E">
              <w:rPr>
                <w:noProof/>
                <w:webHidden/>
              </w:rPr>
              <w:tab/>
            </w:r>
            <w:r w:rsidR="0059544E">
              <w:rPr>
                <w:noProof/>
                <w:webHidden/>
              </w:rPr>
              <w:fldChar w:fldCharType="begin"/>
            </w:r>
            <w:r w:rsidR="0059544E">
              <w:rPr>
                <w:noProof/>
                <w:webHidden/>
              </w:rPr>
              <w:instrText xml:space="preserve"> PAGEREF _Toc119581680 \h </w:instrText>
            </w:r>
            <w:r w:rsidR="0059544E">
              <w:rPr>
                <w:noProof/>
                <w:webHidden/>
              </w:rPr>
            </w:r>
            <w:r w:rsidR="0059544E">
              <w:rPr>
                <w:noProof/>
                <w:webHidden/>
              </w:rPr>
              <w:fldChar w:fldCharType="separate"/>
            </w:r>
            <w:r w:rsidR="00EB043F">
              <w:rPr>
                <w:noProof/>
                <w:webHidden/>
              </w:rPr>
              <w:t>12</w:t>
            </w:r>
            <w:r w:rsidR="0059544E">
              <w:rPr>
                <w:noProof/>
                <w:webHidden/>
              </w:rPr>
              <w:fldChar w:fldCharType="end"/>
            </w:r>
          </w:hyperlink>
        </w:p>
        <w:p w14:paraId="34807F6B" w14:textId="31B6B5A3" w:rsidR="0059544E" w:rsidRDefault="00185B52">
          <w:pPr>
            <w:pStyle w:val="Kazalovsebine2"/>
            <w:tabs>
              <w:tab w:val="right" w:leader="dot" w:pos="9062"/>
            </w:tabs>
            <w:rPr>
              <w:rFonts w:asciiTheme="minorHAnsi" w:eastAsiaTheme="minorEastAsia" w:hAnsiTheme="minorHAnsi"/>
              <w:noProof/>
              <w:sz w:val="22"/>
              <w:lang w:eastAsia="sl-SI"/>
            </w:rPr>
          </w:pPr>
          <w:hyperlink w:anchor="_Toc119581681" w:history="1">
            <w:r w:rsidR="0059544E" w:rsidRPr="00F03AC7">
              <w:rPr>
                <w:rStyle w:val="Hiperpovezava"/>
                <w:noProof/>
              </w:rPr>
              <w:t>2.3</w:t>
            </w:r>
            <w:r w:rsidR="0059544E">
              <w:rPr>
                <w:rFonts w:asciiTheme="minorHAnsi" w:eastAsiaTheme="minorEastAsia" w:hAnsiTheme="minorHAnsi"/>
                <w:noProof/>
                <w:sz w:val="22"/>
                <w:lang w:eastAsia="sl-SI"/>
              </w:rPr>
              <w:tab/>
            </w:r>
            <w:r w:rsidR="0059544E" w:rsidRPr="00F03AC7">
              <w:rPr>
                <w:rStyle w:val="Hiperpovezava"/>
                <w:noProof/>
              </w:rPr>
              <w:t>PRENOSI GOTOVINE V VREDNOSTI 10.000 EUR ALI VEČ ČEZ MEJO EVROPSKE UNIJE</w:t>
            </w:r>
            <w:r w:rsidR="0059544E">
              <w:rPr>
                <w:noProof/>
                <w:webHidden/>
              </w:rPr>
              <w:tab/>
            </w:r>
            <w:r w:rsidR="0059544E">
              <w:rPr>
                <w:noProof/>
                <w:webHidden/>
              </w:rPr>
              <w:fldChar w:fldCharType="begin"/>
            </w:r>
            <w:r w:rsidR="0059544E">
              <w:rPr>
                <w:noProof/>
                <w:webHidden/>
              </w:rPr>
              <w:instrText xml:space="preserve"> PAGEREF _Toc119581681 \h </w:instrText>
            </w:r>
            <w:r w:rsidR="0059544E">
              <w:rPr>
                <w:noProof/>
                <w:webHidden/>
              </w:rPr>
            </w:r>
            <w:r w:rsidR="0059544E">
              <w:rPr>
                <w:noProof/>
                <w:webHidden/>
              </w:rPr>
              <w:fldChar w:fldCharType="separate"/>
            </w:r>
            <w:r w:rsidR="00EB043F">
              <w:rPr>
                <w:noProof/>
                <w:webHidden/>
              </w:rPr>
              <w:t>13</w:t>
            </w:r>
            <w:r w:rsidR="0059544E">
              <w:rPr>
                <w:noProof/>
                <w:webHidden/>
              </w:rPr>
              <w:fldChar w:fldCharType="end"/>
            </w:r>
          </w:hyperlink>
        </w:p>
        <w:p w14:paraId="40A4FC45" w14:textId="0F26F833" w:rsidR="0059544E" w:rsidRDefault="00185B52">
          <w:pPr>
            <w:pStyle w:val="Kazalovsebine1"/>
            <w:tabs>
              <w:tab w:val="right" w:leader="dot" w:pos="9062"/>
            </w:tabs>
            <w:rPr>
              <w:rFonts w:asciiTheme="minorHAnsi" w:eastAsiaTheme="minorEastAsia" w:hAnsiTheme="minorHAnsi"/>
              <w:b w:val="0"/>
              <w:noProof/>
              <w:sz w:val="22"/>
              <w:lang w:eastAsia="sl-SI"/>
            </w:rPr>
          </w:pPr>
          <w:hyperlink w:anchor="_Toc119581682" w:history="1">
            <w:r w:rsidR="0059544E" w:rsidRPr="00F03AC7">
              <w:rPr>
                <w:rStyle w:val="Hiperpovezava"/>
                <w:noProof/>
              </w:rPr>
              <w:t>3</w:t>
            </w:r>
            <w:r w:rsidR="0059544E">
              <w:rPr>
                <w:rFonts w:asciiTheme="minorHAnsi" w:eastAsiaTheme="minorEastAsia" w:hAnsiTheme="minorHAnsi"/>
                <w:b w:val="0"/>
                <w:noProof/>
                <w:sz w:val="22"/>
                <w:lang w:eastAsia="sl-SI"/>
              </w:rPr>
              <w:tab/>
            </w:r>
            <w:r w:rsidR="0059544E" w:rsidRPr="00F03AC7">
              <w:rPr>
                <w:rStyle w:val="Hiperpovezava"/>
                <w:noProof/>
              </w:rPr>
              <w:t>SPREMLJANJE SUMLJIVIH TRANSAKCIJ</w:t>
            </w:r>
            <w:r w:rsidR="0059544E">
              <w:rPr>
                <w:noProof/>
                <w:webHidden/>
              </w:rPr>
              <w:tab/>
            </w:r>
            <w:r w:rsidR="0059544E">
              <w:rPr>
                <w:noProof/>
                <w:webHidden/>
              </w:rPr>
              <w:fldChar w:fldCharType="begin"/>
            </w:r>
            <w:r w:rsidR="0059544E">
              <w:rPr>
                <w:noProof/>
                <w:webHidden/>
              </w:rPr>
              <w:instrText xml:space="preserve"> PAGEREF _Toc119581682 \h </w:instrText>
            </w:r>
            <w:r w:rsidR="0059544E">
              <w:rPr>
                <w:noProof/>
                <w:webHidden/>
              </w:rPr>
            </w:r>
            <w:r w:rsidR="0059544E">
              <w:rPr>
                <w:noProof/>
                <w:webHidden/>
              </w:rPr>
              <w:fldChar w:fldCharType="separate"/>
            </w:r>
            <w:r w:rsidR="00EB043F">
              <w:rPr>
                <w:noProof/>
                <w:webHidden/>
              </w:rPr>
              <w:t>14</w:t>
            </w:r>
            <w:r w:rsidR="0059544E">
              <w:rPr>
                <w:noProof/>
                <w:webHidden/>
              </w:rPr>
              <w:fldChar w:fldCharType="end"/>
            </w:r>
          </w:hyperlink>
        </w:p>
        <w:p w14:paraId="146EB916" w14:textId="12D2BD08" w:rsidR="0059544E" w:rsidRDefault="00185B52">
          <w:pPr>
            <w:pStyle w:val="Kazalovsebine2"/>
            <w:tabs>
              <w:tab w:val="right" w:leader="dot" w:pos="9062"/>
            </w:tabs>
            <w:rPr>
              <w:rFonts w:asciiTheme="minorHAnsi" w:eastAsiaTheme="minorEastAsia" w:hAnsiTheme="minorHAnsi"/>
              <w:noProof/>
              <w:sz w:val="22"/>
              <w:lang w:eastAsia="sl-SI"/>
            </w:rPr>
          </w:pPr>
          <w:hyperlink w:anchor="_Toc119581683" w:history="1">
            <w:r w:rsidR="0059544E" w:rsidRPr="00F03AC7">
              <w:rPr>
                <w:rStyle w:val="Hiperpovezava"/>
                <w:noProof/>
              </w:rPr>
              <w:t>3.1</w:t>
            </w:r>
            <w:r w:rsidR="0059544E">
              <w:rPr>
                <w:rFonts w:asciiTheme="minorHAnsi" w:eastAsiaTheme="minorEastAsia" w:hAnsiTheme="minorHAnsi"/>
                <w:noProof/>
                <w:sz w:val="22"/>
                <w:lang w:eastAsia="sl-SI"/>
              </w:rPr>
              <w:tab/>
            </w:r>
            <w:r w:rsidR="0059544E" w:rsidRPr="00F03AC7">
              <w:rPr>
                <w:rStyle w:val="Hiperpovezava"/>
                <w:noProof/>
              </w:rPr>
              <w:t>ZADEVE, PRI KATERIH SO PODANI RAZLOGI ZA SUM PRANJA DENARJA ALI FINANCIRANJA TERORIZMA</w:t>
            </w:r>
            <w:r w:rsidR="0059544E">
              <w:rPr>
                <w:noProof/>
                <w:webHidden/>
              </w:rPr>
              <w:tab/>
            </w:r>
            <w:r w:rsidR="0059544E">
              <w:rPr>
                <w:noProof/>
                <w:webHidden/>
              </w:rPr>
              <w:fldChar w:fldCharType="begin"/>
            </w:r>
            <w:r w:rsidR="0059544E">
              <w:rPr>
                <w:noProof/>
                <w:webHidden/>
              </w:rPr>
              <w:instrText xml:space="preserve"> PAGEREF _Toc119581683 \h </w:instrText>
            </w:r>
            <w:r w:rsidR="0059544E">
              <w:rPr>
                <w:noProof/>
                <w:webHidden/>
              </w:rPr>
            </w:r>
            <w:r w:rsidR="0059544E">
              <w:rPr>
                <w:noProof/>
                <w:webHidden/>
              </w:rPr>
              <w:fldChar w:fldCharType="separate"/>
            </w:r>
            <w:r w:rsidR="00EB043F">
              <w:rPr>
                <w:noProof/>
                <w:webHidden/>
              </w:rPr>
              <w:t>14</w:t>
            </w:r>
            <w:r w:rsidR="0059544E">
              <w:rPr>
                <w:noProof/>
                <w:webHidden/>
              </w:rPr>
              <w:fldChar w:fldCharType="end"/>
            </w:r>
          </w:hyperlink>
        </w:p>
        <w:p w14:paraId="76BF488C" w14:textId="6AB279A5" w:rsidR="0059544E" w:rsidRDefault="00185B52">
          <w:pPr>
            <w:pStyle w:val="Kazalovsebine3"/>
            <w:tabs>
              <w:tab w:val="left" w:pos="1134"/>
            </w:tabs>
            <w:rPr>
              <w:rFonts w:asciiTheme="minorHAnsi" w:eastAsiaTheme="minorEastAsia" w:hAnsiTheme="minorHAnsi"/>
              <w:noProof/>
              <w:sz w:val="22"/>
              <w:lang w:eastAsia="sl-SI"/>
            </w:rPr>
          </w:pPr>
          <w:hyperlink w:anchor="_Toc119581684" w:history="1">
            <w:r w:rsidR="0059544E" w:rsidRPr="00F03AC7">
              <w:rPr>
                <w:rStyle w:val="Hiperpovezava"/>
                <w:noProof/>
              </w:rPr>
              <w:t>3.1.1</w:t>
            </w:r>
            <w:r w:rsidR="0059544E">
              <w:rPr>
                <w:rFonts w:asciiTheme="minorHAnsi" w:eastAsiaTheme="minorEastAsia" w:hAnsiTheme="minorHAnsi"/>
                <w:noProof/>
                <w:sz w:val="22"/>
                <w:lang w:eastAsia="sl-SI"/>
              </w:rPr>
              <w:tab/>
            </w:r>
            <w:r w:rsidR="0059544E" w:rsidRPr="00F03AC7">
              <w:rPr>
                <w:rStyle w:val="Hiperpovezava"/>
                <w:noProof/>
              </w:rPr>
              <w:t>Prijavitelji</w:t>
            </w:r>
            <w:r w:rsidR="0059544E">
              <w:rPr>
                <w:noProof/>
                <w:webHidden/>
              </w:rPr>
              <w:tab/>
            </w:r>
            <w:r w:rsidR="0059544E">
              <w:rPr>
                <w:noProof/>
                <w:webHidden/>
              </w:rPr>
              <w:fldChar w:fldCharType="begin"/>
            </w:r>
            <w:r w:rsidR="0059544E">
              <w:rPr>
                <w:noProof/>
                <w:webHidden/>
              </w:rPr>
              <w:instrText xml:space="preserve"> PAGEREF _Toc119581684 \h </w:instrText>
            </w:r>
            <w:r w:rsidR="0059544E">
              <w:rPr>
                <w:noProof/>
                <w:webHidden/>
              </w:rPr>
            </w:r>
            <w:r w:rsidR="0059544E">
              <w:rPr>
                <w:noProof/>
                <w:webHidden/>
              </w:rPr>
              <w:fldChar w:fldCharType="separate"/>
            </w:r>
            <w:r w:rsidR="00EB043F">
              <w:rPr>
                <w:noProof/>
                <w:webHidden/>
              </w:rPr>
              <w:t>15</w:t>
            </w:r>
            <w:r w:rsidR="0059544E">
              <w:rPr>
                <w:noProof/>
                <w:webHidden/>
              </w:rPr>
              <w:fldChar w:fldCharType="end"/>
            </w:r>
          </w:hyperlink>
        </w:p>
        <w:p w14:paraId="234F0E9C" w14:textId="0BC03F06" w:rsidR="0059544E" w:rsidRDefault="00185B52">
          <w:pPr>
            <w:pStyle w:val="Kazalovsebine3"/>
            <w:tabs>
              <w:tab w:val="left" w:pos="1134"/>
            </w:tabs>
            <w:rPr>
              <w:rFonts w:asciiTheme="minorHAnsi" w:eastAsiaTheme="minorEastAsia" w:hAnsiTheme="minorHAnsi"/>
              <w:noProof/>
              <w:sz w:val="22"/>
              <w:lang w:eastAsia="sl-SI"/>
            </w:rPr>
          </w:pPr>
          <w:hyperlink w:anchor="_Toc119581685" w:history="1">
            <w:r w:rsidR="0059544E" w:rsidRPr="00F03AC7">
              <w:rPr>
                <w:rStyle w:val="Hiperpovezava"/>
                <w:noProof/>
              </w:rPr>
              <w:t>3.1.2</w:t>
            </w:r>
            <w:r w:rsidR="0059544E">
              <w:rPr>
                <w:rFonts w:asciiTheme="minorHAnsi" w:eastAsiaTheme="minorEastAsia" w:hAnsiTheme="minorHAnsi"/>
                <w:noProof/>
                <w:sz w:val="22"/>
                <w:lang w:eastAsia="sl-SI"/>
              </w:rPr>
              <w:tab/>
            </w:r>
            <w:r w:rsidR="0059544E" w:rsidRPr="00F03AC7">
              <w:rPr>
                <w:rStyle w:val="Hiperpovezava"/>
                <w:noProof/>
              </w:rPr>
              <w:t>Število in dinamika odprtih in zaključenih zadev</w:t>
            </w:r>
            <w:r w:rsidR="0059544E">
              <w:rPr>
                <w:noProof/>
                <w:webHidden/>
              </w:rPr>
              <w:tab/>
            </w:r>
            <w:r w:rsidR="0059544E">
              <w:rPr>
                <w:noProof/>
                <w:webHidden/>
              </w:rPr>
              <w:fldChar w:fldCharType="begin"/>
            </w:r>
            <w:r w:rsidR="0059544E">
              <w:rPr>
                <w:noProof/>
                <w:webHidden/>
              </w:rPr>
              <w:instrText xml:space="preserve"> PAGEREF _Toc119581685 \h </w:instrText>
            </w:r>
            <w:r w:rsidR="0059544E">
              <w:rPr>
                <w:noProof/>
                <w:webHidden/>
              </w:rPr>
            </w:r>
            <w:r w:rsidR="0059544E">
              <w:rPr>
                <w:noProof/>
                <w:webHidden/>
              </w:rPr>
              <w:fldChar w:fldCharType="separate"/>
            </w:r>
            <w:r w:rsidR="00EB043F">
              <w:rPr>
                <w:noProof/>
                <w:webHidden/>
              </w:rPr>
              <w:t>17</w:t>
            </w:r>
            <w:r w:rsidR="0059544E">
              <w:rPr>
                <w:noProof/>
                <w:webHidden/>
              </w:rPr>
              <w:fldChar w:fldCharType="end"/>
            </w:r>
          </w:hyperlink>
        </w:p>
        <w:p w14:paraId="2AF031F1" w14:textId="14E1A932" w:rsidR="0059544E" w:rsidRDefault="00185B52">
          <w:pPr>
            <w:pStyle w:val="Kazalovsebine3"/>
            <w:tabs>
              <w:tab w:val="left" w:pos="1134"/>
            </w:tabs>
            <w:rPr>
              <w:rFonts w:asciiTheme="minorHAnsi" w:eastAsiaTheme="minorEastAsia" w:hAnsiTheme="minorHAnsi"/>
              <w:noProof/>
              <w:sz w:val="22"/>
              <w:lang w:eastAsia="sl-SI"/>
            </w:rPr>
          </w:pPr>
          <w:hyperlink w:anchor="_Toc119581686" w:history="1">
            <w:r w:rsidR="0059544E" w:rsidRPr="00F03AC7">
              <w:rPr>
                <w:rStyle w:val="Hiperpovezava"/>
                <w:noProof/>
              </w:rPr>
              <w:t>3.1.3</w:t>
            </w:r>
            <w:r w:rsidR="0059544E">
              <w:rPr>
                <w:rFonts w:asciiTheme="minorHAnsi" w:eastAsiaTheme="minorEastAsia" w:hAnsiTheme="minorHAnsi"/>
                <w:noProof/>
                <w:sz w:val="22"/>
                <w:lang w:eastAsia="sl-SI"/>
              </w:rPr>
              <w:tab/>
            </w:r>
            <w:r w:rsidR="0059544E" w:rsidRPr="00F03AC7">
              <w:rPr>
                <w:rStyle w:val="Hiperpovezava"/>
                <w:noProof/>
              </w:rPr>
              <w:t>Zadeve, poslane UKP MNZ in/ali državnemu tožilstvu zaradi suma storitve kaznivega dejanja pranja denarja po 245. členu KZ-1</w:t>
            </w:r>
            <w:r w:rsidR="0059544E">
              <w:rPr>
                <w:noProof/>
                <w:webHidden/>
              </w:rPr>
              <w:tab/>
            </w:r>
            <w:r w:rsidR="0059544E">
              <w:rPr>
                <w:noProof/>
                <w:webHidden/>
              </w:rPr>
              <w:fldChar w:fldCharType="begin"/>
            </w:r>
            <w:r w:rsidR="0059544E">
              <w:rPr>
                <w:noProof/>
                <w:webHidden/>
              </w:rPr>
              <w:instrText xml:space="preserve"> PAGEREF _Toc119581686 \h </w:instrText>
            </w:r>
            <w:r w:rsidR="0059544E">
              <w:rPr>
                <w:noProof/>
                <w:webHidden/>
              </w:rPr>
            </w:r>
            <w:r w:rsidR="0059544E">
              <w:rPr>
                <w:noProof/>
                <w:webHidden/>
              </w:rPr>
              <w:fldChar w:fldCharType="separate"/>
            </w:r>
            <w:r w:rsidR="00EB043F">
              <w:rPr>
                <w:noProof/>
                <w:webHidden/>
              </w:rPr>
              <w:t>19</w:t>
            </w:r>
            <w:r w:rsidR="0059544E">
              <w:rPr>
                <w:noProof/>
                <w:webHidden/>
              </w:rPr>
              <w:fldChar w:fldCharType="end"/>
            </w:r>
          </w:hyperlink>
        </w:p>
        <w:p w14:paraId="5BB8B806" w14:textId="180D28B8" w:rsidR="0059544E" w:rsidRDefault="00185B52">
          <w:pPr>
            <w:pStyle w:val="Kazalovsebine3"/>
            <w:tabs>
              <w:tab w:val="left" w:pos="1134"/>
            </w:tabs>
            <w:rPr>
              <w:rFonts w:asciiTheme="minorHAnsi" w:eastAsiaTheme="minorEastAsia" w:hAnsiTheme="minorHAnsi"/>
              <w:noProof/>
              <w:sz w:val="22"/>
              <w:lang w:eastAsia="sl-SI"/>
            </w:rPr>
          </w:pPr>
          <w:hyperlink w:anchor="_Toc119581687" w:history="1">
            <w:r w:rsidR="0059544E" w:rsidRPr="00F03AC7">
              <w:rPr>
                <w:rStyle w:val="Hiperpovezava"/>
                <w:noProof/>
              </w:rPr>
              <w:t>3.1.4</w:t>
            </w:r>
            <w:r w:rsidR="0059544E">
              <w:rPr>
                <w:rFonts w:asciiTheme="minorHAnsi" w:eastAsiaTheme="minorEastAsia" w:hAnsiTheme="minorHAnsi"/>
                <w:noProof/>
                <w:sz w:val="22"/>
                <w:lang w:eastAsia="sl-SI"/>
              </w:rPr>
              <w:tab/>
            </w:r>
            <w:r w:rsidR="0059544E" w:rsidRPr="00F03AC7">
              <w:rPr>
                <w:rStyle w:val="Hiperpovezava"/>
                <w:noProof/>
              </w:rPr>
              <w:t>Zadeve, poslane UKP MNZ in/ali državnemu tožilstvu zaradi suma storitve kaznivega dejanja financiranja terorizma po 109. členu KZ-1</w:t>
            </w:r>
            <w:r w:rsidR="0059544E">
              <w:rPr>
                <w:noProof/>
                <w:webHidden/>
              </w:rPr>
              <w:tab/>
            </w:r>
            <w:r w:rsidR="0059544E">
              <w:rPr>
                <w:noProof/>
                <w:webHidden/>
              </w:rPr>
              <w:fldChar w:fldCharType="begin"/>
            </w:r>
            <w:r w:rsidR="0059544E">
              <w:rPr>
                <w:noProof/>
                <w:webHidden/>
              </w:rPr>
              <w:instrText xml:space="preserve"> PAGEREF _Toc119581687 \h </w:instrText>
            </w:r>
            <w:r w:rsidR="0059544E">
              <w:rPr>
                <w:noProof/>
                <w:webHidden/>
              </w:rPr>
            </w:r>
            <w:r w:rsidR="0059544E">
              <w:rPr>
                <w:noProof/>
                <w:webHidden/>
              </w:rPr>
              <w:fldChar w:fldCharType="separate"/>
            </w:r>
            <w:r w:rsidR="00EB043F">
              <w:rPr>
                <w:noProof/>
                <w:webHidden/>
              </w:rPr>
              <w:t>20</w:t>
            </w:r>
            <w:r w:rsidR="0059544E">
              <w:rPr>
                <w:noProof/>
                <w:webHidden/>
              </w:rPr>
              <w:fldChar w:fldCharType="end"/>
            </w:r>
          </w:hyperlink>
        </w:p>
        <w:p w14:paraId="5878B756" w14:textId="0388E588" w:rsidR="0059544E" w:rsidRDefault="00185B52">
          <w:pPr>
            <w:pStyle w:val="Kazalovsebine3"/>
            <w:tabs>
              <w:tab w:val="left" w:pos="1134"/>
            </w:tabs>
            <w:rPr>
              <w:rFonts w:asciiTheme="minorHAnsi" w:eastAsiaTheme="minorEastAsia" w:hAnsiTheme="minorHAnsi"/>
              <w:noProof/>
              <w:sz w:val="22"/>
              <w:lang w:eastAsia="sl-SI"/>
            </w:rPr>
          </w:pPr>
          <w:hyperlink w:anchor="_Toc119581688" w:history="1">
            <w:r w:rsidR="0059544E" w:rsidRPr="00F03AC7">
              <w:rPr>
                <w:rStyle w:val="Hiperpovezava"/>
                <w:noProof/>
              </w:rPr>
              <w:t>3.1.5</w:t>
            </w:r>
            <w:r w:rsidR="0059544E">
              <w:rPr>
                <w:rFonts w:asciiTheme="minorHAnsi" w:eastAsiaTheme="minorEastAsia" w:hAnsiTheme="minorHAnsi"/>
                <w:noProof/>
                <w:sz w:val="22"/>
                <w:lang w:eastAsia="sl-SI"/>
              </w:rPr>
              <w:tab/>
            </w:r>
            <w:r w:rsidR="0059544E" w:rsidRPr="00F03AC7">
              <w:rPr>
                <w:rStyle w:val="Hiperpovezava"/>
                <w:noProof/>
              </w:rPr>
              <w:t>Zadeve, poslane UKP MNZ in drugim pristojnim državnim organom zaradi suma storitve drugih kaznivih dejanj</w:t>
            </w:r>
            <w:r w:rsidR="0059544E">
              <w:rPr>
                <w:noProof/>
                <w:webHidden/>
              </w:rPr>
              <w:tab/>
            </w:r>
            <w:r w:rsidR="0059544E">
              <w:rPr>
                <w:noProof/>
                <w:webHidden/>
              </w:rPr>
              <w:fldChar w:fldCharType="begin"/>
            </w:r>
            <w:r w:rsidR="0059544E">
              <w:rPr>
                <w:noProof/>
                <w:webHidden/>
              </w:rPr>
              <w:instrText xml:space="preserve"> PAGEREF _Toc119581688 \h </w:instrText>
            </w:r>
            <w:r w:rsidR="0059544E">
              <w:rPr>
                <w:noProof/>
                <w:webHidden/>
              </w:rPr>
            </w:r>
            <w:r w:rsidR="0059544E">
              <w:rPr>
                <w:noProof/>
                <w:webHidden/>
              </w:rPr>
              <w:fldChar w:fldCharType="separate"/>
            </w:r>
            <w:r w:rsidR="00EB043F">
              <w:rPr>
                <w:noProof/>
                <w:webHidden/>
              </w:rPr>
              <w:t>21</w:t>
            </w:r>
            <w:r w:rsidR="0059544E">
              <w:rPr>
                <w:noProof/>
                <w:webHidden/>
              </w:rPr>
              <w:fldChar w:fldCharType="end"/>
            </w:r>
          </w:hyperlink>
        </w:p>
        <w:p w14:paraId="2A1E536F" w14:textId="305B7198" w:rsidR="0059544E" w:rsidRDefault="00185B52">
          <w:pPr>
            <w:pStyle w:val="Kazalovsebine3"/>
            <w:tabs>
              <w:tab w:val="left" w:pos="1134"/>
            </w:tabs>
            <w:rPr>
              <w:rFonts w:asciiTheme="minorHAnsi" w:eastAsiaTheme="minorEastAsia" w:hAnsiTheme="minorHAnsi"/>
              <w:noProof/>
              <w:sz w:val="22"/>
              <w:lang w:eastAsia="sl-SI"/>
            </w:rPr>
          </w:pPr>
          <w:hyperlink w:anchor="_Toc119581689" w:history="1">
            <w:r w:rsidR="0059544E" w:rsidRPr="00F03AC7">
              <w:rPr>
                <w:rStyle w:val="Hiperpovezava"/>
                <w:noProof/>
              </w:rPr>
              <w:t>3.1.6</w:t>
            </w:r>
            <w:r w:rsidR="0059544E">
              <w:rPr>
                <w:rFonts w:asciiTheme="minorHAnsi" w:eastAsiaTheme="minorEastAsia" w:hAnsiTheme="minorHAnsi"/>
                <w:noProof/>
                <w:sz w:val="22"/>
                <w:lang w:eastAsia="sl-SI"/>
              </w:rPr>
              <w:tab/>
            </w:r>
            <w:r w:rsidR="0059544E" w:rsidRPr="00F03AC7">
              <w:rPr>
                <w:rStyle w:val="Hiperpovezava"/>
                <w:noProof/>
              </w:rPr>
              <w:t>Analiza informacij</w:t>
            </w:r>
            <w:r w:rsidR="0059544E">
              <w:rPr>
                <w:noProof/>
                <w:webHidden/>
              </w:rPr>
              <w:tab/>
            </w:r>
            <w:r w:rsidR="0059544E">
              <w:rPr>
                <w:noProof/>
                <w:webHidden/>
              </w:rPr>
              <w:fldChar w:fldCharType="begin"/>
            </w:r>
            <w:r w:rsidR="0059544E">
              <w:rPr>
                <w:noProof/>
                <w:webHidden/>
              </w:rPr>
              <w:instrText xml:space="preserve"> PAGEREF _Toc119581689 \h </w:instrText>
            </w:r>
            <w:r w:rsidR="0059544E">
              <w:rPr>
                <w:noProof/>
                <w:webHidden/>
              </w:rPr>
            </w:r>
            <w:r w:rsidR="0059544E">
              <w:rPr>
                <w:noProof/>
                <w:webHidden/>
              </w:rPr>
              <w:fldChar w:fldCharType="separate"/>
            </w:r>
            <w:r w:rsidR="00EB043F">
              <w:rPr>
                <w:noProof/>
                <w:webHidden/>
              </w:rPr>
              <w:t>21</w:t>
            </w:r>
            <w:r w:rsidR="0059544E">
              <w:rPr>
                <w:noProof/>
                <w:webHidden/>
              </w:rPr>
              <w:fldChar w:fldCharType="end"/>
            </w:r>
          </w:hyperlink>
        </w:p>
        <w:p w14:paraId="68738018" w14:textId="1CAE9A01" w:rsidR="0059544E" w:rsidRDefault="00185B52">
          <w:pPr>
            <w:pStyle w:val="Kazalovsebine4"/>
            <w:rPr>
              <w:rFonts w:asciiTheme="minorHAnsi" w:hAnsiTheme="minorHAnsi"/>
              <w:sz w:val="22"/>
            </w:rPr>
          </w:pPr>
          <w:hyperlink w:anchor="_Toc119581690" w:history="1">
            <w:r w:rsidR="0059544E" w:rsidRPr="00F03AC7">
              <w:rPr>
                <w:rStyle w:val="Hiperpovezava"/>
              </w:rPr>
              <w:t>3.1.6.1</w:t>
            </w:r>
            <w:r w:rsidR="0059544E">
              <w:rPr>
                <w:rFonts w:asciiTheme="minorHAnsi" w:hAnsiTheme="minorHAnsi"/>
                <w:sz w:val="22"/>
              </w:rPr>
              <w:tab/>
            </w:r>
            <w:r w:rsidR="0059544E" w:rsidRPr="00F03AC7">
              <w:rPr>
                <w:rStyle w:val="Hiperpovezava"/>
              </w:rPr>
              <w:t>Neprijavljeni prihodki in prihodki iz neregistriranih dejavnost</w:t>
            </w:r>
            <w:r w:rsidR="0059544E">
              <w:rPr>
                <w:webHidden/>
              </w:rPr>
              <w:tab/>
            </w:r>
            <w:r w:rsidR="0059544E">
              <w:rPr>
                <w:webHidden/>
              </w:rPr>
              <w:fldChar w:fldCharType="begin"/>
            </w:r>
            <w:r w:rsidR="0059544E">
              <w:rPr>
                <w:webHidden/>
              </w:rPr>
              <w:instrText xml:space="preserve"> PAGEREF _Toc119581690 \h </w:instrText>
            </w:r>
            <w:r w:rsidR="0059544E">
              <w:rPr>
                <w:webHidden/>
              </w:rPr>
            </w:r>
            <w:r w:rsidR="0059544E">
              <w:rPr>
                <w:webHidden/>
              </w:rPr>
              <w:fldChar w:fldCharType="separate"/>
            </w:r>
            <w:r w:rsidR="00EB043F">
              <w:rPr>
                <w:webHidden/>
              </w:rPr>
              <w:t>22</w:t>
            </w:r>
            <w:r w:rsidR="0059544E">
              <w:rPr>
                <w:webHidden/>
              </w:rPr>
              <w:fldChar w:fldCharType="end"/>
            </w:r>
          </w:hyperlink>
        </w:p>
        <w:p w14:paraId="32061075" w14:textId="004A2098" w:rsidR="0059544E" w:rsidRDefault="00185B52">
          <w:pPr>
            <w:pStyle w:val="Kazalovsebine4"/>
            <w:rPr>
              <w:rFonts w:asciiTheme="minorHAnsi" w:hAnsiTheme="minorHAnsi"/>
              <w:sz w:val="22"/>
            </w:rPr>
          </w:pPr>
          <w:hyperlink w:anchor="_Toc119581691" w:history="1">
            <w:r w:rsidR="0059544E" w:rsidRPr="00F03AC7">
              <w:rPr>
                <w:rStyle w:val="Hiperpovezava"/>
              </w:rPr>
              <w:t>3.1.6.2</w:t>
            </w:r>
            <w:r w:rsidR="0059544E">
              <w:rPr>
                <w:rFonts w:asciiTheme="minorHAnsi" w:hAnsiTheme="minorHAnsi"/>
                <w:sz w:val="22"/>
              </w:rPr>
              <w:tab/>
            </w:r>
            <w:r w:rsidR="0059544E" w:rsidRPr="00F03AC7">
              <w:rPr>
                <w:rStyle w:val="Hiperpovezava"/>
              </w:rPr>
              <w:t>Goljufije in poskusi goljufij in zlorabe</w:t>
            </w:r>
            <w:r w:rsidR="0059544E">
              <w:rPr>
                <w:webHidden/>
              </w:rPr>
              <w:tab/>
            </w:r>
            <w:r w:rsidR="0059544E">
              <w:rPr>
                <w:webHidden/>
              </w:rPr>
              <w:fldChar w:fldCharType="begin"/>
            </w:r>
            <w:r w:rsidR="0059544E">
              <w:rPr>
                <w:webHidden/>
              </w:rPr>
              <w:instrText xml:space="preserve"> PAGEREF _Toc119581691 \h </w:instrText>
            </w:r>
            <w:r w:rsidR="0059544E">
              <w:rPr>
                <w:webHidden/>
              </w:rPr>
            </w:r>
            <w:r w:rsidR="0059544E">
              <w:rPr>
                <w:webHidden/>
              </w:rPr>
              <w:fldChar w:fldCharType="separate"/>
            </w:r>
            <w:r w:rsidR="00EB043F">
              <w:rPr>
                <w:webHidden/>
              </w:rPr>
              <w:t>22</w:t>
            </w:r>
            <w:r w:rsidR="0059544E">
              <w:rPr>
                <w:webHidden/>
              </w:rPr>
              <w:fldChar w:fldCharType="end"/>
            </w:r>
          </w:hyperlink>
        </w:p>
        <w:p w14:paraId="2DB21605" w14:textId="78713D5F" w:rsidR="0059544E" w:rsidRDefault="00185B52">
          <w:pPr>
            <w:pStyle w:val="Kazalovsebine4"/>
            <w:rPr>
              <w:rFonts w:asciiTheme="minorHAnsi" w:hAnsiTheme="minorHAnsi"/>
              <w:sz w:val="22"/>
            </w:rPr>
          </w:pPr>
          <w:hyperlink w:anchor="_Toc119581692" w:history="1">
            <w:r w:rsidR="0059544E" w:rsidRPr="00F03AC7">
              <w:rPr>
                <w:rStyle w:val="Hiperpovezava"/>
              </w:rPr>
              <w:t>3.1.6.3</w:t>
            </w:r>
            <w:r w:rsidR="0059544E">
              <w:rPr>
                <w:rFonts w:asciiTheme="minorHAnsi" w:hAnsiTheme="minorHAnsi"/>
                <w:sz w:val="22"/>
              </w:rPr>
              <w:tab/>
            </w:r>
            <w:r w:rsidR="0059544E" w:rsidRPr="00F03AC7">
              <w:rPr>
                <w:rStyle w:val="Hiperpovezava"/>
              </w:rPr>
              <w:t>Mednarodni davčni vrtiljaki in uporaba kanalskih družb</w:t>
            </w:r>
            <w:r w:rsidR="0059544E">
              <w:rPr>
                <w:webHidden/>
              </w:rPr>
              <w:tab/>
            </w:r>
            <w:r w:rsidR="0059544E">
              <w:rPr>
                <w:webHidden/>
              </w:rPr>
              <w:fldChar w:fldCharType="begin"/>
            </w:r>
            <w:r w:rsidR="0059544E">
              <w:rPr>
                <w:webHidden/>
              </w:rPr>
              <w:instrText xml:space="preserve"> PAGEREF _Toc119581692 \h </w:instrText>
            </w:r>
            <w:r w:rsidR="0059544E">
              <w:rPr>
                <w:webHidden/>
              </w:rPr>
            </w:r>
            <w:r w:rsidR="0059544E">
              <w:rPr>
                <w:webHidden/>
              </w:rPr>
              <w:fldChar w:fldCharType="separate"/>
            </w:r>
            <w:r w:rsidR="00EB043F">
              <w:rPr>
                <w:webHidden/>
              </w:rPr>
              <w:t>23</w:t>
            </w:r>
            <w:r w:rsidR="0059544E">
              <w:rPr>
                <w:webHidden/>
              </w:rPr>
              <w:fldChar w:fldCharType="end"/>
            </w:r>
          </w:hyperlink>
        </w:p>
        <w:p w14:paraId="24039C87" w14:textId="07A3E22C" w:rsidR="0059544E" w:rsidRDefault="00185B52">
          <w:pPr>
            <w:pStyle w:val="Kazalovsebine4"/>
            <w:rPr>
              <w:rFonts w:asciiTheme="minorHAnsi" w:hAnsiTheme="minorHAnsi"/>
              <w:sz w:val="22"/>
            </w:rPr>
          </w:pPr>
          <w:hyperlink w:anchor="_Toc119581693" w:history="1">
            <w:r w:rsidR="0059544E" w:rsidRPr="00F03AC7">
              <w:rPr>
                <w:rStyle w:val="Hiperpovezava"/>
              </w:rPr>
              <w:t>3.1.6.4</w:t>
            </w:r>
            <w:r w:rsidR="0059544E">
              <w:rPr>
                <w:rFonts w:asciiTheme="minorHAnsi" w:hAnsiTheme="minorHAnsi"/>
                <w:sz w:val="22"/>
              </w:rPr>
              <w:tab/>
            </w:r>
            <w:r w:rsidR="0059544E" w:rsidRPr="00F03AC7">
              <w:rPr>
                <w:rStyle w:val="Hiperpovezava"/>
              </w:rPr>
              <w:t>Odlivi sredstev na osebne račune</w:t>
            </w:r>
            <w:r w:rsidR="0059544E">
              <w:rPr>
                <w:webHidden/>
              </w:rPr>
              <w:tab/>
            </w:r>
            <w:r w:rsidR="0059544E">
              <w:rPr>
                <w:webHidden/>
              </w:rPr>
              <w:fldChar w:fldCharType="begin"/>
            </w:r>
            <w:r w:rsidR="0059544E">
              <w:rPr>
                <w:webHidden/>
              </w:rPr>
              <w:instrText xml:space="preserve"> PAGEREF _Toc119581693 \h </w:instrText>
            </w:r>
            <w:r w:rsidR="0059544E">
              <w:rPr>
                <w:webHidden/>
              </w:rPr>
            </w:r>
            <w:r w:rsidR="0059544E">
              <w:rPr>
                <w:webHidden/>
              </w:rPr>
              <w:fldChar w:fldCharType="separate"/>
            </w:r>
            <w:r w:rsidR="00EB043F">
              <w:rPr>
                <w:webHidden/>
              </w:rPr>
              <w:t>23</w:t>
            </w:r>
            <w:r w:rsidR="0059544E">
              <w:rPr>
                <w:webHidden/>
              </w:rPr>
              <w:fldChar w:fldCharType="end"/>
            </w:r>
          </w:hyperlink>
        </w:p>
        <w:p w14:paraId="3998B14C" w14:textId="4124443D" w:rsidR="0059544E" w:rsidRDefault="00185B52">
          <w:pPr>
            <w:pStyle w:val="Kazalovsebine4"/>
            <w:rPr>
              <w:rFonts w:asciiTheme="minorHAnsi" w:hAnsiTheme="minorHAnsi"/>
              <w:sz w:val="22"/>
            </w:rPr>
          </w:pPr>
          <w:hyperlink w:anchor="_Toc119581694" w:history="1">
            <w:r w:rsidR="0059544E" w:rsidRPr="00F03AC7">
              <w:rPr>
                <w:rStyle w:val="Hiperpovezava"/>
              </w:rPr>
              <w:t>3.1.6.5</w:t>
            </w:r>
            <w:r w:rsidR="0059544E">
              <w:rPr>
                <w:rFonts w:asciiTheme="minorHAnsi" w:hAnsiTheme="minorHAnsi"/>
                <w:sz w:val="22"/>
              </w:rPr>
              <w:tab/>
            </w:r>
            <w:r w:rsidR="0059544E" w:rsidRPr="00F03AC7">
              <w:rPr>
                <w:rStyle w:val="Hiperpovezava"/>
              </w:rPr>
              <w:t>Kroženje sredstev</w:t>
            </w:r>
            <w:r w:rsidR="0059544E">
              <w:rPr>
                <w:webHidden/>
              </w:rPr>
              <w:tab/>
            </w:r>
            <w:r w:rsidR="0059544E">
              <w:rPr>
                <w:webHidden/>
              </w:rPr>
              <w:fldChar w:fldCharType="begin"/>
            </w:r>
            <w:r w:rsidR="0059544E">
              <w:rPr>
                <w:webHidden/>
              </w:rPr>
              <w:instrText xml:space="preserve"> PAGEREF _Toc119581694 \h </w:instrText>
            </w:r>
            <w:r w:rsidR="0059544E">
              <w:rPr>
                <w:webHidden/>
              </w:rPr>
            </w:r>
            <w:r w:rsidR="0059544E">
              <w:rPr>
                <w:webHidden/>
              </w:rPr>
              <w:fldChar w:fldCharType="separate"/>
            </w:r>
            <w:r w:rsidR="00EB043F">
              <w:rPr>
                <w:webHidden/>
              </w:rPr>
              <w:t>23</w:t>
            </w:r>
            <w:r w:rsidR="0059544E">
              <w:rPr>
                <w:webHidden/>
              </w:rPr>
              <w:fldChar w:fldCharType="end"/>
            </w:r>
          </w:hyperlink>
        </w:p>
        <w:p w14:paraId="31D68AAD" w14:textId="0CE3A86E" w:rsidR="0059544E" w:rsidRDefault="00185B52">
          <w:pPr>
            <w:pStyle w:val="Kazalovsebine4"/>
            <w:rPr>
              <w:rFonts w:asciiTheme="minorHAnsi" w:hAnsiTheme="minorHAnsi"/>
              <w:sz w:val="22"/>
            </w:rPr>
          </w:pPr>
          <w:hyperlink w:anchor="_Toc119581695" w:history="1">
            <w:r w:rsidR="0059544E" w:rsidRPr="00F03AC7">
              <w:rPr>
                <w:rStyle w:val="Hiperpovezava"/>
              </w:rPr>
              <w:t>3.1.6.6</w:t>
            </w:r>
            <w:r w:rsidR="0059544E">
              <w:rPr>
                <w:rFonts w:asciiTheme="minorHAnsi" w:hAnsiTheme="minorHAnsi"/>
                <w:sz w:val="22"/>
              </w:rPr>
              <w:tab/>
            </w:r>
            <w:r w:rsidR="0059544E" w:rsidRPr="00F03AC7">
              <w:rPr>
                <w:rStyle w:val="Hiperpovezava"/>
              </w:rPr>
              <w:t>Izogibanje plačevanja obveznosti</w:t>
            </w:r>
            <w:r w:rsidR="0059544E">
              <w:rPr>
                <w:webHidden/>
              </w:rPr>
              <w:tab/>
            </w:r>
            <w:r w:rsidR="0059544E">
              <w:rPr>
                <w:webHidden/>
              </w:rPr>
              <w:fldChar w:fldCharType="begin"/>
            </w:r>
            <w:r w:rsidR="0059544E">
              <w:rPr>
                <w:webHidden/>
              </w:rPr>
              <w:instrText xml:space="preserve"> PAGEREF _Toc119581695 \h </w:instrText>
            </w:r>
            <w:r w:rsidR="0059544E">
              <w:rPr>
                <w:webHidden/>
              </w:rPr>
            </w:r>
            <w:r w:rsidR="0059544E">
              <w:rPr>
                <w:webHidden/>
              </w:rPr>
              <w:fldChar w:fldCharType="separate"/>
            </w:r>
            <w:r w:rsidR="00EB043F">
              <w:rPr>
                <w:webHidden/>
              </w:rPr>
              <w:t>23</w:t>
            </w:r>
            <w:r w:rsidR="0059544E">
              <w:rPr>
                <w:webHidden/>
              </w:rPr>
              <w:fldChar w:fldCharType="end"/>
            </w:r>
          </w:hyperlink>
        </w:p>
        <w:p w14:paraId="0E92CF11" w14:textId="45BD9E82" w:rsidR="0059544E" w:rsidRDefault="00185B52">
          <w:pPr>
            <w:pStyle w:val="Kazalovsebine4"/>
            <w:rPr>
              <w:rFonts w:asciiTheme="minorHAnsi" w:hAnsiTheme="minorHAnsi"/>
              <w:sz w:val="22"/>
            </w:rPr>
          </w:pPr>
          <w:hyperlink w:anchor="_Toc119581696" w:history="1">
            <w:r w:rsidR="0059544E" w:rsidRPr="00F03AC7">
              <w:rPr>
                <w:rStyle w:val="Hiperpovezava"/>
              </w:rPr>
              <w:t>3.1.6.7</w:t>
            </w:r>
            <w:r w:rsidR="0059544E">
              <w:rPr>
                <w:rFonts w:asciiTheme="minorHAnsi" w:hAnsiTheme="minorHAnsi"/>
                <w:sz w:val="22"/>
              </w:rPr>
              <w:tab/>
            </w:r>
            <w:r w:rsidR="0059544E" w:rsidRPr="00F03AC7">
              <w:rPr>
                <w:rStyle w:val="Hiperpovezava"/>
              </w:rPr>
              <w:t>Transakcije, povezane s prepovedanim prehodom meje ali ozemlja države</w:t>
            </w:r>
            <w:r w:rsidR="0059544E">
              <w:rPr>
                <w:webHidden/>
              </w:rPr>
              <w:tab/>
            </w:r>
            <w:r w:rsidR="0059544E">
              <w:rPr>
                <w:webHidden/>
              </w:rPr>
              <w:fldChar w:fldCharType="begin"/>
            </w:r>
            <w:r w:rsidR="0059544E">
              <w:rPr>
                <w:webHidden/>
              </w:rPr>
              <w:instrText xml:space="preserve"> PAGEREF _Toc119581696 \h </w:instrText>
            </w:r>
            <w:r w:rsidR="0059544E">
              <w:rPr>
                <w:webHidden/>
              </w:rPr>
            </w:r>
            <w:r w:rsidR="0059544E">
              <w:rPr>
                <w:webHidden/>
              </w:rPr>
              <w:fldChar w:fldCharType="separate"/>
            </w:r>
            <w:r w:rsidR="00EB043F">
              <w:rPr>
                <w:webHidden/>
              </w:rPr>
              <w:t>23</w:t>
            </w:r>
            <w:r w:rsidR="0059544E">
              <w:rPr>
                <w:webHidden/>
              </w:rPr>
              <w:fldChar w:fldCharType="end"/>
            </w:r>
          </w:hyperlink>
        </w:p>
        <w:p w14:paraId="311E65D7" w14:textId="6220929E" w:rsidR="0059544E" w:rsidRDefault="00185B52">
          <w:pPr>
            <w:pStyle w:val="Kazalovsebine4"/>
            <w:rPr>
              <w:rFonts w:asciiTheme="minorHAnsi" w:hAnsiTheme="minorHAnsi"/>
              <w:sz w:val="22"/>
            </w:rPr>
          </w:pPr>
          <w:hyperlink w:anchor="_Toc119581697" w:history="1">
            <w:r w:rsidR="0059544E" w:rsidRPr="00F03AC7">
              <w:rPr>
                <w:rStyle w:val="Hiperpovezava"/>
              </w:rPr>
              <w:t>3.1.6.8</w:t>
            </w:r>
            <w:r w:rsidR="0059544E">
              <w:rPr>
                <w:rFonts w:asciiTheme="minorHAnsi" w:hAnsiTheme="minorHAnsi"/>
                <w:sz w:val="22"/>
              </w:rPr>
              <w:tab/>
            </w:r>
            <w:r w:rsidR="0059544E" w:rsidRPr="00F03AC7">
              <w:rPr>
                <w:rStyle w:val="Hiperpovezava"/>
              </w:rPr>
              <w:t>Kršitev omejevalnih ukrepov</w:t>
            </w:r>
            <w:r w:rsidR="0059544E">
              <w:rPr>
                <w:webHidden/>
              </w:rPr>
              <w:tab/>
            </w:r>
            <w:r w:rsidR="0059544E">
              <w:rPr>
                <w:webHidden/>
              </w:rPr>
              <w:fldChar w:fldCharType="begin"/>
            </w:r>
            <w:r w:rsidR="0059544E">
              <w:rPr>
                <w:webHidden/>
              </w:rPr>
              <w:instrText xml:space="preserve"> PAGEREF _Toc119581697 \h </w:instrText>
            </w:r>
            <w:r w:rsidR="0059544E">
              <w:rPr>
                <w:webHidden/>
              </w:rPr>
            </w:r>
            <w:r w:rsidR="0059544E">
              <w:rPr>
                <w:webHidden/>
              </w:rPr>
              <w:fldChar w:fldCharType="separate"/>
            </w:r>
            <w:r w:rsidR="00EB043F">
              <w:rPr>
                <w:webHidden/>
              </w:rPr>
              <w:t>24</w:t>
            </w:r>
            <w:r w:rsidR="0059544E">
              <w:rPr>
                <w:webHidden/>
              </w:rPr>
              <w:fldChar w:fldCharType="end"/>
            </w:r>
          </w:hyperlink>
        </w:p>
        <w:p w14:paraId="7635B874" w14:textId="5985B3AE" w:rsidR="0059544E" w:rsidRDefault="00185B52">
          <w:pPr>
            <w:pStyle w:val="Kazalovsebine3"/>
            <w:tabs>
              <w:tab w:val="left" w:pos="1134"/>
            </w:tabs>
            <w:rPr>
              <w:rFonts w:asciiTheme="minorHAnsi" w:eastAsiaTheme="minorEastAsia" w:hAnsiTheme="minorHAnsi"/>
              <w:noProof/>
              <w:sz w:val="22"/>
              <w:lang w:eastAsia="sl-SI"/>
            </w:rPr>
          </w:pPr>
          <w:hyperlink w:anchor="_Toc119581698" w:history="1">
            <w:r w:rsidR="0059544E" w:rsidRPr="00F03AC7">
              <w:rPr>
                <w:rStyle w:val="Hiperpovezava"/>
                <w:noProof/>
              </w:rPr>
              <w:t>3.1.7</w:t>
            </w:r>
            <w:r w:rsidR="0059544E">
              <w:rPr>
                <w:rFonts w:asciiTheme="minorHAnsi" w:eastAsiaTheme="minorEastAsia" w:hAnsiTheme="minorHAnsi"/>
                <w:noProof/>
                <w:sz w:val="22"/>
                <w:lang w:eastAsia="sl-SI"/>
              </w:rPr>
              <w:tab/>
            </w:r>
            <w:r w:rsidR="0059544E" w:rsidRPr="00F03AC7">
              <w:rPr>
                <w:rStyle w:val="Hiperpovezava"/>
                <w:noProof/>
              </w:rPr>
              <w:t>Analiza informacij, poslanih Finančni upravi RS (FURS)</w:t>
            </w:r>
            <w:r w:rsidR="0059544E">
              <w:rPr>
                <w:noProof/>
                <w:webHidden/>
              </w:rPr>
              <w:tab/>
            </w:r>
            <w:r w:rsidR="0059544E">
              <w:rPr>
                <w:noProof/>
                <w:webHidden/>
              </w:rPr>
              <w:fldChar w:fldCharType="begin"/>
            </w:r>
            <w:r w:rsidR="0059544E">
              <w:rPr>
                <w:noProof/>
                <w:webHidden/>
              </w:rPr>
              <w:instrText xml:space="preserve"> PAGEREF _Toc119581698 \h </w:instrText>
            </w:r>
            <w:r w:rsidR="0059544E">
              <w:rPr>
                <w:noProof/>
                <w:webHidden/>
              </w:rPr>
            </w:r>
            <w:r w:rsidR="0059544E">
              <w:rPr>
                <w:noProof/>
                <w:webHidden/>
              </w:rPr>
              <w:fldChar w:fldCharType="separate"/>
            </w:r>
            <w:r w:rsidR="00EB043F">
              <w:rPr>
                <w:noProof/>
                <w:webHidden/>
              </w:rPr>
              <w:t>24</w:t>
            </w:r>
            <w:r w:rsidR="0059544E">
              <w:rPr>
                <w:noProof/>
                <w:webHidden/>
              </w:rPr>
              <w:fldChar w:fldCharType="end"/>
            </w:r>
          </w:hyperlink>
        </w:p>
        <w:p w14:paraId="05F221B2" w14:textId="26E247A5" w:rsidR="0059544E" w:rsidRDefault="00185B52">
          <w:pPr>
            <w:pStyle w:val="Kazalovsebine3"/>
            <w:tabs>
              <w:tab w:val="left" w:pos="1134"/>
            </w:tabs>
            <w:rPr>
              <w:rFonts w:asciiTheme="minorHAnsi" w:eastAsiaTheme="minorEastAsia" w:hAnsiTheme="minorHAnsi"/>
              <w:noProof/>
              <w:sz w:val="22"/>
              <w:lang w:eastAsia="sl-SI"/>
            </w:rPr>
          </w:pPr>
          <w:hyperlink w:anchor="_Toc119581699" w:history="1">
            <w:r w:rsidR="0059544E" w:rsidRPr="00F03AC7">
              <w:rPr>
                <w:rStyle w:val="Hiperpovezava"/>
                <w:noProof/>
              </w:rPr>
              <w:t>3.1.8</w:t>
            </w:r>
            <w:r w:rsidR="0059544E">
              <w:rPr>
                <w:rFonts w:asciiTheme="minorHAnsi" w:eastAsiaTheme="minorEastAsia" w:hAnsiTheme="minorHAnsi"/>
                <w:noProof/>
                <w:sz w:val="22"/>
                <w:lang w:eastAsia="sl-SI"/>
              </w:rPr>
              <w:tab/>
            </w:r>
            <w:r w:rsidR="0059544E" w:rsidRPr="00F03AC7">
              <w:rPr>
                <w:rStyle w:val="Hiperpovezava"/>
                <w:noProof/>
              </w:rPr>
              <w:t>Izvajanje pooblastila za začasno ustavitev izvršitve transakcij</w:t>
            </w:r>
            <w:r w:rsidR="0059544E">
              <w:rPr>
                <w:noProof/>
                <w:webHidden/>
              </w:rPr>
              <w:tab/>
            </w:r>
            <w:r w:rsidR="0059544E">
              <w:rPr>
                <w:noProof/>
                <w:webHidden/>
              </w:rPr>
              <w:fldChar w:fldCharType="begin"/>
            </w:r>
            <w:r w:rsidR="0059544E">
              <w:rPr>
                <w:noProof/>
                <w:webHidden/>
              </w:rPr>
              <w:instrText xml:space="preserve"> PAGEREF _Toc119581699 \h </w:instrText>
            </w:r>
            <w:r w:rsidR="0059544E">
              <w:rPr>
                <w:noProof/>
                <w:webHidden/>
              </w:rPr>
            </w:r>
            <w:r w:rsidR="0059544E">
              <w:rPr>
                <w:noProof/>
                <w:webHidden/>
              </w:rPr>
              <w:fldChar w:fldCharType="separate"/>
            </w:r>
            <w:r w:rsidR="00EB043F">
              <w:rPr>
                <w:noProof/>
                <w:webHidden/>
              </w:rPr>
              <w:t>25</w:t>
            </w:r>
            <w:r w:rsidR="0059544E">
              <w:rPr>
                <w:noProof/>
                <w:webHidden/>
              </w:rPr>
              <w:fldChar w:fldCharType="end"/>
            </w:r>
          </w:hyperlink>
        </w:p>
        <w:p w14:paraId="35035E57" w14:textId="654BC417" w:rsidR="0059544E" w:rsidRDefault="00185B52">
          <w:pPr>
            <w:pStyle w:val="Kazalovsebine3"/>
            <w:tabs>
              <w:tab w:val="left" w:pos="1134"/>
            </w:tabs>
            <w:rPr>
              <w:rFonts w:asciiTheme="minorHAnsi" w:eastAsiaTheme="minorEastAsia" w:hAnsiTheme="minorHAnsi"/>
              <w:noProof/>
              <w:sz w:val="22"/>
              <w:lang w:eastAsia="sl-SI"/>
            </w:rPr>
          </w:pPr>
          <w:hyperlink w:anchor="_Toc119581700" w:history="1">
            <w:r w:rsidR="0059544E" w:rsidRPr="00F03AC7">
              <w:rPr>
                <w:rStyle w:val="Hiperpovezava"/>
                <w:noProof/>
              </w:rPr>
              <w:t>3.1.9</w:t>
            </w:r>
            <w:r w:rsidR="0059544E">
              <w:rPr>
                <w:rFonts w:asciiTheme="minorHAnsi" w:eastAsiaTheme="minorEastAsia" w:hAnsiTheme="minorHAnsi"/>
                <w:noProof/>
                <w:sz w:val="22"/>
                <w:lang w:eastAsia="sl-SI"/>
              </w:rPr>
              <w:tab/>
            </w:r>
            <w:r w:rsidR="0059544E" w:rsidRPr="00F03AC7">
              <w:rPr>
                <w:rStyle w:val="Hiperpovezava"/>
                <w:noProof/>
              </w:rPr>
              <w:t>Vrednost začasno zavarovanega premoženja v zadevah s področja pranja denarja</w:t>
            </w:r>
            <w:r w:rsidR="0059544E">
              <w:rPr>
                <w:noProof/>
                <w:webHidden/>
              </w:rPr>
              <w:tab/>
            </w:r>
            <w:r w:rsidR="0059544E">
              <w:rPr>
                <w:noProof/>
                <w:webHidden/>
              </w:rPr>
              <w:fldChar w:fldCharType="begin"/>
            </w:r>
            <w:r w:rsidR="0059544E">
              <w:rPr>
                <w:noProof/>
                <w:webHidden/>
              </w:rPr>
              <w:instrText xml:space="preserve"> PAGEREF _Toc119581700 \h </w:instrText>
            </w:r>
            <w:r w:rsidR="0059544E">
              <w:rPr>
                <w:noProof/>
                <w:webHidden/>
              </w:rPr>
            </w:r>
            <w:r w:rsidR="0059544E">
              <w:rPr>
                <w:noProof/>
                <w:webHidden/>
              </w:rPr>
              <w:fldChar w:fldCharType="separate"/>
            </w:r>
            <w:r w:rsidR="00EB043F">
              <w:rPr>
                <w:noProof/>
                <w:webHidden/>
              </w:rPr>
              <w:t>25</w:t>
            </w:r>
            <w:r w:rsidR="0059544E">
              <w:rPr>
                <w:noProof/>
                <w:webHidden/>
              </w:rPr>
              <w:fldChar w:fldCharType="end"/>
            </w:r>
          </w:hyperlink>
        </w:p>
        <w:p w14:paraId="5D46FDAE" w14:textId="0B0B9E1C" w:rsidR="0059544E" w:rsidRDefault="00185B52">
          <w:pPr>
            <w:pStyle w:val="Kazalovsebine3"/>
            <w:tabs>
              <w:tab w:val="left" w:pos="1475"/>
            </w:tabs>
            <w:rPr>
              <w:rFonts w:asciiTheme="minorHAnsi" w:eastAsiaTheme="minorEastAsia" w:hAnsiTheme="minorHAnsi"/>
              <w:noProof/>
              <w:sz w:val="22"/>
              <w:lang w:eastAsia="sl-SI"/>
            </w:rPr>
          </w:pPr>
          <w:hyperlink w:anchor="_Toc119581701" w:history="1">
            <w:r w:rsidR="0059544E" w:rsidRPr="00F03AC7">
              <w:rPr>
                <w:rStyle w:val="Hiperpovezava"/>
                <w:noProof/>
              </w:rPr>
              <w:t>3.1.10</w:t>
            </w:r>
            <w:r w:rsidR="0059544E">
              <w:rPr>
                <w:rFonts w:asciiTheme="minorHAnsi" w:eastAsiaTheme="minorEastAsia" w:hAnsiTheme="minorHAnsi"/>
                <w:noProof/>
                <w:sz w:val="22"/>
                <w:lang w:eastAsia="sl-SI"/>
              </w:rPr>
              <w:tab/>
            </w:r>
            <w:r w:rsidR="0059544E" w:rsidRPr="00F03AC7">
              <w:rPr>
                <w:rStyle w:val="Hiperpovezava"/>
                <w:noProof/>
              </w:rPr>
              <w:t>Vrednost odvzetega premoženja v zadevah s področja pranja denarja</w:t>
            </w:r>
            <w:r w:rsidR="0059544E">
              <w:rPr>
                <w:noProof/>
                <w:webHidden/>
              </w:rPr>
              <w:tab/>
            </w:r>
            <w:r w:rsidR="0059544E">
              <w:rPr>
                <w:noProof/>
                <w:webHidden/>
              </w:rPr>
              <w:fldChar w:fldCharType="begin"/>
            </w:r>
            <w:r w:rsidR="0059544E">
              <w:rPr>
                <w:noProof/>
                <w:webHidden/>
              </w:rPr>
              <w:instrText xml:space="preserve"> PAGEREF _Toc119581701 \h </w:instrText>
            </w:r>
            <w:r w:rsidR="0059544E">
              <w:rPr>
                <w:noProof/>
                <w:webHidden/>
              </w:rPr>
            </w:r>
            <w:r w:rsidR="0059544E">
              <w:rPr>
                <w:noProof/>
                <w:webHidden/>
              </w:rPr>
              <w:fldChar w:fldCharType="separate"/>
            </w:r>
            <w:r w:rsidR="00EB043F">
              <w:rPr>
                <w:noProof/>
                <w:webHidden/>
              </w:rPr>
              <w:t>26</w:t>
            </w:r>
            <w:r w:rsidR="0059544E">
              <w:rPr>
                <w:noProof/>
                <w:webHidden/>
              </w:rPr>
              <w:fldChar w:fldCharType="end"/>
            </w:r>
          </w:hyperlink>
        </w:p>
        <w:p w14:paraId="077EE065" w14:textId="42FA1B01" w:rsidR="0059544E" w:rsidRDefault="00185B52">
          <w:pPr>
            <w:pStyle w:val="Kazalovsebine3"/>
            <w:tabs>
              <w:tab w:val="left" w:pos="1475"/>
            </w:tabs>
            <w:rPr>
              <w:rFonts w:asciiTheme="minorHAnsi" w:eastAsiaTheme="minorEastAsia" w:hAnsiTheme="minorHAnsi"/>
              <w:noProof/>
              <w:sz w:val="22"/>
              <w:lang w:eastAsia="sl-SI"/>
            </w:rPr>
          </w:pPr>
          <w:hyperlink w:anchor="_Toc119581702" w:history="1">
            <w:r w:rsidR="0059544E" w:rsidRPr="00F03AC7">
              <w:rPr>
                <w:rStyle w:val="Hiperpovezava"/>
                <w:noProof/>
              </w:rPr>
              <w:t>3.1.11</w:t>
            </w:r>
            <w:r w:rsidR="0059544E">
              <w:rPr>
                <w:rFonts w:asciiTheme="minorHAnsi" w:eastAsiaTheme="minorEastAsia" w:hAnsiTheme="minorHAnsi"/>
                <w:noProof/>
                <w:sz w:val="22"/>
                <w:lang w:eastAsia="sl-SI"/>
              </w:rPr>
              <w:tab/>
            </w:r>
            <w:r w:rsidR="0059544E" w:rsidRPr="00F03AC7">
              <w:rPr>
                <w:rStyle w:val="Hiperpovezava"/>
                <w:noProof/>
              </w:rPr>
              <w:t>Tipologija sumljivih transakcij</w:t>
            </w:r>
            <w:r w:rsidR="0059544E">
              <w:rPr>
                <w:noProof/>
                <w:webHidden/>
              </w:rPr>
              <w:tab/>
            </w:r>
            <w:r w:rsidR="0059544E">
              <w:rPr>
                <w:noProof/>
                <w:webHidden/>
              </w:rPr>
              <w:fldChar w:fldCharType="begin"/>
            </w:r>
            <w:r w:rsidR="0059544E">
              <w:rPr>
                <w:noProof/>
                <w:webHidden/>
              </w:rPr>
              <w:instrText xml:space="preserve"> PAGEREF _Toc119581702 \h </w:instrText>
            </w:r>
            <w:r w:rsidR="0059544E">
              <w:rPr>
                <w:noProof/>
                <w:webHidden/>
              </w:rPr>
            </w:r>
            <w:r w:rsidR="0059544E">
              <w:rPr>
                <w:noProof/>
                <w:webHidden/>
              </w:rPr>
              <w:fldChar w:fldCharType="separate"/>
            </w:r>
            <w:r w:rsidR="00EB043F">
              <w:rPr>
                <w:noProof/>
                <w:webHidden/>
              </w:rPr>
              <w:t>26</w:t>
            </w:r>
            <w:r w:rsidR="0059544E">
              <w:rPr>
                <w:noProof/>
                <w:webHidden/>
              </w:rPr>
              <w:fldChar w:fldCharType="end"/>
            </w:r>
          </w:hyperlink>
        </w:p>
        <w:p w14:paraId="2973308D" w14:textId="154051A2" w:rsidR="0059544E" w:rsidRDefault="00185B52">
          <w:pPr>
            <w:pStyle w:val="Kazalovsebine2"/>
            <w:tabs>
              <w:tab w:val="right" w:leader="dot" w:pos="9062"/>
            </w:tabs>
            <w:rPr>
              <w:rFonts w:asciiTheme="minorHAnsi" w:eastAsiaTheme="minorEastAsia" w:hAnsiTheme="minorHAnsi"/>
              <w:noProof/>
              <w:sz w:val="22"/>
              <w:lang w:eastAsia="sl-SI"/>
            </w:rPr>
          </w:pPr>
          <w:hyperlink w:anchor="_Toc119581703" w:history="1">
            <w:r w:rsidR="0059544E" w:rsidRPr="00F03AC7">
              <w:rPr>
                <w:rStyle w:val="Hiperpovezava"/>
                <w:noProof/>
              </w:rPr>
              <w:t>3.2</w:t>
            </w:r>
            <w:r w:rsidR="0059544E">
              <w:rPr>
                <w:rFonts w:asciiTheme="minorHAnsi" w:eastAsiaTheme="minorEastAsia" w:hAnsiTheme="minorHAnsi"/>
                <w:noProof/>
                <w:sz w:val="22"/>
                <w:lang w:eastAsia="sl-SI"/>
              </w:rPr>
              <w:tab/>
            </w:r>
            <w:r w:rsidR="0059544E" w:rsidRPr="00F03AC7">
              <w:rPr>
                <w:rStyle w:val="Hiperpovezava"/>
                <w:noProof/>
              </w:rPr>
              <w:t>ŠTEVILO DRUGIH ZADEV, ODSTOPLJENIH V OBRAVNAVO PRISTOJNIM ORGANOM</w:t>
            </w:r>
            <w:r w:rsidR="0059544E">
              <w:rPr>
                <w:noProof/>
                <w:webHidden/>
              </w:rPr>
              <w:tab/>
            </w:r>
            <w:r w:rsidR="0059544E">
              <w:rPr>
                <w:noProof/>
                <w:webHidden/>
              </w:rPr>
              <w:fldChar w:fldCharType="begin"/>
            </w:r>
            <w:r w:rsidR="0059544E">
              <w:rPr>
                <w:noProof/>
                <w:webHidden/>
              </w:rPr>
              <w:instrText xml:space="preserve"> PAGEREF _Toc119581703 \h </w:instrText>
            </w:r>
            <w:r w:rsidR="0059544E">
              <w:rPr>
                <w:noProof/>
                <w:webHidden/>
              </w:rPr>
            </w:r>
            <w:r w:rsidR="0059544E">
              <w:rPr>
                <w:noProof/>
                <w:webHidden/>
              </w:rPr>
              <w:fldChar w:fldCharType="separate"/>
            </w:r>
            <w:r w:rsidR="00EB043F">
              <w:rPr>
                <w:noProof/>
                <w:webHidden/>
              </w:rPr>
              <w:t>29</w:t>
            </w:r>
            <w:r w:rsidR="0059544E">
              <w:rPr>
                <w:noProof/>
                <w:webHidden/>
              </w:rPr>
              <w:fldChar w:fldCharType="end"/>
            </w:r>
          </w:hyperlink>
        </w:p>
        <w:p w14:paraId="431A4AFE" w14:textId="182C617B" w:rsidR="0059544E" w:rsidRDefault="00185B52">
          <w:pPr>
            <w:pStyle w:val="Kazalovsebine1"/>
            <w:tabs>
              <w:tab w:val="right" w:leader="dot" w:pos="9062"/>
            </w:tabs>
            <w:rPr>
              <w:rFonts w:asciiTheme="minorHAnsi" w:eastAsiaTheme="minorEastAsia" w:hAnsiTheme="minorHAnsi"/>
              <w:b w:val="0"/>
              <w:noProof/>
              <w:sz w:val="22"/>
              <w:lang w:eastAsia="sl-SI"/>
            </w:rPr>
          </w:pPr>
          <w:hyperlink w:anchor="_Toc119581704" w:history="1">
            <w:r w:rsidR="0059544E" w:rsidRPr="00F03AC7">
              <w:rPr>
                <w:rStyle w:val="Hiperpovezava"/>
                <w:noProof/>
              </w:rPr>
              <w:t>4</w:t>
            </w:r>
            <w:r w:rsidR="0059544E">
              <w:rPr>
                <w:rFonts w:asciiTheme="minorHAnsi" w:eastAsiaTheme="minorEastAsia" w:hAnsiTheme="minorHAnsi"/>
                <w:b w:val="0"/>
                <w:noProof/>
                <w:sz w:val="22"/>
                <w:lang w:eastAsia="sl-SI"/>
              </w:rPr>
              <w:tab/>
            </w:r>
            <w:r w:rsidR="0059544E" w:rsidRPr="00F03AC7">
              <w:rPr>
                <w:rStyle w:val="Hiperpovezava"/>
                <w:noProof/>
              </w:rPr>
              <w:t>SODELOVANJE Z DRUGIMI DRŽAVNIMI ORGANI PRI ODKRIVANJU, PREISKOVANJU IN PREGONU PRANJA DENARJA</w:t>
            </w:r>
            <w:r w:rsidR="0059544E">
              <w:rPr>
                <w:noProof/>
                <w:webHidden/>
              </w:rPr>
              <w:tab/>
            </w:r>
            <w:r w:rsidR="0059544E">
              <w:rPr>
                <w:noProof/>
                <w:webHidden/>
              </w:rPr>
              <w:fldChar w:fldCharType="begin"/>
            </w:r>
            <w:r w:rsidR="0059544E">
              <w:rPr>
                <w:noProof/>
                <w:webHidden/>
              </w:rPr>
              <w:instrText xml:space="preserve"> PAGEREF _Toc119581704 \h </w:instrText>
            </w:r>
            <w:r w:rsidR="0059544E">
              <w:rPr>
                <w:noProof/>
                <w:webHidden/>
              </w:rPr>
            </w:r>
            <w:r w:rsidR="0059544E">
              <w:rPr>
                <w:noProof/>
                <w:webHidden/>
              </w:rPr>
              <w:fldChar w:fldCharType="separate"/>
            </w:r>
            <w:r w:rsidR="00EB043F">
              <w:rPr>
                <w:noProof/>
                <w:webHidden/>
              </w:rPr>
              <w:t>30</w:t>
            </w:r>
            <w:r w:rsidR="0059544E">
              <w:rPr>
                <w:noProof/>
                <w:webHidden/>
              </w:rPr>
              <w:fldChar w:fldCharType="end"/>
            </w:r>
          </w:hyperlink>
        </w:p>
        <w:p w14:paraId="62BBCDD6" w14:textId="31E24A39" w:rsidR="0059544E" w:rsidRDefault="00185B52">
          <w:pPr>
            <w:pStyle w:val="Kazalovsebine2"/>
            <w:tabs>
              <w:tab w:val="right" w:leader="dot" w:pos="9062"/>
            </w:tabs>
            <w:rPr>
              <w:rFonts w:asciiTheme="minorHAnsi" w:eastAsiaTheme="minorEastAsia" w:hAnsiTheme="minorHAnsi"/>
              <w:noProof/>
              <w:sz w:val="22"/>
              <w:lang w:eastAsia="sl-SI"/>
            </w:rPr>
          </w:pPr>
          <w:hyperlink w:anchor="_Toc119581705" w:history="1">
            <w:r w:rsidR="0059544E" w:rsidRPr="00F03AC7">
              <w:rPr>
                <w:rStyle w:val="Hiperpovezava"/>
                <w:noProof/>
              </w:rPr>
              <w:t>4.1</w:t>
            </w:r>
            <w:r w:rsidR="0059544E">
              <w:rPr>
                <w:rFonts w:asciiTheme="minorHAnsi" w:eastAsiaTheme="minorEastAsia" w:hAnsiTheme="minorHAnsi"/>
                <w:noProof/>
                <w:sz w:val="22"/>
                <w:lang w:eastAsia="sl-SI"/>
              </w:rPr>
              <w:tab/>
            </w:r>
            <w:r w:rsidR="0059544E" w:rsidRPr="00F03AC7">
              <w:rPr>
                <w:rStyle w:val="Hiperpovezava"/>
                <w:noProof/>
              </w:rPr>
              <w:t>KAZNIVA DEJANJA IN IZVAJANJE 121. ČLENA ZPPDFT-1</w:t>
            </w:r>
            <w:r w:rsidR="0059544E">
              <w:rPr>
                <w:noProof/>
                <w:webHidden/>
              </w:rPr>
              <w:tab/>
            </w:r>
            <w:r w:rsidR="0059544E">
              <w:rPr>
                <w:noProof/>
                <w:webHidden/>
              </w:rPr>
              <w:fldChar w:fldCharType="begin"/>
            </w:r>
            <w:r w:rsidR="0059544E">
              <w:rPr>
                <w:noProof/>
                <w:webHidden/>
              </w:rPr>
              <w:instrText xml:space="preserve"> PAGEREF _Toc119581705 \h </w:instrText>
            </w:r>
            <w:r w:rsidR="0059544E">
              <w:rPr>
                <w:noProof/>
                <w:webHidden/>
              </w:rPr>
            </w:r>
            <w:r w:rsidR="0059544E">
              <w:rPr>
                <w:noProof/>
                <w:webHidden/>
              </w:rPr>
              <w:fldChar w:fldCharType="separate"/>
            </w:r>
            <w:r w:rsidR="00EB043F">
              <w:rPr>
                <w:noProof/>
                <w:webHidden/>
              </w:rPr>
              <w:t>30</w:t>
            </w:r>
            <w:r w:rsidR="0059544E">
              <w:rPr>
                <w:noProof/>
                <w:webHidden/>
              </w:rPr>
              <w:fldChar w:fldCharType="end"/>
            </w:r>
          </w:hyperlink>
        </w:p>
        <w:p w14:paraId="59D4633B" w14:textId="21AAF588" w:rsidR="0059544E" w:rsidRDefault="00185B52">
          <w:pPr>
            <w:pStyle w:val="Kazalovsebine3"/>
            <w:tabs>
              <w:tab w:val="left" w:pos="1134"/>
            </w:tabs>
            <w:rPr>
              <w:rFonts w:asciiTheme="minorHAnsi" w:eastAsiaTheme="minorEastAsia" w:hAnsiTheme="minorHAnsi"/>
              <w:noProof/>
              <w:sz w:val="22"/>
              <w:lang w:eastAsia="sl-SI"/>
            </w:rPr>
          </w:pPr>
          <w:hyperlink w:anchor="_Toc119581706" w:history="1">
            <w:r w:rsidR="0059544E" w:rsidRPr="00F03AC7">
              <w:rPr>
                <w:rStyle w:val="Hiperpovezava"/>
                <w:noProof/>
              </w:rPr>
              <w:t>4.1.1</w:t>
            </w:r>
            <w:r w:rsidR="0059544E">
              <w:rPr>
                <w:rFonts w:asciiTheme="minorHAnsi" w:eastAsiaTheme="minorEastAsia" w:hAnsiTheme="minorHAnsi"/>
                <w:noProof/>
                <w:sz w:val="22"/>
                <w:lang w:eastAsia="sl-SI"/>
              </w:rPr>
              <w:tab/>
            </w:r>
            <w:r w:rsidR="0059544E" w:rsidRPr="00F03AC7">
              <w:rPr>
                <w:rStyle w:val="Hiperpovezava"/>
                <w:noProof/>
              </w:rPr>
              <w:t>Statistični podatki policije o kaznivih dejanjih pranja denarja</w:t>
            </w:r>
            <w:r w:rsidR="0059544E">
              <w:rPr>
                <w:noProof/>
                <w:webHidden/>
              </w:rPr>
              <w:tab/>
            </w:r>
            <w:r w:rsidR="0059544E">
              <w:rPr>
                <w:noProof/>
                <w:webHidden/>
              </w:rPr>
              <w:fldChar w:fldCharType="begin"/>
            </w:r>
            <w:r w:rsidR="0059544E">
              <w:rPr>
                <w:noProof/>
                <w:webHidden/>
              </w:rPr>
              <w:instrText xml:space="preserve"> PAGEREF _Toc119581706 \h </w:instrText>
            </w:r>
            <w:r w:rsidR="0059544E">
              <w:rPr>
                <w:noProof/>
                <w:webHidden/>
              </w:rPr>
            </w:r>
            <w:r w:rsidR="0059544E">
              <w:rPr>
                <w:noProof/>
                <w:webHidden/>
              </w:rPr>
              <w:fldChar w:fldCharType="separate"/>
            </w:r>
            <w:r w:rsidR="00EB043F">
              <w:rPr>
                <w:noProof/>
                <w:webHidden/>
              </w:rPr>
              <w:t>31</w:t>
            </w:r>
            <w:r w:rsidR="0059544E">
              <w:rPr>
                <w:noProof/>
                <w:webHidden/>
              </w:rPr>
              <w:fldChar w:fldCharType="end"/>
            </w:r>
          </w:hyperlink>
        </w:p>
        <w:p w14:paraId="43EFBC21" w14:textId="24658BF4" w:rsidR="0059544E" w:rsidRDefault="00185B52">
          <w:pPr>
            <w:pStyle w:val="Kazalovsebine3"/>
            <w:tabs>
              <w:tab w:val="left" w:pos="1134"/>
            </w:tabs>
            <w:rPr>
              <w:rFonts w:asciiTheme="minorHAnsi" w:eastAsiaTheme="minorEastAsia" w:hAnsiTheme="minorHAnsi"/>
              <w:noProof/>
              <w:sz w:val="22"/>
              <w:lang w:eastAsia="sl-SI"/>
            </w:rPr>
          </w:pPr>
          <w:hyperlink w:anchor="_Toc119581707" w:history="1">
            <w:r w:rsidR="0059544E" w:rsidRPr="00F03AC7">
              <w:rPr>
                <w:rStyle w:val="Hiperpovezava"/>
                <w:noProof/>
              </w:rPr>
              <w:t>4.1.2</w:t>
            </w:r>
            <w:r w:rsidR="0059544E">
              <w:rPr>
                <w:rFonts w:asciiTheme="minorHAnsi" w:eastAsiaTheme="minorEastAsia" w:hAnsiTheme="minorHAnsi"/>
                <w:noProof/>
                <w:sz w:val="22"/>
                <w:lang w:eastAsia="sl-SI"/>
              </w:rPr>
              <w:tab/>
            </w:r>
            <w:r w:rsidR="0059544E" w:rsidRPr="00F03AC7">
              <w:rPr>
                <w:rStyle w:val="Hiperpovezava"/>
                <w:noProof/>
              </w:rPr>
              <w:t>Statistični podatki tožilstev o kaznivih dejanjih pranja denarja</w:t>
            </w:r>
            <w:r w:rsidR="0059544E">
              <w:rPr>
                <w:noProof/>
                <w:webHidden/>
              </w:rPr>
              <w:tab/>
            </w:r>
            <w:r w:rsidR="0059544E">
              <w:rPr>
                <w:noProof/>
                <w:webHidden/>
              </w:rPr>
              <w:fldChar w:fldCharType="begin"/>
            </w:r>
            <w:r w:rsidR="0059544E">
              <w:rPr>
                <w:noProof/>
                <w:webHidden/>
              </w:rPr>
              <w:instrText xml:space="preserve"> PAGEREF _Toc119581707 \h </w:instrText>
            </w:r>
            <w:r w:rsidR="0059544E">
              <w:rPr>
                <w:noProof/>
                <w:webHidden/>
              </w:rPr>
            </w:r>
            <w:r w:rsidR="0059544E">
              <w:rPr>
                <w:noProof/>
                <w:webHidden/>
              </w:rPr>
              <w:fldChar w:fldCharType="separate"/>
            </w:r>
            <w:r w:rsidR="00EB043F">
              <w:rPr>
                <w:noProof/>
                <w:webHidden/>
              </w:rPr>
              <w:t>31</w:t>
            </w:r>
            <w:r w:rsidR="0059544E">
              <w:rPr>
                <w:noProof/>
                <w:webHidden/>
              </w:rPr>
              <w:fldChar w:fldCharType="end"/>
            </w:r>
          </w:hyperlink>
        </w:p>
        <w:p w14:paraId="5F1114D4" w14:textId="705CD186" w:rsidR="0059544E" w:rsidRDefault="00185B52">
          <w:pPr>
            <w:pStyle w:val="Kazalovsebine3"/>
            <w:tabs>
              <w:tab w:val="left" w:pos="1134"/>
            </w:tabs>
            <w:rPr>
              <w:rFonts w:asciiTheme="minorHAnsi" w:eastAsiaTheme="minorEastAsia" w:hAnsiTheme="minorHAnsi"/>
              <w:noProof/>
              <w:sz w:val="22"/>
              <w:lang w:eastAsia="sl-SI"/>
            </w:rPr>
          </w:pPr>
          <w:hyperlink w:anchor="_Toc119581708" w:history="1">
            <w:r w:rsidR="0059544E" w:rsidRPr="00F03AC7">
              <w:rPr>
                <w:rStyle w:val="Hiperpovezava"/>
                <w:noProof/>
              </w:rPr>
              <w:t>4.1.3</w:t>
            </w:r>
            <w:r w:rsidR="0059544E">
              <w:rPr>
                <w:rFonts w:asciiTheme="minorHAnsi" w:eastAsiaTheme="minorEastAsia" w:hAnsiTheme="minorHAnsi"/>
                <w:noProof/>
                <w:sz w:val="22"/>
                <w:lang w:eastAsia="sl-SI"/>
              </w:rPr>
              <w:tab/>
            </w:r>
            <w:r w:rsidR="0059544E" w:rsidRPr="00F03AC7">
              <w:rPr>
                <w:rStyle w:val="Hiperpovezava"/>
                <w:noProof/>
              </w:rPr>
              <w:t>Kazenske ovadbe in postopki, povezani s pranjem denarja, glede na izvor začetnega podatka</w:t>
            </w:r>
            <w:r w:rsidR="0059544E">
              <w:rPr>
                <w:noProof/>
                <w:webHidden/>
              </w:rPr>
              <w:tab/>
            </w:r>
            <w:r w:rsidR="0059544E">
              <w:rPr>
                <w:noProof/>
                <w:webHidden/>
              </w:rPr>
              <w:fldChar w:fldCharType="begin"/>
            </w:r>
            <w:r w:rsidR="0059544E">
              <w:rPr>
                <w:noProof/>
                <w:webHidden/>
              </w:rPr>
              <w:instrText xml:space="preserve"> PAGEREF _Toc119581708 \h </w:instrText>
            </w:r>
            <w:r w:rsidR="0059544E">
              <w:rPr>
                <w:noProof/>
                <w:webHidden/>
              </w:rPr>
            </w:r>
            <w:r w:rsidR="0059544E">
              <w:rPr>
                <w:noProof/>
                <w:webHidden/>
              </w:rPr>
              <w:fldChar w:fldCharType="separate"/>
            </w:r>
            <w:r w:rsidR="00EB043F">
              <w:rPr>
                <w:noProof/>
                <w:webHidden/>
              </w:rPr>
              <w:t>32</w:t>
            </w:r>
            <w:r w:rsidR="0059544E">
              <w:rPr>
                <w:noProof/>
                <w:webHidden/>
              </w:rPr>
              <w:fldChar w:fldCharType="end"/>
            </w:r>
          </w:hyperlink>
        </w:p>
        <w:p w14:paraId="2D58F6DD" w14:textId="552E5886" w:rsidR="0059544E" w:rsidRDefault="00185B52">
          <w:pPr>
            <w:pStyle w:val="Kazalovsebine3"/>
            <w:tabs>
              <w:tab w:val="left" w:pos="1134"/>
            </w:tabs>
            <w:rPr>
              <w:rFonts w:asciiTheme="minorHAnsi" w:eastAsiaTheme="minorEastAsia" w:hAnsiTheme="minorHAnsi"/>
              <w:noProof/>
              <w:sz w:val="22"/>
              <w:lang w:eastAsia="sl-SI"/>
            </w:rPr>
          </w:pPr>
          <w:hyperlink w:anchor="_Toc119581709" w:history="1">
            <w:r w:rsidR="0059544E" w:rsidRPr="00F03AC7">
              <w:rPr>
                <w:rStyle w:val="Hiperpovezava"/>
                <w:noProof/>
              </w:rPr>
              <w:t>4.1.4</w:t>
            </w:r>
            <w:r w:rsidR="0059544E">
              <w:rPr>
                <w:rFonts w:asciiTheme="minorHAnsi" w:eastAsiaTheme="minorEastAsia" w:hAnsiTheme="minorHAnsi"/>
                <w:noProof/>
                <w:sz w:val="22"/>
                <w:lang w:eastAsia="sl-SI"/>
              </w:rPr>
              <w:tab/>
            </w:r>
            <w:r w:rsidR="0059544E" w:rsidRPr="00F03AC7">
              <w:rPr>
                <w:rStyle w:val="Hiperpovezava"/>
                <w:noProof/>
              </w:rPr>
              <w:t>Statistični podatki o predkazenskih in kazenskih postopkih za kaznivo dejanje pranja denarja</w:t>
            </w:r>
            <w:r w:rsidR="0059544E">
              <w:rPr>
                <w:noProof/>
                <w:webHidden/>
              </w:rPr>
              <w:tab/>
            </w:r>
            <w:r w:rsidR="0059544E">
              <w:rPr>
                <w:noProof/>
                <w:webHidden/>
              </w:rPr>
              <w:fldChar w:fldCharType="begin"/>
            </w:r>
            <w:r w:rsidR="0059544E">
              <w:rPr>
                <w:noProof/>
                <w:webHidden/>
              </w:rPr>
              <w:instrText xml:space="preserve"> PAGEREF _Toc119581709 \h </w:instrText>
            </w:r>
            <w:r w:rsidR="0059544E">
              <w:rPr>
                <w:noProof/>
                <w:webHidden/>
              </w:rPr>
            </w:r>
            <w:r w:rsidR="0059544E">
              <w:rPr>
                <w:noProof/>
                <w:webHidden/>
              </w:rPr>
              <w:fldChar w:fldCharType="separate"/>
            </w:r>
            <w:r w:rsidR="00EB043F">
              <w:rPr>
                <w:noProof/>
                <w:webHidden/>
              </w:rPr>
              <w:t>35</w:t>
            </w:r>
            <w:r w:rsidR="0059544E">
              <w:rPr>
                <w:noProof/>
                <w:webHidden/>
              </w:rPr>
              <w:fldChar w:fldCharType="end"/>
            </w:r>
          </w:hyperlink>
        </w:p>
        <w:p w14:paraId="49033AB3" w14:textId="24922C24" w:rsidR="0059544E" w:rsidRDefault="00185B52">
          <w:pPr>
            <w:pStyle w:val="Kazalovsebine3"/>
            <w:tabs>
              <w:tab w:val="left" w:pos="1134"/>
            </w:tabs>
            <w:rPr>
              <w:rFonts w:asciiTheme="minorHAnsi" w:eastAsiaTheme="minorEastAsia" w:hAnsiTheme="minorHAnsi"/>
              <w:noProof/>
              <w:sz w:val="22"/>
              <w:lang w:eastAsia="sl-SI"/>
            </w:rPr>
          </w:pPr>
          <w:hyperlink w:anchor="_Toc119581710" w:history="1">
            <w:r w:rsidR="0059544E" w:rsidRPr="00F03AC7">
              <w:rPr>
                <w:rStyle w:val="Hiperpovezava"/>
                <w:noProof/>
              </w:rPr>
              <w:t>4.1.5</w:t>
            </w:r>
            <w:r w:rsidR="0059544E">
              <w:rPr>
                <w:rFonts w:asciiTheme="minorHAnsi" w:eastAsiaTheme="minorEastAsia" w:hAnsiTheme="minorHAnsi"/>
                <w:noProof/>
                <w:sz w:val="22"/>
                <w:lang w:eastAsia="sl-SI"/>
              </w:rPr>
              <w:tab/>
            </w:r>
            <w:r w:rsidR="0059544E" w:rsidRPr="00F03AC7">
              <w:rPr>
                <w:rStyle w:val="Hiperpovezava"/>
                <w:noProof/>
              </w:rPr>
              <w:t>Podatki o izrečenih pravnomočnih sodbah zaradi storitve kaznivega dejanja pranja denarja po 245. členu KZ-1 in 252. členu KZ</w:t>
            </w:r>
            <w:r w:rsidR="0059544E">
              <w:rPr>
                <w:noProof/>
                <w:webHidden/>
              </w:rPr>
              <w:tab/>
            </w:r>
            <w:r w:rsidR="0059544E">
              <w:rPr>
                <w:noProof/>
                <w:webHidden/>
              </w:rPr>
              <w:fldChar w:fldCharType="begin"/>
            </w:r>
            <w:r w:rsidR="0059544E">
              <w:rPr>
                <w:noProof/>
                <w:webHidden/>
              </w:rPr>
              <w:instrText xml:space="preserve"> PAGEREF _Toc119581710 \h </w:instrText>
            </w:r>
            <w:r w:rsidR="0059544E">
              <w:rPr>
                <w:noProof/>
                <w:webHidden/>
              </w:rPr>
            </w:r>
            <w:r w:rsidR="0059544E">
              <w:rPr>
                <w:noProof/>
                <w:webHidden/>
              </w:rPr>
              <w:fldChar w:fldCharType="separate"/>
            </w:r>
            <w:r w:rsidR="00EB043F">
              <w:rPr>
                <w:noProof/>
                <w:webHidden/>
              </w:rPr>
              <w:t>37</w:t>
            </w:r>
            <w:r w:rsidR="0059544E">
              <w:rPr>
                <w:noProof/>
                <w:webHidden/>
              </w:rPr>
              <w:fldChar w:fldCharType="end"/>
            </w:r>
          </w:hyperlink>
        </w:p>
        <w:p w14:paraId="1BEFCAA2" w14:textId="4363876E" w:rsidR="0059544E" w:rsidRDefault="00185B52">
          <w:pPr>
            <w:pStyle w:val="Kazalovsebine2"/>
            <w:tabs>
              <w:tab w:val="right" w:leader="dot" w:pos="9062"/>
            </w:tabs>
            <w:rPr>
              <w:rFonts w:asciiTheme="minorHAnsi" w:eastAsiaTheme="minorEastAsia" w:hAnsiTheme="minorHAnsi"/>
              <w:noProof/>
              <w:sz w:val="22"/>
              <w:lang w:eastAsia="sl-SI"/>
            </w:rPr>
          </w:pPr>
          <w:hyperlink w:anchor="_Toc119581711" w:history="1">
            <w:r w:rsidR="0059544E" w:rsidRPr="00F03AC7">
              <w:rPr>
                <w:rStyle w:val="Hiperpovezava"/>
                <w:noProof/>
              </w:rPr>
              <w:t>4.2</w:t>
            </w:r>
            <w:r w:rsidR="0059544E">
              <w:rPr>
                <w:rFonts w:asciiTheme="minorHAnsi" w:eastAsiaTheme="minorEastAsia" w:hAnsiTheme="minorHAnsi"/>
                <w:noProof/>
                <w:sz w:val="22"/>
                <w:lang w:eastAsia="sl-SI"/>
              </w:rPr>
              <w:tab/>
            </w:r>
            <w:r w:rsidR="0059544E" w:rsidRPr="00F03AC7">
              <w:rPr>
                <w:rStyle w:val="Hiperpovezava"/>
                <w:noProof/>
              </w:rPr>
              <w:t>PREDLOGI UKREPOV</w:t>
            </w:r>
            <w:r w:rsidR="0059544E">
              <w:rPr>
                <w:noProof/>
                <w:webHidden/>
              </w:rPr>
              <w:tab/>
            </w:r>
            <w:r w:rsidR="0059544E">
              <w:rPr>
                <w:noProof/>
                <w:webHidden/>
              </w:rPr>
              <w:fldChar w:fldCharType="begin"/>
            </w:r>
            <w:r w:rsidR="0059544E">
              <w:rPr>
                <w:noProof/>
                <w:webHidden/>
              </w:rPr>
              <w:instrText xml:space="preserve"> PAGEREF _Toc119581711 \h </w:instrText>
            </w:r>
            <w:r w:rsidR="0059544E">
              <w:rPr>
                <w:noProof/>
                <w:webHidden/>
              </w:rPr>
            </w:r>
            <w:r w:rsidR="0059544E">
              <w:rPr>
                <w:noProof/>
                <w:webHidden/>
              </w:rPr>
              <w:fldChar w:fldCharType="separate"/>
            </w:r>
            <w:r w:rsidR="00EB043F">
              <w:rPr>
                <w:noProof/>
                <w:webHidden/>
              </w:rPr>
              <w:t>38</w:t>
            </w:r>
            <w:r w:rsidR="0059544E">
              <w:rPr>
                <w:noProof/>
                <w:webHidden/>
              </w:rPr>
              <w:fldChar w:fldCharType="end"/>
            </w:r>
          </w:hyperlink>
        </w:p>
        <w:p w14:paraId="593D6804" w14:textId="63DCAF03" w:rsidR="0059544E" w:rsidRDefault="00185B52">
          <w:pPr>
            <w:pStyle w:val="Kazalovsebine1"/>
            <w:tabs>
              <w:tab w:val="right" w:leader="dot" w:pos="9062"/>
            </w:tabs>
            <w:rPr>
              <w:rFonts w:asciiTheme="minorHAnsi" w:eastAsiaTheme="minorEastAsia" w:hAnsiTheme="minorHAnsi"/>
              <w:b w:val="0"/>
              <w:noProof/>
              <w:sz w:val="22"/>
              <w:lang w:eastAsia="sl-SI"/>
            </w:rPr>
          </w:pPr>
          <w:hyperlink w:anchor="_Toc119581712" w:history="1">
            <w:r w:rsidR="0059544E" w:rsidRPr="00F03AC7">
              <w:rPr>
                <w:rStyle w:val="Hiperpovezava"/>
                <w:noProof/>
              </w:rPr>
              <w:t>5</w:t>
            </w:r>
            <w:r w:rsidR="0059544E">
              <w:rPr>
                <w:rFonts w:asciiTheme="minorHAnsi" w:eastAsiaTheme="minorEastAsia" w:hAnsiTheme="minorHAnsi"/>
                <w:b w:val="0"/>
                <w:noProof/>
                <w:sz w:val="22"/>
                <w:lang w:eastAsia="sl-SI"/>
              </w:rPr>
              <w:tab/>
            </w:r>
            <w:r w:rsidR="0059544E" w:rsidRPr="00F03AC7">
              <w:rPr>
                <w:rStyle w:val="Hiperpovezava"/>
                <w:noProof/>
              </w:rPr>
              <w:t>ZAKONODAJA IN DRUGE PRAVNE ZADEVE</w:t>
            </w:r>
            <w:r w:rsidR="0059544E">
              <w:rPr>
                <w:noProof/>
                <w:webHidden/>
              </w:rPr>
              <w:tab/>
            </w:r>
            <w:r w:rsidR="0059544E">
              <w:rPr>
                <w:noProof/>
                <w:webHidden/>
              </w:rPr>
              <w:fldChar w:fldCharType="begin"/>
            </w:r>
            <w:r w:rsidR="0059544E">
              <w:rPr>
                <w:noProof/>
                <w:webHidden/>
              </w:rPr>
              <w:instrText xml:space="preserve"> PAGEREF _Toc119581712 \h </w:instrText>
            </w:r>
            <w:r w:rsidR="0059544E">
              <w:rPr>
                <w:noProof/>
                <w:webHidden/>
              </w:rPr>
            </w:r>
            <w:r w:rsidR="0059544E">
              <w:rPr>
                <w:noProof/>
                <w:webHidden/>
              </w:rPr>
              <w:fldChar w:fldCharType="separate"/>
            </w:r>
            <w:r w:rsidR="00EB043F">
              <w:rPr>
                <w:noProof/>
                <w:webHidden/>
              </w:rPr>
              <w:t>40</w:t>
            </w:r>
            <w:r w:rsidR="0059544E">
              <w:rPr>
                <w:noProof/>
                <w:webHidden/>
              </w:rPr>
              <w:fldChar w:fldCharType="end"/>
            </w:r>
          </w:hyperlink>
        </w:p>
        <w:p w14:paraId="23CC4004" w14:textId="1B2670A4" w:rsidR="0059544E" w:rsidRDefault="00185B52">
          <w:pPr>
            <w:pStyle w:val="Kazalovsebine2"/>
            <w:tabs>
              <w:tab w:val="right" w:leader="dot" w:pos="9062"/>
            </w:tabs>
            <w:rPr>
              <w:rFonts w:asciiTheme="minorHAnsi" w:eastAsiaTheme="minorEastAsia" w:hAnsiTheme="minorHAnsi"/>
              <w:noProof/>
              <w:sz w:val="22"/>
              <w:lang w:eastAsia="sl-SI"/>
            </w:rPr>
          </w:pPr>
          <w:hyperlink w:anchor="_Toc119581713" w:history="1">
            <w:r w:rsidR="0059544E" w:rsidRPr="00F03AC7">
              <w:rPr>
                <w:rStyle w:val="Hiperpovezava"/>
                <w:noProof/>
              </w:rPr>
              <w:t>5.1</w:t>
            </w:r>
            <w:r w:rsidR="0059544E">
              <w:rPr>
                <w:rFonts w:asciiTheme="minorHAnsi" w:eastAsiaTheme="minorEastAsia" w:hAnsiTheme="minorHAnsi"/>
                <w:noProof/>
                <w:sz w:val="22"/>
                <w:lang w:eastAsia="sl-SI"/>
              </w:rPr>
              <w:tab/>
            </w:r>
            <w:r w:rsidR="0059544E" w:rsidRPr="00F03AC7">
              <w:rPr>
                <w:rStyle w:val="Hiperpovezava"/>
                <w:noProof/>
              </w:rPr>
              <w:t>ZAKONODAJA IN POMOČ PRI NJENEM IZVAJANJU</w:t>
            </w:r>
            <w:r w:rsidR="0059544E">
              <w:rPr>
                <w:noProof/>
                <w:webHidden/>
              </w:rPr>
              <w:tab/>
            </w:r>
            <w:r w:rsidR="0059544E">
              <w:rPr>
                <w:noProof/>
                <w:webHidden/>
              </w:rPr>
              <w:fldChar w:fldCharType="begin"/>
            </w:r>
            <w:r w:rsidR="0059544E">
              <w:rPr>
                <w:noProof/>
                <w:webHidden/>
              </w:rPr>
              <w:instrText xml:space="preserve"> PAGEREF _Toc119581713 \h </w:instrText>
            </w:r>
            <w:r w:rsidR="0059544E">
              <w:rPr>
                <w:noProof/>
                <w:webHidden/>
              </w:rPr>
            </w:r>
            <w:r w:rsidR="0059544E">
              <w:rPr>
                <w:noProof/>
                <w:webHidden/>
              </w:rPr>
              <w:fldChar w:fldCharType="separate"/>
            </w:r>
            <w:r w:rsidR="00EB043F">
              <w:rPr>
                <w:noProof/>
                <w:webHidden/>
              </w:rPr>
              <w:t>40</w:t>
            </w:r>
            <w:r w:rsidR="0059544E">
              <w:rPr>
                <w:noProof/>
                <w:webHidden/>
              </w:rPr>
              <w:fldChar w:fldCharType="end"/>
            </w:r>
          </w:hyperlink>
        </w:p>
        <w:p w14:paraId="6DC095C5" w14:textId="5A33C345" w:rsidR="0059544E" w:rsidRDefault="00185B52">
          <w:pPr>
            <w:pStyle w:val="Kazalovsebine3"/>
            <w:tabs>
              <w:tab w:val="left" w:pos="1134"/>
            </w:tabs>
            <w:rPr>
              <w:rFonts w:asciiTheme="minorHAnsi" w:eastAsiaTheme="minorEastAsia" w:hAnsiTheme="minorHAnsi"/>
              <w:noProof/>
              <w:sz w:val="22"/>
              <w:lang w:eastAsia="sl-SI"/>
            </w:rPr>
          </w:pPr>
          <w:hyperlink w:anchor="_Toc119581714" w:history="1">
            <w:r w:rsidR="0059544E" w:rsidRPr="00F03AC7">
              <w:rPr>
                <w:rStyle w:val="Hiperpovezava"/>
                <w:noProof/>
              </w:rPr>
              <w:t>5.1.1</w:t>
            </w:r>
            <w:r w:rsidR="0059544E">
              <w:rPr>
                <w:rFonts w:asciiTheme="minorHAnsi" w:eastAsiaTheme="minorEastAsia" w:hAnsiTheme="minorHAnsi"/>
                <w:noProof/>
                <w:sz w:val="22"/>
                <w:lang w:eastAsia="sl-SI"/>
              </w:rPr>
              <w:tab/>
            </w:r>
            <w:r w:rsidR="0059544E" w:rsidRPr="00F03AC7">
              <w:rPr>
                <w:rStyle w:val="Hiperpovezava"/>
                <w:noProof/>
              </w:rPr>
              <w:t>Priprava osnutka Zakona o preprečevanju pranja denarja in financiranja terorizma (ZPPDFT-2)</w:t>
            </w:r>
            <w:r w:rsidR="0059544E">
              <w:rPr>
                <w:noProof/>
                <w:webHidden/>
              </w:rPr>
              <w:tab/>
            </w:r>
            <w:r w:rsidR="0059544E">
              <w:rPr>
                <w:noProof/>
                <w:webHidden/>
              </w:rPr>
              <w:fldChar w:fldCharType="begin"/>
            </w:r>
            <w:r w:rsidR="0059544E">
              <w:rPr>
                <w:noProof/>
                <w:webHidden/>
              </w:rPr>
              <w:instrText xml:space="preserve"> PAGEREF _Toc119581714 \h </w:instrText>
            </w:r>
            <w:r w:rsidR="0059544E">
              <w:rPr>
                <w:noProof/>
                <w:webHidden/>
              </w:rPr>
            </w:r>
            <w:r w:rsidR="0059544E">
              <w:rPr>
                <w:noProof/>
                <w:webHidden/>
              </w:rPr>
              <w:fldChar w:fldCharType="separate"/>
            </w:r>
            <w:r w:rsidR="00EB043F">
              <w:rPr>
                <w:noProof/>
                <w:webHidden/>
              </w:rPr>
              <w:t>41</w:t>
            </w:r>
            <w:r w:rsidR="0059544E">
              <w:rPr>
                <w:noProof/>
                <w:webHidden/>
              </w:rPr>
              <w:fldChar w:fldCharType="end"/>
            </w:r>
          </w:hyperlink>
        </w:p>
        <w:p w14:paraId="103E88E0" w14:textId="11883507" w:rsidR="0059544E" w:rsidRDefault="00185B52">
          <w:pPr>
            <w:pStyle w:val="Kazalovsebine3"/>
            <w:tabs>
              <w:tab w:val="left" w:pos="1134"/>
            </w:tabs>
            <w:rPr>
              <w:rFonts w:asciiTheme="minorHAnsi" w:eastAsiaTheme="minorEastAsia" w:hAnsiTheme="minorHAnsi"/>
              <w:noProof/>
              <w:sz w:val="22"/>
              <w:lang w:eastAsia="sl-SI"/>
            </w:rPr>
          </w:pPr>
          <w:hyperlink w:anchor="_Toc119581715" w:history="1">
            <w:r w:rsidR="0059544E" w:rsidRPr="00F03AC7">
              <w:rPr>
                <w:rStyle w:val="Hiperpovezava"/>
                <w:noProof/>
              </w:rPr>
              <w:t>5.1.2</w:t>
            </w:r>
            <w:r w:rsidR="0059544E">
              <w:rPr>
                <w:rFonts w:asciiTheme="minorHAnsi" w:eastAsiaTheme="minorEastAsia" w:hAnsiTheme="minorHAnsi"/>
                <w:noProof/>
                <w:sz w:val="22"/>
                <w:lang w:eastAsia="sl-SI"/>
              </w:rPr>
              <w:tab/>
            </w:r>
            <w:r w:rsidR="0059544E" w:rsidRPr="00F03AC7">
              <w:rPr>
                <w:rStyle w:val="Hiperpovezava"/>
                <w:noProof/>
              </w:rPr>
              <w:t>Priprava podzakonskih predpisov</w:t>
            </w:r>
            <w:r w:rsidR="0059544E">
              <w:rPr>
                <w:noProof/>
                <w:webHidden/>
              </w:rPr>
              <w:tab/>
            </w:r>
            <w:r w:rsidR="0059544E">
              <w:rPr>
                <w:noProof/>
                <w:webHidden/>
              </w:rPr>
              <w:fldChar w:fldCharType="begin"/>
            </w:r>
            <w:r w:rsidR="0059544E">
              <w:rPr>
                <w:noProof/>
                <w:webHidden/>
              </w:rPr>
              <w:instrText xml:space="preserve"> PAGEREF _Toc119581715 \h </w:instrText>
            </w:r>
            <w:r w:rsidR="0059544E">
              <w:rPr>
                <w:noProof/>
                <w:webHidden/>
              </w:rPr>
            </w:r>
            <w:r w:rsidR="0059544E">
              <w:rPr>
                <w:noProof/>
                <w:webHidden/>
              </w:rPr>
              <w:fldChar w:fldCharType="separate"/>
            </w:r>
            <w:r w:rsidR="00EB043F">
              <w:rPr>
                <w:noProof/>
                <w:webHidden/>
              </w:rPr>
              <w:t>42</w:t>
            </w:r>
            <w:r w:rsidR="0059544E">
              <w:rPr>
                <w:noProof/>
                <w:webHidden/>
              </w:rPr>
              <w:fldChar w:fldCharType="end"/>
            </w:r>
          </w:hyperlink>
        </w:p>
        <w:p w14:paraId="4A15B8D7" w14:textId="269734AE" w:rsidR="0059544E" w:rsidRDefault="00185B52">
          <w:pPr>
            <w:pStyle w:val="Kazalovsebine3"/>
            <w:tabs>
              <w:tab w:val="left" w:pos="1134"/>
            </w:tabs>
            <w:rPr>
              <w:rFonts w:asciiTheme="minorHAnsi" w:eastAsiaTheme="minorEastAsia" w:hAnsiTheme="minorHAnsi"/>
              <w:noProof/>
              <w:sz w:val="22"/>
              <w:lang w:eastAsia="sl-SI"/>
            </w:rPr>
          </w:pPr>
          <w:hyperlink w:anchor="_Toc119581716" w:history="1">
            <w:r w:rsidR="0059544E" w:rsidRPr="00F03AC7">
              <w:rPr>
                <w:rStyle w:val="Hiperpovezava"/>
                <w:noProof/>
              </w:rPr>
              <w:t>5.1.3</w:t>
            </w:r>
            <w:r w:rsidR="0059544E">
              <w:rPr>
                <w:rFonts w:asciiTheme="minorHAnsi" w:eastAsiaTheme="minorEastAsia" w:hAnsiTheme="minorHAnsi"/>
                <w:noProof/>
                <w:sz w:val="22"/>
                <w:lang w:eastAsia="sl-SI"/>
              </w:rPr>
              <w:tab/>
            </w:r>
            <w:r w:rsidR="0059544E" w:rsidRPr="00F03AC7">
              <w:rPr>
                <w:rStyle w:val="Hiperpovezava"/>
                <w:noProof/>
              </w:rPr>
              <w:t>Priprava predloga odgovora na tehnični opomin Evropske komisije</w:t>
            </w:r>
            <w:r w:rsidR="0059544E">
              <w:rPr>
                <w:noProof/>
                <w:webHidden/>
              </w:rPr>
              <w:tab/>
            </w:r>
            <w:r w:rsidR="0059544E">
              <w:rPr>
                <w:noProof/>
                <w:webHidden/>
              </w:rPr>
              <w:fldChar w:fldCharType="begin"/>
            </w:r>
            <w:r w:rsidR="0059544E">
              <w:rPr>
                <w:noProof/>
                <w:webHidden/>
              </w:rPr>
              <w:instrText xml:space="preserve"> PAGEREF _Toc119581716 \h </w:instrText>
            </w:r>
            <w:r w:rsidR="0059544E">
              <w:rPr>
                <w:noProof/>
                <w:webHidden/>
              </w:rPr>
            </w:r>
            <w:r w:rsidR="0059544E">
              <w:rPr>
                <w:noProof/>
                <w:webHidden/>
              </w:rPr>
              <w:fldChar w:fldCharType="separate"/>
            </w:r>
            <w:r w:rsidR="00EB043F">
              <w:rPr>
                <w:noProof/>
                <w:webHidden/>
              </w:rPr>
              <w:t>42</w:t>
            </w:r>
            <w:r w:rsidR="0059544E">
              <w:rPr>
                <w:noProof/>
                <w:webHidden/>
              </w:rPr>
              <w:fldChar w:fldCharType="end"/>
            </w:r>
          </w:hyperlink>
        </w:p>
        <w:p w14:paraId="3E60E42D" w14:textId="0B3C3566" w:rsidR="0059544E" w:rsidRDefault="00185B52">
          <w:pPr>
            <w:pStyle w:val="Kazalovsebine3"/>
            <w:tabs>
              <w:tab w:val="left" w:pos="1134"/>
            </w:tabs>
            <w:rPr>
              <w:rFonts w:asciiTheme="minorHAnsi" w:eastAsiaTheme="minorEastAsia" w:hAnsiTheme="minorHAnsi"/>
              <w:noProof/>
              <w:sz w:val="22"/>
              <w:lang w:eastAsia="sl-SI"/>
            </w:rPr>
          </w:pPr>
          <w:hyperlink w:anchor="_Toc119581717" w:history="1">
            <w:r w:rsidR="0059544E" w:rsidRPr="00F03AC7">
              <w:rPr>
                <w:rStyle w:val="Hiperpovezava"/>
                <w:noProof/>
              </w:rPr>
              <w:t>5.1.4</w:t>
            </w:r>
            <w:r w:rsidR="0059544E">
              <w:rPr>
                <w:rFonts w:asciiTheme="minorHAnsi" w:eastAsiaTheme="minorEastAsia" w:hAnsiTheme="minorHAnsi"/>
                <w:noProof/>
                <w:sz w:val="22"/>
                <w:lang w:eastAsia="sl-SI"/>
              </w:rPr>
              <w:tab/>
            </w:r>
            <w:r w:rsidR="0059544E" w:rsidRPr="00F03AC7">
              <w:rPr>
                <w:rStyle w:val="Hiperpovezava"/>
                <w:noProof/>
              </w:rPr>
              <w:t>Pisna mnenja in stališča v zvezi z izvajanjem ZPPDFT-1</w:t>
            </w:r>
            <w:r w:rsidR="0059544E">
              <w:rPr>
                <w:noProof/>
                <w:webHidden/>
              </w:rPr>
              <w:tab/>
            </w:r>
            <w:r w:rsidR="0059544E">
              <w:rPr>
                <w:noProof/>
                <w:webHidden/>
              </w:rPr>
              <w:fldChar w:fldCharType="begin"/>
            </w:r>
            <w:r w:rsidR="0059544E">
              <w:rPr>
                <w:noProof/>
                <w:webHidden/>
              </w:rPr>
              <w:instrText xml:space="preserve"> PAGEREF _Toc119581717 \h </w:instrText>
            </w:r>
            <w:r w:rsidR="0059544E">
              <w:rPr>
                <w:noProof/>
                <w:webHidden/>
              </w:rPr>
            </w:r>
            <w:r w:rsidR="0059544E">
              <w:rPr>
                <w:noProof/>
                <w:webHidden/>
              </w:rPr>
              <w:fldChar w:fldCharType="separate"/>
            </w:r>
            <w:r w:rsidR="00EB043F">
              <w:rPr>
                <w:noProof/>
                <w:webHidden/>
              </w:rPr>
              <w:t>42</w:t>
            </w:r>
            <w:r w:rsidR="0059544E">
              <w:rPr>
                <w:noProof/>
                <w:webHidden/>
              </w:rPr>
              <w:fldChar w:fldCharType="end"/>
            </w:r>
          </w:hyperlink>
        </w:p>
        <w:p w14:paraId="261E648C" w14:textId="0F4AB908" w:rsidR="0059544E" w:rsidRDefault="00185B52">
          <w:pPr>
            <w:pStyle w:val="Kazalovsebine3"/>
            <w:tabs>
              <w:tab w:val="left" w:pos="1134"/>
            </w:tabs>
            <w:rPr>
              <w:rFonts w:asciiTheme="minorHAnsi" w:eastAsiaTheme="minorEastAsia" w:hAnsiTheme="minorHAnsi"/>
              <w:noProof/>
              <w:sz w:val="22"/>
              <w:lang w:eastAsia="sl-SI"/>
            </w:rPr>
          </w:pPr>
          <w:hyperlink w:anchor="_Toc119581718" w:history="1">
            <w:r w:rsidR="0059544E" w:rsidRPr="00F03AC7">
              <w:rPr>
                <w:rStyle w:val="Hiperpovezava"/>
                <w:noProof/>
              </w:rPr>
              <w:t>5.1.5</w:t>
            </w:r>
            <w:r w:rsidR="0059544E">
              <w:rPr>
                <w:rFonts w:asciiTheme="minorHAnsi" w:eastAsiaTheme="minorEastAsia" w:hAnsiTheme="minorHAnsi"/>
                <w:noProof/>
                <w:sz w:val="22"/>
                <w:lang w:eastAsia="sl-SI"/>
              </w:rPr>
              <w:tab/>
            </w:r>
            <w:r w:rsidR="0059544E" w:rsidRPr="00F03AC7">
              <w:rPr>
                <w:rStyle w:val="Hiperpovezava"/>
                <w:noProof/>
              </w:rPr>
              <w:t>Register ponudnikov storitev virtualnih valut ter pregled stanja na področju virtualnih valut</w:t>
            </w:r>
            <w:r w:rsidR="0059544E">
              <w:rPr>
                <w:noProof/>
                <w:webHidden/>
              </w:rPr>
              <w:tab/>
            </w:r>
            <w:r w:rsidR="0059544E">
              <w:rPr>
                <w:noProof/>
                <w:webHidden/>
              </w:rPr>
              <w:fldChar w:fldCharType="begin"/>
            </w:r>
            <w:r w:rsidR="0059544E">
              <w:rPr>
                <w:noProof/>
                <w:webHidden/>
              </w:rPr>
              <w:instrText xml:space="preserve"> PAGEREF _Toc119581718 \h </w:instrText>
            </w:r>
            <w:r w:rsidR="0059544E">
              <w:rPr>
                <w:noProof/>
                <w:webHidden/>
              </w:rPr>
            </w:r>
            <w:r w:rsidR="0059544E">
              <w:rPr>
                <w:noProof/>
                <w:webHidden/>
              </w:rPr>
              <w:fldChar w:fldCharType="separate"/>
            </w:r>
            <w:r w:rsidR="00EB043F">
              <w:rPr>
                <w:noProof/>
                <w:webHidden/>
              </w:rPr>
              <w:t>43</w:t>
            </w:r>
            <w:r w:rsidR="0059544E">
              <w:rPr>
                <w:noProof/>
                <w:webHidden/>
              </w:rPr>
              <w:fldChar w:fldCharType="end"/>
            </w:r>
          </w:hyperlink>
        </w:p>
        <w:p w14:paraId="77040C4C" w14:textId="5B65C18B" w:rsidR="0059544E" w:rsidRDefault="00185B52">
          <w:pPr>
            <w:pStyle w:val="Kazalovsebine2"/>
            <w:tabs>
              <w:tab w:val="right" w:leader="dot" w:pos="9062"/>
            </w:tabs>
            <w:rPr>
              <w:rFonts w:asciiTheme="minorHAnsi" w:eastAsiaTheme="minorEastAsia" w:hAnsiTheme="minorHAnsi"/>
              <w:noProof/>
              <w:sz w:val="22"/>
              <w:lang w:eastAsia="sl-SI"/>
            </w:rPr>
          </w:pPr>
          <w:hyperlink w:anchor="_Toc119581719" w:history="1">
            <w:r w:rsidR="0059544E" w:rsidRPr="00F03AC7">
              <w:rPr>
                <w:rStyle w:val="Hiperpovezava"/>
                <w:noProof/>
              </w:rPr>
              <w:t>5.2</w:t>
            </w:r>
            <w:r w:rsidR="0059544E">
              <w:rPr>
                <w:rFonts w:asciiTheme="minorHAnsi" w:eastAsiaTheme="minorEastAsia" w:hAnsiTheme="minorHAnsi"/>
                <w:noProof/>
                <w:sz w:val="22"/>
                <w:lang w:eastAsia="sl-SI"/>
              </w:rPr>
              <w:tab/>
            </w:r>
            <w:r w:rsidR="0059544E" w:rsidRPr="00F03AC7">
              <w:rPr>
                <w:rStyle w:val="Hiperpovezava"/>
                <w:noProof/>
              </w:rPr>
              <w:t>OBVEŠČANJE JAVNOSTI PREK MEDIJEV IN SPLETNE STRANI URADA</w:t>
            </w:r>
            <w:r w:rsidR="0059544E">
              <w:rPr>
                <w:noProof/>
                <w:webHidden/>
              </w:rPr>
              <w:tab/>
            </w:r>
            <w:r w:rsidR="0059544E">
              <w:rPr>
                <w:noProof/>
                <w:webHidden/>
              </w:rPr>
              <w:fldChar w:fldCharType="begin"/>
            </w:r>
            <w:r w:rsidR="0059544E">
              <w:rPr>
                <w:noProof/>
                <w:webHidden/>
              </w:rPr>
              <w:instrText xml:space="preserve"> PAGEREF _Toc119581719 \h </w:instrText>
            </w:r>
            <w:r w:rsidR="0059544E">
              <w:rPr>
                <w:noProof/>
                <w:webHidden/>
              </w:rPr>
            </w:r>
            <w:r w:rsidR="0059544E">
              <w:rPr>
                <w:noProof/>
                <w:webHidden/>
              </w:rPr>
              <w:fldChar w:fldCharType="separate"/>
            </w:r>
            <w:r w:rsidR="00EB043F">
              <w:rPr>
                <w:noProof/>
                <w:webHidden/>
              </w:rPr>
              <w:t>44</w:t>
            </w:r>
            <w:r w:rsidR="0059544E">
              <w:rPr>
                <w:noProof/>
                <w:webHidden/>
              </w:rPr>
              <w:fldChar w:fldCharType="end"/>
            </w:r>
          </w:hyperlink>
        </w:p>
        <w:p w14:paraId="7158BDB6" w14:textId="17BF91F4" w:rsidR="0059544E" w:rsidRDefault="00185B52">
          <w:pPr>
            <w:pStyle w:val="Kazalovsebine2"/>
            <w:tabs>
              <w:tab w:val="right" w:leader="dot" w:pos="9062"/>
            </w:tabs>
            <w:rPr>
              <w:rFonts w:asciiTheme="minorHAnsi" w:eastAsiaTheme="minorEastAsia" w:hAnsiTheme="minorHAnsi"/>
              <w:noProof/>
              <w:sz w:val="22"/>
              <w:lang w:eastAsia="sl-SI"/>
            </w:rPr>
          </w:pPr>
          <w:hyperlink w:anchor="_Toc119581720" w:history="1">
            <w:r w:rsidR="0059544E" w:rsidRPr="00F03AC7">
              <w:rPr>
                <w:rStyle w:val="Hiperpovezava"/>
                <w:noProof/>
              </w:rPr>
              <w:t>5.3</w:t>
            </w:r>
            <w:r w:rsidR="0059544E">
              <w:rPr>
                <w:rFonts w:asciiTheme="minorHAnsi" w:eastAsiaTheme="minorEastAsia" w:hAnsiTheme="minorHAnsi"/>
                <w:noProof/>
                <w:sz w:val="22"/>
                <w:lang w:eastAsia="sl-SI"/>
              </w:rPr>
              <w:tab/>
            </w:r>
            <w:r w:rsidR="0059544E" w:rsidRPr="00F03AC7">
              <w:rPr>
                <w:rStyle w:val="Hiperpovezava"/>
                <w:noProof/>
              </w:rPr>
              <w:t>INFORMACIJE JAVNEGA ZNAČAJA</w:t>
            </w:r>
            <w:r w:rsidR="0059544E">
              <w:rPr>
                <w:noProof/>
                <w:webHidden/>
              </w:rPr>
              <w:tab/>
            </w:r>
            <w:r w:rsidR="0059544E">
              <w:rPr>
                <w:noProof/>
                <w:webHidden/>
              </w:rPr>
              <w:fldChar w:fldCharType="begin"/>
            </w:r>
            <w:r w:rsidR="0059544E">
              <w:rPr>
                <w:noProof/>
                <w:webHidden/>
              </w:rPr>
              <w:instrText xml:space="preserve"> PAGEREF _Toc119581720 \h </w:instrText>
            </w:r>
            <w:r w:rsidR="0059544E">
              <w:rPr>
                <w:noProof/>
                <w:webHidden/>
              </w:rPr>
            </w:r>
            <w:r w:rsidR="0059544E">
              <w:rPr>
                <w:noProof/>
                <w:webHidden/>
              </w:rPr>
              <w:fldChar w:fldCharType="separate"/>
            </w:r>
            <w:r w:rsidR="00EB043F">
              <w:rPr>
                <w:noProof/>
                <w:webHidden/>
              </w:rPr>
              <w:t>44</w:t>
            </w:r>
            <w:r w:rsidR="0059544E">
              <w:rPr>
                <w:noProof/>
                <w:webHidden/>
              </w:rPr>
              <w:fldChar w:fldCharType="end"/>
            </w:r>
          </w:hyperlink>
        </w:p>
        <w:p w14:paraId="7472E3ED" w14:textId="33E7811D" w:rsidR="0059544E" w:rsidRDefault="00185B52">
          <w:pPr>
            <w:pStyle w:val="Kazalovsebine1"/>
            <w:tabs>
              <w:tab w:val="right" w:leader="dot" w:pos="9062"/>
            </w:tabs>
            <w:rPr>
              <w:rFonts w:asciiTheme="minorHAnsi" w:eastAsiaTheme="minorEastAsia" w:hAnsiTheme="minorHAnsi"/>
              <w:b w:val="0"/>
              <w:noProof/>
              <w:sz w:val="22"/>
              <w:lang w:eastAsia="sl-SI"/>
            </w:rPr>
          </w:pPr>
          <w:hyperlink w:anchor="_Toc119581721" w:history="1">
            <w:r w:rsidR="0059544E" w:rsidRPr="00F03AC7">
              <w:rPr>
                <w:rStyle w:val="Hiperpovezava"/>
                <w:noProof/>
              </w:rPr>
              <w:t>6</w:t>
            </w:r>
            <w:r w:rsidR="0059544E">
              <w:rPr>
                <w:rFonts w:asciiTheme="minorHAnsi" w:eastAsiaTheme="minorEastAsia" w:hAnsiTheme="minorHAnsi"/>
                <w:b w:val="0"/>
                <w:noProof/>
                <w:sz w:val="22"/>
                <w:lang w:eastAsia="sl-SI"/>
              </w:rPr>
              <w:tab/>
            </w:r>
            <w:r w:rsidR="0059544E" w:rsidRPr="00F03AC7">
              <w:rPr>
                <w:rStyle w:val="Hiperpovezava"/>
                <w:noProof/>
              </w:rPr>
              <w:t>INŠPEKCIJA</w:t>
            </w:r>
            <w:r w:rsidR="0059544E">
              <w:rPr>
                <w:noProof/>
                <w:webHidden/>
              </w:rPr>
              <w:tab/>
            </w:r>
            <w:r w:rsidR="0059544E">
              <w:rPr>
                <w:noProof/>
                <w:webHidden/>
              </w:rPr>
              <w:fldChar w:fldCharType="begin"/>
            </w:r>
            <w:r w:rsidR="0059544E">
              <w:rPr>
                <w:noProof/>
                <w:webHidden/>
              </w:rPr>
              <w:instrText xml:space="preserve"> PAGEREF _Toc119581721 \h </w:instrText>
            </w:r>
            <w:r w:rsidR="0059544E">
              <w:rPr>
                <w:noProof/>
                <w:webHidden/>
              </w:rPr>
            </w:r>
            <w:r w:rsidR="0059544E">
              <w:rPr>
                <w:noProof/>
                <w:webHidden/>
              </w:rPr>
              <w:fldChar w:fldCharType="separate"/>
            </w:r>
            <w:r w:rsidR="00EB043F">
              <w:rPr>
                <w:noProof/>
                <w:webHidden/>
              </w:rPr>
              <w:t>46</w:t>
            </w:r>
            <w:r w:rsidR="0059544E">
              <w:rPr>
                <w:noProof/>
                <w:webHidden/>
              </w:rPr>
              <w:fldChar w:fldCharType="end"/>
            </w:r>
          </w:hyperlink>
        </w:p>
        <w:p w14:paraId="769F0231" w14:textId="3A219EA5" w:rsidR="0059544E" w:rsidRDefault="00185B52">
          <w:pPr>
            <w:pStyle w:val="Kazalovsebine2"/>
            <w:tabs>
              <w:tab w:val="right" w:leader="dot" w:pos="9062"/>
            </w:tabs>
            <w:rPr>
              <w:rFonts w:asciiTheme="minorHAnsi" w:eastAsiaTheme="minorEastAsia" w:hAnsiTheme="minorHAnsi"/>
              <w:noProof/>
              <w:sz w:val="22"/>
              <w:lang w:eastAsia="sl-SI"/>
            </w:rPr>
          </w:pPr>
          <w:hyperlink w:anchor="_Toc119581722" w:history="1">
            <w:r w:rsidR="0059544E" w:rsidRPr="00F03AC7">
              <w:rPr>
                <w:rStyle w:val="Hiperpovezava"/>
                <w:noProof/>
              </w:rPr>
              <w:t>6.1</w:t>
            </w:r>
            <w:r w:rsidR="0059544E">
              <w:rPr>
                <w:rFonts w:asciiTheme="minorHAnsi" w:eastAsiaTheme="minorEastAsia" w:hAnsiTheme="minorHAnsi"/>
                <w:noProof/>
                <w:sz w:val="22"/>
                <w:lang w:eastAsia="sl-SI"/>
              </w:rPr>
              <w:tab/>
            </w:r>
            <w:r w:rsidR="0059544E" w:rsidRPr="00F03AC7">
              <w:rPr>
                <w:rStyle w:val="Hiperpovezava"/>
                <w:noProof/>
              </w:rPr>
              <w:t>INŠPEKCIJSKI POSTOPKI</w:t>
            </w:r>
            <w:r w:rsidR="0059544E">
              <w:rPr>
                <w:noProof/>
                <w:webHidden/>
              </w:rPr>
              <w:tab/>
            </w:r>
            <w:r w:rsidR="0059544E">
              <w:rPr>
                <w:noProof/>
                <w:webHidden/>
              </w:rPr>
              <w:fldChar w:fldCharType="begin"/>
            </w:r>
            <w:r w:rsidR="0059544E">
              <w:rPr>
                <w:noProof/>
                <w:webHidden/>
              </w:rPr>
              <w:instrText xml:space="preserve"> PAGEREF _Toc119581722 \h </w:instrText>
            </w:r>
            <w:r w:rsidR="0059544E">
              <w:rPr>
                <w:noProof/>
                <w:webHidden/>
              </w:rPr>
            </w:r>
            <w:r w:rsidR="0059544E">
              <w:rPr>
                <w:noProof/>
                <w:webHidden/>
              </w:rPr>
              <w:fldChar w:fldCharType="separate"/>
            </w:r>
            <w:r w:rsidR="00EB043F">
              <w:rPr>
                <w:noProof/>
                <w:webHidden/>
              </w:rPr>
              <w:t>46</w:t>
            </w:r>
            <w:r w:rsidR="0059544E">
              <w:rPr>
                <w:noProof/>
                <w:webHidden/>
              </w:rPr>
              <w:fldChar w:fldCharType="end"/>
            </w:r>
          </w:hyperlink>
        </w:p>
        <w:p w14:paraId="4D23FED2" w14:textId="48B10ACE" w:rsidR="0059544E" w:rsidRDefault="00185B52">
          <w:pPr>
            <w:pStyle w:val="Kazalovsebine2"/>
            <w:tabs>
              <w:tab w:val="right" w:leader="dot" w:pos="9062"/>
            </w:tabs>
            <w:rPr>
              <w:rFonts w:asciiTheme="minorHAnsi" w:eastAsiaTheme="minorEastAsia" w:hAnsiTheme="minorHAnsi"/>
              <w:noProof/>
              <w:sz w:val="22"/>
              <w:lang w:eastAsia="sl-SI"/>
            </w:rPr>
          </w:pPr>
          <w:hyperlink w:anchor="_Toc119581723" w:history="1">
            <w:r w:rsidR="0059544E" w:rsidRPr="00F03AC7">
              <w:rPr>
                <w:rStyle w:val="Hiperpovezava"/>
                <w:noProof/>
              </w:rPr>
              <w:t>6.2</w:t>
            </w:r>
            <w:r w:rsidR="0059544E">
              <w:rPr>
                <w:rFonts w:asciiTheme="minorHAnsi" w:eastAsiaTheme="minorEastAsia" w:hAnsiTheme="minorHAnsi"/>
                <w:noProof/>
                <w:sz w:val="22"/>
                <w:lang w:eastAsia="sl-SI"/>
              </w:rPr>
              <w:tab/>
            </w:r>
            <w:r w:rsidR="0059544E" w:rsidRPr="00F03AC7">
              <w:rPr>
                <w:rStyle w:val="Hiperpovezava"/>
                <w:noProof/>
              </w:rPr>
              <w:t>URAD KOT PREKRŠKOVNI ORGAN</w:t>
            </w:r>
            <w:r w:rsidR="0059544E">
              <w:rPr>
                <w:noProof/>
                <w:webHidden/>
              </w:rPr>
              <w:tab/>
            </w:r>
            <w:r w:rsidR="0059544E">
              <w:rPr>
                <w:noProof/>
                <w:webHidden/>
              </w:rPr>
              <w:fldChar w:fldCharType="begin"/>
            </w:r>
            <w:r w:rsidR="0059544E">
              <w:rPr>
                <w:noProof/>
                <w:webHidden/>
              </w:rPr>
              <w:instrText xml:space="preserve"> PAGEREF _Toc119581723 \h </w:instrText>
            </w:r>
            <w:r w:rsidR="0059544E">
              <w:rPr>
                <w:noProof/>
                <w:webHidden/>
              </w:rPr>
            </w:r>
            <w:r w:rsidR="0059544E">
              <w:rPr>
                <w:noProof/>
                <w:webHidden/>
              </w:rPr>
              <w:fldChar w:fldCharType="separate"/>
            </w:r>
            <w:r w:rsidR="00EB043F">
              <w:rPr>
                <w:noProof/>
                <w:webHidden/>
              </w:rPr>
              <w:t>47</w:t>
            </w:r>
            <w:r w:rsidR="0059544E">
              <w:rPr>
                <w:noProof/>
                <w:webHidden/>
              </w:rPr>
              <w:fldChar w:fldCharType="end"/>
            </w:r>
          </w:hyperlink>
        </w:p>
        <w:p w14:paraId="78F3A337" w14:textId="6C918230" w:rsidR="0059544E" w:rsidRDefault="00185B52">
          <w:pPr>
            <w:pStyle w:val="Kazalovsebine3"/>
            <w:tabs>
              <w:tab w:val="left" w:pos="1134"/>
            </w:tabs>
            <w:rPr>
              <w:rFonts w:asciiTheme="minorHAnsi" w:eastAsiaTheme="minorEastAsia" w:hAnsiTheme="minorHAnsi"/>
              <w:noProof/>
              <w:sz w:val="22"/>
              <w:lang w:eastAsia="sl-SI"/>
            </w:rPr>
          </w:pPr>
          <w:hyperlink w:anchor="_Toc119581724" w:history="1">
            <w:r w:rsidR="0059544E" w:rsidRPr="00F03AC7">
              <w:rPr>
                <w:rStyle w:val="Hiperpovezava"/>
                <w:noProof/>
              </w:rPr>
              <w:t>6.2.1</w:t>
            </w:r>
            <w:r w:rsidR="0059544E">
              <w:rPr>
                <w:rFonts w:asciiTheme="minorHAnsi" w:eastAsiaTheme="minorEastAsia" w:hAnsiTheme="minorHAnsi"/>
                <w:noProof/>
                <w:sz w:val="22"/>
                <w:lang w:eastAsia="sl-SI"/>
              </w:rPr>
              <w:tab/>
            </w:r>
            <w:r w:rsidR="0059544E" w:rsidRPr="00F03AC7">
              <w:rPr>
                <w:rStyle w:val="Hiperpovezava"/>
                <w:noProof/>
              </w:rPr>
              <w:t>Zaznane kršitve</w:t>
            </w:r>
            <w:r w:rsidR="0059544E">
              <w:rPr>
                <w:noProof/>
                <w:webHidden/>
              </w:rPr>
              <w:tab/>
            </w:r>
            <w:r w:rsidR="0059544E">
              <w:rPr>
                <w:noProof/>
                <w:webHidden/>
              </w:rPr>
              <w:fldChar w:fldCharType="begin"/>
            </w:r>
            <w:r w:rsidR="0059544E">
              <w:rPr>
                <w:noProof/>
                <w:webHidden/>
              </w:rPr>
              <w:instrText xml:space="preserve"> PAGEREF _Toc119581724 \h </w:instrText>
            </w:r>
            <w:r w:rsidR="0059544E">
              <w:rPr>
                <w:noProof/>
                <w:webHidden/>
              </w:rPr>
            </w:r>
            <w:r w:rsidR="0059544E">
              <w:rPr>
                <w:noProof/>
                <w:webHidden/>
              </w:rPr>
              <w:fldChar w:fldCharType="separate"/>
            </w:r>
            <w:r w:rsidR="00EB043F">
              <w:rPr>
                <w:noProof/>
                <w:webHidden/>
              </w:rPr>
              <w:t>48</w:t>
            </w:r>
            <w:r w:rsidR="0059544E">
              <w:rPr>
                <w:noProof/>
                <w:webHidden/>
              </w:rPr>
              <w:fldChar w:fldCharType="end"/>
            </w:r>
          </w:hyperlink>
        </w:p>
        <w:p w14:paraId="35C96885" w14:textId="1E171BE0" w:rsidR="0059544E" w:rsidRDefault="00185B52">
          <w:pPr>
            <w:pStyle w:val="Kazalovsebine2"/>
            <w:tabs>
              <w:tab w:val="right" w:leader="dot" w:pos="9062"/>
            </w:tabs>
            <w:rPr>
              <w:rFonts w:asciiTheme="minorHAnsi" w:eastAsiaTheme="minorEastAsia" w:hAnsiTheme="minorHAnsi"/>
              <w:noProof/>
              <w:sz w:val="22"/>
              <w:lang w:eastAsia="sl-SI"/>
            </w:rPr>
          </w:pPr>
          <w:hyperlink w:anchor="_Toc119581725" w:history="1">
            <w:r w:rsidR="0059544E" w:rsidRPr="00F03AC7">
              <w:rPr>
                <w:rStyle w:val="Hiperpovezava"/>
                <w:noProof/>
              </w:rPr>
              <w:t>6.3</w:t>
            </w:r>
            <w:r w:rsidR="0059544E">
              <w:rPr>
                <w:rFonts w:asciiTheme="minorHAnsi" w:eastAsiaTheme="minorEastAsia" w:hAnsiTheme="minorHAnsi"/>
                <w:noProof/>
                <w:sz w:val="22"/>
                <w:lang w:eastAsia="sl-SI"/>
              </w:rPr>
              <w:tab/>
            </w:r>
            <w:r w:rsidR="0059544E" w:rsidRPr="00F03AC7">
              <w:rPr>
                <w:rStyle w:val="Hiperpovezava"/>
                <w:noProof/>
              </w:rPr>
              <w:t>DRUGI NADZORNI ORGANI</w:t>
            </w:r>
            <w:r w:rsidR="0059544E">
              <w:rPr>
                <w:noProof/>
                <w:webHidden/>
              </w:rPr>
              <w:tab/>
            </w:r>
            <w:r w:rsidR="0059544E">
              <w:rPr>
                <w:noProof/>
                <w:webHidden/>
              </w:rPr>
              <w:fldChar w:fldCharType="begin"/>
            </w:r>
            <w:r w:rsidR="0059544E">
              <w:rPr>
                <w:noProof/>
                <w:webHidden/>
              </w:rPr>
              <w:instrText xml:space="preserve"> PAGEREF _Toc119581725 \h </w:instrText>
            </w:r>
            <w:r w:rsidR="0059544E">
              <w:rPr>
                <w:noProof/>
                <w:webHidden/>
              </w:rPr>
            </w:r>
            <w:r w:rsidR="0059544E">
              <w:rPr>
                <w:noProof/>
                <w:webHidden/>
              </w:rPr>
              <w:fldChar w:fldCharType="separate"/>
            </w:r>
            <w:r w:rsidR="00EB043F">
              <w:rPr>
                <w:noProof/>
                <w:webHidden/>
              </w:rPr>
              <w:t>48</w:t>
            </w:r>
            <w:r w:rsidR="0059544E">
              <w:rPr>
                <w:noProof/>
                <w:webHidden/>
              </w:rPr>
              <w:fldChar w:fldCharType="end"/>
            </w:r>
          </w:hyperlink>
        </w:p>
        <w:p w14:paraId="0ABB93C1" w14:textId="39A2CCE2" w:rsidR="0059544E" w:rsidRDefault="00185B52">
          <w:pPr>
            <w:pStyle w:val="Kazalovsebine1"/>
            <w:tabs>
              <w:tab w:val="right" w:leader="dot" w:pos="9062"/>
            </w:tabs>
            <w:rPr>
              <w:rFonts w:asciiTheme="minorHAnsi" w:eastAsiaTheme="minorEastAsia" w:hAnsiTheme="minorHAnsi"/>
              <w:b w:val="0"/>
              <w:noProof/>
              <w:sz w:val="22"/>
              <w:lang w:eastAsia="sl-SI"/>
            </w:rPr>
          </w:pPr>
          <w:hyperlink w:anchor="_Toc119581726" w:history="1">
            <w:r w:rsidR="0059544E" w:rsidRPr="00F03AC7">
              <w:rPr>
                <w:rStyle w:val="Hiperpovezava"/>
                <w:noProof/>
              </w:rPr>
              <w:t>7</w:t>
            </w:r>
            <w:r w:rsidR="0059544E">
              <w:rPr>
                <w:rFonts w:asciiTheme="minorHAnsi" w:eastAsiaTheme="minorEastAsia" w:hAnsiTheme="minorHAnsi"/>
                <w:b w:val="0"/>
                <w:noProof/>
                <w:sz w:val="22"/>
                <w:lang w:eastAsia="sl-SI"/>
              </w:rPr>
              <w:tab/>
            </w:r>
            <w:r w:rsidR="0059544E" w:rsidRPr="00F03AC7">
              <w:rPr>
                <w:rStyle w:val="Hiperpovezava"/>
                <w:noProof/>
              </w:rPr>
              <w:t>MEDNARODNO SODELOVANJE</w:t>
            </w:r>
            <w:r w:rsidR="0059544E">
              <w:rPr>
                <w:noProof/>
                <w:webHidden/>
              </w:rPr>
              <w:tab/>
            </w:r>
            <w:r w:rsidR="0059544E">
              <w:rPr>
                <w:noProof/>
                <w:webHidden/>
              </w:rPr>
              <w:fldChar w:fldCharType="begin"/>
            </w:r>
            <w:r w:rsidR="0059544E">
              <w:rPr>
                <w:noProof/>
                <w:webHidden/>
              </w:rPr>
              <w:instrText xml:space="preserve"> PAGEREF _Toc119581726 \h </w:instrText>
            </w:r>
            <w:r w:rsidR="0059544E">
              <w:rPr>
                <w:noProof/>
                <w:webHidden/>
              </w:rPr>
            </w:r>
            <w:r w:rsidR="0059544E">
              <w:rPr>
                <w:noProof/>
                <w:webHidden/>
              </w:rPr>
              <w:fldChar w:fldCharType="separate"/>
            </w:r>
            <w:r w:rsidR="00EB043F">
              <w:rPr>
                <w:noProof/>
                <w:webHidden/>
              </w:rPr>
              <w:t>49</w:t>
            </w:r>
            <w:r w:rsidR="0059544E">
              <w:rPr>
                <w:noProof/>
                <w:webHidden/>
              </w:rPr>
              <w:fldChar w:fldCharType="end"/>
            </w:r>
          </w:hyperlink>
        </w:p>
        <w:p w14:paraId="592019FF" w14:textId="244D5C46" w:rsidR="0059544E" w:rsidRDefault="00185B52">
          <w:pPr>
            <w:pStyle w:val="Kazalovsebine2"/>
            <w:tabs>
              <w:tab w:val="right" w:leader="dot" w:pos="9062"/>
            </w:tabs>
            <w:rPr>
              <w:rFonts w:asciiTheme="minorHAnsi" w:eastAsiaTheme="minorEastAsia" w:hAnsiTheme="minorHAnsi"/>
              <w:noProof/>
              <w:sz w:val="22"/>
              <w:lang w:eastAsia="sl-SI"/>
            </w:rPr>
          </w:pPr>
          <w:hyperlink w:anchor="_Toc119581727" w:history="1">
            <w:r w:rsidR="0059544E" w:rsidRPr="00F03AC7">
              <w:rPr>
                <w:rStyle w:val="Hiperpovezava"/>
                <w:noProof/>
              </w:rPr>
              <w:t>7.1</w:t>
            </w:r>
            <w:r w:rsidR="0059544E">
              <w:rPr>
                <w:rFonts w:asciiTheme="minorHAnsi" w:eastAsiaTheme="minorEastAsia" w:hAnsiTheme="minorHAnsi"/>
                <w:noProof/>
                <w:sz w:val="22"/>
                <w:lang w:eastAsia="sl-SI"/>
              </w:rPr>
              <w:tab/>
            </w:r>
            <w:r w:rsidR="0059544E" w:rsidRPr="00F03AC7">
              <w:rPr>
                <w:rStyle w:val="Hiperpovezava"/>
                <w:noProof/>
              </w:rPr>
              <w:t>VEČSTRANSKO SODELOVANJE</w:t>
            </w:r>
            <w:r w:rsidR="0059544E">
              <w:rPr>
                <w:noProof/>
                <w:webHidden/>
              </w:rPr>
              <w:tab/>
            </w:r>
            <w:r w:rsidR="0059544E">
              <w:rPr>
                <w:noProof/>
                <w:webHidden/>
              </w:rPr>
              <w:fldChar w:fldCharType="begin"/>
            </w:r>
            <w:r w:rsidR="0059544E">
              <w:rPr>
                <w:noProof/>
                <w:webHidden/>
              </w:rPr>
              <w:instrText xml:space="preserve"> PAGEREF _Toc119581727 \h </w:instrText>
            </w:r>
            <w:r w:rsidR="0059544E">
              <w:rPr>
                <w:noProof/>
                <w:webHidden/>
              </w:rPr>
            </w:r>
            <w:r w:rsidR="0059544E">
              <w:rPr>
                <w:noProof/>
                <w:webHidden/>
              </w:rPr>
              <w:fldChar w:fldCharType="separate"/>
            </w:r>
            <w:r w:rsidR="00EB043F">
              <w:rPr>
                <w:noProof/>
                <w:webHidden/>
              </w:rPr>
              <w:t>49</w:t>
            </w:r>
            <w:r w:rsidR="0059544E">
              <w:rPr>
                <w:noProof/>
                <w:webHidden/>
              </w:rPr>
              <w:fldChar w:fldCharType="end"/>
            </w:r>
          </w:hyperlink>
        </w:p>
        <w:p w14:paraId="3F921F08" w14:textId="56204CD8" w:rsidR="0059544E" w:rsidRDefault="00185B52">
          <w:pPr>
            <w:pStyle w:val="Kazalovsebine3"/>
            <w:tabs>
              <w:tab w:val="left" w:pos="1134"/>
            </w:tabs>
            <w:rPr>
              <w:rFonts w:asciiTheme="minorHAnsi" w:eastAsiaTheme="minorEastAsia" w:hAnsiTheme="minorHAnsi"/>
              <w:noProof/>
              <w:sz w:val="22"/>
              <w:lang w:eastAsia="sl-SI"/>
            </w:rPr>
          </w:pPr>
          <w:hyperlink w:anchor="_Toc119581728" w:history="1">
            <w:r w:rsidR="0059544E" w:rsidRPr="00F03AC7">
              <w:rPr>
                <w:rStyle w:val="Hiperpovezava"/>
                <w:noProof/>
              </w:rPr>
              <w:t>7.1.1</w:t>
            </w:r>
            <w:r w:rsidR="0059544E">
              <w:rPr>
                <w:rFonts w:asciiTheme="minorHAnsi" w:eastAsiaTheme="minorEastAsia" w:hAnsiTheme="minorHAnsi"/>
                <w:noProof/>
                <w:sz w:val="22"/>
                <w:lang w:eastAsia="sl-SI"/>
              </w:rPr>
              <w:tab/>
            </w:r>
            <w:r w:rsidR="0059544E" w:rsidRPr="00F03AC7">
              <w:rPr>
                <w:rStyle w:val="Hiperpovezava"/>
                <w:noProof/>
              </w:rPr>
              <w:t>Mednarodna skupina EGMONT</w:t>
            </w:r>
            <w:r w:rsidR="0059544E">
              <w:rPr>
                <w:noProof/>
                <w:webHidden/>
              </w:rPr>
              <w:tab/>
            </w:r>
            <w:r w:rsidR="0059544E">
              <w:rPr>
                <w:noProof/>
                <w:webHidden/>
              </w:rPr>
              <w:fldChar w:fldCharType="begin"/>
            </w:r>
            <w:r w:rsidR="0059544E">
              <w:rPr>
                <w:noProof/>
                <w:webHidden/>
              </w:rPr>
              <w:instrText xml:space="preserve"> PAGEREF _Toc119581728 \h </w:instrText>
            </w:r>
            <w:r w:rsidR="0059544E">
              <w:rPr>
                <w:noProof/>
                <w:webHidden/>
              </w:rPr>
            </w:r>
            <w:r w:rsidR="0059544E">
              <w:rPr>
                <w:noProof/>
                <w:webHidden/>
              </w:rPr>
              <w:fldChar w:fldCharType="separate"/>
            </w:r>
            <w:r w:rsidR="00EB043F">
              <w:rPr>
                <w:noProof/>
                <w:webHidden/>
              </w:rPr>
              <w:t>49</w:t>
            </w:r>
            <w:r w:rsidR="0059544E">
              <w:rPr>
                <w:noProof/>
                <w:webHidden/>
              </w:rPr>
              <w:fldChar w:fldCharType="end"/>
            </w:r>
          </w:hyperlink>
        </w:p>
        <w:p w14:paraId="63BD561D" w14:textId="79B9D1E9" w:rsidR="0059544E" w:rsidRDefault="00185B52">
          <w:pPr>
            <w:pStyle w:val="Kazalovsebine3"/>
            <w:tabs>
              <w:tab w:val="left" w:pos="1134"/>
            </w:tabs>
            <w:rPr>
              <w:rFonts w:asciiTheme="minorHAnsi" w:eastAsiaTheme="minorEastAsia" w:hAnsiTheme="minorHAnsi"/>
              <w:noProof/>
              <w:sz w:val="22"/>
              <w:lang w:eastAsia="sl-SI"/>
            </w:rPr>
          </w:pPr>
          <w:hyperlink w:anchor="_Toc119581729" w:history="1">
            <w:r w:rsidR="0059544E" w:rsidRPr="00F03AC7">
              <w:rPr>
                <w:rStyle w:val="Hiperpovezava"/>
                <w:noProof/>
              </w:rPr>
              <w:t>7.1.2</w:t>
            </w:r>
            <w:r w:rsidR="0059544E">
              <w:rPr>
                <w:rFonts w:asciiTheme="minorHAnsi" w:eastAsiaTheme="minorEastAsia" w:hAnsiTheme="minorHAnsi"/>
                <w:noProof/>
                <w:sz w:val="22"/>
                <w:lang w:eastAsia="sl-SI"/>
              </w:rPr>
              <w:tab/>
            </w:r>
            <w:r w:rsidR="0059544E" w:rsidRPr="00F03AC7">
              <w:rPr>
                <w:rStyle w:val="Hiperpovezava"/>
                <w:noProof/>
              </w:rPr>
              <w:t>Svet Evrope</w:t>
            </w:r>
            <w:r w:rsidR="0059544E">
              <w:rPr>
                <w:noProof/>
                <w:webHidden/>
              </w:rPr>
              <w:tab/>
            </w:r>
            <w:r w:rsidR="0059544E">
              <w:rPr>
                <w:noProof/>
                <w:webHidden/>
              </w:rPr>
              <w:fldChar w:fldCharType="begin"/>
            </w:r>
            <w:r w:rsidR="0059544E">
              <w:rPr>
                <w:noProof/>
                <w:webHidden/>
              </w:rPr>
              <w:instrText xml:space="preserve"> PAGEREF _Toc119581729 \h </w:instrText>
            </w:r>
            <w:r w:rsidR="0059544E">
              <w:rPr>
                <w:noProof/>
                <w:webHidden/>
              </w:rPr>
            </w:r>
            <w:r w:rsidR="0059544E">
              <w:rPr>
                <w:noProof/>
                <w:webHidden/>
              </w:rPr>
              <w:fldChar w:fldCharType="separate"/>
            </w:r>
            <w:r w:rsidR="00EB043F">
              <w:rPr>
                <w:noProof/>
                <w:webHidden/>
              </w:rPr>
              <w:t>50</w:t>
            </w:r>
            <w:r w:rsidR="0059544E">
              <w:rPr>
                <w:noProof/>
                <w:webHidden/>
              </w:rPr>
              <w:fldChar w:fldCharType="end"/>
            </w:r>
          </w:hyperlink>
        </w:p>
        <w:p w14:paraId="719D7910" w14:textId="25370629" w:rsidR="0059544E" w:rsidRDefault="00185B52">
          <w:pPr>
            <w:pStyle w:val="Kazalovsebine4"/>
            <w:rPr>
              <w:rFonts w:asciiTheme="minorHAnsi" w:hAnsiTheme="minorHAnsi"/>
              <w:sz w:val="22"/>
            </w:rPr>
          </w:pPr>
          <w:hyperlink w:anchor="_Toc119581730" w:history="1">
            <w:r w:rsidR="0059544E" w:rsidRPr="00F03AC7">
              <w:rPr>
                <w:rStyle w:val="Hiperpovezava"/>
              </w:rPr>
              <w:t>7.1.2.1</w:t>
            </w:r>
            <w:r w:rsidR="0059544E">
              <w:rPr>
                <w:rFonts w:asciiTheme="minorHAnsi" w:hAnsiTheme="minorHAnsi"/>
                <w:sz w:val="22"/>
              </w:rPr>
              <w:tab/>
            </w:r>
            <w:r w:rsidR="0059544E" w:rsidRPr="00F03AC7">
              <w:rPr>
                <w:rStyle w:val="Hiperpovezava"/>
              </w:rPr>
              <w:t>Odbor strokovnjakov Sveta Evrope za ocenjevanje ukrepov s področja preprečevanja pranja denarja in financiranja terorizma (MONEYVAL)</w:t>
            </w:r>
            <w:r w:rsidR="0059544E">
              <w:rPr>
                <w:webHidden/>
              </w:rPr>
              <w:tab/>
            </w:r>
            <w:r w:rsidR="0059544E">
              <w:rPr>
                <w:webHidden/>
              </w:rPr>
              <w:fldChar w:fldCharType="begin"/>
            </w:r>
            <w:r w:rsidR="0059544E">
              <w:rPr>
                <w:webHidden/>
              </w:rPr>
              <w:instrText xml:space="preserve"> PAGEREF _Toc119581730 \h </w:instrText>
            </w:r>
            <w:r w:rsidR="0059544E">
              <w:rPr>
                <w:webHidden/>
              </w:rPr>
            </w:r>
            <w:r w:rsidR="0059544E">
              <w:rPr>
                <w:webHidden/>
              </w:rPr>
              <w:fldChar w:fldCharType="separate"/>
            </w:r>
            <w:r w:rsidR="00EB043F">
              <w:rPr>
                <w:webHidden/>
              </w:rPr>
              <w:t>50</w:t>
            </w:r>
            <w:r w:rsidR="0059544E">
              <w:rPr>
                <w:webHidden/>
              </w:rPr>
              <w:fldChar w:fldCharType="end"/>
            </w:r>
          </w:hyperlink>
        </w:p>
        <w:p w14:paraId="413A558C" w14:textId="1B056A99" w:rsidR="0059544E" w:rsidRDefault="00185B52">
          <w:pPr>
            <w:pStyle w:val="Kazalovsebine4"/>
            <w:rPr>
              <w:rFonts w:asciiTheme="minorHAnsi" w:hAnsiTheme="minorHAnsi"/>
              <w:sz w:val="22"/>
            </w:rPr>
          </w:pPr>
          <w:hyperlink w:anchor="_Toc119581731" w:history="1">
            <w:r w:rsidR="0059544E" w:rsidRPr="00F03AC7">
              <w:rPr>
                <w:rStyle w:val="Hiperpovezava"/>
              </w:rPr>
              <w:t>7.1.2.2</w:t>
            </w:r>
            <w:r w:rsidR="0059544E">
              <w:rPr>
                <w:rFonts w:asciiTheme="minorHAnsi" w:hAnsiTheme="minorHAnsi"/>
                <w:sz w:val="22"/>
              </w:rPr>
              <w:tab/>
            </w:r>
            <w:r w:rsidR="0059544E" w:rsidRPr="00F03AC7">
              <w:rPr>
                <w:rStyle w:val="Hiperpovezava"/>
              </w:rPr>
              <w:t>Konvencija Sveta Evrope o pranju, odkrivanju, zasegu in zaplembi premoženjske koristi, pridobljene s kaznivim dejanjem, in o financiranju terorizma</w:t>
            </w:r>
            <w:r w:rsidR="0059544E">
              <w:rPr>
                <w:webHidden/>
              </w:rPr>
              <w:tab/>
            </w:r>
            <w:r w:rsidR="0059544E">
              <w:rPr>
                <w:webHidden/>
              </w:rPr>
              <w:fldChar w:fldCharType="begin"/>
            </w:r>
            <w:r w:rsidR="0059544E">
              <w:rPr>
                <w:webHidden/>
              </w:rPr>
              <w:instrText xml:space="preserve"> PAGEREF _Toc119581731 \h </w:instrText>
            </w:r>
            <w:r w:rsidR="0059544E">
              <w:rPr>
                <w:webHidden/>
              </w:rPr>
            </w:r>
            <w:r w:rsidR="0059544E">
              <w:rPr>
                <w:webHidden/>
              </w:rPr>
              <w:fldChar w:fldCharType="separate"/>
            </w:r>
            <w:r w:rsidR="00EB043F">
              <w:rPr>
                <w:webHidden/>
              </w:rPr>
              <w:t>50</w:t>
            </w:r>
            <w:r w:rsidR="0059544E">
              <w:rPr>
                <w:webHidden/>
              </w:rPr>
              <w:fldChar w:fldCharType="end"/>
            </w:r>
          </w:hyperlink>
        </w:p>
        <w:p w14:paraId="75F0A3B6" w14:textId="7969E43D" w:rsidR="0059544E" w:rsidRDefault="00185B52">
          <w:pPr>
            <w:pStyle w:val="Kazalovsebine3"/>
            <w:tabs>
              <w:tab w:val="left" w:pos="1134"/>
            </w:tabs>
            <w:rPr>
              <w:rFonts w:asciiTheme="minorHAnsi" w:eastAsiaTheme="minorEastAsia" w:hAnsiTheme="minorHAnsi"/>
              <w:noProof/>
              <w:sz w:val="22"/>
              <w:lang w:eastAsia="sl-SI"/>
            </w:rPr>
          </w:pPr>
          <w:hyperlink w:anchor="_Toc119581732" w:history="1">
            <w:r w:rsidR="0059544E" w:rsidRPr="00F03AC7">
              <w:rPr>
                <w:rStyle w:val="Hiperpovezava"/>
                <w:noProof/>
              </w:rPr>
              <w:t>7.1.3</w:t>
            </w:r>
            <w:r w:rsidR="0059544E">
              <w:rPr>
                <w:rFonts w:asciiTheme="minorHAnsi" w:eastAsiaTheme="minorEastAsia" w:hAnsiTheme="minorHAnsi"/>
                <w:noProof/>
                <w:sz w:val="22"/>
                <w:lang w:eastAsia="sl-SI"/>
              </w:rPr>
              <w:tab/>
            </w:r>
            <w:r w:rsidR="0059544E" w:rsidRPr="00F03AC7">
              <w:rPr>
                <w:rStyle w:val="Hiperpovezava"/>
                <w:noProof/>
              </w:rPr>
              <w:t>Evropska unija</w:t>
            </w:r>
            <w:r w:rsidR="0059544E">
              <w:rPr>
                <w:noProof/>
                <w:webHidden/>
              </w:rPr>
              <w:tab/>
            </w:r>
            <w:r w:rsidR="0059544E">
              <w:rPr>
                <w:noProof/>
                <w:webHidden/>
              </w:rPr>
              <w:fldChar w:fldCharType="begin"/>
            </w:r>
            <w:r w:rsidR="0059544E">
              <w:rPr>
                <w:noProof/>
                <w:webHidden/>
              </w:rPr>
              <w:instrText xml:space="preserve"> PAGEREF _Toc119581732 \h </w:instrText>
            </w:r>
            <w:r w:rsidR="0059544E">
              <w:rPr>
                <w:noProof/>
                <w:webHidden/>
              </w:rPr>
            </w:r>
            <w:r w:rsidR="0059544E">
              <w:rPr>
                <w:noProof/>
                <w:webHidden/>
              </w:rPr>
              <w:fldChar w:fldCharType="separate"/>
            </w:r>
            <w:r w:rsidR="00EB043F">
              <w:rPr>
                <w:noProof/>
                <w:webHidden/>
              </w:rPr>
              <w:t>52</w:t>
            </w:r>
            <w:r w:rsidR="0059544E">
              <w:rPr>
                <w:noProof/>
                <w:webHidden/>
              </w:rPr>
              <w:fldChar w:fldCharType="end"/>
            </w:r>
          </w:hyperlink>
        </w:p>
        <w:p w14:paraId="2BC584BD" w14:textId="378055AF" w:rsidR="0059544E" w:rsidRDefault="00185B52">
          <w:pPr>
            <w:pStyle w:val="Kazalovsebine4"/>
            <w:rPr>
              <w:rFonts w:asciiTheme="minorHAnsi" w:hAnsiTheme="minorHAnsi"/>
              <w:sz w:val="22"/>
            </w:rPr>
          </w:pPr>
          <w:hyperlink w:anchor="_Toc119581733" w:history="1">
            <w:r w:rsidR="0059544E" w:rsidRPr="00F03AC7">
              <w:rPr>
                <w:rStyle w:val="Hiperpovezava"/>
              </w:rPr>
              <w:t>7.1.3.1</w:t>
            </w:r>
            <w:r w:rsidR="0059544E">
              <w:rPr>
                <w:rFonts w:asciiTheme="minorHAnsi" w:hAnsiTheme="minorHAnsi"/>
                <w:sz w:val="22"/>
              </w:rPr>
              <w:tab/>
            </w:r>
            <w:r w:rsidR="0059544E" w:rsidRPr="00F03AC7">
              <w:rPr>
                <w:rStyle w:val="Hiperpovezava"/>
              </w:rPr>
              <w:t>Svet Evropske unije in Evropska komisija</w:t>
            </w:r>
            <w:r w:rsidR="0059544E">
              <w:rPr>
                <w:webHidden/>
              </w:rPr>
              <w:tab/>
            </w:r>
            <w:r w:rsidR="0059544E">
              <w:rPr>
                <w:webHidden/>
              </w:rPr>
              <w:fldChar w:fldCharType="begin"/>
            </w:r>
            <w:r w:rsidR="0059544E">
              <w:rPr>
                <w:webHidden/>
              </w:rPr>
              <w:instrText xml:space="preserve"> PAGEREF _Toc119581733 \h </w:instrText>
            </w:r>
            <w:r w:rsidR="0059544E">
              <w:rPr>
                <w:webHidden/>
              </w:rPr>
            </w:r>
            <w:r w:rsidR="0059544E">
              <w:rPr>
                <w:webHidden/>
              </w:rPr>
              <w:fldChar w:fldCharType="separate"/>
            </w:r>
            <w:r w:rsidR="00EB043F">
              <w:rPr>
                <w:webHidden/>
              </w:rPr>
              <w:t>52</w:t>
            </w:r>
            <w:r w:rsidR="0059544E">
              <w:rPr>
                <w:webHidden/>
              </w:rPr>
              <w:fldChar w:fldCharType="end"/>
            </w:r>
          </w:hyperlink>
        </w:p>
        <w:p w14:paraId="538217CE" w14:textId="0FE78B1C" w:rsidR="0059544E" w:rsidRDefault="00185B52">
          <w:pPr>
            <w:pStyle w:val="Kazalovsebine4"/>
            <w:rPr>
              <w:rFonts w:asciiTheme="minorHAnsi" w:hAnsiTheme="minorHAnsi"/>
              <w:sz w:val="22"/>
            </w:rPr>
          </w:pPr>
          <w:hyperlink w:anchor="_Toc119581734" w:history="1">
            <w:r w:rsidR="0059544E" w:rsidRPr="00F03AC7">
              <w:rPr>
                <w:rStyle w:val="Hiperpovezava"/>
              </w:rPr>
              <w:t>7.1.3.2</w:t>
            </w:r>
            <w:r w:rsidR="0059544E">
              <w:rPr>
                <w:rFonts w:asciiTheme="minorHAnsi" w:hAnsiTheme="minorHAnsi"/>
                <w:sz w:val="22"/>
              </w:rPr>
              <w:tab/>
            </w:r>
            <w:r w:rsidR="0059544E" w:rsidRPr="00F03AC7">
              <w:rPr>
                <w:rStyle w:val="Hiperpovezava"/>
              </w:rPr>
              <w:t>Skupina strokovnjakov za preprečevanje pranja denarja in financiranja terorizma – EGMLTF</w:t>
            </w:r>
            <w:r w:rsidR="0059544E">
              <w:rPr>
                <w:webHidden/>
              </w:rPr>
              <w:tab/>
            </w:r>
            <w:r w:rsidR="0059544E">
              <w:rPr>
                <w:webHidden/>
              </w:rPr>
              <w:fldChar w:fldCharType="begin"/>
            </w:r>
            <w:r w:rsidR="0059544E">
              <w:rPr>
                <w:webHidden/>
              </w:rPr>
              <w:instrText xml:space="preserve"> PAGEREF _Toc119581734 \h </w:instrText>
            </w:r>
            <w:r w:rsidR="0059544E">
              <w:rPr>
                <w:webHidden/>
              </w:rPr>
            </w:r>
            <w:r w:rsidR="0059544E">
              <w:rPr>
                <w:webHidden/>
              </w:rPr>
              <w:fldChar w:fldCharType="separate"/>
            </w:r>
            <w:r w:rsidR="00EB043F">
              <w:rPr>
                <w:webHidden/>
              </w:rPr>
              <w:t>53</w:t>
            </w:r>
            <w:r w:rsidR="0059544E">
              <w:rPr>
                <w:webHidden/>
              </w:rPr>
              <w:fldChar w:fldCharType="end"/>
            </w:r>
          </w:hyperlink>
        </w:p>
        <w:p w14:paraId="40D82F2D" w14:textId="2A515908" w:rsidR="0059544E" w:rsidRDefault="00185B52">
          <w:pPr>
            <w:pStyle w:val="Kazalovsebine4"/>
            <w:rPr>
              <w:rFonts w:asciiTheme="minorHAnsi" w:hAnsiTheme="minorHAnsi"/>
              <w:sz w:val="22"/>
            </w:rPr>
          </w:pPr>
          <w:hyperlink w:anchor="_Toc119581735" w:history="1">
            <w:r w:rsidR="0059544E" w:rsidRPr="00F03AC7">
              <w:rPr>
                <w:rStyle w:val="Hiperpovezava"/>
              </w:rPr>
              <w:t>7.1.3.3</w:t>
            </w:r>
            <w:r w:rsidR="0059544E">
              <w:rPr>
                <w:rFonts w:asciiTheme="minorHAnsi" w:hAnsiTheme="minorHAnsi"/>
                <w:sz w:val="22"/>
              </w:rPr>
              <w:tab/>
            </w:r>
            <w:r w:rsidR="0059544E" w:rsidRPr="00F03AC7">
              <w:rPr>
                <w:rStyle w:val="Hiperpovezava"/>
              </w:rPr>
              <w:t>Platforma FIU (Financial Intelligence Unit)</w:t>
            </w:r>
            <w:r w:rsidR="0059544E">
              <w:rPr>
                <w:webHidden/>
              </w:rPr>
              <w:tab/>
            </w:r>
            <w:r w:rsidR="0059544E">
              <w:rPr>
                <w:webHidden/>
              </w:rPr>
              <w:fldChar w:fldCharType="begin"/>
            </w:r>
            <w:r w:rsidR="0059544E">
              <w:rPr>
                <w:webHidden/>
              </w:rPr>
              <w:instrText xml:space="preserve"> PAGEREF _Toc119581735 \h </w:instrText>
            </w:r>
            <w:r w:rsidR="0059544E">
              <w:rPr>
                <w:webHidden/>
              </w:rPr>
            </w:r>
            <w:r w:rsidR="0059544E">
              <w:rPr>
                <w:webHidden/>
              </w:rPr>
              <w:fldChar w:fldCharType="separate"/>
            </w:r>
            <w:r w:rsidR="00EB043F">
              <w:rPr>
                <w:webHidden/>
              </w:rPr>
              <w:t>53</w:t>
            </w:r>
            <w:r w:rsidR="0059544E">
              <w:rPr>
                <w:webHidden/>
              </w:rPr>
              <w:fldChar w:fldCharType="end"/>
            </w:r>
          </w:hyperlink>
        </w:p>
        <w:p w14:paraId="4096960F" w14:textId="5225B8D6" w:rsidR="0059544E" w:rsidRDefault="00185B52">
          <w:pPr>
            <w:pStyle w:val="Kazalovsebine4"/>
            <w:rPr>
              <w:rFonts w:asciiTheme="minorHAnsi" w:hAnsiTheme="minorHAnsi"/>
              <w:sz w:val="22"/>
            </w:rPr>
          </w:pPr>
          <w:hyperlink w:anchor="_Toc119581736" w:history="1">
            <w:r w:rsidR="0059544E" w:rsidRPr="00F03AC7">
              <w:rPr>
                <w:rStyle w:val="Hiperpovezava"/>
              </w:rPr>
              <w:t>7.1.3.4</w:t>
            </w:r>
            <w:r w:rsidR="0059544E">
              <w:rPr>
                <w:rFonts w:asciiTheme="minorHAnsi" w:hAnsiTheme="minorHAnsi"/>
                <w:sz w:val="22"/>
              </w:rPr>
              <w:tab/>
            </w:r>
            <w:r w:rsidR="0059544E" w:rsidRPr="00F03AC7">
              <w:rPr>
                <w:rStyle w:val="Hiperpovezava"/>
              </w:rPr>
              <w:t>Odbor za preprečevanje pranja denarja in financiranja terorizma za povezovanje registrov dejanskih lastnikov – BORIS</w:t>
            </w:r>
            <w:r w:rsidR="0059544E">
              <w:rPr>
                <w:webHidden/>
              </w:rPr>
              <w:tab/>
            </w:r>
            <w:r w:rsidR="0059544E">
              <w:rPr>
                <w:webHidden/>
              </w:rPr>
              <w:fldChar w:fldCharType="begin"/>
            </w:r>
            <w:r w:rsidR="0059544E">
              <w:rPr>
                <w:webHidden/>
              </w:rPr>
              <w:instrText xml:space="preserve"> PAGEREF _Toc119581736 \h </w:instrText>
            </w:r>
            <w:r w:rsidR="0059544E">
              <w:rPr>
                <w:webHidden/>
              </w:rPr>
            </w:r>
            <w:r w:rsidR="0059544E">
              <w:rPr>
                <w:webHidden/>
              </w:rPr>
              <w:fldChar w:fldCharType="separate"/>
            </w:r>
            <w:r w:rsidR="00EB043F">
              <w:rPr>
                <w:webHidden/>
              </w:rPr>
              <w:t>54</w:t>
            </w:r>
            <w:r w:rsidR="0059544E">
              <w:rPr>
                <w:webHidden/>
              </w:rPr>
              <w:fldChar w:fldCharType="end"/>
            </w:r>
          </w:hyperlink>
        </w:p>
        <w:p w14:paraId="6C078694" w14:textId="3370FAE7" w:rsidR="0059544E" w:rsidRDefault="00185B52">
          <w:pPr>
            <w:pStyle w:val="Kazalovsebine4"/>
            <w:rPr>
              <w:rFonts w:asciiTheme="minorHAnsi" w:hAnsiTheme="minorHAnsi"/>
              <w:sz w:val="22"/>
            </w:rPr>
          </w:pPr>
          <w:hyperlink w:anchor="_Toc119581737" w:history="1">
            <w:r w:rsidR="0059544E" w:rsidRPr="00F03AC7">
              <w:rPr>
                <w:rStyle w:val="Hiperpovezava"/>
              </w:rPr>
              <w:t>7.1.3.5</w:t>
            </w:r>
            <w:r w:rsidR="0059544E">
              <w:rPr>
                <w:rFonts w:asciiTheme="minorHAnsi" w:hAnsiTheme="minorHAnsi"/>
                <w:sz w:val="22"/>
              </w:rPr>
              <w:tab/>
            </w:r>
            <w:r w:rsidR="0059544E" w:rsidRPr="00F03AC7">
              <w:rPr>
                <w:rStyle w:val="Hiperpovezava"/>
              </w:rPr>
              <w:t>Odbor za preprečevanje pranja denarja in financiranja pri EBA (AMLSC)</w:t>
            </w:r>
            <w:r w:rsidR="0059544E">
              <w:rPr>
                <w:webHidden/>
              </w:rPr>
              <w:tab/>
            </w:r>
            <w:r w:rsidR="0059544E">
              <w:rPr>
                <w:webHidden/>
              </w:rPr>
              <w:fldChar w:fldCharType="begin"/>
            </w:r>
            <w:r w:rsidR="0059544E">
              <w:rPr>
                <w:webHidden/>
              </w:rPr>
              <w:instrText xml:space="preserve"> PAGEREF _Toc119581737 \h </w:instrText>
            </w:r>
            <w:r w:rsidR="0059544E">
              <w:rPr>
                <w:webHidden/>
              </w:rPr>
            </w:r>
            <w:r w:rsidR="0059544E">
              <w:rPr>
                <w:webHidden/>
              </w:rPr>
              <w:fldChar w:fldCharType="separate"/>
            </w:r>
            <w:r w:rsidR="00EB043F">
              <w:rPr>
                <w:webHidden/>
              </w:rPr>
              <w:t>54</w:t>
            </w:r>
            <w:r w:rsidR="0059544E">
              <w:rPr>
                <w:webHidden/>
              </w:rPr>
              <w:fldChar w:fldCharType="end"/>
            </w:r>
          </w:hyperlink>
        </w:p>
        <w:p w14:paraId="77C2C064" w14:textId="1E4B544D" w:rsidR="0059544E" w:rsidRDefault="00185B52">
          <w:pPr>
            <w:pStyle w:val="Kazalovsebine2"/>
            <w:tabs>
              <w:tab w:val="right" w:leader="dot" w:pos="9062"/>
            </w:tabs>
            <w:rPr>
              <w:rFonts w:asciiTheme="minorHAnsi" w:eastAsiaTheme="minorEastAsia" w:hAnsiTheme="minorHAnsi"/>
              <w:noProof/>
              <w:sz w:val="22"/>
              <w:lang w:eastAsia="sl-SI"/>
            </w:rPr>
          </w:pPr>
          <w:hyperlink w:anchor="_Toc119581738" w:history="1">
            <w:r w:rsidR="0059544E" w:rsidRPr="00F03AC7">
              <w:rPr>
                <w:rStyle w:val="Hiperpovezava"/>
                <w:noProof/>
              </w:rPr>
              <w:t>7.2</w:t>
            </w:r>
            <w:r w:rsidR="0059544E">
              <w:rPr>
                <w:rFonts w:asciiTheme="minorHAnsi" w:eastAsiaTheme="minorEastAsia" w:hAnsiTheme="minorHAnsi"/>
                <w:noProof/>
                <w:sz w:val="22"/>
                <w:lang w:eastAsia="sl-SI"/>
              </w:rPr>
              <w:tab/>
            </w:r>
            <w:r w:rsidR="0059544E" w:rsidRPr="00F03AC7">
              <w:rPr>
                <w:rStyle w:val="Hiperpovezava"/>
                <w:noProof/>
              </w:rPr>
              <w:t>DVOSTRANSKO SODELOVANJE</w:t>
            </w:r>
            <w:r w:rsidR="0059544E">
              <w:rPr>
                <w:noProof/>
                <w:webHidden/>
              </w:rPr>
              <w:tab/>
            </w:r>
            <w:r w:rsidR="0059544E">
              <w:rPr>
                <w:noProof/>
                <w:webHidden/>
              </w:rPr>
              <w:fldChar w:fldCharType="begin"/>
            </w:r>
            <w:r w:rsidR="0059544E">
              <w:rPr>
                <w:noProof/>
                <w:webHidden/>
              </w:rPr>
              <w:instrText xml:space="preserve"> PAGEREF _Toc119581738 \h </w:instrText>
            </w:r>
            <w:r w:rsidR="0059544E">
              <w:rPr>
                <w:noProof/>
                <w:webHidden/>
              </w:rPr>
            </w:r>
            <w:r w:rsidR="0059544E">
              <w:rPr>
                <w:noProof/>
                <w:webHidden/>
              </w:rPr>
              <w:fldChar w:fldCharType="separate"/>
            </w:r>
            <w:r w:rsidR="00EB043F">
              <w:rPr>
                <w:noProof/>
                <w:webHidden/>
              </w:rPr>
              <w:t>55</w:t>
            </w:r>
            <w:r w:rsidR="0059544E">
              <w:rPr>
                <w:noProof/>
                <w:webHidden/>
              </w:rPr>
              <w:fldChar w:fldCharType="end"/>
            </w:r>
          </w:hyperlink>
        </w:p>
        <w:p w14:paraId="055BBA70" w14:textId="43BCFEAD" w:rsidR="0059544E" w:rsidRDefault="00185B52">
          <w:pPr>
            <w:pStyle w:val="Kazalovsebine3"/>
            <w:tabs>
              <w:tab w:val="left" w:pos="1134"/>
            </w:tabs>
            <w:rPr>
              <w:rFonts w:asciiTheme="minorHAnsi" w:eastAsiaTheme="minorEastAsia" w:hAnsiTheme="minorHAnsi"/>
              <w:noProof/>
              <w:sz w:val="22"/>
              <w:lang w:eastAsia="sl-SI"/>
            </w:rPr>
          </w:pPr>
          <w:hyperlink w:anchor="_Toc119581739" w:history="1">
            <w:r w:rsidR="0059544E" w:rsidRPr="00F03AC7">
              <w:rPr>
                <w:rStyle w:val="Hiperpovezava"/>
                <w:noProof/>
              </w:rPr>
              <w:t>7.2.1</w:t>
            </w:r>
            <w:r w:rsidR="0059544E">
              <w:rPr>
                <w:rFonts w:asciiTheme="minorHAnsi" w:eastAsiaTheme="minorEastAsia" w:hAnsiTheme="minorHAnsi"/>
                <w:noProof/>
                <w:sz w:val="22"/>
                <w:lang w:eastAsia="sl-SI"/>
              </w:rPr>
              <w:tab/>
            </w:r>
            <w:r w:rsidR="0059544E" w:rsidRPr="00F03AC7">
              <w:rPr>
                <w:rStyle w:val="Hiperpovezava"/>
                <w:noProof/>
              </w:rPr>
              <w:t>Mednarodno sodelovanje na podlagi določil Zakona o preprečevanju pranja denarja in financiranja terorizma</w:t>
            </w:r>
            <w:r w:rsidR="0059544E">
              <w:rPr>
                <w:noProof/>
                <w:webHidden/>
              </w:rPr>
              <w:tab/>
            </w:r>
            <w:r w:rsidR="0059544E">
              <w:rPr>
                <w:noProof/>
                <w:webHidden/>
              </w:rPr>
              <w:fldChar w:fldCharType="begin"/>
            </w:r>
            <w:r w:rsidR="0059544E">
              <w:rPr>
                <w:noProof/>
                <w:webHidden/>
              </w:rPr>
              <w:instrText xml:space="preserve"> PAGEREF _Toc119581739 \h </w:instrText>
            </w:r>
            <w:r w:rsidR="0059544E">
              <w:rPr>
                <w:noProof/>
                <w:webHidden/>
              </w:rPr>
            </w:r>
            <w:r w:rsidR="0059544E">
              <w:rPr>
                <w:noProof/>
                <w:webHidden/>
              </w:rPr>
              <w:fldChar w:fldCharType="separate"/>
            </w:r>
            <w:r w:rsidR="00EB043F">
              <w:rPr>
                <w:noProof/>
                <w:webHidden/>
              </w:rPr>
              <w:t>55</w:t>
            </w:r>
            <w:r w:rsidR="0059544E">
              <w:rPr>
                <w:noProof/>
                <w:webHidden/>
              </w:rPr>
              <w:fldChar w:fldCharType="end"/>
            </w:r>
          </w:hyperlink>
        </w:p>
        <w:p w14:paraId="2B0C02C7" w14:textId="5E2D0B83" w:rsidR="0059544E" w:rsidRDefault="00185B52">
          <w:pPr>
            <w:pStyle w:val="Kazalovsebine3"/>
            <w:tabs>
              <w:tab w:val="left" w:pos="1134"/>
            </w:tabs>
            <w:rPr>
              <w:rFonts w:asciiTheme="minorHAnsi" w:eastAsiaTheme="minorEastAsia" w:hAnsiTheme="minorHAnsi"/>
              <w:noProof/>
              <w:sz w:val="22"/>
              <w:lang w:eastAsia="sl-SI"/>
            </w:rPr>
          </w:pPr>
          <w:hyperlink w:anchor="_Toc119581740" w:history="1">
            <w:r w:rsidR="0059544E" w:rsidRPr="00F03AC7">
              <w:rPr>
                <w:rStyle w:val="Hiperpovezava"/>
                <w:noProof/>
              </w:rPr>
              <w:t>7.2.2</w:t>
            </w:r>
            <w:r w:rsidR="0059544E">
              <w:rPr>
                <w:rFonts w:asciiTheme="minorHAnsi" w:eastAsiaTheme="minorEastAsia" w:hAnsiTheme="minorHAnsi"/>
                <w:noProof/>
                <w:sz w:val="22"/>
                <w:lang w:eastAsia="sl-SI"/>
              </w:rPr>
              <w:tab/>
            </w:r>
            <w:r w:rsidR="0059544E" w:rsidRPr="00F03AC7">
              <w:rPr>
                <w:rStyle w:val="Hiperpovezava"/>
                <w:noProof/>
              </w:rPr>
              <w:t>Sklenjena pisma o izmenjavi podatkov</w:t>
            </w:r>
            <w:r w:rsidR="0059544E">
              <w:rPr>
                <w:noProof/>
                <w:webHidden/>
              </w:rPr>
              <w:tab/>
            </w:r>
            <w:r w:rsidR="0059544E">
              <w:rPr>
                <w:noProof/>
                <w:webHidden/>
              </w:rPr>
              <w:fldChar w:fldCharType="begin"/>
            </w:r>
            <w:r w:rsidR="0059544E">
              <w:rPr>
                <w:noProof/>
                <w:webHidden/>
              </w:rPr>
              <w:instrText xml:space="preserve"> PAGEREF _Toc119581740 \h </w:instrText>
            </w:r>
            <w:r w:rsidR="0059544E">
              <w:rPr>
                <w:noProof/>
                <w:webHidden/>
              </w:rPr>
            </w:r>
            <w:r w:rsidR="0059544E">
              <w:rPr>
                <w:noProof/>
                <w:webHidden/>
              </w:rPr>
              <w:fldChar w:fldCharType="separate"/>
            </w:r>
            <w:r w:rsidR="00EB043F">
              <w:rPr>
                <w:noProof/>
                <w:webHidden/>
              </w:rPr>
              <w:t>57</w:t>
            </w:r>
            <w:r w:rsidR="0059544E">
              <w:rPr>
                <w:noProof/>
                <w:webHidden/>
              </w:rPr>
              <w:fldChar w:fldCharType="end"/>
            </w:r>
          </w:hyperlink>
        </w:p>
        <w:p w14:paraId="06D34697" w14:textId="049B5C40" w:rsidR="0059544E" w:rsidRDefault="00185B52">
          <w:pPr>
            <w:pStyle w:val="Kazalovsebine3"/>
            <w:tabs>
              <w:tab w:val="left" w:pos="1134"/>
            </w:tabs>
            <w:rPr>
              <w:rFonts w:asciiTheme="minorHAnsi" w:eastAsiaTheme="minorEastAsia" w:hAnsiTheme="minorHAnsi"/>
              <w:noProof/>
              <w:sz w:val="22"/>
              <w:lang w:eastAsia="sl-SI"/>
            </w:rPr>
          </w:pPr>
          <w:hyperlink w:anchor="_Toc119581741" w:history="1">
            <w:r w:rsidR="0059544E" w:rsidRPr="00F03AC7">
              <w:rPr>
                <w:rStyle w:val="Hiperpovezava"/>
                <w:noProof/>
              </w:rPr>
              <w:t>7.2.3</w:t>
            </w:r>
            <w:r w:rsidR="0059544E">
              <w:rPr>
                <w:rFonts w:asciiTheme="minorHAnsi" w:eastAsiaTheme="minorEastAsia" w:hAnsiTheme="minorHAnsi"/>
                <w:noProof/>
                <w:sz w:val="22"/>
                <w:lang w:eastAsia="sl-SI"/>
              </w:rPr>
              <w:tab/>
            </w:r>
            <w:r w:rsidR="0059544E" w:rsidRPr="00F03AC7">
              <w:rPr>
                <w:rStyle w:val="Hiperpovezava"/>
                <w:noProof/>
              </w:rPr>
              <w:t>Ostale oblike dvostranskega sodelovanja (Bilateralna tehnična pomoč Severni Makedoniji in Črni gori)</w:t>
            </w:r>
            <w:r w:rsidR="0059544E">
              <w:rPr>
                <w:noProof/>
                <w:webHidden/>
              </w:rPr>
              <w:tab/>
            </w:r>
            <w:r w:rsidR="0059544E">
              <w:rPr>
                <w:noProof/>
                <w:webHidden/>
              </w:rPr>
              <w:fldChar w:fldCharType="begin"/>
            </w:r>
            <w:r w:rsidR="0059544E">
              <w:rPr>
                <w:noProof/>
                <w:webHidden/>
              </w:rPr>
              <w:instrText xml:space="preserve"> PAGEREF _Toc119581741 \h </w:instrText>
            </w:r>
            <w:r w:rsidR="0059544E">
              <w:rPr>
                <w:noProof/>
                <w:webHidden/>
              </w:rPr>
            </w:r>
            <w:r w:rsidR="0059544E">
              <w:rPr>
                <w:noProof/>
                <w:webHidden/>
              </w:rPr>
              <w:fldChar w:fldCharType="separate"/>
            </w:r>
            <w:r w:rsidR="00EB043F">
              <w:rPr>
                <w:noProof/>
                <w:webHidden/>
              </w:rPr>
              <w:t>58</w:t>
            </w:r>
            <w:r w:rsidR="0059544E">
              <w:rPr>
                <w:noProof/>
                <w:webHidden/>
              </w:rPr>
              <w:fldChar w:fldCharType="end"/>
            </w:r>
          </w:hyperlink>
        </w:p>
        <w:p w14:paraId="7247CE78" w14:textId="62F64D1B" w:rsidR="0059544E" w:rsidRDefault="00185B52">
          <w:pPr>
            <w:pStyle w:val="Kazalovsebine3"/>
            <w:tabs>
              <w:tab w:val="left" w:pos="1134"/>
            </w:tabs>
            <w:rPr>
              <w:rFonts w:asciiTheme="minorHAnsi" w:eastAsiaTheme="minorEastAsia" w:hAnsiTheme="minorHAnsi"/>
              <w:noProof/>
              <w:sz w:val="22"/>
              <w:lang w:eastAsia="sl-SI"/>
            </w:rPr>
          </w:pPr>
          <w:hyperlink w:anchor="_Toc119581742" w:history="1">
            <w:r w:rsidR="0059544E" w:rsidRPr="00F03AC7">
              <w:rPr>
                <w:rStyle w:val="Hiperpovezava"/>
                <w:noProof/>
              </w:rPr>
              <w:t>7.2.4</w:t>
            </w:r>
            <w:r w:rsidR="0059544E">
              <w:rPr>
                <w:rFonts w:asciiTheme="minorHAnsi" w:eastAsiaTheme="minorEastAsia" w:hAnsiTheme="minorHAnsi"/>
                <w:noProof/>
                <w:sz w:val="22"/>
                <w:lang w:eastAsia="sl-SI"/>
              </w:rPr>
              <w:tab/>
            </w:r>
            <w:r w:rsidR="0059544E" w:rsidRPr="00F03AC7">
              <w:rPr>
                <w:rStyle w:val="Hiperpovezava"/>
                <w:noProof/>
              </w:rPr>
              <w:t>Mednarodno sodelovanje na podlagi Konvencije Sveta Evrope št. 198</w:t>
            </w:r>
            <w:r w:rsidR="0059544E">
              <w:rPr>
                <w:noProof/>
                <w:webHidden/>
              </w:rPr>
              <w:tab/>
            </w:r>
            <w:r w:rsidR="0059544E">
              <w:rPr>
                <w:noProof/>
                <w:webHidden/>
              </w:rPr>
              <w:fldChar w:fldCharType="begin"/>
            </w:r>
            <w:r w:rsidR="0059544E">
              <w:rPr>
                <w:noProof/>
                <w:webHidden/>
              </w:rPr>
              <w:instrText xml:space="preserve"> PAGEREF _Toc119581742 \h </w:instrText>
            </w:r>
            <w:r w:rsidR="0059544E">
              <w:rPr>
                <w:noProof/>
                <w:webHidden/>
              </w:rPr>
            </w:r>
            <w:r w:rsidR="0059544E">
              <w:rPr>
                <w:noProof/>
                <w:webHidden/>
              </w:rPr>
              <w:fldChar w:fldCharType="separate"/>
            </w:r>
            <w:r w:rsidR="00EB043F">
              <w:rPr>
                <w:noProof/>
                <w:webHidden/>
              </w:rPr>
              <w:t>58</w:t>
            </w:r>
            <w:r w:rsidR="0059544E">
              <w:rPr>
                <w:noProof/>
                <w:webHidden/>
              </w:rPr>
              <w:fldChar w:fldCharType="end"/>
            </w:r>
          </w:hyperlink>
        </w:p>
        <w:p w14:paraId="47C8B39A" w14:textId="56924CE7" w:rsidR="0059544E" w:rsidRDefault="00185B52">
          <w:pPr>
            <w:pStyle w:val="Kazalovsebine1"/>
            <w:tabs>
              <w:tab w:val="right" w:leader="dot" w:pos="9062"/>
            </w:tabs>
            <w:rPr>
              <w:rFonts w:asciiTheme="minorHAnsi" w:eastAsiaTheme="minorEastAsia" w:hAnsiTheme="minorHAnsi"/>
              <w:b w:val="0"/>
              <w:noProof/>
              <w:sz w:val="22"/>
              <w:lang w:eastAsia="sl-SI"/>
            </w:rPr>
          </w:pPr>
          <w:hyperlink w:anchor="_Toc119581743" w:history="1">
            <w:r w:rsidR="0059544E" w:rsidRPr="00F03AC7">
              <w:rPr>
                <w:rStyle w:val="Hiperpovezava"/>
                <w:noProof/>
              </w:rPr>
              <w:t>8</w:t>
            </w:r>
            <w:r w:rsidR="0059544E">
              <w:rPr>
                <w:rFonts w:asciiTheme="minorHAnsi" w:eastAsiaTheme="minorEastAsia" w:hAnsiTheme="minorHAnsi"/>
                <w:b w:val="0"/>
                <w:noProof/>
                <w:sz w:val="22"/>
                <w:lang w:eastAsia="sl-SI"/>
              </w:rPr>
              <w:tab/>
            </w:r>
            <w:r w:rsidR="0059544E" w:rsidRPr="00F03AC7">
              <w:rPr>
                <w:rStyle w:val="Hiperpovezava"/>
                <w:noProof/>
              </w:rPr>
              <w:t>PREVEN</w:t>
            </w:r>
            <w:r w:rsidR="0059544E" w:rsidRPr="00F03AC7">
              <w:rPr>
                <w:rStyle w:val="Hiperpovezava"/>
                <w:noProof/>
              </w:rPr>
              <w:t>T</w:t>
            </w:r>
            <w:r w:rsidR="0059544E" w:rsidRPr="00F03AC7">
              <w:rPr>
                <w:rStyle w:val="Hiperpovezava"/>
                <w:noProof/>
              </w:rPr>
              <w:t>IVA</w:t>
            </w:r>
            <w:r w:rsidR="0059544E">
              <w:rPr>
                <w:noProof/>
                <w:webHidden/>
              </w:rPr>
              <w:tab/>
            </w:r>
            <w:r w:rsidR="0059544E">
              <w:rPr>
                <w:noProof/>
                <w:webHidden/>
              </w:rPr>
              <w:fldChar w:fldCharType="begin"/>
            </w:r>
            <w:r w:rsidR="0059544E">
              <w:rPr>
                <w:noProof/>
                <w:webHidden/>
              </w:rPr>
              <w:instrText xml:space="preserve"> PAGEREF _Toc119581743 \h </w:instrText>
            </w:r>
            <w:r w:rsidR="0059544E">
              <w:rPr>
                <w:noProof/>
                <w:webHidden/>
              </w:rPr>
            </w:r>
            <w:r w:rsidR="0059544E">
              <w:rPr>
                <w:noProof/>
                <w:webHidden/>
              </w:rPr>
              <w:fldChar w:fldCharType="separate"/>
            </w:r>
            <w:r w:rsidR="00EB043F">
              <w:rPr>
                <w:noProof/>
                <w:webHidden/>
              </w:rPr>
              <w:t>59</w:t>
            </w:r>
            <w:r w:rsidR="0059544E">
              <w:rPr>
                <w:noProof/>
                <w:webHidden/>
              </w:rPr>
              <w:fldChar w:fldCharType="end"/>
            </w:r>
          </w:hyperlink>
        </w:p>
        <w:p w14:paraId="799EE4E5" w14:textId="7ADBB77C" w:rsidR="0059544E" w:rsidRDefault="00185B52">
          <w:pPr>
            <w:pStyle w:val="Kazalovsebine2"/>
            <w:tabs>
              <w:tab w:val="right" w:leader="dot" w:pos="9062"/>
            </w:tabs>
            <w:rPr>
              <w:rFonts w:asciiTheme="minorHAnsi" w:eastAsiaTheme="minorEastAsia" w:hAnsiTheme="minorHAnsi"/>
              <w:noProof/>
              <w:sz w:val="22"/>
              <w:lang w:eastAsia="sl-SI"/>
            </w:rPr>
          </w:pPr>
          <w:hyperlink w:anchor="_Toc119581744" w:history="1">
            <w:r w:rsidR="0059544E" w:rsidRPr="00F03AC7">
              <w:rPr>
                <w:rStyle w:val="Hiperpovezava"/>
                <w:noProof/>
              </w:rPr>
              <w:t>8.1</w:t>
            </w:r>
            <w:r w:rsidR="0059544E">
              <w:rPr>
                <w:rFonts w:asciiTheme="minorHAnsi" w:eastAsiaTheme="minorEastAsia" w:hAnsiTheme="minorHAnsi"/>
                <w:noProof/>
                <w:sz w:val="22"/>
                <w:lang w:eastAsia="sl-SI"/>
              </w:rPr>
              <w:tab/>
            </w:r>
            <w:r w:rsidR="0059544E" w:rsidRPr="00F03AC7">
              <w:rPr>
                <w:rStyle w:val="Hiperpovezava"/>
                <w:noProof/>
              </w:rPr>
              <w:t>STROKOVNO USPOSABLJANJE</w:t>
            </w:r>
            <w:r w:rsidR="0059544E">
              <w:rPr>
                <w:noProof/>
                <w:webHidden/>
              </w:rPr>
              <w:tab/>
            </w:r>
            <w:r w:rsidR="0059544E">
              <w:rPr>
                <w:noProof/>
                <w:webHidden/>
              </w:rPr>
              <w:fldChar w:fldCharType="begin"/>
            </w:r>
            <w:r w:rsidR="0059544E">
              <w:rPr>
                <w:noProof/>
                <w:webHidden/>
              </w:rPr>
              <w:instrText xml:space="preserve"> PAGEREF _Toc119581744 \h </w:instrText>
            </w:r>
            <w:r w:rsidR="0059544E">
              <w:rPr>
                <w:noProof/>
                <w:webHidden/>
              </w:rPr>
            </w:r>
            <w:r w:rsidR="0059544E">
              <w:rPr>
                <w:noProof/>
                <w:webHidden/>
              </w:rPr>
              <w:fldChar w:fldCharType="separate"/>
            </w:r>
            <w:r w:rsidR="00EB043F">
              <w:rPr>
                <w:noProof/>
                <w:webHidden/>
              </w:rPr>
              <w:t>59</w:t>
            </w:r>
            <w:r w:rsidR="0059544E">
              <w:rPr>
                <w:noProof/>
                <w:webHidden/>
              </w:rPr>
              <w:fldChar w:fldCharType="end"/>
            </w:r>
          </w:hyperlink>
        </w:p>
        <w:p w14:paraId="5FC0301B" w14:textId="7793FC39" w:rsidR="0059544E" w:rsidRDefault="00185B52">
          <w:pPr>
            <w:pStyle w:val="Kazalovsebine3"/>
            <w:tabs>
              <w:tab w:val="left" w:pos="1134"/>
            </w:tabs>
            <w:rPr>
              <w:rFonts w:asciiTheme="minorHAnsi" w:eastAsiaTheme="minorEastAsia" w:hAnsiTheme="minorHAnsi"/>
              <w:noProof/>
              <w:sz w:val="22"/>
              <w:lang w:eastAsia="sl-SI"/>
            </w:rPr>
          </w:pPr>
          <w:hyperlink w:anchor="_Toc119581745" w:history="1">
            <w:r w:rsidR="0059544E" w:rsidRPr="00F03AC7">
              <w:rPr>
                <w:rStyle w:val="Hiperpovezava"/>
                <w:noProof/>
              </w:rPr>
              <w:t>8.1.1</w:t>
            </w:r>
            <w:r w:rsidR="0059544E">
              <w:rPr>
                <w:rFonts w:asciiTheme="minorHAnsi" w:eastAsiaTheme="minorEastAsia" w:hAnsiTheme="minorHAnsi"/>
                <w:noProof/>
                <w:sz w:val="22"/>
                <w:lang w:eastAsia="sl-SI"/>
              </w:rPr>
              <w:tab/>
            </w:r>
            <w:r w:rsidR="0059544E" w:rsidRPr="00F03AC7">
              <w:rPr>
                <w:rStyle w:val="Hiperpovezava"/>
                <w:noProof/>
              </w:rPr>
              <w:t>Strokovna usposabljanja in predavanja v Sloveniji</w:t>
            </w:r>
            <w:r w:rsidR="0059544E">
              <w:rPr>
                <w:noProof/>
                <w:webHidden/>
              </w:rPr>
              <w:tab/>
            </w:r>
            <w:r w:rsidR="0059544E">
              <w:rPr>
                <w:noProof/>
                <w:webHidden/>
              </w:rPr>
              <w:fldChar w:fldCharType="begin"/>
            </w:r>
            <w:r w:rsidR="0059544E">
              <w:rPr>
                <w:noProof/>
                <w:webHidden/>
              </w:rPr>
              <w:instrText xml:space="preserve"> PAGEREF _Toc119581745 \h </w:instrText>
            </w:r>
            <w:r w:rsidR="0059544E">
              <w:rPr>
                <w:noProof/>
                <w:webHidden/>
              </w:rPr>
            </w:r>
            <w:r w:rsidR="0059544E">
              <w:rPr>
                <w:noProof/>
                <w:webHidden/>
              </w:rPr>
              <w:fldChar w:fldCharType="separate"/>
            </w:r>
            <w:r w:rsidR="00EB043F">
              <w:rPr>
                <w:noProof/>
                <w:webHidden/>
              </w:rPr>
              <w:t>59</w:t>
            </w:r>
            <w:r w:rsidR="0059544E">
              <w:rPr>
                <w:noProof/>
                <w:webHidden/>
              </w:rPr>
              <w:fldChar w:fldCharType="end"/>
            </w:r>
          </w:hyperlink>
        </w:p>
        <w:p w14:paraId="6B027304" w14:textId="58AC3479" w:rsidR="0059544E" w:rsidRDefault="00185B52">
          <w:pPr>
            <w:pStyle w:val="Kazalovsebine3"/>
            <w:tabs>
              <w:tab w:val="left" w:pos="1134"/>
            </w:tabs>
            <w:rPr>
              <w:rFonts w:asciiTheme="minorHAnsi" w:eastAsiaTheme="minorEastAsia" w:hAnsiTheme="minorHAnsi"/>
              <w:noProof/>
              <w:sz w:val="22"/>
              <w:lang w:eastAsia="sl-SI"/>
            </w:rPr>
          </w:pPr>
          <w:hyperlink w:anchor="_Toc119581746" w:history="1">
            <w:r w:rsidR="0059544E" w:rsidRPr="00F03AC7">
              <w:rPr>
                <w:rStyle w:val="Hiperpovezava"/>
                <w:noProof/>
              </w:rPr>
              <w:t>8.1.2</w:t>
            </w:r>
            <w:r w:rsidR="0059544E">
              <w:rPr>
                <w:rFonts w:asciiTheme="minorHAnsi" w:eastAsiaTheme="minorEastAsia" w:hAnsiTheme="minorHAnsi"/>
                <w:noProof/>
                <w:sz w:val="22"/>
                <w:lang w:eastAsia="sl-SI"/>
              </w:rPr>
              <w:tab/>
            </w:r>
            <w:r w:rsidR="0059544E" w:rsidRPr="00F03AC7">
              <w:rPr>
                <w:rStyle w:val="Hiperpovezava"/>
                <w:noProof/>
              </w:rPr>
              <w:t>Strokovna usposabljanja in predavanja v tujini</w:t>
            </w:r>
            <w:r w:rsidR="0059544E">
              <w:rPr>
                <w:noProof/>
                <w:webHidden/>
              </w:rPr>
              <w:tab/>
            </w:r>
            <w:r w:rsidR="0059544E">
              <w:rPr>
                <w:noProof/>
                <w:webHidden/>
              </w:rPr>
              <w:fldChar w:fldCharType="begin"/>
            </w:r>
            <w:r w:rsidR="0059544E">
              <w:rPr>
                <w:noProof/>
                <w:webHidden/>
              </w:rPr>
              <w:instrText xml:space="preserve"> PAGEREF _Toc119581746 \h </w:instrText>
            </w:r>
            <w:r w:rsidR="0059544E">
              <w:rPr>
                <w:noProof/>
                <w:webHidden/>
              </w:rPr>
            </w:r>
            <w:r w:rsidR="0059544E">
              <w:rPr>
                <w:noProof/>
                <w:webHidden/>
              </w:rPr>
              <w:fldChar w:fldCharType="separate"/>
            </w:r>
            <w:r w:rsidR="00EB043F">
              <w:rPr>
                <w:noProof/>
                <w:webHidden/>
              </w:rPr>
              <w:t>59</w:t>
            </w:r>
            <w:r w:rsidR="0059544E">
              <w:rPr>
                <w:noProof/>
                <w:webHidden/>
              </w:rPr>
              <w:fldChar w:fldCharType="end"/>
            </w:r>
          </w:hyperlink>
        </w:p>
        <w:p w14:paraId="58036048" w14:textId="34E2145A" w:rsidR="0059544E" w:rsidRDefault="00185B52">
          <w:pPr>
            <w:pStyle w:val="Kazalovsebine2"/>
            <w:tabs>
              <w:tab w:val="right" w:leader="dot" w:pos="9062"/>
            </w:tabs>
            <w:rPr>
              <w:rFonts w:asciiTheme="minorHAnsi" w:eastAsiaTheme="minorEastAsia" w:hAnsiTheme="minorHAnsi"/>
              <w:noProof/>
              <w:sz w:val="22"/>
              <w:lang w:eastAsia="sl-SI"/>
            </w:rPr>
          </w:pPr>
          <w:hyperlink w:anchor="_Toc119581747" w:history="1">
            <w:r w:rsidR="0059544E" w:rsidRPr="00F03AC7">
              <w:rPr>
                <w:rStyle w:val="Hiperpovezava"/>
                <w:noProof/>
              </w:rPr>
              <w:t>8.2</w:t>
            </w:r>
            <w:r w:rsidR="0059544E">
              <w:rPr>
                <w:rFonts w:asciiTheme="minorHAnsi" w:eastAsiaTheme="minorEastAsia" w:hAnsiTheme="minorHAnsi"/>
                <w:noProof/>
                <w:sz w:val="22"/>
                <w:lang w:eastAsia="sl-SI"/>
              </w:rPr>
              <w:tab/>
            </w:r>
            <w:r w:rsidR="0059544E" w:rsidRPr="00F03AC7">
              <w:rPr>
                <w:rStyle w:val="Hiperpovezava"/>
                <w:noProof/>
              </w:rPr>
              <w:t>NACIONALNA OCENA TVEGANJA</w:t>
            </w:r>
            <w:r w:rsidR="0059544E">
              <w:rPr>
                <w:noProof/>
                <w:webHidden/>
              </w:rPr>
              <w:tab/>
            </w:r>
            <w:r w:rsidR="0059544E">
              <w:rPr>
                <w:noProof/>
                <w:webHidden/>
              </w:rPr>
              <w:fldChar w:fldCharType="begin"/>
            </w:r>
            <w:r w:rsidR="0059544E">
              <w:rPr>
                <w:noProof/>
                <w:webHidden/>
              </w:rPr>
              <w:instrText xml:space="preserve"> PAGEREF _Toc119581747 \h </w:instrText>
            </w:r>
            <w:r w:rsidR="0059544E">
              <w:rPr>
                <w:noProof/>
                <w:webHidden/>
              </w:rPr>
            </w:r>
            <w:r w:rsidR="0059544E">
              <w:rPr>
                <w:noProof/>
                <w:webHidden/>
              </w:rPr>
              <w:fldChar w:fldCharType="separate"/>
            </w:r>
            <w:r w:rsidR="00EB043F">
              <w:rPr>
                <w:noProof/>
                <w:webHidden/>
              </w:rPr>
              <w:t>60</w:t>
            </w:r>
            <w:r w:rsidR="0059544E">
              <w:rPr>
                <w:noProof/>
                <w:webHidden/>
              </w:rPr>
              <w:fldChar w:fldCharType="end"/>
            </w:r>
          </w:hyperlink>
        </w:p>
        <w:p w14:paraId="14917F81" w14:textId="378D5FE1" w:rsidR="0059544E" w:rsidRDefault="00185B52">
          <w:pPr>
            <w:pStyle w:val="Kazalovsebine3"/>
            <w:tabs>
              <w:tab w:val="left" w:pos="1134"/>
            </w:tabs>
            <w:rPr>
              <w:rFonts w:asciiTheme="minorHAnsi" w:eastAsiaTheme="minorEastAsia" w:hAnsiTheme="minorHAnsi"/>
              <w:noProof/>
              <w:sz w:val="22"/>
              <w:lang w:eastAsia="sl-SI"/>
            </w:rPr>
          </w:pPr>
          <w:hyperlink w:anchor="_Toc119581748" w:history="1">
            <w:r w:rsidR="0059544E" w:rsidRPr="00F03AC7">
              <w:rPr>
                <w:rStyle w:val="Hiperpovezava"/>
                <w:noProof/>
              </w:rPr>
              <w:t>8.2.1</w:t>
            </w:r>
            <w:r w:rsidR="0059544E">
              <w:rPr>
                <w:rFonts w:asciiTheme="minorHAnsi" w:eastAsiaTheme="minorEastAsia" w:hAnsiTheme="minorHAnsi"/>
                <w:noProof/>
                <w:sz w:val="22"/>
                <w:lang w:eastAsia="sl-SI"/>
              </w:rPr>
              <w:tab/>
            </w:r>
            <w:r w:rsidR="0059544E" w:rsidRPr="00F03AC7">
              <w:rPr>
                <w:rStyle w:val="Hiperpovezava"/>
                <w:noProof/>
              </w:rPr>
              <w:t>Nacionalna ocena tveganja Republike Slovenije za pranje denarja in financiranje terorizma (NOT)</w:t>
            </w:r>
            <w:r w:rsidR="0059544E">
              <w:rPr>
                <w:noProof/>
                <w:webHidden/>
              </w:rPr>
              <w:tab/>
            </w:r>
            <w:r w:rsidR="0059544E">
              <w:rPr>
                <w:noProof/>
                <w:webHidden/>
              </w:rPr>
              <w:fldChar w:fldCharType="begin"/>
            </w:r>
            <w:r w:rsidR="0059544E">
              <w:rPr>
                <w:noProof/>
                <w:webHidden/>
              </w:rPr>
              <w:instrText xml:space="preserve"> PAGEREF _Toc119581748 \h </w:instrText>
            </w:r>
            <w:r w:rsidR="0059544E">
              <w:rPr>
                <w:noProof/>
                <w:webHidden/>
              </w:rPr>
            </w:r>
            <w:r w:rsidR="0059544E">
              <w:rPr>
                <w:noProof/>
                <w:webHidden/>
              </w:rPr>
              <w:fldChar w:fldCharType="separate"/>
            </w:r>
            <w:r w:rsidR="00EB043F">
              <w:rPr>
                <w:noProof/>
                <w:webHidden/>
              </w:rPr>
              <w:t>60</w:t>
            </w:r>
            <w:r w:rsidR="0059544E">
              <w:rPr>
                <w:noProof/>
                <w:webHidden/>
              </w:rPr>
              <w:fldChar w:fldCharType="end"/>
            </w:r>
          </w:hyperlink>
        </w:p>
        <w:p w14:paraId="2CD52712" w14:textId="03239637" w:rsidR="0059544E" w:rsidRDefault="00185B52">
          <w:pPr>
            <w:pStyle w:val="Kazalovsebine1"/>
            <w:tabs>
              <w:tab w:val="right" w:leader="dot" w:pos="9062"/>
            </w:tabs>
            <w:rPr>
              <w:rFonts w:asciiTheme="minorHAnsi" w:eastAsiaTheme="minorEastAsia" w:hAnsiTheme="minorHAnsi"/>
              <w:b w:val="0"/>
              <w:noProof/>
              <w:sz w:val="22"/>
              <w:lang w:eastAsia="sl-SI"/>
            </w:rPr>
          </w:pPr>
          <w:hyperlink w:anchor="_Toc119581749" w:history="1">
            <w:r w:rsidR="0059544E" w:rsidRPr="00F03AC7">
              <w:rPr>
                <w:rStyle w:val="Hiperpovezava"/>
                <w:noProof/>
              </w:rPr>
              <w:t>9</w:t>
            </w:r>
            <w:r w:rsidR="0059544E">
              <w:rPr>
                <w:rFonts w:asciiTheme="minorHAnsi" w:eastAsiaTheme="minorEastAsia" w:hAnsiTheme="minorHAnsi"/>
                <w:b w:val="0"/>
                <w:noProof/>
                <w:sz w:val="22"/>
                <w:lang w:eastAsia="sl-SI"/>
              </w:rPr>
              <w:tab/>
            </w:r>
            <w:r w:rsidR="0059544E" w:rsidRPr="00F03AC7">
              <w:rPr>
                <w:rStyle w:val="Hiperpovezava"/>
                <w:noProof/>
              </w:rPr>
              <w:t>LOGISTIKA IN INFORMATIKA</w:t>
            </w:r>
            <w:r w:rsidR="0059544E">
              <w:rPr>
                <w:noProof/>
                <w:webHidden/>
              </w:rPr>
              <w:tab/>
            </w:r>
            <w:r w:rsidR="0059544E">
              <w:rPr>
                <w:noProof/>
                <w:webHidden/>
              </w:rPr>
              <w:fldChar w:fldCharType="begin"/>
            </w:r>
            <w:r w:rsidR="0059544E">
              <w:rPr>
                <w:noProof/>
                <w:webHidden/>
              </w:rPr>
              <w:instrText xml:space="preserve"> PAGEREF _Toc119581749 \h </w:instrText>
            </w:r>
            <w:r w:rsidR="0059544E">
              <w:rPr>
                <w:noProof/>
                <w:webHidden/>
              </w:rPr>
            </w:r>
            <w:r w:rsidR="0059544E">
              <w:rPr>
                <w:noProof/>
                <w:webHidden/>
              </w:rPr>
              <w:fldChar w:fldCharType="separate"/>
            </w:r>
            <w:r w:rsidR="00EB043F">
              <w:rPr>
                <w:noProof/>
                <w:webHidden/>
              </w:rPr>
              <w:t>61</w:t>
            </w:r>
            <w:r w:rsidR="0059544E">
              <w:rPr>
                <w:noProof/>
                <w:webHidden/>
              </w:rPr>
              <w:fldChar w:fldCharType="end"/>
            </w:r>
          </w:hyperlink>
        </w:p>
        <w:p w14:paraId="0848A1A7" w14:textId="68100C62" w:rsidR="0059544E" w:rsidRDefault="00185B52">
          <w:pPr>
            <w:pStyle w:val="Kazalovsebine2"/>
            <w:tabs>
              <w:tab w:val="right" w:leader="dot" w:pos="9062"/>
            </w:tabs>
            <w:rPr>
              <w:rFonts w:asciiTheme="minorHAnsi" w:eastAsiaTheme="minorEastAsia" w:hAnsiTheme="minorHAnsi"/>
              <w:noProof/>
              <w:sz w:val="22"/>
              <w:lang w:eastAsia="sl-SI"/>
            </w:rPr>
          </w:pPr>
          <w:hyperlink w:anchor="_Toc119581750" w:history="1">
            <w:r w:rsidR="0059544E" w:rsidRPr="00F03AC7">
              <w:rPr>
                <w:rStyle w:val="Hiperpovezava"/>
                <w:noProof/>
              </w:rPr>
              <w:t>9.1</w:t>
            </w:r>
            <w:r w:rsidR="0059544E">
              <w:rPr>
                <w:rFonts w:asciiTheme="minorHAnsi" w:eastAsiaTheme="minorEastAsia" w:hAnsiTheme="minorHAnsi"/>
                <w:noProof/>
                <w:sz w:val="22"/>
                <w:lang w:eastAsia="sl-SI"/>
              </w:rPr>
              <w:tab/>
            </w:r>
            <w:r w:rsidR="0059544E" w:rsidRPr="00F03AC7">
              <w:rPr>
                <w:rStyle w:val="Hiperpovezava"/>
                <w:noProof/>
              </w:rPr>
              <w:t>ORGANIZACIJSKO-KADROVSKE ZADEVE</w:t>
            </w:r>
            <w:r w:rsidR="0059544E">
              <w:rPr>
                <w:noProof/>
                <w:webHidden/>
              </w:rPr>
              <w:tab/>
            </w:r>
            <w:r w:rsidR="0059544E">
              <w:rPr>
                <w:noProof/>
                <w:webHidden/>
              </w:rPr>
              <w:fldChar w:fldCharType="begin"/>
            </w:r>
            <w:r w:rsidR="0059544E">
              <w:rPr>
                <w:noProof/>
                <w:webHidden/>
              </w:rPr>
              <w:instrText xml:space="preserve"> PAGEREF _Toc119581750 \h </w:instrText>
            </w:r>
            <w:r w:rsidR="0059544E">
              <w:rPr>
                <w:noProof/>
                <w:webHidden/>
              </w:rPr>
            </w:r>
            <w:r w:rsidR="0059544E">
              <w:rPr>
                <w:noProof/>
                <w:webHidden/>
              </w:rPr>
              <w:fldChar w:fldCharType="separate"/>
            </w:r>
            <w:r w:rsidR="00EB043F">
              <w:rPr>
                <w:noProof/>
                <w:webHidden/>
              </w:rPr>
              <w:t>61</w:t>
            </w:r>
            <w:r w:rsidR="0059544E">
              <w:rPr>
                <w:noProof/>
                <w:webHidden/>
              </w:rPr>
              <w:fldChar w:fldCharType="end"/>
            </w:r>
          </w:hyperlink>
        </w:p>
        <w:p w14:paraId="656E3B6A" w14:textId="496D8068" w:rsidR="0059544E" w:rsidRDefault="00185B52">
          <w:pPr>
            <w:pStyle w:val="Kazalovsebine3"/>
            <w:tabs>
              <w:tab w:val="left" w:pos="1134"/>
            </w:tabs>
            <w:rPr>
              <w:rFonts w:asciiTheme="minorHAnsi" w:eastAsiaTheme="minorEastAsia" w:hAnsiTheme="minorHAnsi"/>
              <w:noProof/>
              <w:sz w:val="22"/>
              <w:lang w:eastAsia="sl-SI"/>
            </w:rPr>
          </w:pPr>
          <w:hyperlink w:anchor="_Toc119581751" w:history="1">
            <w:r w:rsidR="0059544E" w:rsidRPr="00F03AC7">
              <w:rPr>
                <w:rStyle w:val="Hiperpovezava"/>
                <w:noProof/>
              </w:rPr>
              <w:t>9.1.1</w:t>
            </w:r>
            <w:r w:rsidR="0059544E">
              <w:rPr>
                <w:rFonts w:asciiTheme="minorHAnsi" w:eastAsiaTheme="minorEastAsia" w:hAnsiTheme="minorHAnsi"/>
                <w:noProof/>
                <w:sz w:val="22"/>
                <w:lang w:eastAsia="sl-SI"/>
              </w:rPr>
              <w:tab/>
            </w:r>
            <w:r w:rsidR="0059544E" w:rsidRPr="00F03AC7">
              <w:rPr>
                <w:rStyle w:val="Hiperpovezava"/>
                <w:noProof/>
              </w:rPr>
              <w:t>Gibanje in struktura kadrov</w:t>
            </w:r>
            <w:r w:rsidR="0059544E">
              <w:rPr>
                <w:noProof/>
                <w:webHidden/>
              </w:rPr>
              <w:tab/>
            </w:r>
            <w:r w:rsidR="0059544E">
              <w:rPr>
                <w:noProof/>
                <w:webHidden/>
              </w:rPr>
              <w:fldChar w:fldCharType="begin"/>
            </w:r>
            <w:r w:rsidR="0059544E">
              <w:rPr>
                <w:noProof/>
                <w:webHidden/>
              </w:rPr>
              <w:instrText xml:space="preserve"> PAGEREF _Toc119581751 \h </w:instrText>
            </w:r>
            <w:r w:rsidR="0059544E">
              <w:rPr>
                <w:noProof/>
                <w:webHidden/>
              </w:rPr>
            </w:r>
            <w:r w:rsidR="0059544E">
              <w:rPr>
                <w:noProof/>
                <w:webHidden/>
              </w:rPr>
              <w:fldChar w:fldCharType="separate"/>
            </w:r>
            <w:r w:rsidR="00EB043F">
              <w:rPr>
                <w:noProof/>
                <w:webHidden/>
              </w:rPr>
              <w:t>61</w:t>
            </w:r>
            <w:r w:rsidR="0059544E">
              <w:rPr>
                <w:noProof/>
                <w:webHidden/>
              </w:rPr>
              <w:fldChar w:fldCharType="end"/>
            </w:r>
          </w:hyperlink>
        </w:p>
        <w:p w14:paraId="50EA30BE" w14:textId="381D664C" w:rsidR="0059544E" w:rsidRDefault="00185B52">
          <w:pPr>
            <w:pStyle w:val="Kazalovsebine2"/>
            <w:tabs>
              <w:tab w:val="right" w:leader="dot" w:pos="9062"/>
            </w:tabs>
            <w:rPr>
              <w:rFonts w:asciiTheme="minorHAnsi" w:eastAsiaTheme="minorEastAsia" w:hAnsiTheme="minorHAnsi"/>
              <w:noProof/>
              <w:sz w:val="22"/>
              <w:lang w:eastAsia="sl-SI"/>
            </w:rPr>
          </w:pPr>
          <w:hyperlink w:anchor="_Toc119581752" w:history="1">
            <w:r w:rsidR="0059544E" w:rsidRPr="00F03AC7">
              <w:rPr>
                <w:rStyle w:val="Hiperpovezava"/>
                <w:noProof/>
              </w:rPr>
              <w:t>9.2</w:t>
            </w:r>
            <w:r w:rsidR="0059544E">
              <w:rPr>
                <w:rFonts w:asciiTheme="minorHAnsi" w:eastAsiaTheme="minorEastAsia" w:hAnsiTheme="minorHAnsi"/>
                <w:noProof/>
                <w:sz w:val="22"/>
                <w:lang w:eastAsia="sl-SI"/>
              </w:rPr>
              <w:tab/>
            </w:r>
            <w:r w:rsidR="0059544E" w:rsidRPr="00F03AC7">
              <w:rPr>
                <w:rStyle w:val="Hiperpovezava"/>
                <w:noProof/>
              </w:rPr>
              <w:t>FINANČNO-MATERIALNO POSLOVANJE</w:t>
            </w:r>
            <w:r w:rsidR="0059544E">
              <w:rPr>
                <w:noProof/>
                <w:webHidden/>
              </w:rPr>
              <w:tab/>
            </w:r>
            <w:r w:rsidR="0059544E">
              <w:rPr>
                <w:noProof/>
                <w:webHidden/>
              </w:rPr>
              <w:fldChar w:fldCharType="begin"/>
            </w:r>
            <w:r w:rsidR="0059544E">
              <w:rPr>
                <w:noProof/>
                <w:webHidden/>
              </w:rPr>
              <w:instrText xml:space="preserve"> PAGEREF _Toc119581752 \h </w:instrText>
            </w:r>
            <w:r w:rsidR="0059544E">
              <w:rPr>
                <w:noProof/>
                <w:webHidden/>
              </w:rPr>
            </w:r>
            <w:r w:rsidR="0059544E">
              <w:rPr>
                <w:noProof/>
                <w:webHidden/>
              </w:rPr>
              <w:fldChar w:fldCharType="separate"/>
            </w:r>
            <w:r w:rsidR="00EB043F">
              <w:rPr>
                <w:noProof/>
                <w:webHidden/>
              </w:rPr>
              <w:t>61</w:t>
            </w:r>
            <w:r w:rsidR="0059544E">
              <w:rPr>
                <w:noProof/>
                <w:webHidden/>
              </w:rPr>
              <w:fldChar w:fldCharType="end"/>
            </w:r>
          </w:hyperlink>
        </w:p>
        <w:p w14:paraId="435CBDB1" w14:textId="19BE6904" w:rsidR="0059544E" w:rsidRDefault="00185B52">
          <w:pPr>
            <w:pStyle w:val="Kazalovsebine2"/>
            <w:tabs>
              <w:tab w:val="right" w:leader="dot" w:pos="9062"/>
            </w:tabs>
            <w:rPr>
              <w:rFonts w:asciiTheme="minorHAnsi" w:eastAsiaTheme="minorEastAsia" w:hAnsiTheme="minorHAnsi"/>
              <w:noProof/>
              <w:sz w:val="22"/>
              <w:lang w:eastAsia="sl-SI"/>
            </w:rPr>
          </w:pPr>
          <w:hyperlink w:anchor="_Toc119581753" w:history="1">
            <w:r w:rsidR="0059544E" w:rsidRPr="00F03AC7">
              <w:rPr>
                <w:rStyle w:val="Hiperpovezava"/>
                <w:noProof/>
              </w:rPr>
              <w:t>9.3</w:t>
            </w:r>
            <w:r w:rsidR="0059544E">
              <w:rPr>
                <w:rFonts w:asciiTheme="minorHAnsi" w:eastAsiaTheme="minorEastAsia" w:hAnsiTheme="minorHAnsi"/>
                <w:noProof/>
                <w:sz w:val="22"/>
                <w:lang w:eastAsia="sl-SI"/>
              </w:rPr>
              <w:tab/>
            </w:r>
            <w:r w:rsidR="0059544E" w:rsidRPr="00F03AC7">
              <w:rPr>
                <w:rStyle w:val="Hiperpovezava"/>
                <w:noProof/>
              </w:rPr>
              <w:t>INFORMATIKA</w:t>
            </w:r>
            <w:r w:rsidR="0059544E">
              <w:rPr>
                <w:noProof/>
                <w:webHidden/>
              </w:rPr>
              <w:tab/>
            </w:r>
            <w:r w:rsidR="0059544E">
              <w:rPr>
                <w:noProof/>
                <w:webHidden/>
              </w:rPr>
              <w:fldChar w:fldCharType="begin"/>
            </w:r>
            <w:r w:rsidR="0059544E">
              <w:rPr>
                <w:noProof/>
                <w:webHidden/>
              </w:rPr>
              <w:instrText xml:space="preserve"> PAGEREF _Toc119581753 \h </w:instrText>
            </w:r>
            <w:r w:rsidR="0059544E">
              <w:rPr>
                <w:noProof/>
                <w:webHidden/>
              </w:rPr>
            </w:r>
            <w:r w:rsidR="0059544E">
              <w:rPr>
                <w:noProof/>
                <w:webHidden/>
              </w:rPr>
              <w:fldChar w:fldCharType="separate"/>
            </w:r>
            <w:r w:rsidR="00EB043F">
              <w:rPr>
                <w:noProof/>
                <w:webHidden/>
              </w:rPr>
              <w:t>62</w:t>
            </w:r>
            <w:r w:rsidR="0059544E">
              <w:rPr>
                <w:noProof/>
                <w:webHidden/>
              </w:rPr>
              <w:fldChar w:fldCharType="end"/>
            </w:r>
          </w:hyperlink>
        </w:p>
        <w:p w14:paraId="57E612E1" w14:textId="520430EA" w:rsidR="0059544E" w:rsidRDefault="00185B52">
          <w:pPr>
            <w:pStyle w:val="Kazalovsebine3"/>
            <w:tabs>
              <w:tab w:val="left" w:pos="1134"/>
            </w:tabs>
            <w:rPr>
              <w:rFonts w:asciiTheme="minorHAnsi" w:eastAsiaTheme="minorEastAsia" w:hAnsiTheme="minorHAnsi"/>
              <w:noProof/>
              <w:sz w:val="22"/>
              <w:lang w:eastAsia="sl-SI"/>
            </w:rPr>
          </w:pPr>
          <w:hyperlink w:anchor="_Toc119581754" w:history="1">
            <w:r w:rsidR="0059544E" w:rsidRPr="00F03AC7">
              <w:rPr>
                <w:rStyle w:val="Hiperpovezava"/>
                <w:noProof/>
              </w:rPr>
              <w:t>9.3.1</w:t>
            </w:r>
            <w:r w:rsidR="0059544E">
              <w:rPr>
                <w:rFonts w:asciiTheme="minorHAnsi" w:eastAsiaTheme="minorEastAsia" w:hAnsiTheme="minorHAnsi"/>
                <w:noProof/>
                <w:sz w:val="22"/>
                <w:lang w:eastAsia="sl-SI"/>
              </w:rPr>
              <w:tab/>
            </w:r>
            <w:r w:rsidR="0059544E" w:rsidRPr="00F03AC7">
              <w:rPr>
                <w:rStyle w:val="Hiperpovezava"/>
                <w:noProof/>
              </w:rPr>
              <w:t>Vzdrževanje IT-sistemov notranjega omrežja</w:t>
            </w:r>
            <w:r w:rsidR="0059544E">
              <w:rPr>
                <w:noProof/>
                <w:webHidden/>
              </w:rPr>
              <w:tab/>
            </w:r>
            <w:r w:rsidR="0059544E">
              <w:rPr>
                <w:noProof/>
                <w:webHidden/>
              </w:rPr>
              <w:fldChar w:fldCharType="begin"/>
            </w:r>
            <w:r w:rsidR="0059544E">
              <w:rPr>
                <w:noProof/>
                <w:webHidden/>
              </w:rPr>
              <w:instrText xml:space="preserve"> PAGEREF _Toc119581754 \h </w:instrText>
            </w:r>
            <w:r w:rsidR="0059544E">
              <w:rPr>
                <w:noProof/>
                <w:webHidden/>
              </w:rPr>
            </w:r>
            <w:r w:rsidR="0059544E">
              <w:rPr>
                <w:noProof/>
                <w:webHidden/>
              </w:rPr>
              <w:fldChar w:fldCharType="separate"/>
            </w:r>
            <w:r w:rsidR="00EB043F">
              <w:rPr>
                <w:noProof/>
                <w:webHidden/>
              </w:rPr>
              <w:t>62</w:t>
            </w:r>
            <w:r w:rsidR="0059544E">
              <w:rPr>
                <w:noProof/>
                <w:webHidden/>
              </w:rPr>
              <w:fldChar w:fldCharType="end"/>
            </w:r>
          </w:hyperlink>
        </w:p>
        <w:p w14:paraId="306F2AF0" w14:textId="10D25C12" w:rsidR="0059544E" w:rsidRDefault="00185B52">
          <w:pPr>
            <w:pStyle w:val="Kazalovsebine3"/>
            <w:tabs>
              <w:tab w:val="left" w:pos="1134"/>
            </w:tabs>
            <w:rPr>
              <w:rFonts w:asciiTheme="minorHAnsi" w:eastAsiaTheme="minorEastAsia" w:hAnsiTheme="minorHAnsi"/>
              <w:noProof/>
              <w:sz w:val="22"/>
              <w:lang w:eastAsia="sl-SI"/>
            </w:rPr>
          </w:pPr>
          <w:hyperlink w:anchor="_Toc119581755" w:history="1">
            <w:r w:rsidR="0059544E" w:rsidRPr="00F03AC7">
              <w:rPr>
                <w:rStyle w:val="Hiperpovezava"/>
                <w:noProof/>
              </w:rPr>
              <w:t>9.3.2</w:t>
            </w:r>
            <w:r w:rsidR="0059544E">
              <w:rPr>
                <w:rFonts w:asciiTheme="minorHAnsi" w:eastAsiaTheme="minorEastAsia" w:hAnsiTheme="minorHAnsi"/>
                <w:noProof/>
                <w:sz w:val="22"/>
                <w:lang w:eastAsia="sl-SI"/>
              </w:rPr>
              <w:tab/>
            </w:r>
            <w:r w:rsidR="0059544E" w:rsidRPr="00F03AC7">
              <w:rPr>
                <w:rStyle w:val="Hiperpovezava"/>
                <w:noProof/>
              </w:rPr>
              <w:t>Vzdrževanje podatkovne baze in evidenčnega sistema urada</w:t>
            </w:r>
            <w:r w:rsidR="0059544E">
              <w:rPr>
                <w:noProof/>
                <w:webHidden/>
              </w:rPr>
              <w:tab/>
            </w:r>
            <w:r w:rsidR="0059544E">
              <w:rPr>
                <w:noProof/>
                <w:webHidden/>
              </w:rPr>
              <w:fldChar w:fldCharType="begin"/>
            </w:r>
            <w:r w:rsidR="0059544E">
              <w:rPr>
                <w:noProof/>
                <w:webHidden/>
              </w:rPr>
              <w:instrText xml:space="preserve"> PAGEREF _Toc119581755 \h </w:instrText>
            </w:r>
            <w:r w:rsidR="0059544E">
              <w:rPr>
                <w:noProof/>
                <w:webHidden/>
              </w:rPr>
            </w:r>
            <w:r w:rsidR="0059544E">
              <w:rPr>
                <w:noProof/>
                <w:webHidden/>
              </w:rPr>
              <w:fldChar w:fldCharType="separate"/>
            </w:r>
            <w:r w:rsidR="00EB043F">
              <w:rPr>
                <w:noProof/>
                <w:webHidden/>
              </w:rPr>
              <w:t>62</w:t>
            </w:r>
            <w:r w:rsidR="0059544E">
              <w:rPr>
                <w:noProof/>
                <w:webHidden/>
              </w:rPr>
              <w:fldChar w:fldCharType="end"/>
            </w:r>
          </w:hyperlink>
        </w:p>
        <w:p w14:paraId="33CF13ED" w14:textId="7313A61A" w:rsidR="0059544E" w:rsidRDefault="00185B52">
          <w:pPr>
            <w:pStyle w:val="Kazalovsebine3"/>
            <w:tabs>
              <w:tab w:val="left" w:pos="1134"/>
            </w:tabs>
            <w:rPr>
              <w:rFonts w:asciiTheme="minorHAnsi" w:eastAsiaTheme="minorEastAsia" w:hAnsiTheme="minorHAnsi"/>
              <w:noProof/>
              <w:sz w:val="22"/>
              <w:lang w:eastAsia="sl-SI"/>
            </w:rPr>
          </w:pPr>
          <w:hyperlink w:anchor="_Toc119581756" w:history="1">
            <w:r w:rsidR="0059544E" w:rsidRPr="00F03AC7">
              <w:rPr>
                <w:rStyle w:val="Hiperpovezava"/>
                <w:noProof/>
              </w:rPr>
              <w:t>9.3.3</w:t>
            </w:r>
            <w:r w:rsidR="0059544E">
              <w:rPr>
                <w:rFonts w:asciiTheme="minorHAnsi" w:eastAsiaTheme="minorEastAsia" w:hAnsiTheme="minorHAnsi"/>
                <w:noProof/>
                <w:sz w:val="22"/>
                <w:lang w:eastAsia="sl-SI"/>
              </w:rPr>
              <w:tab/>
            </w:r>
            <w:r w:rsidR="0059544E" w:rsidRPr="00F03AC7">
              <w:rPr>
                <w:rStyle w:val="Hiperpovezava"/>
                <w:noProof/>
              </w:rPr>
              <w:t>Zbiranje, hranjenje in objava podatkov o gotovinskih transakcijah in nakazilih v tvegane države</w:t>
            </w:r>
            <w:r w:rsidR="0059544E">
              <w:rPr>
                <w:noProof/>
                <w:webHidden/>
              </w:rPr>
              <w:tab/>
            </w:r>
            <w:r w:rsidR="0059544E">
              <w:rPr>
                <w:noProof/>
                <w:webHidden/>
              </w:rPr>
              <w:fldChar w:fldCharType="begin"/>
            </w:r>
            <w:r w:rsidR="0059544E">
              <w:rPr>
                <w:noProof/>
                <w:webHidden/>
              </w:rPr>
              <w:instrText xml:space="preserve"> PAGEREF _Toc119581756 \h </w:instrText>
            </w:r>
            <w:r w:rsidR="0059544E">
              <w:rPr>
                <w:noProof/>
                <w:webHidden/>
              </w:rPr>
            </w:r>
            <w:r w:rsidR="0059544E">
              <w:rPr>
                <w:noProof/>
                <w:webHidden/>
              </w:rPr>
              <w:fldChar w:fldCharType="separate"/>
            </w:r>
            <w:r w:rsidR="00EB043F">
              <w:rPr>
                <w:noProof/>
                <w:webHidden/>
              </w:rPr>
              <w:t>62</w:t>
            </w:r>
            <w:r w:rsidR="0059544E">
              <w:rPr>
                <w:noProof/>
                <w:webHidden/>
              </w:rPr>
              <w:fldChar w:fldCharType="end"/>
            </w:r>
          </w:hyperlink>
        </w:p>
        <w:p w14:paraId="2A3C43AA" w14:textId="64E502CC" w:rsidR="0059544E" w:rsidRDefault="00185B52">
          <w:pPr>
            <w:pStyle w:val="Kazalovsebine3"/>
            <w:tabs>
              <w:tab w:val="left" w:pos="1134"/>
            </w:tabs>
            <w:rPr>
              <w:rFonts w:asciiTheme="minorHAnsi" w:eastAsiaTheme="minorEastAsia" w:hAnsiTheme="minorHAnsi"/>
              <w:noProof/>
              <w:sz w:val="22"/>
              <w:lang w:eastAsia="sl-SI"/>
            </w:rPr>
          </w:pPr>
          <w:hyperlink w:anchor="_Toc119581757" w:history="1">
            <w:r w:rsidR="0059544E" w:rsidRPr="00F03AC7">
              <w:rPr>
                <w:rStyle w:val="Hiperpovezava"/>
                <w:noProof/>
              </w:rPr>
              <w:t>9.3.4</w:t>
            </w:r>
            <w:r w:rsidR="0059544E">
              <w:rPr>
                <w:rFonts w:asciiTheme="minorHAnsi" w:eastAsiaTheme="minorEastAsia" w:hAnsiTheme="minorHAnsi"/>
                <w:noProof/>
                <w:sz w:val="22"/>
                <w:lang w:eastAsia="sl-SI"/>
              </w:rPr>
              <w:tab/>
            </w:r>
            <w:r w:rsidR="0059544E" w:rsidRPr="00F03AC7">
              <w:rPr>
                <w:rStyle w:val="Hiperpovezava"/>
                <w:noProof/>
              </w:rPr>
              <w:t>Administriranje in vzdrževanje notranjih strežnikov urada</w:t>
            </w:r>
            <w:r w:rsidR="0059544E">
              <w:rPr>
                <w:noProof/>
                <w:webHidden/>
              </w:rPr>
              <w:tab/>
            </w:r>
            <w:r w:rsidR="0059544E">
              <w:rPr>
                <w:noProof/>
                <w:webHidden/>
              </w:rPr>
              <w:fldChar w:fldCharType="begin"/>
            </w:r>
            <w:r w:rsidR="0059544E">
              <w:rPr>
                <w:noProof/>
                <w:webHidden/>
              </w:rPr>
              <w:instrText xml:space="preserve"> PAGEREF _Toc119581757 \h </w:instrText>
            </w:r>
            <w:r w:rsidR="0059544E">
              <w:rPr>
                <w:noProof/>
                <w:webHidden/>
              </w:rPr>
            </w:r>
            <w:r w:rsidR="0059544E">
              <w:rPr>
                <w:noProof/>
                <w:webHidden/>
              </w:rPr>
              <w:fldChar w:fldCharType="separate"/>
            </w:r>
            <w:r w:rsidR="00EB043F">
              <w:rPr>
                <w:noProof/>
                <w:webHidden/>
              </w:rPr>
              <w:t>63</w:t>
            </w:r>
            <w:r w:rsidR="0059544E">
              <w:rPr>
                <w:noProof/>
                <w:webHidden/>
              </w:rPr>
              <w:fldChar w:fldCharType="end"/>
            </w:r>
          </w:hyperlink>
        </w:p>
        <w:p w14:paraId="64FC9F0E" w14:textId="41E948F4" w:rsidR="0059544E" w:rsidRDefault="00185B52">
          <w:pPr>
            <w:pStyle w:val="Kazalovsebine3"/>
            <w:tabs>
              <w:tab w:val="left" w:pos="1134"/>
            </w:tabs>
            <w:rPr>
              <w:rFonts w:asciiTheme="minorHAnsi" w:eastAsiaTheme="minorEastAsia" w:hAnsiTheme="minorHAnsi"/>
              <w:noProof/>
              <w:sz w:val="22"/>
              <w:lang w:eastAsia="sl-SI"/>
            </w:rPr>
          </w:pPr>
          <w:hyperlink w:anchor="_Toc119581758" w:history="1">
            <w:r w:rsidR="0059544E" w:rsidRPr="00F03AC7">
              <w:rPr>
                <w:rStyle w:val="Hiperpovezava"/>
                <w:noProof/>
              </w:rPr>
              <w:t>9.3.5</w:t>
            </w:r>
            <w:r w:rsidR="0059544E">
              <w:rPr>
                <w:rFonts w:asciiTheme="minorHAnsi" w:eastAsiaTheme="minorEastAsia" w:hAnsiTheme="minorHAnsi"/>
                <w:noProof/>
                <w:sz w:val="22"/>
                <w:lang w:eastAsia="sl-SI"/>
              </w:rPr>
              <w:tab/>
            </w:r>
            <w:r w:rsidR="0059544E" w:rsidRPr="00F03AC7">
              <w:rPr>
                <w:rStyle w:val="Hiperpovezava"/>
                <w:noProof/>
              </w:rPr>
              <w:t>Arhiviranje prejetih podatkov</w:t>
            </w:r>
            <w:r w:rsidR="0059544E">
              <w:rPr>
                <w:noProof/>
                <w:webHidden/>
              </w:rPr>
              <w:tab/>
            </w:r>
            <w:r w:rsidR="0059544E">
              <w:rPr>
                <w:noProof/>
                <w:webHidden/>
              </w:rPr>
              <w:fldChar w:fldCharType="begin"/>
            </w:r>
            <w:r w:rsidR="0059544E">
              <w:rPr>
                <w:noProof/>
                <w:webHidden/>
              </w:rPr>
              <w:instrText xml:space="preserve"> PAGEREF _Toc119581758 \h </w:instrText>
            </w:r>
            <w:r w:rsidR="0059544E">
              <w:rPr>
                <w:noProof/>
                <w:webHidden/>
              </w:rPr>
            </w:r>
            <w:r w:rsidR="0059544E">
              <w:rPr>
                <w:noProof/>
                <w:webHidden/>
              </w:rPr>
              <w:fldChar w:fldCharType="separate"/>
            </w:r>
            <w:r w:rsidR="00EB043F">
              <w:rPr>
                <w:noProof/>
                <w:webHidden/>
              </w:rPr>
              <w:t>63</w:t>
            </w:r>
            <w:r w:rsidR="0059544E">
              <w:rPr>
                <w:noProof/>
                <w:webHidden/>
              </w:rPr>
              <w:fldChar w:fldCharType="end"/>
            </w:r>
          </w:hyperlink>
        </w:p>
        <w:p w14:paraId="4A6ED52B" w14:textId="272227CD" w:rsidR="0059544E" w:rsidRDefault="00185B52">
          <w:pPr>
            <w:pStyle w:val="Kazalovsebine3"/>
            <w:tabs>
              <w:tab w:val="left" w:pos="1134"/>
            </w:tabs>
            <w:rPr>
              <w:rFonts w:asciiTheme="minorHAnsi" w:eastAsiaTheme="minorEastAsia" w:hAnsiTheme="minorHAnsi"/>
              <w:noProof/>
              <w:sz w:val="22"/>
              <w:lang w:eastAsia="sl-SI"/>
            </w:rPr>
          </w:pPr>
          <w:hyperlink w:anchor="_Toc119581759" w:history="1">
            <w:r w:rsidR="0059544E" w:rsidRPr="00F03AC7">
              <w:rPr>
                <w:rStyle w:val="Hiperpovezava"/>
                <w:noProof/>
              </w:rPr>
              <w:t>9.3.6</w:t>
            </w:r>
            <w:r w:rsidR="0059544E">
              <w:rPr>
                <w:rFonts w:asciiTheme="minorHAnsi" w:eastAsiaTheme="minorEastAsia" w:hAnsiTheme="minorHAnsi"/>
                <w:noProof/>
                <w:sz w:val="22"/>
                <w:lang w:eastAsia="sl-SI"/>
              </w:rPr>
              <w:tab/>
            </w:r>
            <w:r w:rsidR="0059544E" w:rsidRPr="00F03AC7">
              <w:rPr>
                <w:rStyle w:val="Hiperpovezava"/>
                <w:noProof/>
              </w:rPr>
              <w:t>Aktivnosti izobraževanja uporabnikov ter namestitev opreme</w:t>
            </w:r>
            <w:r w:rsidR="0059544E">
              <w:rPr>
                <w:noProof/>
                <w:webHidden/>
              </w:rPr>
              <w:tab/>
            </w:r>
            <w:r w:rsidR="0059544E">
              <w:rPr>
                <w:noProof/>
                <w:webHidden/>
              </w:rPr>
              <w:fldChar w:fldCharType="begin"/>
            </w:r>
            <w:r w:rsidR="0059544E">
              <w:rPr>
                <w:noProof/>
                <w:webHidden/>
              </w:rPr>
              <w:instrText xml:space="preserve"> PAGEREF _Toc119581759 \h </w:instrText>
            </w:r>
            <w:r w:rsidR="0059544E">
              <w:rPr>
                <w:noProof/>
                <w:webHidden/>
              </w:rPr>
            </w:r>
            <w:r w:rsidR="0059544E">
              <w:rPr>
                <w:noProof/>
                <w:webHidden/>
              </w:rPr>
              <w:fldChar w:fldCharType="separate"/>
            </w:r>
            <w:r w:rsidR="00EB043F">
              <w:rPr>
                <w:noProof/>
                <w:webHidden/>
              </w:rPr>
              <w:t>63</w:t>
            </w:r>
            <w:r w:rsidR="0059544E">
              <w:rPr>
                <w:noProof/>
                <w:webHidden/>
              </w:rPr>
              <w:fldChar w:fldCharType="end"/>
            </w:r>
          </w:hyperlink>
        </w:p>
        <w:p w14:paraId="18F4C0D8" w14:textId="45EE1ABC" w:rsidR="0059544E" w:rsidRDefault="00185B52">
          <w:pPr>
            <w:pStyle w:val="Kazalovsebine3"/>
            <w:tabs>
              <w:tab w:val="left" w:pos="1134"/>
            </w:tabs>
            <w:rPr>
              <w:rFonts w:asciiTheme="minorHAnsi" w:eastAsiaTheme="minorEastAsia" w:hAnsiTheme="minorHAnsi"/>
              <w:noProof/>
              <w:sz w:val="22"/>
              <w:lang w:eastAsia="sl-SI"/>
            </w:rPr>
          </w:pPr>
          <w:hyperlink w:anchor="_Toc119581760" w:history="1">
            <w:r w:rsidR="0059544E" w:rsidRPr="00F03AC7">
              <w:rPr>
                <w:rStyle w:val="Hiperpovezava"/>
                <w:noProof/>
              </w:rPr>
              <w:t>9.3.7</w:t>
            </w:r>
            <w:r w:rsidR="0059544E">
              <w:rPr>
                <w:rFonts w:asciiTheme="minorHAnsi" w:eastAsiaTheme="minorEastAsia" w:hAnsiTheme="minorHAnsi"/>
                <w:noProof/>
                <w:sz w:val="22"/>
                <w:lang w:eastAsia="sl-SI"/>
              </w:rPr>
              <w:tab/>
            </w:r>
            <w:r w:rsidR="0059544E" w:rsidRPr="00F03AC7">
              <w:rPr>
                <w:rStyle w:val="Hiperpovezava"/>
                <w:noProof/>
              </w:rPr>
              <w:t>Aktivnosti za zagotovitev nemotenega delovanja IT-tehnologije med epidemijo covida-19</w:t>
            </w:r>
            <w:r w:rsidR="0059544E">
              <w:rPr>
                <w:noProof/>
                <w:webHidden/>
              </w:rPr>
              <w:tab/>
            </w:r>
            <w:r w:rsidR="0059544E">
              <w:rPr>
                <w:noProof/>
                <w:webHidden/>
              </w:rPr>
              <w:fldChar w:fldCharType="begin"/>
            </w:r>
            <w:r w:rsidR="0059544E">
              <w:rPr>
                <w:noProof/>
                <w:webHidden/>
              </w:rPr>
              <w:instrText xml:space="preserve"> PAGEREF _Toc119581760 \h </w:instrText>
            </w:r>
            <w:r w:rsidR="0059544E">
              <w:rPr>
                <w:noProof/>
                <w:webHidden/>
              </w:rPr>
            </w:r>
            <w:r w:rsidR="0059544E">
              <w:rPr>
                <w:noProof/>
                <w:webHidden/>
              </w:rPr>
              <w:fldChar w:fldCharType="separate"/>
            </w:r>
            <w:r w:rsidR="00EB043F">
              <w:rPr>
                <w:noProof/>
                <w:webHidden/>
              </w:rPr>
              <w:t>64</w:t>
            </w:r>
            <w:r w:rsidR="0059544E">
              <w:rPr>
                <w:noProof/>
                <w:webHidden/>
              </w:rPr>
              <w:fldChar w:fldCharType="end"/>
            </w:r>
          </w:hyperlink>
        </w:p>
        <w:p w14:paraId="0096D95E" w14:textId="08090FD9" w:rsidR="0059544E" w:rsidRDefault="00185B52">
          <w:pPr>
            <w:pStyle w:val="Kazalovsebine1"/>
            <w:tabs>
              <w:tab w:val="right" w:leader="dot" w:pos="9062"/>
            </w:tabs>
            <w:rPr>
              <w:rFonts w:asciiTheme="minorHAnsi" w:eastAsiaTheme="minorEastAsia" w:hAnsiTheme="minorHAnsi"/>
              <w:b w:val="0"/>
              <w:noProof/>
              <w:sz w:val="22"/>
              <w:lang w:eastAsia="sl-SI"/>
            </w:rPr>
          </w:pPr>
          <w:hyperlink w:anchor="_Toc119581761" w:history="1">
            <w:r w:rsidR="0059544E" w:rsidRPr="00F03AC7">
              <w:rPr>
                <w:rStyle w:val="Hiperpovezava"/>
                <w:noProof/>
              </w:rPr>
              <w:t>10</w:t>
            </w:r>
            <w:r w:rsidR="0059544E">
              <w:rPr>
                <w:rFonts w:asciiTheme="minorHAnsi" w:eastAsiaTheme="minorEastAsia" w:hAnsiTheme="minorHAnsi"/>
                <w:b w:val="0"/>
                <w:noProof/>
                <w:sz w:val="22"/>
                <w:lang w:eastAsia="sl-SI"/>
              </w:rPr>
              <w:tab/>
            </w:r>
            <w:r w:rsidR="0059544E" w:rsidRPr="00F03AC7">
              <w:rPr>
                <w:rStyle w:val="Hiperpovezava"/>
                <w:noProof/>
              </w:rPr>
              <w:t>POVZETEK</w:t>
            </w:r>
            <w:r w:rsidR="0059544E">
              <w:rPr>
                <w:noProof/>
                <w:webHidden/>
              </w:rPr>
              <w:tab/>
            </w:r>
            <w:r w:rsidR="0059544E">
              <w:rPr>
                <w:noProof/>
                <w:webHidden/>
              </w:rPr>
              <w:fldChar w:fldCharType="begin"/>
            </w:r>
            <w:r w:rsidR="0059544E">
              <w:rPr>
                <w:noProof/>
                <w:webHidden/>
              </w:rPr>
              <w:instrText xml:space="preserve"> PAGEREF _Toc119581761 \h </w:instrText>
            </w:r>
            <w:r w:rsidR="0059544E">
              <w:rPr>
                <w:noProof/>
                <w:webHidden/>
              </w:rPr>
            </w:r>
            <w:r w:rsidR="0059544E">
              <w:rPr>
                <w:noProof/>
                <w:webHidden/>
              </w:rPr>
              <w:fldChar w:fldCharType="separate"/>
            </w:r>
            <w:r w:rsidR="00EB043F">
              <w:rPr>
                <w:noProof/>
                <w:webHidden/>
              </w:rPr>
              <w:t>65</w:t>
            </w:r>
            <w:r w:rsidR="0059544E">
              <w:rPr>
                <w:noProof/>
                <w:webHidden/>
              </w:rPr>
              <w:fldChar w:fldCharType="end"/>
            </w:r>
          </w:hyperlink>
        </w:p>
        <w:p w14:paraId="361D95C9" w14:textId="2388565E" w:rsidR="0059544E" w:rsidRDefault="00185B52">
          <w:pPr>
            <w:pStyle w:val="Kazalovsebine2"/>
            <w:tabs>
              <w:tab w:val="left" w:pos="1134"/>
              <w:tab w:val="right" w:leader="dot" w:pos="9062"/>
            </w:tabs>
            <w:rPr>
              <w:rFonts w:asciiTheme="minorHAnsi" w:eastAsiaTheme="minorEastAsia" w:hAnsiTheme="minorHAnsi"/>
              <w:noProof/>
              <w:sz w:val="22"/>
              <w:lang w:eastAsia="sl-SI"/>
            </w:rPr>
          </w:pPr>
          <w:hyperlink w:anchor="_Toc119581762" w:history="1">
            <w:r w:rsidR="0059544E" w:rsidRPr="00F03AC7">
              <w:rPr>
                <w:rStyle w:val="Hiperpovezava"/>
                <w:noProof/>
              </w:rPr>
              <w:t>10.1</w:t>
            </w:r>
            <w:r w:rsidR="0059544E">
              <w:rPr>
                <w:rFonts w:asciiTheme="minorHAnsi" w:eastAsiaTheme="minorEastAsia" w:hAnsiTheme="minorHAnsi"/>
                <w:noProof/>
                <w:sz w:val="22"/>
                <w:lang w:eastAsia="sl-SI"/>
              </w:rPr>
              <w:tab/>
            </w:r>
            <w:r w:rsidR="0059544E" w:rsidRPr="00F03AC7">
              <w:rPr>
                <w:rStyle w:val="Hiperpovezava"/>
                <w:noProof/>
              </w:rPr>
              <w:t>GOTOVINSKE TRANSAKCIJE, NAKAZILA, POVEZANA S TVEGANIMI DRŽAVAMI IN PRENOSI GOTOVINE ČEZ MEJO EVROPSKE UNIJE</w:t>
            </w:r>
            <w:r w:rsidR="0059544E">
              <w:rPr>
                <w:noProof/>
                <w:webHidden/>
              </w:rPr>
              <w:tab/>
            </w:r>
            <w:r w:rsidR="0059544E">
              <w:rPr>
                <w:noProof/>
                <w:webHidden/>
              </w:rPr>
              <w:fldChar w:fldCharType="begin"/>
            </w:r>
            <w:r w:rsidR="0059544E">
              <w:rPr>
                <w:noProof/>
                <w:webHidden/>
              </w:rPr>
              <w:instrText xml:space="preserve"> PAGEREF _Toc119581762 \h </w:instrText>
            </w:r>
            <w:r w:rsidR="0059544E">
              <w:rPr>
                <w:noProof/>
                <w:webHidden/>
              </w:rPr>
            </w:r>
            <w:r w:rsidR="0059544E">
              <w:rPr>
                <w:noProof/>
                <w:webHidden/>
              </w:rPr>
              <w:fldChar w:fldCharType="separate"/>
            </w:r>
            <w:r w:rsidR="00EB043F">
              <w:rPr>
                <w:noProof/>
                <w:webHidden/>
              </w:rPr>
              <w:t>65</w:t>
            </w:r>
            <w:r w:rsidR="0059544E">
              <w:rPr>
                <w:noProof/>
                <w:webHidden/>
              </w:rPr>
              <w:fldChar w:fldCharType="end"/>
            </w:r>
          </w:hyperlink>
        </w:p>
        <w:p w14:paraId="2808010F" w14:textId="5099C7B9" w:rsidR="0059544E" w:rsidRDefault="00185B52">
          <w:pPr>
            <w:pStyle w:val="Kazalovsebine2"/>
            <w:tabs>
              <w:tab w:val="left" w:pos="1134"/>
              <w:tab w:val="right" w:leader="dot" w:pos="9062"/>
            </w:tabs>
            <w:rPr>
              <w:rFonts w:asciiTheme="minorHAnsi" w:eastAsiaTheme="minorEastAsia" w:hAnsiTheme="minorHAnsi"/>
              <w:noProof/>
              <w:sz w:val="22"/>
              <w:lang w:eastAsia="sl-SI"/>
            </w:rPr>
          </w:pPr>
          <w:hyperlink w:anchor="_Toc119581763" w:history="1">
            <w:r w:rsidR="0059544E" w:rsidRPr="00F03AC7">
              <w:rPr>
                <w:rStyle w:val="Hiperpovezava"/>
                <w:noProof/>
              </w:rPr>
              <w:t>10.2</w:t>
            </w:r>
            <w:r w:rsidR="0059544E">
              <w:rPr>
                <w:rFonts w:asciiTheme="minorHAnsi" w:eastAsiaTheme="minorEastAsia" w:hAnsiTheme="minorHAnsi"/>
                <w:noProof/>
                <w:sz w:val="22"/>
                <w:lang w:eastAsia="sl-SI"/>
              </w:rPr>
              <w:tab/>
            </w:r>
            <w:r w:rsidR="0059544E" w:rsidRPr="00F03AC7">
              <w:rPr>
                <w:rStyle w:val="Hiperpovezava"/>
                <w:noProof/>
              </w:rPr>
              <w:t>SUMLJIVE TRANSAKCIJE</w:t>
            </w:r>
            <w:r w:rsidR="0059544E">
              <w:rPr>
                <w:noProof/>
                <w:webHidden/>
              </w:rPr>
              <w:tab/>
            </w:r>
            <w:r w:rsidR="0059544E">
              <w:rPr>
                <w:noProof/>
                <w:webHidden/>
              </w:rPr>
              <w:fldChar w:fldCharType="begin"/>
            </w:r>
            <w:r w:rsidR="0059544E">
              <w:rPr>
                <w:noProof/>
                <w:webHidden/>
              </w:rPr>
              <w:instrText xml:space="preserve"> PAGEREF _Toc119581763 \h </w:instrText>
            </w:r>
            <w:r w:rsidR="0059544E">
              <w:rPr>
                <w:noProof/>
                <w:webHidden/>
              </w:rPr>
            </w:r>
            <w:r w:rsidR="0059544E">
              <w:rPr>
                <w:noProof/>
                <w:webHidden/>
              </w:rPr>
              <w:fldChar w:fldCharType="separate"/>
            </w:r>
            <w:r w:rsidR="00EB043F">
              <w:rPr>
                <w:noProof/>
                <w:webHidden/>
              </w:rPr>
              <w:t>65</w:t>
            </w:r>
            <w:r w:rsidR="0059544E">
              <w:rPr>
                <w:noProof/>
                <w:webHidden/>
              </w:rPr>
              <w:fldChar w:fldCharType="end"/>
            </w:r>
          </w:hyperlink>
        </w:p>
        <w:p w14:paraId="561D74DD" w14:textId="5A7F7257" w:rsidR="0059544E" w:rsidRDefault="00185B52">
          <w:pPr>
            <w:pStyle w:val="Kazalovsebine2"/>
            <w:tabs>
              <w:tab w:val="left" w:pos="1134"/>
              <w:tab w:val="right" w:leader="dot" w:pos="9062"/>
            </w:tabs>
            <w:rPr>
              <w:rFonts w:asciiTheme="minorHAnsi" w:eastAsiaTheme="minorEastAsia" w:hAnsiTheme="minorHAnsi"/>
              <w:noProof/>
              <w:sz w:val="22"/>
              <w:lang w:eastAsia="sl-SI"/>
            </w:rPr>
          </w:pPr>
          <w:hyperlink w:anchor="_Toc119581764" w:history="1">
            <w:r w:rsidR="0059544E" w:rsidRPr="00F03AC7">
              <w:rPr>
                <w:rStyle w:val="Hiperpovezava"/>
                <w:noProof/>
              </w:rPr>
              <w:t>10.3</w:t>
            </w:r>
            <w:r w:rsidR="0059544E">
              <w:rPr>
                <w:rFonts w:asciiTheme="minorHAnsi" w:eastAsiaTheme="minorEastAsia" w:hAnsiTheme="minorHAnsi"/>
                <w:noProof/>
                <w:sz w:val="22"/>
                <w:lang w:eastAsia="sl-SI"/>
              </w:rPr>
              <w:tab/>
            </w:r>
            <w:r w:rsidR="0059544E" w:rsidRPr="00F03AC7">
              <w:rPr>
                <w:rStyle w:val="Hiperpovezava"/>
                <w:noProof/>
              </w:rPr>
              <w:t>FAZE POSTOPKOV V ZVEZI S PODANIMI KAZENSKIMI OVADBAMI ZARADI PRANJA DENARJA</w:t>
            </w:r>
            <w:r w:rsidR="0059544E">
              <w:rPr>
                <w:noProof/>
                <w:webHidden/>
              </w:rPr>
              <w:tab/>
            </w:r>
            <w:r w:rsidR="0059544E">
              <w:rPr>
                <w:noProof/>
                <w:webHidden/>
              </w:rPr>
              <w:fldChar w:fldCharType="begin"/>
            </w:r>
            <w:r w:rsidR="0059544E">
              <w:rPr>
                <w:noProof/>
                <w:webHidden/>
              </w:rPr>
              <w:instrText xml:space="preserve"> PAGEREF _Toc119581764 \h </w:instrText>
            </w:r>
            <w:r w:rsidR="0059544E">
              <w:rPr>
                <w:noProof/>
                <w:webHidden/>
              </w:rPr>
            </w:r>
            <w:r w:rsidR="0059544E">
              <w:rPr>
                <w:noProof/>
                <w:webHidden/>
              </w:rPr>
              <w:fldChar w:fldCharType="separate"/>
            </w:r>
            <w:r w:rsidR="00EB043F">
              <w:rPr>
                <w:noProof/>
                <w:webHidden/>
              </w:rPr>
              <w:t>66</w:t>
            </w:r>
            <w:r w:rsidR="0059544E">
              <w:rPr>
                <w:noProof/>
                <w:webHidden/>
              </w:rPr>
              <w:fldChar w:fldCharType="end"/>
            </w:r>
          </w:hyperlink>
        </w:p>
        <w:p w14:paraId="43192903" w14:textId="08FDAA94" w:rsidR="0059544E" w:rsidRDefault="00185B52">
          <w:pPr>
            <w:pStyle w:val="Kazalovsebine2"/>
            <w:tabs>
              <w:tab w:val="left" w:pos="1134"/>
              <w:tab w:val="right" w:leader="dot" w:pos="9062"/>
            </w:tabs>
            <w:rPr>
              <w:rFonts w:asciiTheme="minorHAnsi" w:eastAsiaTheme="minorEastAsia" w:hAnsiTheme="minorHAnsi"/>
              <w:noProof/>
              <w:sz w:val="22"/>
              <w:lang w:eastAsia="sl-SI"/>
            </w:rPr>
          </w:pPr>
          <w:hyperlink w:anchor="_Toc119581765" w:history="1">
            <w:r w:rsidR="0059544E" w:rsidRPr="00F03AC7">
              <w:rPr>
                <w:rStyle w:val="Hiperpovezava"/>
                <w:noProof/>
              </w:rPr>
              <w:t>10.4</w:t>
            </w:r>
            <w:r w:rsidR="0059544E">
              <w:rPr>
                <w:rFonts w:asciiTheme="minorHAnsi" w:eastAsiaTheme="minorEastAsia" w:hAnsiTheme="minorHAnsi"/>
                <w:noProof/>
                <w:sz w:val="22"/>
                <w:lang w:eastAsia="sl-SI"/>
              </w:rPr>
              <w:tab/>
            </w:r>
            <w:r w:rsidR="0059544E" w:rsidRPr="00F03AC7">
              <w:rPr>
                <w:rStyle w:val="Hiperpovezava"/>
                <w:noProof/>
              </w:rPr>
              <w:t>ZAKONODAJA IN DRUGE PRAVNE ZADEVE</w:t>
            </w:r>
            <w:r w:rsidR="0059544E">
              <w:rPr>
                <w:noProof/>
                <w:webHidden/>
              </w:rPr>
              <w:tab/>
            </w:r>
            <w:r w:rsidR="0059544E">
              <w:rPr>
                <w:noProof/>
                <w:webHidden/>
              </w:rPr>
              <w:fldChar w:fldCharType="begin"/>
            </w:r>
            <w:r w:rsidR="0059544E">
              <w:rPr>
                <w:noProof/>
                <w:webHidden/>
              </w:rPr>
              <w:instrText xml:space="preserve"> PAGEREF _Toc119581765 \h </w:instrText>
            </w:r>
            <w:r w:rsidR="0059544E">
              <w:rPr>
                <w:noProof/>
                <w:webHidden/>
              </w:rPr>
            </w:r>
            <w:r w:rsidR="0059544E">
              <w:rPr>
                <w:noProof/>
                <w:webHidden/>
              </w:rPr>
              <w:fldChar w:fldCharType="separate"/>
            </w:r>
            <w:r w:rsidR="00EB043F">
              <w:rPr>
                <w:noProof/>
                <w:webHidden/>
              </w:rPr>
              <w:t>66</w:t>
            </w:r>
            <w:r w:rsidR="0059544E">
              <w:rPr>
                <w:noProof/>
                <w:webHidden/>
              </w:rPr>
              <w:fldChar w:fldCharType="end"/>
            </w:r>
          </w:hyperlink>
        </w:p>
        <w:p w14:paraId="3747330E" w14:textId="44C5DEA3" w:rsidR="0059544E" w:rsidRDefault="00185B52">
          <w:pPr>
            <w:pStyle w:val="Kazalovsebine2"/>
            <w:tabs>
              <w:tab w:val="left" w:pos="1134"/>
              <w:tab w:val="right" w:leader="dot" w:pos="9062"/>
            </w:tabs>
            <w:rPr>
              <w:rFonts w:asciiTheme="minorHAnsi" w:eastAsiaTheme="minorEastAsia" w:hAnsiTheme="minorHAnsi"/>
              <w:noProof/>
              <w:sz w:val="22"/>
              <w:lang w:eastAsia="sl-SI"/>
            </w:rPr>
          </w:pPr>
          <w:hyperlink w:anchor="_Toc119581766" w:history="1">
            <w:r w:rsidR="0059544E" w:rsidRPr="00F03AC7">
              <w:rPr>
                <w:rStyle w:val="Hiperpovezava"/>
                <w:noProof/>
              </w:rPr>
              <w:t>10.5</w:t>
            </w:r>
            <w:r w:rsidR="0059544E">
              <w:rPr>
                <w:rFonts w:asciiTheme="minorHAnsi" w:eastAsiaTheme="minorEastAsia" w:hAnsiTheme="minorHAnsi"/>
                <w:noProof/>
                <w:sz w:val="22"/>
                <w:lang w:eastAsia="sl-SI"/>
              </w:rPr>
              <w:tab/>
            </w:r>
            <w:r w:rsidR="0059544E" w:rsidRPr="00F03AC7">
              <w:rPr>
                <w:rStyle w:val="Hiperpovezava"/>
                <w:noProof/>
              </w:rPr>
              <w:t>INŠPEKCIJA</w:t>
            </w:r>
            <w:r w:rsidR="0059544E">
              <w:rPr>
                <w:noProof/>
                <w:webHidden/>
              </w:rPr>
              <w:tab/>
            </w:r>
            <w:r w:rsidR="0059544E">
              <w:rPr>
                <w:noProof/>
                <w:webHidden/>
              </w:rPr>
              <w:fldChar w:fldCharType="begin"/>
            </w:r>
            <w:r w:rsidR="0059544E">
              <w:rPr>
                <w:noProof/>
                <w:webHidden/>
              </w:rPr>
              <w:instrText xml:space="preserve"> PAGEREF _Toc119581766 \h </w:instrText>
            </w:r>
            <w:r w:rsidR="0059544E">
              <w:rPr>
                <w:noProof/>
                <w:webHidden/>
              </w:rPr>
            </w:r>
            <w:r w:rsidR="0059544E">
              <w:rPr>
                <w:noProof/>
                <w:webHidden/>
              </w:rPr>
              <w:fldChar w:fldCharType="separate"/>
            </w:r>
            <w:r w:rsidR="00EB043F">
              <w:rPr>
                <w:noProof/>
                <w:webHidden/>
              </w:rPr>
              <w:t>67</w:t>
            </w:r>
            <w:r w:rsidR="0059544E">
              <w:rPr>
                <w:noProof/>
                <w:webHidden/>
              </w:rPr>
              <w:fldChar w:fldCharType="end"/>
            </w:r>
          </w:hyperlink>
        </w:p>
        <w:p w14:paraId="417E6731" w14:textId="77C84795" w:rsidR="0059544E" w:rsidRDefault="00185B52">
          <w:pPr>
            <w:pStyle w:val="Kazalovsebine2"/>
            <w:tabs>
              <w:tab w:val="left" w:pos="1134"/>
              <w:tab w:val="right" w:leader="dot" w:pos="9062"/>
            </w:tabs>
            <w:rPr>
              <w:rFonts w:asciiTheme="minorHAnsi" w:eastAsiaTheme="minorEastAsia" w:hAnsiTheme="minorHAnsi"/>
              <w:noProof/>
              <w:sz w:val="22"/>
              <w:lang w:eastAsia="sl-SI"/>
            </w:rPr>
          </w:pPr>
          <w:hyperlink w:anchor="_Toc119581767" w:history="1">
            <w:r w:rsidR="0059544E" w:rsidRPr="00F03AC7">
              <w:rPr>
                <w:rStyle w:val="Hiperpovezava"/>
                <w:noProof/>
              </w:rPr>
              <w:t>10.6</w:t>
            </w:r>
            <w:r w:rsidR="0059544E">
              <w:rPr>
                <w:rFonts w:asciiTheme="minorHAnsi" w:eastAsiaTheme="minorEastAsia" w:hAnsiTheme="minorHAnsi"/>
                <w:noProof/>
                <w:sz w:val="22"/>
                <w:lang w:eastAsia="sl-SI"/>
              </w:rPr>
              <w:tab/>
            </w:r>
            <w:r w:rsidR="0059544E" w:rsidRPr="00F03AC7">
              <w:rPr>
                <w:rStyle w:val="Hiperpovezava"/>
                <w:noProof/>
              </w:rPr>
              <w:t>MEDNARODNO SODELOVANJE</w:t>
            </w:r>
            <w:r w:rsidR="0059544E">
              <w:rPr>
                <w:noProof/>
                <w:webHidden/>
              </w:rPr>
              <w:tab/>
            </w:r>
            <w:r w:rsidR="0059544E">
              <w:rPr>
                <w:noProof/>
                <w:webHidden/>
              </w:rPr>
              <w:fldChar w:fldCharType="begin"/>
            </w:r>
            <w:r w:rsidR="0059544E">
              <w:rPr>
                <w:noProof/>
                <w:webHidden/>
              </w:rPr>
              <w:instrText xml:space="preserve"> PAGEREF _Toc119581767 \h </w:instrText>
            </w:r>
            <w:r w:rsidR="0059544E">
              <w:rPr>
                <w:noProof/>
                <w:webHidden/>
              </w:rPr>
            </w:r>
            <w:r w:rsidR="0059544E">
              <w:rPr>
                <w:noProof/>
                <w:webHidden/>
              </w:rPr>
              <w:fldChar w:fldCharType="separate"/>
            </w:r>
            <w:r w:rsidR="00EB043F">
              <w:rPr>
                <w:noProof/>
                <w:webHidden/>
              </w:rPr>
              <w:t>67</w:t>
            </w:r>
            <w:r w:rsidR="0059544E">
              <w:rPr>
                <w:noProof/>
                <w:webHidden/>
              </w:rPr>
              <w:fldChar w:fldCharType="end"/>
            </w:r>
          </w:hyperlink>
        </w:p>
        <w:p w14:paraId="2949AB1A" w14:textId="69289153" w:rsidR="0059544E" w:rsidRDefault="00185B52">
          <w:pPr>
            <w:pStyle w:val="Kazalovsebine2"/>
            <w:tabs>
              <w:tab w:val="left" w:pos="1134"/>
              <w:tab w:val="right" w:leader="dot" w:pos="9062"/>
            </w:tabs>
            <w:rPr>
              <w:rFonts w:asciiTheme="minorHAnsi" w:eastAsiaTheme="minorEastAsia" w:hAnsiTheme="minorHAnsi"/>
              <w:noProof/>
              <w:sz w:val="22"/>
              <w:lang w:eastAsia="sl-SI"/>
            </w:rPr>
          </w:pPr>
          <w:hyperlink w:anchor="_Toc119581768" w:history="1">
            <w:r w:rsidR="0059544E" w:rsidRPr="00F03AC7">
              <w:rPr>
                <w:rStyle w:val="Hiperpovezava"/>
                <w:noProof/>
              </w:rPr>
              <w:t>10.7</w:t>
            </w:r>
            <w:r w:rsidR="0059544E">
              <w:rPr>
                <w:rFonts w:asciiTheme="minorHAnsi" w:eastAsiaTheme="minorEastAsia" w:hAnsiTheme="minorHAnsi"/>
                <w:noProof/>
                <w:sz w:val="22"/>
                <w:lang w:eastAsia="sl-SI"/>
              </w:rPr>
              <w:tab/>
            </w:r>
            <w:r w:rsidR="0059544E" w:rsidRPr="00F03AC7">
              <w:rPr>
                <w:rStyle w:val="Hiperpovezava"/>
                <w:noProof/>
              </w:rPr>
              <w:t>PREVENTIVA</w:t>
            </w:r>
            <w:r w:rsidR="0059544E">
              <w:rPr>
                <w:noProof/>
                <w:webHidden/>
              </w:rPr>
              <w:tab/>
            </w:r>
            <w:r w:rsidR="0059544E">
              <w:rPr>
                <w:noProof/>
                <w:webHidden/>
              </w:rPr>
              <w:fldChar w:fldCharType="begin"/>
            </w:r>
            <w:r w:rsidR="0059544E">
              <w:rPr>
                <w:noProof/>
                <w:webHidden/>
              </w:rPr>
              <w:instrText xml:space="preserve"> PAGEREF _Toc119581768 \h </w:instrText>
            </w:r>
            <w:r w:rsidR="0059544E">
              <w:rPr>
                <w:noProof/>
                <w:webHidden/>
              </w:rPr>
            </w:r>
            <w:r w:rsidR="0059544E">
              <w:rPr>
                <w:noProof/>
                <w:webHidden/>
              </w:rPr>
              <w:fldChar w:fldCharType="separate"/>
            </w:r>
            <w:r w:rsidR="00EB043F">
              <w:rPr>
                <w:noProof/>
                <w:webHidden/>
              </w:rPr>
              <w:t>68</w:t>
            </w:r>
            <w:r w:rsidR="0059544E">
              <w:rPr>
                <w:noProof/>
                <w:webHidden/>
              </w:rPr>
              <w:fldChar w:fldCharType="end"/>
            </w:r>
          </w:hyperlink>
        </w:p>
        <w:p w14:paraId="0A35D84B" w14:textId="26DA1538" w:rsidR="0059544E" w:rsidRDefault="00185B52">
          <w:pPr>
            <w:pStyle w:val="Kazalovsebine2"/>
            <w:tabs>
              <w:tab w:val="left" w:pos="1134"/>
              <w:tab w:val="right" w:leader="dot" w:pos="9062"/>
            </w:tabs>
            <w:rPr>
              <w:rFonts w:asciiTheme="minorHAnsi" w:eastAsiaTheme="minorEastAsia" w:hAnsiTheme="minorHAnsi"/>
              <w:noProof/>
              <w:sz w:val="22"/>
              <w:lang w:eastAsia="sl-SI"/>
            </w:rPr>
          </w:pPr>
          <w:hyperlink w:anchor="_Toc119581769" w:history="1">
            <w:r w:rsidR="0059544E" w:rsidRPr="00F03AC7">
              <w:rPr>
                <w:rStyle w:val="Hiperpovezava"/>
                <w:noProof/>
              </w:rPr>
              <w:t>10.8</w:t>
            </w:r>
            <w:r w:rsidR="0059544E">
              <w:rPr>
                <w:rFonts w:asciiTheme="minorHAnsi" w:eastAsiaTheme="minorEastAsia" w:hAnsiTheme="minorHAnsi"/>
                <w:noProof/>
                <w:sz w:val="22"/>
                <w:lang w:eastAsia="sl-SI"/>
              </w:rPr>
              <w:tab/>
            </w:r>
            <w:r w:rsidR="0059544E" w:rsidRPr="00F03AC7">
              <w:rPr>
                <w:rStyle w:val="Hiperpovezava"/>
                <w:noProof/>
              </w:rPr>
              <w:t>INFORMATIKA</w:t>
            </w:r>
            <w:r w:rsidR="0059544E">
              <w:rPr>
                <w:noProof/>
                <w:webHidden/>
              </w:rPr>
              <w:tab/>
            </w:r>
            <w:r w:rsidR="0059544E">
              <w:rPr>
                <w:noProof/>
                <w:webHidden/>
              </w:rPr>
              <w:fldChar w:fldCharType="begin"/>
            </w:r>
            <w:r w:rsidR="0059544E">
              <w:rPr>
                <w:noProof/>
                <w:webHidden/>
              </w:rPr>
              <w:instrText xml:space="preserve"> PAGEREF _Toc119581769 \h </w:instrText>
            </w:r>
            <w:r w:rsidR="0059544E">
              <w:rPr>
                <w:noProof/>
                <w:webHidden/>
              </w:rPr>
            </w:r>
            <w:r w:rsidR="0059544E">
              <w:rPr>
                <w:noProof/>
                <w:webHidden/>
              </w:rPr>
              <w:fldChar w:fldCharType="separate"/>
            </w:r>
            <w:r w:rsidR="00EB043F">
              <w:rPr>
                <w:noProof/>
                <w:webHidden/>
              </w:rPr>
              <w:t>69</w:t>
            </w:r>
            <w:r w:rsidR="0059544E">
              <w:rPr>
                <w:noProof/>
                <w:webHidden/>
              </w:rPr>
              <w:fldChar w:fldCharType="end"/>
            </w:r>
          </w:hyperlink>
        </w:p>
        <w:p w14:paraId="4EB77289" w14:textId="65A6373D" w:rsidR="0059544E" w:rsidRDefault="00185B52">
          <w:pPr>
            <w:pStyle w:val="Kazalovsebine2"/>
            <w:tabs>
              <w:tab w:val="left" w:pos="1134"/>
              <w:tab w:val="right" w:leader="dot" w:pos="9062"/>
            </w:tabs>
            <w:rPr>
              <w:rFonts w:asciiTheme="minorHAnsi" w:eastAsiaTheme="minorEastAsia" w:hAnsiTheme="minorHAnsi"/>
              <w:noProof/>
              <w:sz w:val="22"/>
              <w:lang w:eastAsia="sl-SI"/>
            </w:rPr>
          </w:pPr>
          <w:hyperlink w:anchor="_Toc119581770" w:history="1">
            <w:r w:rsidR="0059544E" w:rsidRPr="00F03AC7">
              <w:rPr>
                <w:rStyle w:val="Hiperpovezava"/>
                <w:noProof/>
              </w:rPr>
              <w:t>10.9</w:t>
            </w:r>
            <w:r w:rsidR="0059544E">
              <w:rPr>
                <w:rFonts w:asciiTheme="minorHAnsi" w:eastAsiaTheme="minorEastAsia" w:hAnsiTheme="minorHAnsi"/>
                <w:noProof/>
                <w:sz w:val="22"/>
                <w:lang w:eastAsia="sl-SI"/>
              </w:rPr>
              <w:tab/>
            </w:r>
            <w:r w:rsidR="0059544E" w:rsidRPr="00F03AC7">
              <w:rPr>
                <w:rStyle w:val="Hiperpovezava"/>
                <w:noProof/>
              </w:rPr>
              <w:t>KADROVSKE ZADEVE</w:t>
            </w:r>
            <w:r w:rsidR="0059544E">
              <w:rPr>
                <w:noProof/>
                <w:webHidden/>
              </w:rPr>
              <w:tab/>
            </w:r>
            <w:r w:rsidR="0059544E">
              <w:rPr>
                <w:noProof/>
                <w:webHidden/>
              </w:rPr>
              <w:fldChar w:fldCharType="begin"/>
            </w:r>
            <w:r w:rsidR="0059544E">
              <w:rPr>
                <w:noProof/>
                <w:webHidden/>
              </w:rPr>
              <w:instrText xml:space="preserve"> PAGEREF _Toc119581770 \h </w:instrText>
            </w:r>
            <w:r w:rsidR="0059544E">
              <w:rPr>
                <w:noProof/>
                <w:webHidden/>
              </w:rPr>
            </w:r>
            <w:r w:rsidR="0059544E">
              <w:rPr>
                <w:noProof/>
                <w:webHidden/>
              </w:rPr>
              <w:fldChar w:fldCharType="separate"/>
            </w:r>
            <w:r w:rsidR="00EB043F">
              <w:rPr>
                <w:noProof/>
                <w:webHidden/>
              </w:rPr>
              <w:t>69</w:t>
            </w:r>
            <w:r w:rsidR="0059544E">
              <w:rPr>
                <w:noProof/>
                <w:webHidden/>
              </w:rPr>
              <w:fldChar w:fldCharType="end"/>
            </w:r>
          </w:hyperlink>
        </w:p>
        <w:p w14:paraId="6EB1E1EF" w14:textId="56A94A44" w:rsidR="0059544E" w:rsidRDefault="00185B52">
          <w:pPr>
            <w:pStyle w:val="Kazalovsebine2"/>
            <w:tabs>
              <w:tab w:val="left" w:pos="1134"/>
              <w:tab w:val="right" w:leader="dot" w:pos="9062"/>
            </w:tabs>
            <w:rPr>
              <w:rFonts w:asciiTheme="minorHAnsi" w:eastAsiaTheme="minorEastAsia" w:hAnsiTheme="minorHAnsi"/>
              <w:noProof/>
              <w:sz w:val="22"/>
              <w:lang w:eastAsia="sl-SI"/>
            </w:rPr>
          </w:pPr>
          <w:hyperlink w:anchor="_Toc119581771" w:history="1">
            <w:r w:rsidR="0059544E" w:rsidRPr="00F03AC7">
              <w:rPr>
                <w:rStyle w:val="Hiperpovezava"/>
                <w:noProof/>
              </w:rPr>
              <w:t>10.10</w:t>
            </w:r>
            <w:r w:rsidR="0059544E">
              <w:rPr>
                <w:rFonts w:asciiTheme="minorHAnsi" w:eastAsiaTheme="minorEastAsia" w:hAnsiTheme="minorHAnsi"/>
                <w:noProof/>
                <w:sz w:val="22"/>
                <w:lang w:eastAsia="sl-SI"/>
              </w:rPr>
              <w:tab/>
            </w:r>
            <w:r w:rsidR="0059544E" w:rsidRPr="00F03AC7">
              <w:rPr>
                <w:rStyle w:val="Hiperpovezava"/>
                <w:noProof/>
              </w:rPr>
              <w:t>FINANČNO-MATERIALNO POSLOVANJE</w:t>
            </w:r>
            <w:r w:rsidR="0059544E">
              <w:rPr>
                <w:noProof/>
                <w:webHidden/>
              </w:rPr>
              <w:tab/>
            </w:r>
            <w:r w:rsidR="0059544E">
              <w:rPr>
                <w:noProof/>
                <w:webHidden/>
              </w:rPr>
              <w:fldChar w:fldCharType="begin"/>
            </w:r>
            <w:r w:rsidR="0059544E">
              <w:rPr>
                <w:noProof/>
                <w:webHidden/>
              </w:rPr>
              <w:instrText xml:space="preserve"> PAGEREF _Toc119581771 \h </w:instrText>
            </w:r>
            <w:r w:rsidR="0059544E">
              <w:rPr>
                <w:noProof/>
                <w:webHidden/>
              </w:rPr>
            </w:r>
            <w:r w:rsidR="0059544E">
              <w:rPr>
                <w:noProof/>
                <w:webHidden/>
              </w:rPr>
              <w:fldChar w:fldCharType="separate"/>
            </w:r>
            <w:r w:rsidR="00EB043F">
              <w:rPr>
                <w:noProof/>
                <w:webHidden/>
              </w:rPr>
              <w:t>69</w:t>
            </w:r>
            <w:r w:rsidR="0059544E">
              <w:rPr>
                <w:noProof/>
                <w:webHidden/>
              </w:rPr>
              <w:fldChar w:fldCharType="end"/>
            </w:r>
          </w:hyperlink>
        </w:p>
        <w:p w14:paraId="25A7F39E" w14:textId="39358ACE" w:rsidR="00B65A09" w:rsidRDefault="007B1A45" w:rsidP="00B65A09">
          <w:r>
            <w:fldChar w:fldCharType="end"/>
          </w:r>
        </w:p>
      </w:sdtContent>
    </w:sdt>
    <w:p w14:paraId="35B5D759" w14:textId="22EB82A7" w:rsidR="00B65A09" w:rsidRDefault="00B65A09" w:rsidP="00B65A09">
      <w:pPr>
        <w:pStyle w:val="Naslov1"/>
      </w:pPr>
      <w:bookmarkStart w:id="1" w:name="_Toc119581673"/>
      <w:bookmarkEnd w:id="0"/>
      <w:r>
        <w:lastRenderedPageBreak/>
        <w:t>UVOD</w:t>
      </w:r>
      <w:bookmarkEnd w:id="1"/>
    </w:p>
    <w:p w14:paraId="1C134C13" w14:textId="77777777" w:rsidR="00B65A09" w:rsidRDefault="00B65A09" w:rsidP="00B65A09"/>
    <w:p w14:paraId="3C9B051C" w14:textId="3B35EF59" w:rsidR="00B65A09" w:rsidRDefault="00B65A09" w:rsidP="00B65A09">
      <w:r>
        <w:t>Zakon o preprečevanju pranja denarja in financiranja terorizma (Uradni list RS št.</w:t>
      </w:r>
      <w:r w:rsidR="0012068D">
        <w:t xml:space="preserve"> 48/2022 – ZPPDFT-2) </w:t>
      </w:r>
      <w:r>
        <w:t xml:space="preserve"> v 1</w:t>
      </w:r>
      <w:r w:rsidR="0012068D">
        <w:t>30</w:t>
      </w:r>
      <w:r>
        <w:t xml:space="preserve">. členu določa, da mora </w:t>
      </w:r>
      <w:r w:rsidRPr="00D33A8A">
        <w:rPr>
          <w:b/>
          <w:bCs/>
        </w:rPr>
        <w:t xml:space="preserve">Urad RS za preprečevanje pranja denarja </w:t>
      </w:r>
      <w:r>
        <w:t>(v nadaljevanju: urad)</w:t>
      </w:r>
      <w:r w:rsidR="00BB67F7">
        <w:t xml:space="preserve">, ki je </w:t>
      </w:r>
      <w:r w:rsidR="00BB67F7" w:rsidRPr="00BB67F7">
        <w:rPr>
          <w:b/>
          <w:bCs/>
        </w:rPr>
        <w:t>osrednji državni organ za sprejemanje, analiziranje in obveščanje pristojnih organov o sumljivih transakcijah in drugih morebitnih podatkih o pranju denarja ali financiranju terorizma</w:t>
      </w:r>
      <w:r>
        <w:t xml:space="preserve"> najmanj enkrat letno o svojem delu poročati Vladi Republike Slovenije.</w:t>
      </w:r>
      <w:r w:rsidR="00322214">
        <w:rPr>
          <w:rStyle w:val="Sprotnaopomba-sklic"/>
        </w:rPr>
        <w:footnoteReference w:id="1"/>
      </w:r>
    </w:p>
    <w:p w14:paraId="221FD5E5" w14:textId="62D61B76" w:rsidR="00B65A09" w:rsidRDefault="00B65A09" w:rsidP="00B65A09">
      <w:r>
        <w:t>Poročilo o delu urada za leto 202</w:t>
      </w:r>
      <w:r w:rsidR="0012068D">
        <w:t>1</w:t>
      </w:r>
      <w:r>
        <w:t xml:space="preserve"> je </w:t>
      </w:r>
      <w:r w:rsidR="0012068D" w:rsidRPr="00BB67F7">
        <w:rPr>
          <w:b/>
          <w:bCs/>
        </w:rPr>
        <w:t>šestin</w:t>
      </w:r>
      <w:r w:rsidRPr="00BB67F7">
        <w:rPr>
          <w:b/>
          <w:bCs/>
        </w:rPr>
        <w:t>dvajseto poročilo Vladi RS</w:t>
      </w:r>
      <w:r>
        <w:t xml:space="preserve">, nanaša pa se na obdobje od </w:t>
      </w:r>
      <w:r w:rsidRPr="00BB67F7">
        <w:rPr>
          <w:b/>
          <w:bCs/>
        </w:rPr>
        <w:t>1. 1. 202</w:t>
      </w:r>
      <w:r w:rsidR="0012068D" w:rsidRPr="00BB67F7">
        <w:rPr>
          <w:b/>
          <w:bCs/>
        </w:rPr>
        <w:t>1</w:t>
      </w:r>
      <w:r w:rsidRPr="00BB67F7">
        <w:rPr>
          <w:b/>
          <w:bCs/>
        </w:rPr>
        <w:t xml:space="preserve"> do 31. 12. 202</w:t>
      </w:r>
      <w:r w:rsidR="0012068D" w:rsidRPr="00BB67F7">
        <w:rPr>
          <w:b/>
          <w:bCs/>
        </w:rPr>
        <w:t>1</w:t>
      </w:r>
      <w:r>
        <w:t xml:space="preserve">. Navedeno obdobje je glede statističnih in drugih številčnih podatkov prikazano posebej, zaradi primerjav med leti pa so v poročilu podani tudi nekateri podatki iz prejšnjih obdobij. </w:t>
      </w:r>
    </w:p>
    <w:p w14:paraId="3A5D7A0C" w14:textId="77777777" w:rsidR="00B65A09" w:rsidRDefault="00B65A09" w:rsidP="00B65A09"/>
    <w:p w14:paraId="2F1FFF9E" w14:textId="3512D6F8" w:rsidR="00B65A09" w:rsidRDefault="00B65A09" w:rsidP="00B65A09">
      <w:pPr>
        <w:pStyle w:val="Naslov2"/>
      </w:pPr>
      <w:bookmarkStart w:id="2" w:name="_Toc119581674"/>
      <w:r>
        <w:t>PRAVNA PODLAGA ZA DELO URADA</w:t>
      </w:r>
      <w:bookmarkEnd w:id="2"/>
    </w:p>
    <w:p w14:paraId="799E2165" w14:textId="77777777" w:rsidR="00B65A09" w:rsidRDefault="00B65A09" w:rsidP="00B65A09"/>
    <w:p w14:paraId="7840F0AB" w14:textId="21C0227B" w:rsidR="00B65A09" w:rsidRDefault="00B65A09" w:rsidP="00B65A09">
      <w:r>
        <w:t>Urad je bil ustanovljen z Zakonom o organizaciji in delovnem področju ministrstev (Uradni list RS, št. 71/94) kot organ v sestavi Ministrstva za finance, kar je ostal vse do danes, in je formalno začel delo 1. januarja 1995.</w:t>
      </w:r>
    </w:p>
    <w:p w14:paraId="1D70101C" w14:textId="62F79602" w:rsidR="00B65A09" w:rsidRDefault="00B65A09" w:rsidP="00B65A09">
      <w:r>
        <w:t>Vsebinsko in formalno podlago za delovanje urada v obravnavanem obdobju predstavljajo še naslednji zakonski in podzakonski akti ter predpisi EU:</w:t>
      </w:r>
    </w:p>
    <w:p w14:paraId="6F26C455" w14:textId="391FD004" w:rsidR="00B65A09" w:rsidRPr="00D52972" w:rsidRDefault="00B65A09" w:rsidP="00954E99">
      <w:pPr>
        <w:pStyle w:val="Odstavekseznama"/>
        <w:ind w:left="567" w:hanging="283"/>
      </w:pPr>
      <w:r w:rsidRPr="00D52972">
        <w:t>Zakon o preprečevanju pranja denarja in financiranja terorizma (Uradni list RS št. 68/16, 81/19, 91/20 in 2/21 – popr., ZPPDFT-1), ki je začel veljati 19. 11. 2016;</w:t>
      </w:r>
    </w:p>
    <w:p w14:paraId="3D46D9A1" w14:textId="3F5C79FF" w:rsidR="00B65A09" w:rsidRPr="00D52972" w:rsidRDefault="00B65A09" w:rsidP="00954E99">
      <w:pPr>
        <w:pStyle w:val="Odstavekseznama"/>
        <w:ind w:left="567" w:hanging="283"/>
      </w:pPr>
      <w:r w:rsidRPr="00D52972">
        <w:t>Pravilnik o izvajanju notranje kontrole, pooblaščencu, hrambi in varstvu podatkov, strokovnem usposabljanju ter upravljanju evidenc pri zavezancih (Uradni list RS, št. 54/17);</w:t>
      </w:r>
    </w:p>
    <w:p w14:paraId="6217CCEE" w14:textId="4C0EDF3E" w:rsidR="00B65A09" w:rsidRPr="00D52972" w:rsidRDefault="00B65A09" w:rsidP="00954E99">
      <w:pPr>
        <w:pStyle w:val="Odstavekseznama"/>
        <w:ind w:left="567" w:hanging="283"/>
      </w:pPr>
      <w:r w:rsidRPr="00D52972">
        <w:t>Pravilnik o načinu sporočanja podatkov Uradu RS za preprečevanje pranja denarja (Uradni list RS št. 32/17);</w:t>
      </w:r>
    </w:p>
    <w:p w14:paraId="461D9F53" w14:textId="45AEFB3B" w:rsidR="00B65A09" w:rsidRPr="00D52972" w:rsidRDefault="00B65A09" w:rsidP="00954E99">
      <w:pPr>
        <w:pStyle w:val="Odstavekseznama"/>
        <w:ind w:left="567" w:hanging="283"/>
      </w:pPr>
      <w:r w:rsidRPr="00D52972">
        <w:t>Pravilnik o določitvi pogojev za ugotavljanje in preverjanje istovetnosti stranke z uporabo sredstva elektronske identifikacije (Uradni list RS, št. 50/17);</w:t>
      </w:r>
    </w:p>
    <w:p w14:paraId="79761D53" w14:textId="72E52288" w:rsidR="00B65A09" w:rsidRPr="00D52972" w:rsidRDefault="00B65A09" w:rsidP="00954E99">
      <w:pPr>
        <w:pStyle w:val="Odstavekseznama"/>
        <w:ind w:left="567" w:hanging="283"/>
      </w:pPr>
      <w:r w:rsidRPr="00D52972">
        <w:t>Pravilnik o dejavnikih neznatnega in povečanega tveganja za pranje denarja ali financiranje terorizma (Uradni list RS, št. 6/18</w:t>
      </w:r>
      <w:r w:rsidR="0012068D">
        <w:t>, 152/20</w:t>
      </w:r>
      <w:r w:rsidRPr="00D52972">
        <w:t>);</w:t>
      </w:r>
    </w:p>
    <w:p w14:paraId="434FE1C1" w14:textId="49DDA08D" w:rsidR="00B65A09" w:rsidRPr="00D52972" w:rsidRDefault="00B65A09" w:rsidP="00954E99">
      <w:pPr>
        <w:pStyle w:val="Odstavekseznama"/>
        <w:ind w:left="567" w:hanging="283"/>
      </w:pPr>
      <w:r w:rsidRPr="00D52972">
        <w:t>Pravilnik o določitvi pogojev, pod katerimi za nekatere stranke ni treba sporočiti podatkov o gotovinskih transakcijah (Uradni list RS, 31/18);</w:t>
      </w:r>
    </w:p>
    <w:p w14:paraId="6A947277" w14:textId="1BC1CBC7" w:rsidR="00B65A09" w:rsidRPr="00D52972" w:rsidRDefault="00B65A09" w:rsidP="00954E99">
      <w:pPr>
        <w:pStyle w:val="Odstavekseznama"/>
        <w:ind w:left="567" w:hanging="283"/>
      </w:pPr>
      <w:r w:rsidRPr="00D52972">
        <w:t>Pravilnik o tehničnih pogojih, ki jih morajo izpolnjevati videoelektronska identifikacijska sredstva (Uradni list RS, št. 32/18);</w:t>
      </w:r>
    </w:p>
    <w:p w14:paraId="5BF838C3" w14:textId="3E48A276" w:rsidR="00B65A09" w:rsidRPr="00D52972" w:rsidRDefault="00B65A09" w:rsidP="00954E99">
      <w:pPr>
        <w:pStyle w:val="Odstavekseznama"/>
        <w:ind w:left="567" w:hanging="283"/>
      </w:pPr>
      <w:r w:rsidRPr="00D52972">
        <w:t>Pravilnik o službeni izkaznici inšpektorjev za preprečevanje pranja denarja (Uradni list RS, št. 30/17);</w:t>
      </w:r>
    </w:p>
    <w:p w14:paraId="5CA68281" w14:textId="081B66F1" w:rsidR="00B65A09" w:rsidRDefault="00B65A09" w:rsidP="00954E99">
      <w:pPr>
        <w:pStyle w:val="Odstavekseznama"/>
        <w:ind w:left="567" w:hanging="283"/>
      </w:pPr>
      <w:r w:rsidRPr="00D52972">
        <w:t xml:space="preserve">Pravilnik o vzpostavitvi, vzdrževanju in upravljanju Registra dejanskih lastnikov (Uradni list RS, št. 66/17); </w:t>
      </w:r>
    </w:p>
    <w:p w14:paraId="1E48D849" w14:textId="19E8DB85" w:rsidR="0012068D" w:rsidRPr="00D52972" w:rsidRDefault="0012068D" w:rsidP="00954E99">
      <w:pPr>
        <w:pStyle w:val="Odstavekseznama"/>
        <w:ind w:left="567" w:hanging="283"/>
      </w:pPr>
      <w:r w:rsidRPr="0012068D">
        <w:t>Pravilnik o registru ponudnikov storitev menjav med virtualnimi in fiat valutami ter ponudnikov skrbniških denarnic (Uradni list RS, št. 41/21);</w:t>
      </w:r>
    </w:p>
    <w:p w14:paraId="7AE97DC1" w14:textId="30E92D84" w:rsidR="00B65A09" w:rsidRPr="00D52972" w:rsidRDefault="00B65A09" w:rsidP="00954E99">
      <w:pPr>
        <w:pStyle w:val="Odstavekseznama"/>
        <w:ind w:left="567" w:hanging="283"/>
      </w:pPr>
      <w:r w:rsidRPr="00D52972">
        <w:t>Uredba o izvzemu prirediteljev klasičnih iger na srečo iz izvajanja ukrepov za odkrivanje in preprečevanje pranja denarja in financiranja terorizma (Uradni list RS, št. 66/18);</w:t>
      </w:r>
    </w:p>
    <w:p w14:paraId="6A8A4EB8" w14:textId="1A4923AA" w:rsidR="00B65A09" w:rsidRDefault="00B65A09" w:rsidP="00954E99">
      <w:pPr>
        <w:pStyle w:val="Odstavekseznama"/>
        <w:ind w:left="567" w:hanging="283"/>
      </w:pPr>
      <w:r w:rsidRPr="00D52972">
        <w:lastRenderedPageBreak/>
        <w:t xml:space="preserve">Uredba o seznamu funkcij, ki se v Republiki Sloveniji štejejo kot vidni javni položaj (Uradni list RS, št. </w:t>
      </w:r>
      <w:r w:rsidR="0012068D">
        <w:t>164/20</w:t>
      </w:r>
      <w:r w:rsidRPr="00D52972">
        <w:t>);</w:t>
      </w:r>
    </w:p>
    <w:p w14:paraId="02E9F339" w14:textId="0ACD3FA0" w:rsidR="0012068D" w:rsidRPr="00D52972" w:rsidRDefault="0012068D" w:rsidP="00954E99">
      <w:pPr>
        <w:pStyle w:val="Odstavekseznama"/>
        <w:ind w:left="567" w:hanging="283"/>
      </w:pPr>
      <w:r w:rsidRPr="0012068D">
        <w:t>Tarifa nadomestila stroškov za dostop do podatkov iz Registra dejanskih lastnikov (Uradni list RS, št. 76/17);</w:t>
      </w:r>
    </w:p>
    <w:p w14:paraId="71ABCFF6" w14:textId="3A2B0C0B" w:rsidR="00B65A09" w:rsidRPr="00D52972" w:rsidRDefault="00B65A09" w:rsidP="00954E99">
      <w:pPr>
        <w:pStyle w:val="Odstavekseznama"/>
        <w:ind w:left="567" w:hanging="283"/>
      </w:pPr>
      <w:r w:rsidRPr="00D52972">
        <w:t>Kazenski zakonik (</w:t>
      </w:r>
      <w:r w:rsidR="00606A89" w:rsidRPr="00606A89">
        <w:t>Uradni list RS, št. 50/12 – uradno prečiščeno besedilo, 6/16 – popr., 54/15, 38/16, 27/17, 23/20, 91/20, 95/21, 186/21</w:t>
      </w:r>
      <w:r w:rsidR="00F270AB">
        <w:t xml:space="preserve"> – KZ-1</w:t>
      </w:r>
      <w:r w:rsidRPr="00D52972">
        <w:t>);</w:t>
      </w:r>
    </w:p>
    <w:p w14:paraId="6756063A" w14:textId="0C2FA950" w:rsidR="00B65A09" w:rsidRPr="00D52972" w:rsidRDefault="00B65A09" w:rsidP="00954E99">
      <w:pPr>
        <w:pStyle w:val="Odstavekseznama"/>
        <w:ind w:left="567" w:hanging="283"/>
      </w:pPr>
      <w:r w:rsidRPr="00D52972">
        <w:t>Zakon o kazenskem postopku (</w:t>
      </w:r>
      <w:r w:rsidR="00606A89" w:rsidRPr="00606A89">
        <w:t>Uradni list RS, št. 176/21 – uradno prečiščeno besedilo</w:t>
      </w:r>
      <w:r w:rsidR="00F270AB">
        <w:t xml:space="preserve"> - ZKP</w:t>
      </w:r>
      <w:r w:rsidRPr="00D52972">
        <w:t>);</w:t>
      </w:r>
    </w:p>
    <w:p w14:paraId="6A39D4A1" w14:textId="42B36324" w:rsidR="00B65A09" w:rsidRPr="00D52972" w:rsidRDefault="00B65A09" w:rsidP="00954E99">
      <w:pPr>
        <w:pStyle w:val="Odstavekseznama"/>
        <w:ind w:left="567" w:hanging="283"/>
      </w:pPr>
      <w:r w:rsidRPr="00D52972">
        <w:t xml:space="preserve">Zakon o odgovornosti pravnih oseb za kazniva dejanja (Uradni list RS, št. 98/04-UPB1, 65/08 in 57/12 – ZOPOKD); </w:t>
      </w:r>
    </w:p>
    <w:p w14:paraId="479F2477" w14:textId="4A3EC30E" w:rsidR="00B65A09" w:rsidRPr="00D52972" w:rsidRDefault="00B65A09" w:rsidP="00954E99">
      <w:pPr>
        <w:pStyle w:val="Odstavekseznama"/>
        <w:ind w:left="567" w:hanging="283"/>
      </w:pPr>
      <w:r w:rsidRPr="00D52972">
        <w:t>Zakon o odvzemu premoženja nezakonitega izvora (Uradni list RS, št. 91/11, 25/14, 53/18 – odl. US – ZOPNI);</w:t>
      </w:r>
    </w:p>
    <w:p w14:paraId="3F46CC5C" w14:textId="6C4238D3" w:rsidR="00B65A09" w:rsidRPr="00D52972" w:rsidRDefault="00B65A09" w:rsidP="00954E99">
      <w:pPr>
        <w:pStyle w:val="Odstavekseznama"/>
        <w:ind w:left="567" w:hanging="283"/>
      </w:pPr>
      <w:r w:rsidRPr="00D52972">
        <w:t>Zakon o bančništvu (</w:t>
      </w:r>
      <w:r w:rsidR="00606A89" w:rsidRPr="00606A89">
        <w:t>Uradni list RS, št. 92/21 in 123/21 – ZBNIP</w:t>
      </w:r>
      <w:r w:rsidRPr="00D52972">
        <w:t>);</w:t>
      </w:r>
    </w:p>
    <w:p w14:paraId="1A1ACB2D" w14:textId="10B023F4" w:rsidR="00B65A09" w:rsidRPr="00D52972" w:rsidRDefault="00B65A09" w:rsidP="00954E99">
      <w:pPr>
        <w:pStyle w:val="Odstavekseznama"/>
        <w:ind w:left="567" w:hanging="283"/>
      </w:pPr>
      <w:r w:rsidRPr="00D52972">
        <w:t>Zakon o plačilnih storitvah, storitvah izdajanja elektronskega denarja in plačilnih sistemih (Uradni list RS, št. 7/18, 9/18 – popr. in 102/20 – ZPlaSSIED);</w:t>
      </w:r>
    </w:p>
    <w:p w14:paraId="10F14A74" w14:textId="4823A820" w:rsidR="00B65A09" w:rsidRPr="00D52972" w:rsidRDefault="00B65A09" w:rsidP="00954E99">
      <w:pPr>
        <w:pStyle w:val="Odstavekseznama"/>
        <w:ind w:left="567" w:hanging="283"/>
      </w:pPr>
      <w:r w:rsidRPr="00D52972">
        <w:t xml:space="preserve">Zakon o trgu finančnih instrumentov </w:t>
      </w:r>
      <w:r w:rsidR="00606A89">
        <w:t xml:space="preserve">(Uradni list RS, št. </w:t>
      </w:r>
      <w:hyperlink r:id="rId9" w:tgtFrame="_blank" w:tooltip="Zakon o trgu finančnih instrumentov (uradno prečiščeno besedilo)" w:history="1">
        <w:r w:rsidR="00606A89" w:rsidRPr="00606A89">
          <w:t>108/10</w:t>
        </w:r>
      </w:hyperlink>
      <w:r w:rsidR="00606A89">
        <w:t xml:space="preserve"> – uradno prečiščeno besedilo, </w:t>
      </w:r>
      <w:hyperlink r:id="rId10" w:tgtFrame="_blank" w:tooltip="Zakon o spremembah in dopolnitvah Zakona o trgu finančnih instrumentov" w:history="1">
        <w:r w:rsidR="00606A89" w:rsidRPr="00606A89">
          <w:t>78/11</w:t>
        </w:r>
      </w:hyperlink>
      <w:r w:rsidR="00606A89">
        <w:t xml:space="preserve">, </w:t>
      </w:r>
      <w:hyperlink r:id="rId11" w:tgtFrame="_blank" w:tooltip="Zakon o spremembah in dopolnitvah Zakona o trgu finančnih instrumentov" w:history="1">
        <w:r w:rsidR="00606A89" w:rsidRPr="00606A89">
          <w:t>55/12</w:t>
        </w:r>
      </w:hyperlink>
      <w:r w:rsidR="00606A89">
        <w:t xml:space="preserve">, </w:t>
      </w:r>
      <w:hyperlink r:id="rId12" w:tgtFrame="_blank" w:tooltip="Zakon o spremembah in dopolnitvah Zakona o bančništvu" w:history="1">
        <w:r w:rsidR="00606A89" w:rsidRPr="00606A89">
          <w:t>105/12</w:t>
        </w:r>
      </w:hyperlink>
      <w:r w:rsidR="00606A89">
        <w:t xml:space="preserve"> – ZBan-1J, </w:t>
      </w:r>
      <w:hyperlink r:id="rId13" w:tgtFrame="_blank" w:tooltip="Zakon o spremembah in dopolnitvah Zakona o sodiščih" w:history="1">
        <w:r w:rsidR="00606A89" w:rsidRPr="00606A89">
          <w:t>63/13</w:t>
        </w:r>
      </w:hyperlink>
      <w:r w:rsidR="00606A89">
        <w:t xml:space="preserve"> – ZS-K, </w:t>
      </w:r>
      <w:hyperlink r:id="rId14" w:tgtFrame="_blank" w:tooltip="Zakon o spremembah in dopolnitvah Zakona o trgu finančnih instrumentov" w:history="1">
        <w:r w:rsidR="00606A89" w:rsidRPr="00606A89">
          <w:t>30/16</w:t>
        </w:r>
      </w:hyperlink>
      <w:r w:rsidR="00606A89">
        <w:t xml:space="preserve">, </w:t>
      </w:r>
      <w:hyperlink r:id="rId15" w:tgtFrame="_blank" w:tooltip="Zakon o spremembah in dopolnitvah Zakona o trgu finančnih instrumentov" w:history="1">
        <w:r w:rsidR="00606A89" w:rsidRPr="00606A89">
          <w:t>9/17</w:t>
        </w:r>
      </w:hyperlink>
      <w:r w:rsidR="00606A89">
        <w:t xml:space="preserve">, </w:t>
      </w:r>
      <w:hyperlink r:id="rId16" w:tgtFrame="_blank" w:tooltip="Zakon o trgu finančnih instrumentov" w:history="1">
        <w:r w:rsidR="00606A89" w:rsidRPr="00606A89">
          <w:t>77/18</w:t>
        </w:r>
      </w:hyperlink>
      <w:r w:rsidR="00606A89">
        <w:t xml:space="preserve"> – ZTFI-1, </w:t>
      </w:r>
      <w:hyperlink r:id="rId17" w:tgtFrame="_blank" w:tooltip="Zakon o spremembah in dopolnitvah Zakona o trgu finančnih instrumentov" w:history="1">
        <w:r w:rsidR="00606A89" w:rsidRPr="00606A89">
          <w:t>66/19</w:t>
        </w:r>
      </w:hyperlink>
      <w:r w:rsidR="00606A89">
        <w:t xml:space="preserve"> – ZTFI-1A in </w:t>
      </w:r>
      <w:hyperlink r:id="rId18" w:tgtFrame="_blank" w:tooltip="Zakon o spremembah in dopolnitvah Zakona o trgu finančnih instrumentov" w:history="1">
        <w:r w:rsidR="00606A89" w:rsidRPr="00606A89">
          <w:t>123/21</w:t>
        </w:r>
      </w:hyperlink>
      <w:r w:rsidR="00606A89">
        <w:t xml:space="preserve"> – ZTFI-1B)</w:t>
      </w:r>
      <w:r w:rsidRPr="00D52972">
        <w:t xml:space="preserve">; </w:t>
      </w:r>
    </w:p>
    <w:p w14:paraId="13C1F419" w14:textId="71E0336B" w:rsidR="00B65A09" w:rsidRPr="00D52972" w:rsidRDefault="00B65A09" w:rsidP="00954E99">
      <w:pPr>
        <w:pStyle w:val="Odstavekseznama"/>
        <w:ind w:left="567" w:hanging="283"/>
      </w:pPr>
      <w:r w:rsidRPr="00D52972">
        <w:t>Zakon o deviznem poslovanju (Uradni list RS, št. 16/08, 85/09 in 109/12 – ZDP-2);</w:t>
      </w:r>
    </w:p>
    <w:p w14:paraId="12BE2027" w14:textId="0A6B70AD" w:rsidR="00B65A09" w:rsidRPr="00D52972" w:rsidRDefault="00B65A09" w:rsidP="00954E99">
      <w:pPr>
        <w:pStyle w:val="Odstavekseznama"/>
        <w:ind w:left="567" w:hanging="283"/>
      </w:pPr>
      <w:r w:rsidRPr="00D52972">
        <w:t xml:space="preserve">Zakon o ratifikaciji Konvencije Združenih narodov zoper nezakonit promet mamil in psihotropnih snovi (Uradni list SFRJ, MP, št. 14/90); </w:t>
      </w:r>
    </w:p>
    <w:p w14:paraId="22E42D12" w14:textId="57B131AF" w:rsidR="00B65A09" w:rsidRPr="00D52972" w:rsidRDefault="00B65A09" w:rsidP="00954E99">
      <w:pPr>
        <w:pStyle w:val="Odstavekseznama"/>
        <w:ind w:left="567" w:hanging="283"/>
      </w:pPr>
      <w:r w:rsidRPr="00D52972">
        <w:t xml:space="preserve">Zakon o ratifikaciji Konvencije Sveta Evrope o pranju, odkrivanju, zasegu in zaplembi premoženjske koristi, pridobljene s kaznivim dejanjem, in o financiranju terorizma (Uradni list RS – Mednarodne pogodbe, št. 4/10); </w:t>
      </w:r>
    </w:p>
    <w:p w14:paraId="26A1C828" w14:textId="4A8E8ECE" w:rsidR="00B65A09" w:rsidRPr="00D52972" w:rsidRDefault="00B65A09" w:rsidP="00954E99">
      <w:pPr>
        <w:pStyle w:val="Odstavekseznama"/>
        <w:ind w:left="567" w:hanging="283"/>
      </w:pPr>
      <w:r w:rsidRPr="00D52972">
        <w:t xml:space="preserve">Zakon o ratifikaciji Kazenskopravne konvencije Sveta Evrope o korupciji (Uradni list RS, št. 26/00 – Mednarodne pogodbe, št. 7 /00) in Zakon o ratifikaciji Dodatnega protokola h Kazenskopravni konvenciji o korupciji (Uradni list RS – Mednarodne pogodbe, št. 17/04); </w:t>
      </w:r>
    </w:p>
    <w:p w14:paraId="27887E59" w14:textId="2FCB3F00" w:rsidR="00B65A09" w:rsidRPr="00D52972" w:rsidRDefault="00B65A09" w:rsidP="00954E99">
      <w:pPr>
        <w:pStyle w:val="Odstavekseznama"/>
        <w:ind w:left="567" w:hanging="283"/>
      </w:pPr>
      <w:r w:rsidRPr="00D52972">
        <w:t>Zakon o ratifikaciji Konvencije o boju proti podkupovanju tujih javnih uslužbencev v mednarodnem poslovanju (Uradni list RS – MP, št. 1/01);</w:t>
      </w:r>
    </w:p>
    <w:p w14:paraId="3A63F1AD" w14:textId="6239F2F7" w:rsidR="00B65A09" w:rsidRPr="00D52972" w:rsidRDefault="00B65A09" w:rsidP="00954E99">
      <w:pPr>
        <w:pStyle w:val="Odstavekseznama"/>
        <w:ind w:left="567" w:hanging="283"/>
      </w:pPr>
      <w:r w:rsidRPr="00D52972">
        <w:t>Zakon o ratifikaciji Konvencije Združenih narodov proti mednarodnemu organiziranemu kriminalu (Uradni list RS – Mednarodne pogodbe, št. 14/04);</w:t>
      </w:r>
    </w:p>
    <w:p w14:paraId="273B4F6B" w14:textId="5CF03F2E" w:rsidR="00B65A09" w:rsidRPr="00D52972" w:rsidRDefault="00B65A09" w:rsidP="00954E99">
      <w:pPr>
        <w:pStyle w:val="Odstavekseznama"/>
        <w:ind w:left="567" w:hanging="283"/>
      </w:pPr>
      <w:r w:rsidRPr="00D52972">
        <w:t>Zakon o ratifikaciji Mednarodne konvencije o zatiranju financiranja terorizma (Uradni list RS – Mednarodne pogodbe, št. 21/04);</w:t>
      </w:r>
    </w:p>
    <w:p w14:paraId="42D49E4B" w14:textId="5D9D92F3" w:rsidR="00B65A09" w:rsidRPr="00D52972" w:rsidRDefault="00B65A09" w:rsidP="00954E99">
      <w:pPr>
        <w:pStyle w:val="Odstavekseznama"/>
        <w:ind w:left="567" w:hanging="283"/>
      </w:pPr>
      <w:r w:rsidRPr="00D52972">
        <w:t>Direktiva Evropskega parlamenta in Sveta 2015/849 z dne 20. maja 2015 o preprečevanju uporabe finančnega sistema za pranje denarja ali financiranje terorizma, spremembi Uredbe (EU) št. 648/2012 Evropskega parlamenta in Sveta ter razveljavitvi Direktive 2005/60/ES Evropskega parlamenta in Sveta in Direktive Komisije 2006/70/ES (UL L št. 141 z dne 5. 6. 2015)</w:t>
      </w:r>
      <w:r w:rsidR="00E250C9">
        <w:t>;</w:t>
      </w:r>
    </w:p>
    <w:p w14:paraId="71C9827A" w14:textId="0FDE4315" w:rsidR="00B65A09" w:rsidRPr="00D52972" w:rsidRDefault="00B65A09" w:rsidP="00954E99">
      <w:pPr>
        <w:pStyle w:val="Odstavekseznama"/>
        <w:ind w:left="567" w:hanging="283"/>
      </w:pPr>
      <w:r w:rsidRPr="00D52972">
        <w:t>Direktiva (EU) 2019/1153 Evropskega parlamenta in Sveta z dne 20. junija 2019 o določitvi pravil za lažjo uporabo finančnih in drugih informacij za namene preprečevanja, odkrivanja, preiskovanja ali pregona nekaterih kaznivih dejanj ter o razveljavitvi Sklepa Sveta 2000/642/PNZ (UL L št. 186 z dne 11. 7. 2019) – glede izmenjave finančnih analiz in finančnih informacij med pristojnimi organi iz drugega odstavka 3. člena Direktive 2019/1153/EU, finančnimi obveščevalnimi enotami drugih držav članic, Europolom in uradom;</w:t>
      </w:r>
    </w:p>
    <w:p w14:paraId="07742B60" w14:textId="57B8C28A" w:rsidR="00B65A09" w:rsidRPr="00D52972" w:rsidRDefault="00B65A09" w:rsidP="00954E99">
      <w:pPr>
        <w:pStyle w:val="Odstavekseznama"/>
        <w:ind w:left="567" w:hanging="283"/>
      </w:pPr>
      <w:r w:rsidRPr="00D52972">
        <w:t>Okvirni sklep Sveta št. 2001/500/PNZ z dne 26. junija 2001 o pranju denarja, identifikaciji, sledenju, zamrznitvi, zasegu in odvzemu predmetov in premoženjske koristi, ki izvirajo iz kaznivih dejanj (UL L št. 182 z dne 5. 7. 2001);</w:t>
      </w:r>
    </w:p>
    <w:p w14:paraId="10470FF1" w14:textId="77777777" w:rsidR="00F32498" w:rsidRPr="00D52972" w:rsidRDefault="00F32498" w:rsidP="00F32498">
      <w:pPr>
        <w:pStyle w:val="Odstavekseznama"/>
        <w:ind w:left="567" w:hanging="283"/>
      </w:pPr>
      <w:r w:rsidRPr="00CC47BC">
        <w:rPr>
          <w:rFonts w:eastAsia="Times New Roman" w:cs="Arial"/>
          <w:szCs w:val="20"/>
        </w:rPr>
        <w:t>Direktiv</w:t>
      </w:r>
      <w:r>
        <w:rPr>
          <w:rFonts w:eastAsia="Times New Roman" w:cs="Arial"/>
          <w:szCs w:val="20"/>
        </w:rPr>
        <w:t>a</w:t>
      </w:r>
      <w:r w:rsidRPr="00CC47BC">
        <w:rPr>
          <w:rFonts w:eastAsia="Times New Roman" w:cs="Arial"/>
          <w:szCs w:val="20"/>
        </w:rPr>
        <w:t xml:space="preserve"> (EU) 2019/2177</w:t>
      </w:r>
      <w:r w:rsidRPr="00B51B6A">
        <w:rPr>
          <w:rFonts w:eastAsia="Times New Roman" w:cs="Arial"/>
          <w:b/>
          <w:bCs/>
          <w:szCs w:val="20"/>
        </w:rPr>
        <w:t xml:space="preserve"> </w:t>
      </w:r>
      <w:r w:rsidRPr="00536235">
        <w:rPr>
          <w:rFonts w:eastAsia="Times New Roman" w:cs="Arial"/>
          <w:szCs w:val="20"/>
        </w:rPr>
        <w:t>Evropskega parlamenta in Sveta z dne 18. decembra 2019 o spremembi Direktive 2009/138/ES o začetku opravljanja in opravljanju dejavnosti zavarovanja in pozavarovanja (Solventnost II), Direktive 2014/65/EU o trgih finančnih instrumentov in Direktive (EU) 2015/849 o preprečevanju uporabe finančnega sistema za pranje denarja ali financiranje terorizma (Besedilo velja za EGP) (UL L št. 334 z dne 27. 12. 2019</w:t>
      </w:r>
      <w:r>
        <w:rPr>
          <w:rFonts w:eastAsia="Times New Roman" w:cs="Arial"/>
          <w:szCs w:val="20"/>
        </w:rPr>
        <w:t>);</w:t>
      </w:r>
    </w:p>
    <w:p w14:paraId="44F20706" w14:textId="77777777" w:rsidR="00CC47BC" w:rsidRPr="00CC47BC" w:rsidRDefault="00B65A09" w:rsidP="00954E99">
      <w:pPr>
        <w:pStyle w:val="Odstavekseznama"/>
        <w:ind w:left="567" w:hanging="283"/>
      </w:pPr>
      <w:r w:rsidRPr="00D52972">
        <w:lastRenderedPageBreak/>
        <w:t>Uredba (EU) 2018/1672 Evropskega parlamenta in Sveta z dne 23. oktobra 2018 o kontroli gotovine, ki se vnaša v Unijo ali iznaša iz nje, in razveljavitvi Uredbe (ES) št. 1889/2005 (UL L št. 284 z dne 12. 11. 2018) glede evidenc podatkov, pridobljenih na podlagi 3. in 4. člena, tretjega odstavka 5. člena ter 6. člena Uredbe 2018/1672/EU, ter izmenjave podatkov med finančnimi obveščevalnimi enotami na podlagi 9. člena Uredbe 2018/1672/EU;</w:t>
      </w:r>
      <w:r w:rsidR="00CC47BC" w:rsidRPr="00CC47BC">
        <w:rPr>
          <w:rFonts w:eastAsia="Times New Roman" w:cs="Arial"/>
          <w:b/>
          <w:bCs/>
          <w:szCs w:val="20"/>
        </w:rPr>
        <w:t xml:space="preserve"> </w:t>
      </w:r>
    </w:p>
    <w:p w14:paraId="380349A2" w14:textId="6B720313" w:rsidR="009754F7" w:rsidRPr="00D52972" w:rsidRDefault="00B65A09" w:rsidP="009754F7">
      <w:pPr>
        <w:pStyle w:val="Odstavekseznama"/>
        <w:ind w:left="567" w:hanging="283"/>
      </w:pPr>
      <w:r w:rsidRPr="00D52972">
        <w:t>Uredba (EU) 2015/847 Evropskega parlamenta in Sveta z dne 20. maja 2015 o informacijah, ki spremljajo prenose sredstev, in razveljavitvi Uredbe (ES) št. 1781/2006 (UL L št. 141 z dne 5. 6. 2015)</w:t>
      </w:r>
      <w:r w:rsidR="00CC47BC">
        <w:t>.</w:t>
      </w:r>
    </w:p>
    <w:p w14:paraId="4BA55C98" w14:textId="77777777" w:rsidR="00D5707B" w:rsidRDefault="00B65A09" w:rsidP="00B65A09">
      <w:r>
        <w:t xml:space="preserve">Urad je pri delu upošteval tudi nekatere mednarodne </w:t>
      </w:r>
      <w:r w:rsidR="00E26F1E">
        <w:t>dokumente</w:t>
      </w:r>
      <w:r>
        <w:t xml:space="preserve">, ki formalno niso sestavni del pravnega reda Republike Slovenije, vendar pa se je Slovenija zaradi članstva v nekaterih mednarodnih organizacijah zavezala, da bo svojo zakonodajo uskladila s temi </w:t>
      </w:r>
      <w:r w:rsidR="00E26F1E">
        <w:t>dokumenti</w:t>
      </w:r>
      <w:r>
        <w:t xml:space="preserve"> (Priporočila FATF</w:t>
      </w:r>
      <w:r w:rsidR="00FA1893">
        <w:rPr>
          <w:rStyle w:val="Sprotnaopomba-sklic"/>
        </w:rPr>
        <w:footnoteReference w:id="2"/>
      </w:r>
      <w:r>
        <w:t>).</w:t>
      </w:r>
    </w:p>
    <w:p w14:paraId="003E4EE7" w14:textId="7B000AA5" w:rsidR="00B65A09" w:rsidRDefault="00B65A09" w:rsidP="00B65A09">
      <w:r>
        <w:t xml:space="preserve"> </w:t>
      </w:r>
    </w:p>
    <w:p w14:paraId="2334CF31" w14:textId="67516D78" w:rsidR="00B65A09" w:rsidRDefault="00B65A09" w:rsidP="00B65A09">
      <w:pPr>
        <w:pStyle w:val="Naslov2"/>
      </w:pPr>
      <w:bookmarkStart w:id="3" w:name="_Toc119581675"/>
      <w:r>
        <w:t>ORGANIZACIJSKA SHEMA URADA</w:t>
      </w:r>
      <w:bookmarkEnd w:id="3"/>
      <w:r>
        <w:t xml:space="preserve"> </w:t>
      </w:r>
    </w:p>
    <w:p w14:paraId="3BFD4B2A" w14:textId="77777777" w:rsidR="00B65A09" w:rsidRDefault="00B65A09" w:rsidP="00B65A09"/>
    <w:p w14:paraId="7F396538" w14:textId="14BE2AD7" w:rsidR="00B65A09" w:rsidRDefault="00B65A09" w:rsidP="00B65A09">
      <w:r>
        <w:t xml:space="preserve">Sistem odkrivanja pranja denarja </w:t>
      </w:r>
      <w:r w:rsidR="00322214">
        <w:t xml:space="preserve">in financiranja terorizma </w:t>
      </w:r>
      <w:r>
        <w:t xml:space="preserve">je z uveljavitvijo preventivnih zakonov o preprečevanju pranja denarja in financiranja terorizma  ter ustanovitvijo uradov za preprečevanje pranja denarja, ki so po svetu nastali pred </w:t>
      </w:r>
      <w:r w:rsidR="00B3667A">
        <w:t>sedemi</w:t>
      </w:r>
      <w:r>
        <w:t>ndvajsetimi leti, namenil pomembno vlogo tudi zavezancem (finančnim in nefinančnim institucijam)</w:t>
      </w:r>
      <w:r w:rsidR="003C5CCA">
        <w:rPr>
          <w:rStyle w:val="Sprotnaopomba-sklic"/>
        </w:rPr>
        <w:footnoteReference w:id="3"/>
      </w:r>
      <w:r w:rsidR="003C5CCA">
        <w:t xml:space="preserve"> </w:t>
      </w:r>
      <w:r>
        <w:t xml:space="preserve">in uradom za preprečevanje pranja denarja. Mednarodno uveljavljen izraz za te urade je </w:t>
      </w:r>
      <w:r w:rsidRPr="006A01B9">
        <w:rPr>
          <w:b/>
          <w:bCs/>
        </w:rPr>
        <w:t>Financial Intelligence Unit – FIU oziroma v prevodu »finančna obveščevalna enota«</w:t>
      </w:r>
      <w:r>
        <w:t>, kar poenostavljeno pomeni, da je ena od njegovih nalog sprejemanje, analiziranje in pošiljanje finančnih in drugih obveščevalnih podatkov pristojnim organom. Ta naloga urada je razvidna tudi iz definicije že omenjene Projektne skupine za finančno ukrepanje – FATF, po kateri so uradi za preprečevanje pranja denarja »osrednji državni organ za sprejemanje, analiziranje in obveščanje pristojnih organov o sumljivih transakcijah in drugih morebitnih podatkih o pranju denarja ali financiranju terorizma«.</w:t>
      </w:r>
    </w:p>
    <w:p w14:paraId="06964B01" w14:textId="5386F718" w:rsidR="00B65A09" w:rsidRDefault="00B65A09" w:rsidP="00B65A09">
      <w:r>
        <w:t>Glede na organizacijsko obliko se uradi po svetu delijo na administrativne, policijske, tožilske/sodne in hibridne vrste, največ je prvih (v skoraj polovici držav članic EU). Tudi naša država se je odločila za administrativni tip urada, ki nima policijskih pooblastil, s čimer je poleg odkrivanja poudarjena tudi njegova vloga pri preprečevanju pranja denarja in financiranja terorizma.</w:t>
      </w:r>
      <w:r w:rsidR="00322214">
        <w:rPr>
          <w:rStyle w:val="Sprotnaopomba-sklic"/>
        </w:rPr>
        <w:footnoteReference w:id="4"/>
      </w:r>
      <w:r w:rsidR="00322214">
        <w:t xml:space="preserve"> </w:t>
      </w:r>
      <w:r>
        <w:t xml:space="preserve"> Prednost takih uradov je v možnosti razvijanja sodelovanja urada z zavezanci, </w:t>
      </w:r>
      <w:r w:rsidR="00FE03A9">
        <w:t>zlasti</w:t>
      </w:r>
      <w:r>
        <w:t xml:space="preserve"> z bankami. </w:t>
      </w:r>
    </w:p>
    <w:p w14:paraId="3B5A7F49" w14:textId="362C16E9" w:rsidR="00B65A09" w:rsidRDefault="00B65A09" w:rsidP="00B65A09">
      <w:r>
        <w:t xml:space="preserve">Urad je </w:t>
      </w:r>
      <w:r w:rsidRPr="006A01B9">
        <w:rPr>
          <w:b/>
          <w:bCs/>
        </w:rPr>
        <w:t>administrativni organ v sestavi Ministrstva za finance</w:t>
      </w:r>
      <w:r>
        <w:t xml:space="preserve"> in deluje v vlogi posrednika med institucijami finančnega sistema na eni ter organi odkrivanja in pregona kaznivih dejanj na drugi strani. V skladu s pooblastili analizira sporočene sumljive transakcije, ki mu jih sporočajo zavezanci. Če pri tem ugotovi razloge za sum pranja denarja ali financiranja terorizma ali drugih kaznivih dejanj, zbrane podatke kot obvestilo ali informacijo pošlje v nadaljnjo obravnavo pristojnim organom (policija, tožilstvo, </w:t>
      </w:r>
      <w:r w:rsidR="00322214">
        <w:t>FURS</w:t>
      </w:r>
      <w:r>
        <w:t>, SOVA). V zvezi z obvestili urada policiji/tožilstvu velja poudariti, da gre za obveščevalne podatke, katerih del je opravljena analiza finančnih in drugih podatkov</w:t>
      </w:r>
      <w:r w:rsidR="005C0800">
        <w:t xml:space="preserve">. Takšno obvestilo se ne šteje za kazensko ovadbo po </w:t>
      </w:r>
      <w:r>
        <w:t>Zakonu o kazenskem postopk</w:t>
      </w:r>
      <w:r w:rsidR="00D36CF2">
        <w:t>u</w:t>
      </w:r>
      <w:r>
        <w:t xml:space="preserve">. </w:t>
      </w:r>
    </w:p>
    <w:p w14:paraId="19D1E724" w14:textId="68EBB88B" w:rsidR="00B65A09" w:rsidRDefault="00B65A09" w:rsidP="00B65A09">
      <w:r>
        <w:lastRenderedPageBreak/>
        <w:t xml:space="preserve">Organizacijska shema urada se </w:t>
      </w:r>
      <w:r w:rsidR="00697EEB">
        <w:t>je v primerjavi z letom 2020 na</w:t>
      </w:r>
      <w:r>
        <w:t xml:space="preserve"> podlagi sprememb Zakona o javnih uslužbencih</w:t>
      </w:r>
      <w:r w:rsidR="006A2ADF">
        <w:rPr>
          <w:rStyle w:val="Sprotnaopomba-sklic"/>
        </w:rPr>
        <w:footnoteReference w:id="5"/>
      </w:r>
      <w:r w:rsidR="006A2ADF">
        <w:t xml:space="preserve"> </w:t>
      </w:r>
      <w:r>
        <w:t>in na podlagi Uredbe o notranji organizaciji, sistemizaciji delovnih mest in nazivih v organih javne uprave in pravosodnih organih</w:t>
      </w:r>
      <w:r w:rsidR="006A2ADF">
        <w:rPr>
          <w:rStyle w:val="Sprotnaopomba-sklic"/>
        </w:rPr>
        <w:footnoteReference w:id="6"/>
      </w:r>
      <w:r>
        <w:t xml:space="preserve"> </w:t>
      </w:r>
      <w:r w:rsidR="00697EEB">
        <w:t xml:space="preserve">spremenila, saj je bila v letu 2021 izvedena </w:t>
      </w:r>
      <w:r w:rsidR="00697EEB" w:rsidRPr="006A01B9">
        <w:rPr>
          <w:b/>
          <w:bCs/>
        </w:rPr>
        <w:t>reorganizacija</w:t>
      </w:r>
      <w:r w:rsidR="00697EEB">
        <w:t xml:space="preserve">. Bistvena novost je bila ukinitev Sektorja za preventivo in nadzor, katerega naloge so prevzeli novoustanovljena Sektor za pravne zadeve in Sektor za mednarodno sodelovanje in preventivo ter Inšpekcija. Poleg tega je bil ustanovljen še Sektor za </w:t>
      </w:r>
      <w:r w:rsidR="00006168">
        <w:t>s</w:t>
      </w:r>
      <w:r w:rsidR="00697EEB">
        <w:t xml:space="preserve">plošne zadeve in IT podporo, ki je prevzel naloge, ki so se </w:t>
      </w:r>
      <w:r w:rsidR="002F4061">
        <w:t xml:space="preserve">prej </w:t>
      </w:r>
      <w:r w:rsidR="00697EEB">
        <w:t>opravljale v okviru vodstva ter Službe za IT zadeve. Prišlo je tudi do preimenovanja Sektorja za sumljive transakcije v Sektor za spremljanje, analizo in nadzor, čigar naloge pa so ostale nespremenjene.</w:t>
      </w:r>
    </w:p>
    <w:p w14:paraId="249D1ED4" w14:textId="77777777" w:rsidR="00B65A09" w:rsidRDefault="00B65A09" w:rsidP="00B65A09"/>
    <w:p w14:paraId="3AB4812F" w14:textId="02D71739" w:rsidR="00B65A09" w:rsidRPr="00A84BD5" w:rsidRDefault="00B65A09" w:rsidP="00B65A09">
      <w:pPr>
        <w:rPr>
          <w:b/>
          <w:bCs/>
        </w:rPr>
      </w:pPr>
      <w:r w:rsidRPr="00A84BD5">
        <w:rPr>
          <w:b/>
          <w:bCs/>
        </w:rPr>
        <w:t>Organizacijska shema urada</w:t>
      </w:r>
      <w:r w:rsidR="00A84BD5">
        <w:rPr>
          <w:b/>
          <w:bCs/>
        </w:rPr>
        <w:t>:</w:t>
      </w:r>
    </w:p>
    <w:p w14:paraId="3A9504BB" w14:textId="0EA32A28" w:rsidR="00873298" w:rsidRDefault="00873298" w:rsidP="00B65A09">
      <w:r>
        <w:rPr>
          <w:noProof/>
        </w:rPr>
        <w:drawing>
          <wp:inline distT="0" distB="0" distL="0" distR="0" wp14:anchorId="2494E878" wp14:editId="3022A426">
            <wp:extent cx="5760720" cy="1285240"/>
            <wp:effectExtent l="0" t="0" r="0" b="0"/>
            <wp:docPr id="3" name="Slika 3" descr="Prikaz notranjih organizacijskih enot v obliki organi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Prikaz notranjih organizacijskih enot v obliki organigrama."/>
                    <pic:cNvPicPr/>
                  </pic:nvPicPr>
                  <pic:blipFill>
                    <a:blip r:embed="rId19"/>
                    <a:stretch>
                      <a:fillRect/>
                    </a:stretch>
                  </pic:blipFill>
                  <pic:spPr>
                    <a:xfrm>
                      <a:off x="0" y="0"/>
                      <a:ext cx="5760720" cy="1285240"/>
                    </a:xfrm>
                    <a:prstGeom prst="rect">
                      <a:avLst/>
                    </a:prstGeom>
                  </pic:spPr>
                </pic:pic>
              </a:graphicData>
            </a:graphic>
          </wp:inline>
        </w:drawing>
      </w:r>
    </w:p>
    <w:p w14:paraId="7E91472D" w14:textId="50CFEFB9" w:rsidR="00B65A09" w:rsidRDefault="00B65A09" w:rsidP="00B65A09"/>
    <w:p w14:paraId="7C7A941A" w14:textId="69696E2E" w:rsidR="00B65A09" w:rsidRDefault="00B65A09" w:rsidP="00B65A09">
      <w:r>
        <w:t xml:space="preserve">Urad sestavlja poleg vodstva še </w:t>
      </w:r>
      <w:r w:rsidR="00B3667A">
        <w:t>pet</w:t>
      </w:r>
      <w:r>
        <w:t xml:space="preserve"> organizacijsk</w:t>
      </w:r>
      <w:r w:rsidR="00B3667A">
        <w:t>ih</w:t>
      </w:r>
      <w:r>
        <w:t xml:space="preserve"> enot:</w:t>
      </w:r>
    </w:p>
    <w:p w14:paraId="05909F16" w14:textId="50FC7EFC" w:rsidR="00B65A09" w:rsidRPr="006A01B9" w:rsidRDefault="00B65A09" w:rsidP="007A689C">
      <w:pPr>
        <w:pStyle w:val="Odstavekseznama"/>
        <w:ind w:left="851" w:hanging="284"/>
        <w:rPr>
          <w:b/>
          <w:bCs/>
        </w:rPr>
      </w:pPr>
      <w:r w:rsidRPr="006A01B9">
        <w:rPr>
          <w:b/>
          <w:bCs/>
        </w:rPr>
        <w:t xml:space="preserve">Sektor za </w:t>
      </w:r>
      <w:r w:rsidR="00873298" w:rsidRPr="006A01B9">
        <w:rPr>
          <w:b/>
          <w:bCs/>
        </w:rPr>
        <w:t>splošne zadeve in IT podporo</w:t>
      </w:r>
      <w:r w:rsidRPr="006A01B9">
        <w:rPr>
          <w:b/>
          <w:bCs/>
        </w:rPr>
        <w:t>,</w:t>
      </w:r>
    </w:p>
    <w:p w14:paraId="1833C95D" w14:textId="2281FDF6" w:rsidR="00B65A09" w:rsidRPr="006A01B9" w:rsidRDefault="00873298" w:rsidP="007A689C">
      <w:pPr>
        <w:pStyle w:val="Odstavekseznama"/>
        <w:ind w:left="851" w:hanging="284"/>
        <w:rPr>
          <w:b/>
          <w:bCs/>
        </w:rPr>
      </w:pPr>
      <w:r w:rsidRPr="006A01B9">
        <w:rPr>
          <w:b/>
          <w:bCs/>
        </w:rPr>
        <w:t>Sektor za mednarodno sodelovanje in preventivo</w:t>
      </w:r>
      <w:r w:rsidR="00B65A09" w:rsidRPr="006A01B9">
        <w:rPr>
          <w:b/>
          <w:bCs/>
        </w:rPr>
        <w:t>,</w:t>
      </w:r>
    </w:p>
    <w:p w14:paraId="15C0BB5F" w14:textId="4A38D557" w:rsidR="00B65A09" w:rsidRPr="006A01B9" w:rsidRDefault="00873298" w:rsidP="007A689C">
      <w:pPr>
        <w:pStyle w:val="Odstavekseznama"/>
        <w:ind w:left="851" w:hanging="284"/>
        <w:rPr>
          <w:b/>
          <w:bCs/>
        </w:rPr>
      </w:pPr>
      <w:r w:rsidRPr="006A01B9">
        <w:rPr>
          <w:b/>
          <w:bCs/>
        </w:rPr>
        <w:t>Inšpekcija</w:t>
      </w:r>
      <w:r w:rsidR="00B65A09" w:rsidRPr="006A01B9">
        <w:rPr>
          <w:b/>
          <w:bCs/>
        </w:rPr>
        <w:t>,</w:t>
      </w:r>
    </w:p>
    <w:p w14:paraId="4E39195C" w14:textId="77777777" w:rsidR="00873298" w:rsidRPr="006A01B9" w:rsidRDefault="00873298" w:rsidP="007A689C">
      <w:pPr>
        <w:pStyle w:val="Odstavekseznama"/>
        <w:ind w:left="851" w:hanging="284"/>
        <w:rPr>
          <w:b/>
          <w:bCs/>
        </w:rPr>
      </w:pPr>
      <w:r w:rsidRPr="006A01B9">
        <w:rPr>
          <w:b/>
          <w:bCs/>
        </w:rPr>
        <w:t>Sektor za pravne zadeve in</w:t>
      </w:r>
    </w:p>
    <w:p w14:paraId="1DE0E309" w14:textId="0CB4CE54" w:rsidR="00B65A09" w:rsidRPr="006A01B9" w:rsidRDefault="00873298" w:rsidP="007A689C">
      <w:pPr>
        <w:pStyle w:val="Odstavekseznama"/>
        <w:ind w:left="851" w:hanging="284"/>
        <w:rPr>
          <w:b/>
          <w:bCs/>
        </w:rPr>
      </w:pPr>
      <w:r w:rsidRPr="006A01B9">
        <w:rPr>
          <w:b/>
          <w:bCs/>
        </w:rPr>
        <w:t>Sektor za spremljanje, analizo in nadzor.</w:t>
      </w:r>
    </w:p>
    <w:p w14:paraId="78E1138D" w14:textId="758197AF" w:rsidR="007A689C" w:rsidRPr="00D52972" w:rsidRDefault="007A689C" w:rsidP="007A689C">
      <w:pPr>
        <w:jc w:val="left"/>
      </w:pPr>
      <w:r>
        <w:br w:type="page"/>
      </w:r>
    </w:p>
    <w:p w14:paraId="57729A99" w14:textId="156CCFA9" w:rsidR="00B65A09" w:rsidRDefault="00D63187" w:rsidP="00B65A09">
      <w:pPr>
        <w:pStyle w:val="Naslov1"/>
      </w:pPr>
      <w:bookmarkStart w:id="4" w:name="_Toc119581676"/>
      <w:r>
        <w:lastRenderedPageBreak/>
        <w:t>GOTOVINSK</w:t>
      </w:r>
      <w:r w:rsidR="001317D0">
        <w:t>E</w:t>
      </w:r>
      <w:r>
        <w:t xml:space="preserve"> </w:t>
      </w:r>
      <w:r w:rsidR="00B65A09">
        <w:t>TRANSAKCIJ</w:t>
      </w:r>
      <w:r w:rsidR="001317D0">
        <w:t>E</w:t>
      </w:r>
      <w:r w:rsidR="00605D32">
        <w:t xml:space="preserve">, </w:t>
      </w:r>
      <w:r>
        <w:t>NAKAZI</w:t>
      </w:r>
      <w:r w:rsidR="00605D32">
        <w:t>L</w:t>
      </w:r>
      <w:r w:rsidR="001317D0">
        <w:t>A, POVEZANA S TRETJIMI DRŽAVAMI IN</w:t>
      </w:r>
      <w:r w:rsidR="00605D32">
        <w:t xml:space="preserve"> PRENOS GOTOVINE ČEZ MEJO</w:t>
      </w:r>
      <w:r w:rsidR="001317D0">
        <w:t xml:space="preserve"> EVROPSKE UNIJE</w:t>
      </w:r>
      <w:bookmarkEnd w:id="4"/>
    </w:p>
    <w:p w14:paraId="62A1C09D" w14:textId="77777777" w:rsidR="00B65A09" w:rsidRDefault="00B65A09" w:rsidP="00B65A09"/>
    <w:p w14:paraId="7267297D" w14:textId="77777777" w:rsidR="00B65A09" w:rsidRDefault="00B65A09" w:rsidP="00B65A09">
      <w:r>
        <w:t>Od 19. 11. 2016, ko je začel veljati ZPPDFT-1, urad od zavezancev iz 4. člena ZPPDFT-1 in Finančne uprave RS prejema podatke o vseh transakcijah nad določenim zneskom, in sicer:</w:t>
      </w:r>
    </w:p>
    <w:p w14:paraId="7AAF942C" w14:textId="1C54C572" w:rsidR="00B65A09" w:rsidRPr="00D52972" w:rsidRDefault="00B65A09" w:rsidP="00D52972">
      <w:pPr>
        <w:pStyle w:val="Odstavekseznama"/>
        <w:ind w:left="851" w:hanging="306"/>
      </w:pPr>
      <w:r w:rsidRPr="00D52972">
        <w:t>o vseh gotovinskih transakcijah nad 15.000 EUR (gotovinske transakcije),</w:t>
      </w:r>
    </w:p>
    <w:p w14:paraId="3CD44E40" w14:textId="045DC4D5" w:rsidR="00B65A09" w:rsidRPr="00D52972" w:rsidRDefault="00B65A09" w:rsidP="00D52972">
      <w:pPr>
        <w:pStyle w:val="Odstavekseznama"/>
        <w:ind w:left="851" w:hanging="306"/>
      </w:pPr>
      <w:r w:rsidRPr="00D52972">
        <w:t>o vseh nakazilih nad 15.000 EUR, ki so bila na zahtevo stranke izvršena na račune v države oziroma na račune fizičnih in pravnih oseb s prebivališčem oziroma sedežem v državah, ki so uvrščene na seznam visoko tveganih držav ali v zvezi z njimi obstaja povečano tveganje za pojav pranja denarja ali financiranje terorizma (nakazila, povezana s tveganimi državami), in</w:t>
      </w:r>
    </w:p>
    <w:p w14:paraId="37CAC73D" w14:textId="68B55DBB" w:rsidR="00B65A09" w:rsidRPr="00D52972" w:rsidRDefault="00B65A09" w:rsidP="00D52972">
      <w:pPr>
        <w:pStyle w:val="Odstavekseznama"/>
        <w:ind w:left="851" w:hanging="306"/>
      </w:pPr>
      <w:r w:rsidRPr="00D52972">
        <w:t>o prenosih gotovine v vrednosti 10.000 EUR</w:t>
      </w:r>
      <w:r w:rsidR="007051A0">
        <w:t xml:space="preserve"> ali več</w:t>
      </w:r>
      <w:r w:rsidRPr="00D52972">
        <w:t xml:space="preserve"> čez slovenski del meje Evropske unije na podlagi </w:t>
      </w:r>
      <w:r w:rsidR="000F6AC0" w:rsidRPr="00D52972">
        <w:t>Uredb</w:t>
      </w:r>
      <w:r w:rsidR="000F6AC0">
        <w:t>e</w:t>
      </w:r>
      <w:r w:rsidR="000F6AC0" w:rsidRPr="00D52972">
        <w:t xml:space="preserve"> (EU) 2018/1672 o kontroli gotovine, ki se vnaša v Unijo ali iznaša iz nje </w:t>
      </w:r>
      <w:r w:rsidRPr="00D52972">
        <w:t>(prenosi gotovine čez mejo Skupnosti).</w:t>
      </w:r>
    </w:p>
    <w:p w14:paraId="794A4EC4" w14:textId="77777777" w:rsidR="00B65A09" w:rsidRDefault="00B65A09" w:rsidP="00B65A09"/>
    <w:p w14:paraId="32BCACB7" w14:textId="3D3E08E0" w:rsidR="00B65A09" w:rsidRDefault="00B65A09" w:rsidP="00B65A09">
      <w:pPr>
        <w:pStyle w:val="Naslov2"/>
      </w:pPr>
      <w:bookmarkStart w:id="5" w:name="_Toc119581677"/>
      <w:r>
        <w:t>GOTOVINSKE TRANSAKCIJE NAD 15.000 EUR</w:t>
      </w:r>
      <w:bookmarkEnd w:id="5"/>
    </w:p>
    <w:p w14:paraId="0B3AB789" w14:textId="77777777" w:rsidR="00B65A09" w:rsidRDefault="00B65A09" w:rsidP="00B65A09"/>
    <w:p w14:paraId="6C50B98B" w14:textId="5FC7D96D" w:rsidR="00954E99" w:rsidRPr="00424274" w:rsidRDefault="00954E99" w:rsidP="00954E99">
      <w:pPr>
        <w:spacing w:line="276" w:lineRule="auto"/>
      </w:pPr>
      <w:r w:rsidRPr="00C92D06">
        <w:rPr>
          <w:color w:val="000000" w:themeColor="text1"/>
        </w:rPr>
        <w:t xml:space="preserve">V skladu s </w:t>
      </w:r>
      <w:r w:rsidR="00277AC3">
        <w:rPr>
          <w:color w:val="000000" w:themeColor="text1"/>
        </w:rPr>
        <w:t>68</w:t>
      </w:r>
      <w:r w:rsidRPr="00C92D06">
        <w:rPr>
          <w:color w:val="000000" w:themeColor="text1"/>
        </w:rPr>
        <w:t>. členom ZPPDFT-</w:t>
      </w:r>
      <w:r w:rsidR="00277AC3">
        <w:rPr>
          <w:color w:val="000000" w:themeColor="text1"/>
        </w:rPr>
        <w:t>1</w:t>
      </w:r>
      <w:r w:rsidRPr="00C92D06">
        <w:rPr>
          <w:color w:val="000000" w:themeColor="text1"/>
        </w:rPr>
        <w:t xml:space="preserve"> morajo zavezanci od 19. 11. 2016 uradu poročati o vseh gotovinskih transakcijah nad 15.000 EUR. Od 1. 9. 2017,</w:t>
      </w:r>
      <w:r w:rsidRPr="00E90B2B">
        <w:rPr>
          <w:color w:val="00B050"/>
        </w:rPr>
        <w:t xml:space="preserve"> </w:t>
      </w:r>
      <w:r w:rsidRPr="00424274">
        <w:t xml:space="preserve">ko je </w:t>
      </w:r>
      <w:r>
        <w:t>za</w:t>
      </w:r>
      <w:r w:rsidRPr="00424274">
        <w:t xml:space="preserve">čel veljati </w:t>
      </w:r>
      <w:r w:rsidRPr="00424274">
        <w:rPr>
          <w:bCs/>
        </w:rPr>
        <w:t xml:space="preserve">Pravilnik o načinu sporočanja podatkov Uradu RS za preprečevanje pranja denarja </w:t>
      </w:r>
      <w:r w:rsidRPr="00424274">
        <w:t xml:space="preserve">(Uradni list RS št. 32/17), vsi zavezanci </w:t>
      </w:r>
      <w:r>
        <w:t>pošlje</w:t>
      </w:r>
      <w:r w:rsidRPr="00424274">
        <w:t>jo podatke o gotovinskih transakcijah prek zaščitene elektronske povezave.</w:t>
      </w:r>
    </w:p>
    <w:p w14:paraId="220EC155" w14:textId="77777777" w:rsidR="00954E99" w:rsidRPr="00424274" w:rsidRDefault="00954E99" w:rsidP="00954E99">
      <w:pPr>
        <w:rPr>
          <w:lang w:eastAsia="sl-SI"/>
        </w:rPr>
      </w:pPr>
      <w:r>
        <w:t>V letu 2021</w:t>
      </w:r>
      <w:r w:rsidRPr="00424274">
        <w:t xml:space="preserve"> je </w:t>
      </w:r>
      <w:r>
        <w:t>u</w:t>
      </w:r>
      <w:r w:rsidRPr="00424274">
        <w:t xml:space="preserve">rad po zaščiteni elektronski poti od zavezancev prejel podatke o </w:t>
      </w:r>
      <w:r>
        <w:rPr>
          <w:b/>
        </w:rPr>
        <w:t>42</w:t>
      </w:r>
      <w:r w:rsidRPr="00424274">
        <w:rPr>
          <w:b/>
          <w:lang w:eastAsia="sl-SI"/>
        </w:rPr>
        <w:t>.</w:t>
      </w:r>
      <w:r>
        <w:rPr>
          <w:b/>
          <w:lang w:eastAsia="sl-SI"/>
        </w:rPr>
        <w:t>980</w:t>
      </w:r>
      <w:r w:rsidRPr="00424274">
        <w:rPr>
          <w:b/>
          <w:color w:val="000000"/>
          <w:sz w:val="18"/>
          <w:szCs w:val="18"/>
          <w:lang w:eastAsia="sl-SI"/>
        </w:rPr>
        <w:t xml:space="preserve"> </w:t>
      </w:r>
      <w:r w:rsidRPr="00424274">
        <w:rPr>
          <w:b/>
        </w:rPr>
        <w:t>gotovinskih obrazc</w:t>
      </w:r>
      <w:r>
        <w:rPr>
          <w:b/>
        </w:rPr>
        <w:t>ih</w:t>
      </w:r>
      <w:r w:rsidRPr="00424274">
        <w:rPr>
          <w:rFonts w:cs="Times New Roman"/>
          <w:b/>
          <w:vertAlign w:val="superscript"/>
        </w:rPr>
        <w:footnoteReference w:id="7"/>
      </w:r>
      <w:r w:rsidRPr="00424274">
        <w:rPr>
          <w:b/>
        </w:rPr>
        <w:t xml:space="preserve"> nad 15.000 EUR v skupnem </w:t>
      </w:r>
      <w:r w:rsidRPr="00281B59">
        <w:rPr>
          <w:b/>
        </w:rPr>
        <w:t>znesku</w:t>
      </w:r>
      <w:r w:rsidRPr="00424274">
        <w:t xml:space="preserve"> </w:t>
      </w:r>
      <w:r w:rsidRPr="003F55C1">
        <w:rPr>
          <w:b/>
        </w:rPr>
        <w:t>1.536.055.994</w:t>
      </w:r>
      <w:r w:rsidRPr="00424274">
        <w:rPr>
          <w:b/>
        </w:rPr>
        <w:t xml:space="preserve"> </w:t>
      </w:r>
      <w:r w:rsidRPr="00424274">
        <w:rPr>
          <w:b/>
          <w:lang w:eastAsia="sl-SI"/>
        </w:rPr>
        <w:t>EUR</w:t>
      </w:r>
      <w:r w:rsidRPr="00424274">
        <w:rPr>
          <w:lang w:eastAsia="sl-SI"/>
        </w:rPr>
        <w:t>.</w:t>
      </w:r>
    </w:p>
    <w:p w14:paraId="4907AD9A" w14:textId="77777777" w:rsidR="00954E99" w:rsidRDefault="00954E99" w:rsidP="00B65A09"/>
    <w:p w14:paraId="6ACCE8BA" w14:textId="7D15D134" w:rsidR="00954E99" w:rsidRPr="00D22B13" w:rsidRDefault="00B65A09" w:rsidP="00D22B13">
      <w:pPr>
        <w:spacing w:line="276" w:lineRule="auto"/>
        <w:ind w:left="1418" w:right="-22" w:hanging="1418"/>
        <w:rPr>
          <w:b/>
          <w:bCs/>
          <w:i/>
          <w:iCs/>
          <w:sz w:val="18"/>
          <w:szCs w:val="18"/>
        </w:rPr>
      </w:pPr>
      <w:r w:rsidRPr="00D22B13">
        <w:rPr>
          <w:b/>
          <w:bCs/>
          <w:i/>
          <w:iCs/>
          <w:sz w:val="18"/>
          <w:szCs w:val="18"/>
        </w:rPr>
        <w:t>Graf 1: Struktura prijaviteljev gotovinskih transakcij nad 15.000 EUR v letu 2020</w:t>
      </w:r>
    </w:p>
    <w:p w14:paraId="6756E840" w14:textId="3E7E4AE3" w:rsidR="00954E99" w:rsidRPr="00954E99" w:rsidRDefault="00954E99" w:rsidP="00954E99">
      <w:pPr>
        <w:tabs>
          <w:tab w:val="left" w:pos="2291"/>
        </w:tabs>
      </w:pPr>
      <w:r>
        <w:rPr>
          <w:noProof/>
          <w:lang w:eastAsia="sl-SI"/>
        </w:rPr>
        <w:drawing>
          <wp:inline distT="0" distB="0" distL="0" distR="0" wp14:anchorId="04875F22" wp14:editId="69EE02A4">
            <wp:extent cx="5818505" cy="3061565"/>
            <wp:effectExtent l="0" t="0" r="10795" b="5715"/>
            <wp:docPr id="1" name="Grafikon 1" descr="Struktura prijaviteljev gotovinskih transakcij nad 15.000 EUR v letu 2020 prikazana v obliki tortnega grafikona."/>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7E1302F" w14:textId="2AA3E5F2" w:rsidR="00277AC3" w:rsidRPr="00954E99" w:rsidRDefault="00954E99" w:rsidP="00954E99">
      <w:pPr>
        <w:spacing w:line="276" w:lineRule="auto"/>
        <w:rPr>
          <w:b/>
          <w:lang w:eastAsia="sl-SI"/>
        </w:rPr>
      </w:pPr>
      <w:r w:rsidRPr="00424274">
        <w:rPr>
          <w:bCs/>
        </w:rPr>
        <w:t>Delež sporočenih gotovinskih transakcij po sektorjih je podoben prejšnjim leto</w:t>
      </w:r>
      <w:r>
        <w:rPr>
          <w:bCs/>
        </w:rPr>
        <w:t>m, pri čemer</w:t>
      </w:r>
      <w:r w:rsidR="00177DD5">
        <w:rPr>
          <w:bCs/>
        </w:rPr>
        <w:t xml:space="preserve"> je</w:t>
      </w:r>
      <w:r>
        <w:rPr>
          <w:bCs/>
        </w:rPr>
        <w:t xml:space="preserve"> </w:t>
      </w:r>
      <w:r w:rsidR="00177DD5">
        <w:rPr>
          <w:bCs/>
        </w:rPr>
        <w:t>prikazano skupno</w:t>
      </w:r>
      <w:r w:rsidRPr="00424274">
        <w:rPr>
          <w:bCs/>
        </w:rPr>
        <w:t xml:space="preserve"> število sporočenih gotovinskih transakcij za igralnice in igralne salone ter hranilnice in hranilno</w:t>
      </w:r>
      <w:r>
        <w:rPr>
          <w:bCs/>
        </w:rPr>
        <w:t>-</w:t>
      </w:r>
      <w:r w:rsidRPr="00424274">
        <w:rPr>
          <w:bCs/>
        </w:rPr>
        <w:lastRenderedPageBreak/>
        <w:t xml:space="preserve">kreditne službe. </w:t>
      </w:r>
      <w:r w:rsidRPr="00424274">
        <w:rPr>
          <w:b/>
          <w:lang w:eastAsia="sl-SI"/>
        </w:rPr>
        <w:t>Ugot</w:t>
      </w:r>
      <w:r w:rsidR="00177DD5">
        <w:rPr>
          <w:b/>
          <w:lang w:eastAsia="sl-SI"/>
        </w:rPr>
        <w:t>o</w:t>
      </w:r>
      <w:r w:rsidRPr="00424274">
        <w:rPr>
          <w:b/>
          <w:lang w:eastAsia="sl-SI"/>
        </w:rPr>
        <w:t>vlj</w:t>
      </w:r>
      <w:r w:rsidR="00177DD5">
        <w:rPr>
          <w:b/>
          <w:lang w:eastAsia="sl-SI"/>
        </w:rPr>
        <w:t>eno je bilo</w:t>
      </w:r>
      <w:r w:rsidRPr="00424274">
        <w:rPr>
          <w:b/>
          <w:lang w:eastAsia="sl-SI"/>
        </w:rPr>
        <w:t>, da se je skupni znesek prijavljenih tran</w:t>
      </w:r>
      <w:r>
        <w:rPr>
          <w:b/>
          <w:lang w:eastAsia="sl-SI"/>
        </w:rPr>
        <w:t>sakcij v primerjavi z letom 2020</w:t>
      </w:r>
      <w:r w:rsidRPr="00424274">
        <w:rPr>
          <w:b/>
          <w:lang w:eastAsia="sl-SI"/>
        </w:rPr>
        <w:t xml:space="preserve"> </w:t>
      </w:r>
      <w:r>
        <w:rPr>
          <w:b/>
          <w:lang w:eastAsia="sl-SI"/>
        </w:rPr>
        <w:t>povečal</w:t>
      </w:r>
      <w:r w:rsidRPr="00424274">
        <w:rPr>
          <w:b/>
          <w:lang w:eastAsia="sl-SI"/>
        </w:rPr>
        <w:t xml:space="preserve"> za </w:t>
      </w:r>
      <w:r w:rsidRPr="00893624">
        <w:rPr>
          <w:b/>
          <w:lang w:eastAsia="sl-SI"/>
        </w:rPr>
        <w:t>1</w:t>
      </w:r>
      <w:r>
        <w:rPr>
          <w:b/>
          <w:lang w:eastAsia="sl-SI"/>
        </w:rPr>
        <w:t>9</w:t>
      </w:r>
      <w:r w:rsidRPr="00893624">
        <w:rPr>
          <w:b/>
          <w:lang w:eastAsia="sl-SI"/>
        </w:rPr>
        <w:t>,</w:t>
      </w:r>
      <w:r>
        <w:rPr>
          <w:b/>
          <w:lang w:eastAsia="sl-SI"/>
        </w:rPr>
        <w:t>9</w:t>
      </w:r>
      <w:r w:rsidRPr="00EB0D38">
        <w:rPr>
          <w:b/>
          <w:color w:val="FF0000"/>
          <w:lang w:eastAsia="sl-SI"/>
        </w:rPr>
        <w:t xml:space="preserve"> </w:t>
      </w:r>
      <w:r w:rsidRPr="00424274">
        <w:rPr>
          <w:b/>
          <w:lang w:eastAsia="sl-SI"/>
        </w:rPr>
        <w:t xml:space="preserve">%, medtem ko se je število obrazcev </w:t>
      </w:r>
      <w:r>
        <w:rPr>
          <w:b/>
          <w:lang w:eastAsia="sl-SI"/>
        </w:rPr>
        <w:t>povečalo za 18</w:t>
      </w:r>
      <w:r w:rsidRPr="00424274">
        <w:rPr>
          <w:b/>
          <w:lang w:eastAsia="sl-SI"/>
        </w:rPr>
        <w:t>,</w:t>
      </w:r>
      <w:r>
        <w:rPr>
          <w:b/>
          <w:lang w:eastAsia="sl-SI"/>
        </w:rPr>
        <w:t>7</w:t>
      </w:r>
      <w:r w:rsidRPr="00424274">
        <w:rPr>
          <w:b/>
          <w:lang w:eastAsia="sl-SI"/>
        </w:rPr>
        <w:t xml:space="preserve"> %.</w:t>
      </w:r>
    </w:p>
    <w:p w14:paraId="17326BC9" w14:textId="77777777" w:rsidR="00B51090" w:rsidRDefault="00B51090" w:rsidP="00D22B13">
      <w:pPr>
        <w:spacing w:line="276" w:lineRule="auto"/>
        <w:ind w:left="1418" w:right="-22" w:hanging="1418"/>
        <w:rPr>
          <w:b/>
          <w:bCs/>
          <w:i/>
          <w:iCs/>
          <w:sz w:val="18"/>
          <w:szCs w:val="18"/>
        </w:rPr>
      </w:pPr>
    </w:p>
    <w:p w14:paraId="001858C5" w14:textId="705FDA2C" w:rsidR="00B65A09" w:rsidRPr="00D22B13" w:rsidRDefault="00954E99" w:rsidP="00D22B13">
      <w:pPr>
        <w:spacing w:line="276" w:lineRule="auto"/>
        <w:ind w:left="1418" w:right="-22" w:hanging="1418"/>
        <w:rPr>
          <w:b/>
          <w:bCs/>
          <w:i/>
          <w:iCs/>
          <w:sz w:val="18"/>
          <w:szCs w:val="18"/>
        </w:rPr>
      </w:pPr>
      <w:r w:rsidRPr="00D22B13">
        <w:rPr>
          <w:b/>
          <w:bCs/>
          <w:i/>
          <w:iCs/>
          <w:sz w:val="18"/>
          <w:szCs w:val="18"/>
        </w:rPr>
        <w:t xml:space="preserve">Preglednica </w:t>
      </w:r>
      <w:r w:rsidRPr="00D22B13">
        <w:rPr>
          <w:b/>
          <w:bCs/>
          <w:i/>
          <w:iCs/>
          <w:sz w:val="18"/>
          <w:szCs w:val="18"/>
        </w:rPr>
        <w:fldChar w:fldCharType="begin"/>
      </w:r>
      <w:r w:rsidRPr="00D22B13">
        <w:rPr>
          <w:b/>
          <w:bCs/>
          <w:i/>
          <w:iCs/>
          <w:sz w:val="18"/>
          <w:szCs w:val="18"/>
        </w:rPr>
        <w:instrText xml:space="preserve"> SEQ Tabela \* ARABIC </w:instrText>
      </w:r>
      <w:r w:rsidRPr="00D22B13">
        <w:rPr>
          <w:b/>
          <w:bCs/>
          <w:i/>
          <w:iCs/>
          <w:sz w:val="18"/>
          <w:szCs w:val="18"/>
        </w:rPr>
        <w:fldChar w:fldCharType="separate"/>
      </w:r>
      <w:r w:rsidR="0035326B">
        <w:rPr>
          <w:b/>
          <w:bCs/>
          <w:i/>
          <w:iCs/>
          <w:noProof/>
          <w:sz w:val="18"/>
          <w:szCs w:val="18"/>
        </w:rPr>
        <w:t>1</w:t>
      </w:r>
      <w:r w:rsidRPr="00D22B13">
        <w:rPr>
          <w:b/>
          <w:bCs/>
          <w:i/>
          <w:iCs/>
          <w:sz w:val="18"/>
          <w:szCs w:val="18"/>
        </w:rPr>
        <w:fldChar w:fldCharType="end"/>
      </w:r>
      <w:r w:rsidRPr="00D22B13">
        <w:rPr>
          <w:b/>
          <w:bCs/>
          <w:i/>
          <w:iCs/>
          <w:sz w:val="18"/>
          <w:szCs w:val="18"/>
        </w:rPr>
        <w:t>:</w:t>
      </w:r>
      <w:r w:rsidRPr="00D22B13">
        <w:rPr>
          <w:b/>
          <w:bCs/>
          <w:i/>
          <w:iCs/>
          <w:sz w:val="18"/>
          <w:szCs w:val="18"/>
        </w:rPr>
        <w:tab/>
        <w:t>Število in delež gotovinskih obrazcev nad 15.000 EUR v obdobju 2019–2021 po prijaviteljih</w:t>
      </w:r>
    </w:p>
    <w:tbl>
      <w:tblPr>
        <w:tblStyle w:val="Tabelatemnamrea5poudarek5"/>
        <w:tblW w:w="9209" w:type="dxa"/>
        <w:tblLook w:val="04A0" w:firstRow="1" w:lastRow="0" w:firstColumn="1" w:lastColumn="0" w:noHBand="0" w:noVBand="1"/>
      </w:tblPr>
      <w:tblGrid>
        <w:gridCol w:w="1817"/>
        <w:gridCol w:w="1496"/>
        <w:gridCol w:w="956"/>
        <w:gridCol w:w="1496"/>
        <w:gridCol w:w="947"/>
        <w:gridCol w:w="1496"/>
        <w:gridCol w:w="1001"/>
      </w:tblGrid>
      <w:tr w:rsidR="00A9101E" w:rsidRPr="00A9101E" w14:paraId="3B46818A" w14:textId="77777777" w:rsidTr="00F569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7" w:type="dxa"/>
          </w:tcPr>
          <w:p w14:paraId="1540AF29" w14:textId="65FB872F" w:rsidR="006331D8" w:rsidRPr="00A9101E" w:rsidRDefault="006331D8" w:rsidP="00F569C7">
            <w:pPr>
              <w:spacing w:line="360" w:lineRule="auto"/>
              <w:rPr>
                <w:color w:val="auto"/>
              </w:rPr>
            </w:pPr>
            <w:r w:rsidRPr="00A9101E">
              <w:rPr>
                <w:color w:val="auto"/>
              </w:rPr>
              <w:t>Zavezanci</w:t>
            </w:r>
          </w:p>
        </w:tc>
        <w:tc>
          <w:tcPr>
            <w:tcW w:w="1496" w:type="dxa"/>
          </w:tcPr>
          <w:p w14:paraId="6D8C7A0E" w14:textId="269E4E29" w:rsidR="006331D8" w:rsidRPr="00A9101E" w:rsidRDefault="006331D8" w:rsidP="00F569C7">
            <w:pPr>
              <w:spacing w:line="360" w:lineRule="auto"/>
              <w:jc w:val="right"/>
              <w:cnfStyle w:val="100000000000" w:firstRow="1" w:lastRow="0" w:firstColumn="0" w:lastColumn="0" w:oddVBand="0" w:evenVBand="0" w:oddHBand="0" w:evenHBand="0" w:firstRowFirstColumn="0" w:firstRowLastColumn="0" w:lastRowFirstColumn="0" w:lastRowLastColumn="0"/>
              <w:rPr>
                <w:color w:val="auto"/>
              </w:rPr>
            </w:pPr>
            <w:r w:rsidRPr="00A9101E">
              <w:rPr>
                <w:color w:val="auto"/>
              </w:rPr>
              <w:t>2019</w:t>
            </w:r>
          </w:p>
        </w:tc>
        <w:tc>
          <w:tcPr>
            <w:tcW w:w="956" w:type="dxa"/>
          </w:tcPr>
          <w:p w14:paraId="413353D6" w14:textId="77777777" w:rsidR="006331D8" w:rsidRPr="00A9101E" w:rsidRDefault="006331D8" w:rsidP="00F569C7">
            <w:pPr>
              <w:spacing w:line="360" w:lineRule="auto"/>
              <w:cnfStyle w:val="100000000000" w:firstRow="1" w:lastRow="0" w:firstColumn="0" w:lastColumn="0" w:oddVBand="0" w:evenVBand="0" w:oddHBand="0" w:evenHBand="0" w:firstRowFirstColumn="0" w:firstRowLastColumn="0" w:lastRowFirstColumn="0" w:lastRowLastColumn="0"/>
              <w:rPr>
                <w:color w:val="auto"/>
              </w:rPr>
            </w:pPr>
          </w:p>
        </w:tc>
        <w:tc>
          <w:tcPr>
            <w:tcW w:w="1496" w:type="dxa"/>
          </w:tcPr>
          <w:p w14:paraId="6924102E" w14:textId="46F8EA0E" w:rsidR="006331D8" w:rsidRPr="00A9101E" w:rsidRDefault="006331D8" w:rsidP="00F569C7">
            <w:pPr>
              <w:spacing w:line="360" w:lineRule="auto"/>
              <w:jc w:val="right"/>
              <w:cnfStyle w:val="100000000000" w:firstRow="1" w:lastRow="0" w:firstColumn="0" w:lastColumn="0" w:oddVBand="0" w:evenVBand="0" w:oddHBand="0" w:evenHBand="0" w:firstRowFirstColumn="0" w:firstRowLastColumn="0" w:lastRowFirstColumn="0" w:lastRowLastColumn="0"/>
              <w:rPr>
                <w:color w:val="auto"/>
              </w:rPr>
            </w:pPr>
            <w:r w:rsidRPr="00A9101E">
              <w:rPr>
                <w:color w:val="auto"/>
              </w:rPr>
              <w:t>2020</w:t>
            </w:r>
          </w:p>
        </w:tc>
        <w:tc>
          <w:tcPr>
            <w:tcW w:w="947" w:type="dxa"/>
          </w:tcPr>
          <w:p w14:paraId="278DB3F1" w14:textId="77777777" w:rsidR="006331D8" w:rsidRPr="00A9101E" w:rsidRDefault="006331D8" w:rsidP="00F569C7">
            <w:pPr>
              <w:spacing w:line="360" w:lineRule="auto"/>
              <w:cnfStyle w:val="100000000000" w:firstRow="1" w:lastRow="0" w:firstColumn="0" w:lastColumn="0" w:oddVBand="0" w:evenVBand="0" w:oddHBand="0" w:evenHBand="0" w:firstRowFirstColumn="0" w:firstRowLastColumn="0" w:lastRowFirstColumn="0" w:lastRowLastColumn="0"/>
              <w:rPr>
                <w:color w:val="auto"/>
              </w:rPr>
            </w:pPr>
          </w:p>
        </w:tc>
        <w:tc>
          <w:tcPr>
            <w:tcW w:w="1496" w:type="dxa"/>
          </w:tcPr>
          <w:p w14:paraId="023CE85D" w14:textId="5F88EEA9" w:rsidR="006331D8" w:rsidRPr="00A9101E" w:rsidRDefault="006331D8" w:rsidP="00F569C7">
            <w:pPr>
              <w:spacing w:line="360" w:lineRule="auto"/>
              <w:jc w:val="right"/>
              <w:cnfStyle w:val="100000000000" w:firstRow="1" w:lastRow="0" w:firstColumn="0" w:lastColumn="0" w:oddVBand="0" w:evenVBand="0" w:oddHBand="0" w:evenHBand="0" w:firstRowFirstColumn="0" w:firstRowLastColumn="0" w:lastRowFirstColumn="0" w:lastRowLastColumn="0"/>
              <w:rPr>
                <w:color w:val="auto"/>
              </w:rPr>
            </w:pPr>
            <w:r w:rsidRPr="00A9101E">
              <w:rPr>
                <w:color w:val="auto"/>
              </w:rPr>
              <w:t>2021</w:t>
            </w:r>
          </w:p>
        </w:tc>
        <w:tc>
          <w:tcPr>
            <w:tcW w:w="1001" w:type="dxa"/>
          </w:tcPr>
          <w:p w14:paraId="75AAFA05" w14:textId="77777777" w:rsidR="006331D8" w:rsidRPr="00A9101E" w:rsidRDefault="006331D8" w:rsidP="00F569C7">
            <w:pPr>
              <w:spacing w:line="360" w:lineRule="auto"/>
              <w:cnfStyle w:val="100000000000" w:firstRow="1" w:lastRow="0" w:firstColumn="0" w:lastColumn="0" w:oddVBand="0" w:evenVBand="0" w:oddHBand="0" w:evenHBand="0" w:firstRowFirstColumn="0" w:firstRowLastColumn="0" w:lastRowFirstColumn="0" w:lastRowLastColumn="0"/>
              <w:rPr>
                <w:color w:val="auto"/>
              </w:rPr>
            </w:pPr>
          </w:p>
        </w:tc>
      </w:tr>
      <w:tr w:rsidR="005F3C70" w14:paraId="3354B571" w14:textId="77777777" w:rsidTr="00F569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7" w:type="dxa"/>
          </w:tcPr>
          <w:p w14:paraId="1AE44EF2" w14:textId="77777777" w:rsidR="006331D8" w:rsidRPr="00A9101E" w:rsidRDefault="006331D8" w:rsidP="00F569C7">
            <w:pPr>
              <w:spacing w:line="360" w:lineRule="auto"/>
              <w:rPr>
                <w:color w:val="auto"/>
              </w:rPr>
            </w:pPr>
          </w:p>
        </w:tc>
        <w:tc>
          <w:tcPr>
            <w:tcW w:w="1496" w:type="dxa"/>
          </w:tcPr>
          <w:p w14:paraId="43B55C27" w14:textId="0533E31F" w:rsidR="006331D8" w:rsidRDefault="006331D8" w:rsidP="00F569C7">
            <w:pPr>
              <w:spacing w:line="360" w:lineRule="auto"/>
              <w:cnfStyle w:val="000000100000" w:firstRow="0" w:lastRow="0" w:firstColumn="0" w:lastColumn="0" w:oddVBand="0" w:evenVBand="0" w:oddHBand="1" w:evenHBand="0" w:firstRowFirstColumn="0" w:firstRowLastColumn="0" w:lastRowFirstColumn="0" w:lastRowLastColumn="0"/>
            </w:pPr>
            <w:r>
              <w:t>Število</w:t>
            </w:r>
          </w:p>
        </w:tc>
        <w:tc>
          <w:tcPr>
            <w:tcW w:w="956" w:type="dxa"/>
          </w:tcPr>
          <w:p w14:paraId="1F9D0D86" w14:textId="53B68552" w:rsidR="006331D8" w:rsidRDefault="006331D8" w:rsidP="00F569C7">
            <w:pPr>
              <w:spacing w:line="360" w:lineRule="auto"/>
              <w:cnfStyle w:val="000000100000" w:firstRow="0" w:lastRow="0" w:firstColumn="0" w:lastColumn="0" w:oddVBand="0" w:evenVBand="0" w:oddHBand="1" w:evenHBand="0" w:firstRowFirstColumn="0" w:firstRowLastColumn="0" w:lastRowFirstColumn="0" w:lastRowLastColumn="0"/>
            </w:pPr>
            <w:r>
              <w:t>Delež</w:t>
            </w:r>
          </w:p>
        </w:tc>
        <w:tc>
          <w:tcPr>
            <w:tcW w:w="1496" w:type="dxa"/>
          </w:tcPr>
          <w:p w14:paraId="671CA0D9" w14:textId="29C82C86" w:rsidR="006331D8" w:rsidRDefault="006331D8" w:rsidP="00F569C7">
            <w:pPr>
              <w:spacing w:line="360" w:lineRule="auto"/>
              <w:cnfStyle w:val="000000100000" w:firstRow="0" w:lastRow="0" w:firstColumn="0" w:lastColumn="0" w:oddVBand="0" w:evenVBand="0" w:oddHBand="1" w:evenHBand="0" w:firstRowFirstColumn="0" w:firstRowLastColumn="0" w:lastRowFirstColumn="0" w:lastRowLastColumn="0"/>
            </w:pPr>
            <w:r>
              <w:t>Število</w:t>
            </w:r>
          </w:p>
        </w:tc>
        <w:tc>
          <w:tcPr>
            <w:tcW w:w="947" w:type="dxa"/>
          </w:tcPr>
          <w:p w14:paraId="5053967F" w14:textId="5B81E968" w:rsidR="006331D8" w:rsidRDefault="006331D8" w:rsidP="00F569C7">
            <w:pPr>
              <w:spacing w:line="360" w:lineRule="auto"/>
              <w:cnfStyle w:val="000000100000" w:firstRow="0" w:lastRow="0" w:firstColumn="0" w:lastColumn="0" w:oddVBand="0" w:evenVBand="0" w:oddHBand="1" w:evenHBand="0" w:firstRowFirstColumn="0" w:firstRowLastColumn="0" w:lastRowFirstColumn="0" w:lastRowLastColumn="0"/>
            </w:pPr>
            <w:r>
              <w:t>Delež</w:t>
            </w:r>
          </w:p>
        </w:tc>
        <w:tc>
          <w:tcPr>
            <w:tcW w:w="1496" w:type="dxa"/>
          </w:tcPr>
          <w:p w14:paraId="31C17508" w14:textId="54143EDC" w:rsidR="006331D8" w:rsidRDefault="006331D8" w:rsidP="00F569C7">
            <w:pPr>
              <w:spacing w:line="360" w:lineRule="auto"/>
              <w:cnfStyle w:val="000000100000" w:firstRow="0" w:lastRow="0" w:firstColumn="0" w:lastColumn="0" w:oddVBand="0" w:evenVBand="0" w:oddHBand="1" w:evenHBand="0" w:firstRowFirstColumn="0" w:firstRowLastColumn="0" w:lastRowFirstColumn="0" w:lastRowLastColumn="0"/>
            </w:pPr>
            <w:r>
              <w:t>Število</w:t>
            </w:r>
          </w:p>
        </w:tc>
        <w:tc>
          <w:tcPr>
            <w:tcW w:w="1001" w:type="dxa"/>
          </w:tcPr>
          <w:p w14:paraId="65B38726" w14:textId="038D05AE" w:rsidR="006331D8" w:rsidRDefault="006331D8" w:rsidP="00F569C7">
            <w:pPr>
              <w:spacing w:line="360" w:lineRule="auto"/>
              <w:cnfStyle w:val="000000100000" w:firstRow="0" w:lastRow="0" w:firstColumn="0" w:lastColumn="0" w:oddVBand="0" w:evenVBand="0" w:oddHBand="1" w:evenHBand="0" w:firstRowFirstColumn="0" w:firstRowLastColumn="0" w:lastRowFirstColumn="0" w:lastRowLastColumn="0"/>
            </w:pPr>
            <w:r>
              <w:t>Delež</w:t>
            </w:r>
          </w:p>
        </w:tc>
      </w:tr>
      <w:tr w:rsidR="005F3C70" w14:paraId="0CDAA91B" w14:textId="77777777" w:rsidTr="00F569C7">
        <w:tc>
          <w:tcPr>
            <w:cnfStyle w:val="001000000000" w:firstRow="0" w:lastRow="0" w:firstColumn="1" w:lastColumn="0" w:oddVBand="0" w:evenVBand="0" w:oddHBand="0" w:evenHBand="0" w:firstRowFirstColumn="0" w:firstRowLastColumn="0" w:lastRowFirstColumn="0" w:lastRowLastColumn="0"/>
            <w:tcW w:w="1817" w:type="dxa"/>
          </w:tcPr>
          <w:p w14:paraId="53C17476" w14:textId="1AF46DE0" w:rsidR="006331D8" w:rsidRPr="00A9101E" w:rsidRDefault="006331D8" w:rsidP="00F569C7">
            <w:pPr>
              <w:spacing w:line="360" w:lineRule="auto"/>
              <w:rPr>
                <w:color w:val="auto"/>
              </w:rPr>
            </w:pPr>
            <w:r w:rsidRPr="00A9101E">
              <w:rPr>
                <w:color w:val="auto"/>
              </w:rPr>
              <w:t>Banke</w:t>
            </w:r>
          </w:p>
        </w:tc>
        <w:tc>
          <w:tcPr>
            <w:tcW w:w="1496" w:type="dxa"/>
          </w:tcPr>
          <w:p w14:paraId="3F9DA67D" w14:textId="620B2685" w:rsidR="006331D8" w:rsidRDefault="006331D8" w:rsidP="00F569C7">
            <w:pPr>
              <w:spacing w:line="360" w:lineRule="auto"/>
              <w:cnfStyle w:val="000000000000" w:firstRow="0" w:lastRow="0" w:firstColumn="0" w:lastColumn="0" w:oddVBand="0" w:evenVBand="0" w:oddHBand="0" w:evenHBand="0" w:firstRowFirstColumn="0" w:firstRowLastColumn="0" w:lastRowFirstColumn="0" w:lastRowLastColumn="0"/>
            </w:pPr>
            <w:r>
              <w:t>35.157</w:t>
            </w:r>
          </w:p>
        </w:tc>
        <w:tc>
          <w:tcPr>
            <w:tcW w:w="956" w:type="dxa"/>
          </w:tcPr>
          <w:p w14:paraId="1E08D82A" w14:textId="226AAFDB" w:rsidR="006331D8" w:rsidRDefault="006331D8" w:rsidP="00F569C7">
            <w:pPr>
              <w:spacing w:line="360" w:lineRule="auto"/>
              <w:cnfStyle w:val="000000000000" w:firstRow="0" w:lastRow="0" w:firstColumn="0" w:lastColumn="0" w:oddVBand="0" w:evenVBand="0" w:oddHBand="0" w:evenHBand="0" w:firstRowFirstColumn="0" w:firstRowLastColumn="0" w:lastRowFirstColumn="0" w:lastRowLastColumn="0"/>
            </w:pPr>
            <w:r>
              <w:t>82,03 %</w:t>
            </w:r>
          </w:p>
        </w:tc>
        <w:tc>
          <w:tcPr>
            <w:tcW w:w="1496" w:type="dxa"/>
          </w:tcPr>
          <w:p w14:paraId="54597310" w14:textId="69119BBC" w:rsidR="006331D8" w:rsidRDefault="006331D8" w:rsidP="00F569C7">
            <w:pPr>
              <w:spacing w:line="360" w:lineRule="auto"/>
              <w:cnfStyle w:val="000000000000" w:firstRow="0" w:lastRow="0" w:firstColumn="0" w:lastColumn="0" w:oddVBand="0" w:evenVBand="0" w:oddHBand="0" w:evenHBand="0" w:firstRowFirstColumn="0" w:firstRowLastColumn="0" w:lastRowFirstColumn="0" w:lastRowLastColumn="0"/>
            </w:pPr>
            <w:r>
              <w:t>30.769</w:t>
            </w:r>
          </w:p>
        </w:tc>
        <w:tc>
          <w:tcPr>
            <w:tcW w:w="947" w:type="dxa"/>
          </w:tcPr>
          <w:p w14:paraId="06A0024F" w14:textId="102F12CE" w:rsidR="006331D8" w:rsidRDefault="006331D8" w:rsidP="00F569C7">
            <w:pPr>
              <w:spacing w:line="360" w:lineRule="auto"/>
              <w:cnfStyle w:val="000000000000" w:firstRow="0" w:lastRow="0" w:firstColumn="0" w:lastColumn="0" w:oddVBand="0" w:evenVBand="0" w:oddHBand="0" w:evenHBand="0" w:firstRowFirstColumn="0" w:firstRowLastColumn="0" w:lastRowFirstColumn="0" w:lastRowLastColumn="0"/>
            </w:pPr>
            <w:r>
              <w:t>85,01 %</w:t>
            </w:r>
          </w:p>
        </w:tc>
        <w:tc>
          <w:tcPr>
            <w:tcW w:w="1496" w:type="dxa"/>
          </w:tcPr>
          <w:p w14:paraId="43854DD7" w14:textId="6F49ABFA" w:rsidR="006331D8" w:rsidRDefault="006331D8" w:rsidP="00F569C7">
            <w:pPr>
              <w:spacing w:line="360" w:lineRule="auto"/>
              <w:cnfStyle w:val="000000000000" w:firstRow="0" w:lastRow="0" w:firstColumn="0" w:lastColumn="0" w:oddVBand="0" w:evenVBand="0" w:oddHBand="0" w:evenHBand="0" w:firstRowFirstColumn="0" w:firstRowLastColumn="0" w:lastRowFirstColumn="0" w:lastRowLastColumn="0"/>
            </w:pPr>
            <w:r>
              <w:t>35.358</w:t>
            </w:r>
          </w:p>
        </w:tc>
        <w:tc>
          <w:tcPr>
            <w:tcW w:w="1001" w:type="dxa"/>
          </w:tcPr>
          <w:p w14:paraId="6C081356" w14:textId="27C6F493" w:rsidR="006331D8" w:rsidRDefault="006331D8" w:rsidP="00F569C7">
            <w:pPr>
              <w:spacing w:line="360" w:lineRule="auto"/>
              <w:cnfStyle w:val="000000000000" w:firstRow="0" w:lastRow="0" w:firstColumn="0" w:lastColumn="0" w:oddVBand="0" w:evenVBand="0" w:oddHBand="0" w:evenHBand="0" w:firstRowFirstColumn="0" w:firstRowLastColumn="0" w:lastRowFirstColumn="0" w:lastRowLastColumn="0"/>
            </w:pPr>
            <w:r>
              <w:t>82,27 %</w:t>
            </w:r>
          </w:p>
        </w:tc>
      </w:tr>
      <w:tr w:rsidR="005F3C70" w14:paraId="0ABA2BF0" w14:textId="77777777" w:rsidTr="00F569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7" w:type="dxa"/>
          </w:tcPr>
          <w:p w14:paraId="3B9622C9" w14:textId="7264B61F" w:rsidR="006331D8" w:rsidRPr="00A9101E" w:rsidRDefault="006331D8" w:rsidP="00F569C7">
            <w:pPr>
              <w:spacing w:line="360" w:lineRule="auto"/>
              <w:rPr>
                <w:color w:val="auto"/>
              </w:rPr>
            </w:pPr>
            <w:r w:rsidRPr="00A9101E">
              <w:rPr>
                <w:color w:val="auto"/>
              </w:rPr>
              <w:t>Hranilnice</w:t>
            </w:r>
          </w:p>
        </w:tc>
        <w:tc>
          <w:tcPr>
            <w:tcW w:w="1496" w:type="dxa"/>
          </w:tcPr>
          <w:p w14:paraId="09C158C8" w14:textId="6E8A7FC9" w:rsidR="006331D8" w:rsidRDefault="006331D8" w:rsidP="00F569C7">
            <w:pPr>
              <w:spacing w:line="360" w:lineRule="auto"/>
              <w:cnfStyle w:val="000000100000" w:firstRow="0" w:lastRow="0" w:firstColumn="0" w:lastColumn="0" w:oddVBand="0" w:evenVBand="0" w:oddHBand="1" w:evenHBand="0" w:firstRowFirstColumn="0" w:firstRowLastColumn="0" w:lastRowFirstColumn="0" w:lastRowLastColumn="0"/>
            </w:pPr>
            <w:r>
              <w:t>4.568</w:t>
            </w:r>
          </w:p>
        </w:tc>
        <w:tc>
          <w:tcPr>
            <w:tcW w:w="956" w:type="dxa"/>
          </w:tcPr>
          <w:p w14:paraId="5977A960" w14:textId="33C3519D" w:rsidR="006331D8" w:rsidRDefault="006331D8" w:rsidP="00F569C7">
            <w:pPr>
              <w:spacing w:line="360" w:lineRule="auto"/>
              <w:cnfStyle w:val="000000100000" w:firstRow="0" w:lastRow="0" w:firstColumn="0" w:lastColumn="0" w:oddVBand="0" w:evenVBand="0" w:oddHBand="1" w:evenHBand="0" w:firstRowFirstColumn="0" w:firstRowLastColumn="0" w:lastRowFirstColumn="0" w:lastRowLastColumn="0"/>
            </w:pPr>
            <w:r>
              <w:t>10,66 %</w:t>
            </w:r>
          </w:p>
        </w:tc>
        <w:tc>
          <w:tcPr>
            <w:tcW w:w="1496" w:type="dxa"/>
          </w:tcPr>
          <w:p w14:paraId="5EA9B4F8" w14:textId="0192209E" w:rsidR="006331D8" w:rsidRDefault="006331D8" w:rsidP="00F569C7">
            <w:pPr>
              <w:spacing w:line="360" w:lineRule="auto"/>
              <w:cnfStyle w:val="000000100000" w:firstRow="0" w:lastRow="0" w:firstColumn="0" w:lastColumn="0" w:oddVBand="0" w:evenVBand="0" w:oddHBand="1" w:evenHBand="0" w:firstRowFirstColumn="0" w:firstRowLastColumn="0" w:lastRowFirstColumn="0" w:lastRowLastColumn="0"/>
            </w:pPr>
            <w:r>
              <w:t>3.652</w:t>
            </w:r>
          </w:p>
        </w:tc>
        <w:tc>
          <w:tcPr>
            <w:tcW w:w="947" w:type="dxa"/>
          </w:tcPr>
          <w:p w14:paraId="2F9079EB" w14:textId="5B26E9F7" w:rsidR="006331D8" w:rsidRDefault="006331D8" w:rsidP="00F569C7">
            <w:pPr>
              <w:spacing w:line="360" w:lineRule="auto"/>
              <w:cnfStyle w:val="000000100000" w:firstRow="0" w:lastRow="0" w:firstColumn="0" w:lastColumn="0" w:oddVBand="0" w:evenVBand="0" w:oddHBand="1" w:evenHBand="0" w:firstRowFirstColumn="0" w:firstRowLastColumn="0" w:lastRowFirstColumn="0" w:lastRowLastColumn="0"/>
            </w:pPr>
            <w:r>
              <w:t>10,09 %</w:t>
            </w:r>
          </w:p>
        </w:tc>
        <w:tc>
          <w:tcPr>
            <w:tcW w:w="1496" w:type="dxa"/>
          </w:tcPr>
          <w:p w14:paraId="54A1EE75" w14:textId="2EFBB67E" w:rsidR="006331D8" w:rsidRDefault="006331D8" w:rsidP="00F569C7">
            <w:pPr>
              <w:spacing w:line="360" w:lineRule="auto"/>
              <w:cnfStyle w:val="000000100000" w:firstRow="0" w:lastRow="0" w:firstColumn="0" w:lastColumn="0" w:oddVBand="0" w:evenVBand="0" w:oddHBand="1" w:evenHBand="0" w:firstRowFirstColumn="0" w:firstRowLastColumn="0" w:lastRowFirstColumn="0" w:lastRowLastColumn="0"/>
            </w:pPr>
            <w:r>
              <w:t>4.195</w:t>
            </w:r>
          </w:p>
        </w:tc>
        <w:tc>
          <w:tcPr>
            <w:tcW w:w="1001" w:type="dxa"/>
          </w:tcPr>
          <w:p w14:paraId="6345E049" w14:textId="07A73149" w:rsidR="006331D8" w:rsidRDefault="006331D8" w:rsidP="00F569C7">
            <w:pPr>
              <w:spacing w:line="360" w:lineRule="auto"/>
              <w:cnfStyle w:val="000000100000" w:firstRow="0" w:lastRow="0" w:firstColumn="0" w:lastColumn="0" w:oddVBand="0" w:evenVBand="0" w:oddHBand="1" w:evenHBand="0" w:firstRowFirstColumn="0" w:firstRowLastColumn="0" w:lastRowFirstColumn="0" w:lastRowLastColumn="0"/>
            </w:pPr>
            <w:r>
              <w:t>9,76 %</w:t>
            </w:r>
          </w:p>
        </w:tc>
      </w:tr>
      <w:tr w:rsidR="005F3C70" w14:paraId="0CBE4BEF" w14:textId="77777777" w:rsidTr="00F569C7">
        <w:tc>
          <w:tcPr>
            <w:cnfStyle w:val="001000000000" w:firstRow="0" w:lastRow="0" w:firstColumn="1" w:lastColumn="0" w:oddVBand="0" w:evenVBand="0" w:oddHBand="0" w:evenHBand="0" w:firstRowFirstColumn="0" w:firstRowLastColumn="0" w:lastRowFirstColumn="0" w:lastRowLastColumn="0"/>
            <w:tcW w:w="1817" w:type="dxa"/>
          </w:tcPr>
          <w:p w14:paraId="23343A61" w14:textId="1928EA21" w:rsidR="006331D8" w:rsidRPr="00A9101E" w:rsidRDefault="006331D8" w:rsidP="00F569C7">
            <w:pPr>
              <w:spacing w:line="360" w:lineRule="auto"/>
              <w:rPr>
                <w:color w:val="auto"/>
              </w:rPr>
            </w:pPr>
            <w:r w:rsidRPr="00A9101E">
              <w:rPr>
                <w:color w:val="auto"/>
              </w:rPr>
              <w:t>Igralnice</w:t>
            </w:r>
          </w:p>
        </w:tc>
        <w:tc>
          <w:tcPr>
            <w:tcW w:w="1496" w:type="dxa"/>
          </w:tcPr>
          <w:p w14:paraId="25B06AD0" w14:textId="10E05D96" w:rsidR="006331D8" w:rsidRDefault="006331D8" w:rsidP="00F569C7">
            <w:pPr>
              <w:spacing w:line="360" w:lineRule="auto"/>
              <w:cnfStyle w:val="000000000000" w:firstRow="0" w:lastRow="0" w:firstColumn="0" w:lastColumn="0" w:oddVBand="0" w:evenVBand="0" w:oddHBand="0" w:evenHBand="0" w:firstRowFirstColumn="0" w:firstRowLastColumn="0" w:lastRowFirstColumn="0" w:lastRowLastColumn="0"/>
            </w:pPr>
            <w:r>
              <w:t>3.113</w:t>
            </w:r>
          </w:p>
        </w:tc>
        <w:tc>
          <w:tcPr>
            <w:tcW w:w="956" w:type="dxa"/>
          </w:tcPr>
          <w:p w14:paraId="7BFE83A7" w14:textId="602478AD" w:rsidR="006331D8" w:rsidRDefault="006331D8" w:rsidP="00F569C7">
            <w:pPr>
              <w:spacing w:line="360" w:lineRule="auto"/>
              <w:cnfStyle w:val="000000000000" w:firstRow="0" w:lastRow="0" w:firstColumn="0" w:lastColumn="0" w:oddVBand="0" w:evenVBand="0" w:oddHBand="0" w:evenHBand="0" w:firstRowFirstColumn="0" w:firstRowLastColumn="0" w:lastRowFirstColumn="0" w:lastRowLastColumn="0"/>
            </w:pPr>
            <w:r>
              <w:t>7,26 %</w:t>
            </w:r>
          </w:p>
        </w:tc>
        <w:tc>
          <w:tcPr>
            <w:tcW w:w="1496" w:type="dxa"/>
          </w:tcPr>
          <w:p w14:paraId="6E0D928E" w14:textId="6151EB41" w:rsidR="006331D8" w:rsidRDefault="006331D8" w:rsidP="00F569C7">
            <w:pPr>
              <w:spacing w:line="360" w:lineRule="auto"/>
              <w:cnfStyle w:val="000000000000" w:firstRow="0" w:lastRow="0" w:firstColumn="0" w:lastColumn="0" w:oddVBand="0" w:evenVBand="0" w:oddHBand="0" w:evenHBand="0" w:firstRowFirstColumn="0" w:firstRowLastColumn="0" w:lastRowFirstColumn="0" w:lastRowLastColumn="0"/>
            </w:pPr>
            <w:r>
              <w:t>1.771</w:t>
            </w:r>
          </w:p>
        </w:tc>
        <w:tc>
          <w:tcPr>
            <w:tcW w:w="947" w:type="dxa"/>
          </w:tcPr>
          <w:p w14:paraId="19BC3937" w14:textId="1176084F" w:rsidR="006331D8" w:rsidRDefault="006331D8" w:rsidP="00F569C7">
            <w:pPr>
              <w:spacing w:line="360" w:lineRule="auto"/>
              <w:cnfStyle w:val="000000000000" w:firstRow="0" w:lastRow="0" w:firstColumn="0" w:lastColumn="0" w:oddVBand="0" w:evenVBand="0" w:oddHBand="0" w:evenHBand="0" w:firstRowFirstColumn="0" w:firstRowLastColumn="0" w:lastRowFirstColumn="0" w:lastRowLastColumn="0"/>
            </w:pPr>
            <w:r>
              <w:t>4,89 %</w:t>
            </w:r>
          </w:p>
        </w:tc>
        <w:tc>
          <w:tcPr>
            <w:tcW w:w="1496" w:type="dxa"/>
          </w:tcPr>
          <w:p w14:paraId="64EBAE8C" w14:textId="25685D8C" w:rsidR="006331D8" w:rsidRDefault="006331D8" w:rsidP="00F569C7">
            <w:pPr>
              <w:spacing w:line="360" w:lineRule="auto"/>
              <w:cnfStyle w:val="000000000000" w:firstRow="0" w:lastRow="0" w:firstColumn="0" w:lastColumn="0" w:oddVBand="0" w:evenVBand="0" w:oddHBand="0" w:evenHBand="0" w:firstRowFirstColumn="0" w:firstRowLastColumn="0" w:lastRowFirstColumn="0" w:lastRowLastColumn="0"/>
            </w:pPr>
            <w:r>
              <w:t>3.410</w:t>
            </w:r>
          </w:p>
        </w:tc>
        <w:tc>
          <w:tcPr>
            <w:tcW w:w="1001" w:type="dxa"/>
          </w:tcPr>
          <w:p w14:paraId="40941A35" w14:textId="7EB784E6" w:rsidR="006331D8" w:rsidRDefault="006331D8" w:rsidP="00F569C7">
            <w:pPr>
              <w:spacing w:line="360" w:lineRule="auto"/>
              <w:cnfStyle w:val="000000000000" w:firstRow="0" w:lastRow="0" w:firstColumn="0" w:lastColumn="0" w:oddVBand="0" w:evenVBand="0" w:oddHBand="0" w:evenHBand="0" w:firstRowFirstColumn="0" w:firstRowLastColumn="0" w:lastRowFirstColumn="0" w:lastRowLastColumn="0"/>
            </w:pPr>
            <w:r>
              <w:t>7,93 %</w:t>
            </w:r>
          </w:p>
        </w:tc>
      </w:tr>
      <w:tr w:rsidR="005F3C70" w14:paraId="3AD36F65" w14:textId="77777777" w:rsidTr="00F569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7" w:type="dxa"/>
          </w:tcPr>
          <w:p w14:paraId="7B73B9C8" w14:textId="52CF866C" w:rsidR="006331D8" w:rsidRPr="00A9101E" w:rsidRDefault="006331D8" w:rsidP="00F569C7">
            <w:pPr>
              <w:spacing w:line="360" w:lineRule="auto"/>
              <w:rPr>
                <w:color w:val="auto"/>
              </w:rPr>
            </w:pPr>
            <w:r w:rsidRPr="00A9101E">
              <w:rPr>
                <w:color w:val="auto"/>
              </w:rPr>
              <w:t>Notarji/Odvetniki</w:t>
            </w:r>
          </w:p>
        </w:tc>
        <w:tc>
          <w:tcPr>
            <w:tcW w:w="1496" w:type="dxa"/>
          </w:tcPr>
          <w:p w14:paraId="21AB2312" w14:textId="7CE0B6C1" w:rsidR="006331D8" w:rsidRDefault="006331D8" w:rsidP="00F569C7">
            <w:pPr>
              <w:spacing w:line="360" w:lineRule="auto"/>
              <w:cnfStyle w:val="000000100000" w:firstRow="0" w:lastRow="0" w:firstColumn="0" w:lastColumn="0" w:oddVBand="0" w:evenVBand="0" w:oddHBand="1" w:evenHBand="0" w:firstRowFirstColumn="0" w:firstRowLastColumn="0" w:lastRowFirstColumn="0" w:lastRowLastColumn="0"/>
            </w:pPr>
            <w:r>
              <w:t>17</w:t>
            </w:r>
          </w:p>
        </w:tc>
        <w:tc>
          <w:tcPr>
            <w:tcW w:w="956" w:type="dxa"/>
          </w:tcPr>
          <w:p w14:paraId="3D6D354B" w14:textId="688A4047" w:rsidR="006331D8" w:rsidRDefault="006331D8" w:rsidP="00F569C7">
            <w:pPr>
              <w:spacing w:line="360" w:lineRule="auto"/>
              <w:cnfStyle w:val="000000100000" w:firstRow="0" w:lastRow="0" w:firstColumn="0" w:lastColumn="0" w:oddVBand="0" w:evenVBand="0" w:oddHBand="1" w:evenHBand="0" w:firstRowFirstColumn="0" w:firstRowLastColumn="0" w:lastRowFirstColumn="0" w:lastRowLastColumn="0"/>
            </w:pPr>
            <w:r>
              <w:t>0,04 %</w:t>
            </w:r>
          </w:p>
        </w:tc>
        <w:tc>
          <w:tcPr>
            <w:tcW w:w="1496" w:type="dxa"/>
          </w:tcPr>
          <w:p w14:paraId="21A24A3A" w14:textId="1AD0C581" w:rsidR="006331D8" w:rsidRDefault="006331D8" w:rsidP="00F569C7">
            <w:pPr>
              <w:spacing w:line="360" w:lineRule="auto"/>
              <w:cnfStyle w:val="000000100000" w:firstRow="0" w:lastRow="0" w:firstColumn="0" w:lastColumn="0" w:oddVBand="0" w:evenVBand="0" w:oddHBand="1" w:evenHBand="0" w:firstRowFirstColumn="0" w:firstRowLastColumn="0" w:lastRowFirstColumn="0" w:lastRowLastColumn="0"/>
            </w:pPr>
            <w:r>
              <w:t>1</w:t>
            </w:r>
          </w:p>
        </w:tc>
        <w:tc>
          <w:tcPr>
            <w:tcW w:w="947" w:type="dxa"/>
          </w:tcPr>
          <w:p w14:paraId="6A064D96" w14:textId="7CF5FD5B" w:rsidR="006331D8" w:rsidRDefault="006331D8" w:rsidP="00F569C7">
            <w:pPr>
              <w:spacing w:line="360" w:lineRule="auto"/>
              <w:cnfStyle w:val="000000100000" w:firstRow="0" w:lastRow="0" w:firstColumn="0" w:lastColumn="0" w:oddVBand="0" w:evenVBand="0" w:oddHBand="1" w:evenHBand="0" w:firstRowFirstColumn="0" w:firstRowLastColumn="0" w:lastRowFirstColumn="0" w:lastRowLastColumn="0"/>
            </w:pPr>
            <w:r>
              <w:t>0,00 %</w:t>
            </w:r>
          </w:p>
        </w:tc>
        <w:tc>
          <w:tcPr>
            <w:tcW w:w="1496" w:type="dxa"/>
          </w:tcPr>
          <w:p w14:paraId="0EDB6E61" w14:textId="0405867F" w:rsidR="006331D8" w:rsidRDefault="006331D8" w:rsidP="00F569C7">
            <w:pPr>
              <w:spacing w:line="360" w:lineRule="auto"/>
              <w:cnfStyle w:val="000000100000" w:firstRow="0" w:lastRow="0" w:firstColumn="0" w:lastColumn="0" w:oddVBand="0" w:evenVBand="0" w:oddHBand="1" w:evenHBand="0" w:firstRowFirstColumn="0" w:firstRowLastColumn="0" w:lastRowFirstColumn="0" w:lastRowLastColumn="0"/>
            </w:pPr>
            <w:r>
              <w:t>2</w:t>
            </w:r>
          </w:p>
        </w:tc>
        <w:tc>
          <w:tcPr>
            <w:tcW w:w="1001" w:type="dxa"/>
          </w:tcPr>
          <w:p w14:paraId="13262E85" w14:textId="60B1E4B5" w:rsidR="006331D8" w:rsidRDefault="006331D8" w:rsidP="00F569C7">
            <w:pPr>
              <w:spacing w:line="360" w:lineRule="auto"/>
              <w:cnfStyle w:val="000000100000" w:firstRow="0" w:lastRow="0" w:firstColumn="0" w:lastColumn="0" w:oddVBand="0" w:evenVBand="0" w:oddHBand="1" w:evenHBand="0" w:firstRowFirstColumn="0" w:firstRowLastColumn="0" w:lastRowFirstColumn="0" w:lastRowLastColumn="0"/>
            </w:pPr>
            <w:r>
              <w:t>0,00 %</w:t>
            </w:r>
          </w:p>
        </w:tc>
      </w:tr>
      <w:tr w:rsidR="005F3C70" w14:paraId="53EA057B" w14:textId="77777777" w:rsidTr="00F569C7">
        <w:tc>
          <w:tcPr>
            <w:cnfStyle w:val="001000000000" w:firstRow="0" w:lastRow="0" w:firstColumn="1" w:lastColumn="0" w:oddVBand="0" w:evenVBand="0" w:oddHBand="0" w:evenHBand="0" w:firstRowFirstColumn="0" w:firstRowLastColumn="0" w:lastRowFirstColumn="0" w:lastRowLastColumn="0"/>
            <w:tcW w:w="1817" w:type="dxa"/>
          </w:tcPr>
          <w:p w14:paraId="5C654FAE" w14:textId="1622EA22" w:rsidR="006331D8" w:rsidRPr="00A9101E" w:rsidRDefault="006331D8" w:rsidP="00F569C7">
            <w:pPr>
              <w:spacing w:line="360" w:lineRule="auto"/>
              <w:rPr>
                <w:color w:val="auto"/>
              </w:rPr>
            </w:pPr>
            <w:r w:rsidRPr="00A9101E">
              <w:rPr>
                <w:color w:val="auto"/>
              </w:rPr>
              <w:t>Ostali</w:t>
            </w:r>
          </w:p>
        </w:tc>
        <w:tc>
          <w:tcPr>
            <w:tcW w:w="1496" w:type="dxa"/>
          </w:tcPr>
          <w:p w14:paraId="35AEA5D2" w14:textId="547CE787" w:rsidR="006331D8" w:rsidRDefault="006331D8" w:rsidP="00F569C7">
            <w:pPr>
              <w:spacing w:line="360" w:lineRule="auto"/>
              <w:cnfStyle w:val="000000000000" w:firstRow="0" w:lastRow="0" w:firstColumn="0" w:lastColumn="0" w:oddVBand="0" w:evenVBand="0" w:oddHBand="0" w:evenHBand="0" w:firstRowFirstColumn="0" w:firstRowLastColumn="0" w:lastRowFirstColumn="0" w:lastRowLastColumn="0"/>
            </w:pPr>
            <w:r>
              <w:t>6</w:t>
            </w:r>
          </w:p>
        </w:tc>
        <w:tc>
          <w:tcPr>
            <w:tcW w:w="956" w:type="dxa"/>
          </w:tcPr>
          <w:p w14:paraId="081C3A71" w14:textId="43FD5B8E" w:rsidR="006331D8" w:rsidRDefault="006331D8" w:rsidP="00F569C7">
            <w:pPr>
              <w:spacing w:line="360" w:lineRule="auto"/>
              <w:cnfStyle w:val="000000000000" w:firstRow="0" w:lastRow="0" w:firstColumn="0" w:lastColumn="0" w:oddVBand="0" w:evenVBand="0" w:oddHBand="0" w:evenHBand="0" w:firstRowFirstColumn="0" w:firstRowLastColumn="0" w:lastRowFirstColumn="0" w:lastRowLastColumn="0"/>
            </w:pPr>
            <w:r>
              <w:t>0,01 %</w:t>
            </w:r>
          </w:p>
        </w:tc>
        <w:tc>
          <w:tcPr>
            <w:tcW w:w="1496" w:type="dxa"/>
          </w:tcPr>
          <w:p w14:paraId="3DFAA9AA" w14:textId="69AE2EC6" w:rsidR="006331D8" w:rsidRDefault="006331D8" w:rsidP="00F569C7">
            <w:pPr>
              <w:spacing w:line="360" w:lineRule="auto"/>
              <w:cnfStyle w:val="000000000000" w:firstRow="0" w:lastRow="0" w:firstColumn="0" w:lastColumn="0" w:oddVBand="0" w:evenVBand="0" w:oddHBand="0" w:evenHBand="0" w:firstRowFirstColumn="0" w:firstRowLastColumn="0" w:lastRowFirstColumn="0" w:lastRowLastColumn="0"/>
            </w:pPr>
            <w:r>
              <w:t>2</w:t>
            </w:r>
          </w:p>
        </w:tc>
        <w:tc>
          <w:tcPr>
            <w:tcW w:w="947" w:type="dxa"/>
          </w:tcPr>
          <w:p w14:paraId="544BA377" w14:textId="7606CF7D" w:rsidR="006331D8" w:rsidRDefault="006331D8" w:rsidP="00F569C7">
            <w:pPr>
              <w:spacing w:line="360" w:lineRule="auto"/>
              <w:cnfStyle w:val="000000000000" w:firstRow="0" w:lastRow="0" w:firstColumn="0" w:lastColumn="0" w:oddVBand="0" w:evenVBand="0" w:oddHBand="0" w:evenHBand="0" w:firstRowFirstColumn="0" w:firstRowLastColumn="0" w:lastRowFirstColumn="0" w:lastRowLastColumn="0"/>
            </w:pPr>
            <w:r>
              <w:t>0,01 %</w:t>
            </w:r>
          </w:p>
        </w:tc>
        <w:tc>
          <w:tcPr>
            <w:tcW w:w="1496" w:type="dxa"/>
          </w:tcPr>
          <w:p w14:paraId="74CAFBB9" w14:textId="4E5F515E" w:rsidR="006331D8" w:rsidRDefault="006331D8" w:rsidP="00F569C7">
            <w:pPr>
              <w:spacing w:line="360" w:lineRule="auto"/>
              <w:cnfStyle w:val="000000000000" w:firstRow="0" w:lastRow="0" w:firstColumn="0" w:lastColumn="0" w:oddVBand="0" w:evenVBand="0" w:oddHBand="0" w:evenHBand="0" w:firstRowFirstColumn="0" w:firstRowLastColumn="0" w:lastRowFirstColumn="0" w:lastRowLastColumn="0"/>
            </w:pPr>
            <w:r>
              <w:t>15</w:t>
            </w:r>
          </w:p>
        </w:tc>
        <w:tc>
          <w:tcPr>
            <w:tcW w:w="1001" w:type="dxa"/>
          </w:tcPr>
          <w:p w14:paraId="2A27CCD6" w14:textId="2821B3E3" w:rsidR="006331D8" w:rsidRDefault="006331D8" w:rsidP="00F569C7">
            <w:pPr>
              <w:spacing w:line="360" w:lineRule="auto"/>
              <w:cnfStyle w:val="000000000000" w:firstRow="0" w:lastRow="0" w:firstColumn="0" w:lastColumn="0" w:oddVBand="0" w:evenVBand="0" w:oddHBand="0" w:evenHBand="0" w:firstRowFirstColumn="0" w:firstRowLastColumn="0" w:lastRowFirstColumn="0" w:lastRowLastColumn="0"/>
            </w:pPr>
            <w:r>
              <w:t>0,03 %</w:t>
            </w:r>
          </w:p>
        </w:tc>
      </w:tr>
      <w:tr w:rsidR="005F3C70" w14:paraId="316200F9" w14:textId="77777777" w:rsidTr="00F569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7" w:type="dxa"/>
          </w:tcPr>
          <w:p w14:paraId="53E1346C" w14:textId="06FAA9BB" w:rsidR="006331D8" w:rsidRPr="00A9101E" w:rsidRDefault="006331D8" w:rsidP="00F569C7">
            <w:pPr>
              <w:spacing w:line="360" w:lineRule="auto"/>
              <w:rPr>
                <w:color w:val="auto"/>
              </w:rPr>
            </w:pPr>
            <w:r w:rsidRPr="00A9101E">
              <w:rPr>
                <w:color w:val="auto"/>
              </w:rPr>
              <w:t>Skupaj gotovinske transakcije</w:t>
            </w:r>
          </w:p>
        </w:tc>
        <w:tc>
          <w:tcPr>
            <w:tcW w:w="1496" w:type="dxa"/>
          </w:tcPr>
          <w:p w14:paraId="01A4ECED" w14:textId="4A299538" w:rsidR="006331D8" w:rsidRPr="00354EF7" w:rsidRDefault="006331D8" w:rsidP="00F569C7">
            <w:pPr>
              <w:spacing w:line="360" w:lineRule="auto"/>
              <w:cnfStyle w:val="000000100000" w:firstRow="0" w:lastRow="0" w:firstColumn="0" w:lastColumn="0" w:oddVBand="0" w:evenVBand="0" w:oddHBand="1" w:evenHBand="0" w:firstRowFirstColumn="0" w:firstRowLastColumn="0" w:lastRowFirstColumn="0" w:lastRowLastColumn="0"/>
              <w:rPr>
                <w:b/>
                <w:bCs/>
              </w:rPr>
            </w:pPr>
            <w:r w:rsidRPr="00354EF7">
              <w:rPr>
                <w:b/>
                <w:bCs/>
              </w:rPr>
              <w:t>42.879</w:t>
            </w:r>
          </w:p>
        </w:tc>
        <w:tc>
          <w:tcPr>
            <w:tcW w:w="956" w:type="dxa"/>
          </w:tcPr>
          <w:p w14:paraId="2F2203D6" w14:textId="77777777" w:rsidR="006331D8" w:rsidRPr="00354EF7" w:rsidRDefault="006331D8" w:rsidP="00F569C7">
            <w:pPr>
              <w:spacing w:line="360" w:lineRule="auto"/>
              <w:cnfStyle w:val="000000100000" w:firstRow="0" w:lastRow="0" w:firstColumn="0" w:lastColumn="0" w:oddVBand="0" w:evenVBand="0" w:oddHBand="1" w:evenHBand="0" w:firstRowFirstColumn="0" w:firstRowLastColumn="0" w:lastRowFirstColumn="0" w:lastRowLastColumn="0"/>
              <w:rPr>
                <w:b/>
                <w:bCs/>
              </w:rPr>
            </w:pPr>
          </w:p>
        </w:tc>
        <w:tc>
          <w:tcPr>
            <w:tcW w:w="1496" w:type="dxa"/>
          </w:tcPr>
          <w:p w14:paraId="46F9E403" w14:textId="3B76D9F5" w:rsidR="006331D8" w:rsidRPr="00354EF7" w:rsidRDefault="006331D8" w:rsidP="00F569C7">
            <w:pPr>
              <w:spacing w:line="360" w:lineRule="auto"/>
              <w:cnfStyle w:val="000000100000" w:firstRow="0" w:lastRow="0" w:firstColumn="0" w:lastColumn="0" w:oddVBand="0" w:evenVBand="0" w:oddHBand="1" w:evenHBand="0" w:firstRowFirstColumn="0" w:firstRowLastColumn="0" w:lastRowFirstColumn="0" w:lastRowLastColumn="0"/>
              <w:rPr>
                <w:b/>
                <w:bCs/>
              </w:rPr>
            </w:pPr>
            <w:r w:rsidRPr="00354EF7">
              <w:rPr>
                <w:b/>
                <w:bCs/>
              </w:rPr>
              <w:t>36.195</w:t>
            </w:r>
          </w:p>
        </w:tc>
        <w:tc>
          <w:tcPr>
            <w:tcW w:w="947" w:type="dxa"/>
          </w:tcPr>
          <w:p w14:paraId="7BAD2010" w14:textId="77777777" w:rsidR="006331D8" w:rsidRPr="00354EF7" w:rsidRDefault="006331D8" w:rsidP="00F569C7">
            <w:pPr>
              <w:spacing w:line="360" w:lineRule="auto"/>
              <w:cnfStyle w:val="000000100000" w:firstRow="0" w:lastRow="0" w:firstColumn="0" w:lastColumn="0" w:oddVBand="0" w:evenVBand="0" w:oddHBand="1" w:evenHBand="0" w:firstRowFirstColumn="0" w:firstRowLastColumn="0" w:lastRowFirstColumn="0" w:lastRowLastColumn="0"/>
              <w:rPr>
                <w:b/>
                <w:bCs/>
              </w:rPr>
            </w:pPr>
          </w:p>
        </w:tc>
        <w:tc>
          <w:tcPr>
            <w:tcW w:w="1496" w:type="dxa"/>
          </w:tcPr>
          <w:p w14:paraId="3BB40D95" w14:textId="2BCB9B74" w:rsidR="006331D8" w:rsidRPr="00354EF7" w:rsidRDefault="006331D8" w:rsidP="00F569C7">
            <w:pPr>
              <w:spacing w:line="360" w:lineRule="auto"/>
              <w:cnfStyle w:val="000000100000" w:firstRow="0" w:lastRow="0" w:firstColumn="0" w:lastColumn="0" w:oddVBand="0" w:evenVBand="0" w:oddHBand="1" w:evenHBand="0" w:firstRowFirstColumn="0" w:firstRowLastColumn="0" w:lastRowFirstColumn="0" w:lastRowLastColumn="0"/>
              <w:rPr>
                <w:b/>
                <w:bCs/>
              </w:rPr>
            </w:pPr>
            <w:r w:rsidRPr="00354EF7">
              <w:rPr>
                <w:b/>
                <w:bCs/>
              </w:rPr>
              <w:t>42.980</w:t>
            </w:r>
          </w:p>
        </w:tc>
        <w:tc>
          <w:tcPr>
            <w:tcW w:w="1001" w:type="dxa"/>
          </w:tcPr>
          <w:p w14:paraId="0579EC11" w14:textId="77777777" w:rsidR="006331D8" w:rsidRDefault="006331D8" w:rsidP="00F569C7">
            <w:pPr>
              <w:spacing w:line="360" w:lineRule="auto"/>
              <w:cnfStyle w:val="000000100000" w:firstRow="0" w:lastRow="0" w:firstColumn="0" w:lastColumn="0" w:oddVBand="0" w:evenVBand="0" w:oddHBand="1" w:evenHBand="0" w:firstRowFirstColumn="0" w:firstRowLastColumn="0" w:lastRowFirstColumn="0" w:lastRowLastColumn="0"/>
            </w:pPr>
          </w:p>
        </w:tc>
      </w:tr>
      <w:tr w:rsidR="005F3C70" w14:paraId="5F42A888" w14:textId="77777777" w:rsidTr="00F569C7">
        <w:tc>
          <w:tcPr>
            <w:cnfStyle w:val="001000000000" w:firstRow="0" w:lastRow="0" w:firstColumn="1" w:lastColumn="0" w:oddVBand="0" w:evenVBand="0" w:oddHBand="0" w:evenHBand="0" w:firstRowFirstColumn="0" w:firstRowLastColumn="0" w:lastRowFirstColumn="0" w:lastRowLastColumn="0"/>
            <w:tcW w:w="1817" w:type="dxa"/>
          </w:tcPr>
          <w:p w14:paraId="17CC1E29" w14:textId="1AACDE3C" w:rsidR="006331D8" w:rsidRPr="00260D17" w:rsidRDefault="005F3C70" w:rsidP="00F569C7">
            <w:pPr>
              <w:spacing w:line="360" w:lineRule="auto"/>
              <w:rPr>
                <w:color w:val="auto"/>
              </w:rPr>
            </w:pPr>
            <w:r w:rsidRPr="00260D17">
              <w:rPr>
                <w:color w:val="auto"/>
              </w:rPr>
              <w:t>Skupni znesek</w:t>
            </w:r>
          </w:p>
        </w:tc>
        <w:tc>
          <w:tcPr>
            <w:tcW w:w="1496" w:type="dxa"/>
          </w:tcPr>
          <w:p w14:paraId="0CADCC3C" w14:textId="7A5F2120" w:rsidR="006331D8" w:rsidRPr="00354EF7" w:rsidRDefault="005F3C70" w:rsidP="00F569C7">
            <w:pPr>
              <w:spacing w:line="360" w:lineRule="auto"/>
              <w:cnfStyle w:val="000000000000" w:firstRow="0" w:lastRow="0" w:firstColumn="0" w:lastColumn="0" w:oddVBand="0" w:evenVBand="0" w:oddHBand="0" w:evenHBand="0" w:firstRowFirstColumn="0" w:firstRowLastColumn="0" w:lastRowFirstColumn="0" w:lastRowLastColumn="0"/>
              <w:rPr>
                <w:b/>
                <w:bCs/>
              </w:rPr>
            </w:pPr>
            <w:r w:rsidRPr="00354EF7">
              <w:rPr>
                <w:b/>
                <w:bCs/>
              </w:rPr>
              <w:t>1.533.261.465</w:t>
            </w:r>
          </w:p>
        </w:tc>
        <w:tc>
          <w:tcPr>
            <w:tcW w:w="956" w:type="dxa"/>
          </w:tcPr>
          <w:p w14:paraId="0280DC43" w14:textId="77777777" w:rsidR="006331D8" w:rsidRPr="00354EF7" w:rsidRDefault="006331D8" w:rsidP="00F569C7">
            <w:pPr>
              <w:spacing w:line="360" w:lineRule="auto"/>
              <w:cnfStyle w:val="000000000000" w:firstRow="0" w:lastRow="0" w:firstColumn="0" w:lastColumn="0" w:oddVBand="0" w:evenVBand="0" w:oddHBand="0" w:evenHBand="0" w:firstRowFirstColumn="0" w:firstRowLastColumn="0" w:lastRowFirstColumn="0" w:lastRowLastColumn="0"/>
              <w:rPr>
                <w:b/>
                <w:bCs/>
              </w:rPr>
            </w:pPr>
          </w:p>
        </w:tc>
        <w:tc>
          <w:tcPr>
            <w:tcW w:w="1496" w:type="dxa"/>
          </w:tcPr>
          <w:p w14:paraId="248EAE3D" w14:textId="1106FA36" w:rsidR="006331D8" w:rsidRPr="00354EF7" w:rsidRDefault="005F3C70" w:rsidP="00F569C7">
            <w:pPr>
              <w:spacing w:line="360" w:lineRule="auto"/>
              <w:cnfStyle w:val="000000000000" w:firstRow="0" w:lastRow="0" w:firstColumn="0" w:lastColumn="0" w:oddVBand="0" w:evenVBand="0" w:oddHBand="0" w:evenHBand="0" w:firstRowFirstColumn="0" w:firstRowLastColumn="0" w:lastRowFirstColumn="0" w:lastRowLastColumn="0"/>
              <w:rPr>
                <w:b/>
                <w:bCs/>
              </w:rPr>
            </w:pPr>
            <w:r w:rsidRPr="00354EF7">
              <w:rPr>
                <w:b/>
                <w:bCs/>
              </w:rPr>
              <w:t>1.280.791.830</w:t>
            </w:r>
          </w:p>
        </w:tc>
        <w:tc>
          <w:tcPr>
            <w:tcW w:w="947" w:type="dxa"/>
          </w:tcPr>
          <w:p w14:paraId="10BF20F9" w14:textId="77777777" w:rsidR="006331D8" w:rsidRPr="00354EF7" w:rsidRDefault="006331D8" w:rsidP="00F569C7">
            <w:pPr>
              <w:spacing w:line="360" w:lineRule="auto"/>
              <w:cnfStyle w:val="000000000000" w:firstRow="0" w:lastRow="0" w:firstColumn="0" w:lastColumn="0" w:oddVBand="0" w:evenVBand="0" w:oddHBand="0" w:evenHBand="0" w:firstRowFirstColumn="0" w:firstRowLastColumn="0" w:lastRowFirstColumn="0" w:lastRowLastColumn="0"/>
              <w:rPr>
                <w:b/>
                <w:bCs/>
              </w:rPr>
            </w:pPr>
          </w:p>
        </w:tc>
        <w:tc>
          <w:tcPr>
            <w:tcW w:w="1496" w:type="dxa"/>
          </w:tcPr>
          <w:p w14:paraId="0F60AD87" w14:textId="59617D8D" w:rsidR="006331D8" w:rsidRPr="00354EF7" w:rsidRDefault="005F3C70" w:rsidP="00F569C7">
            <w:pPr>
              <w:spacing w:line="360" w:lineRule="auto"/>
              <w:cnfStyle w:val="000000000000" w:firstRow="0" w:lastRow="0" w:firstColumn="0" w:lastColumn="0" w:oddVBand="0" w:evenVBand="0" w:oddHBand="0" w:evenHBand="0" w:firstRowFirstColumn="0" w:firstRowLastColumn="0" w:lastRowFirstColumn="0" w:lastRowLastColumn="0"/>
              <w:rPr>
                <w:b/>
                <w:bCs/>
              </w:rPr>
            </w:pPr>
            <w:r w:rsidRPr="00354EF7">
              <w:rPr>
                <w:b/>
                <w:bCs/>
              </w:rPr>
              <w:t>1.536.055.994</w:t>
            </w:r>
          </w:p>
        </w:tc>
        <w:tc>
          <w:tcPr>
            <w:tcW w:w="1001" w:type="dxa"/>
          </w:tcPr>
          <w:p w14:paraId="0AEDC8F2" w14:textId="77777777" w:rsidR="006331D8" w:rsidRDefault="006331D8" w:rsidP="00F569C7">
            <w:pPr>
              <w:spacing w:line="360" w:lineRule="auto"/>
              <w:cnfStyle w:val="000000000000" w:firstRow="0" w:lastRow="0" w:firstColumn="0" w:lastColumn="0" w:oddVBand="0" w:evenVBand="0" w:oddHBand="0" w:evenHBand="0" w:firstRowFirstColumn="0" w:firstRowLastColumn="0" w:lastRowFirstColumn="0" w:lastRowLastColumn="0"/>
            </w:pPr>
          </w:p>
        </w:tc>
      </w:tr>
      <w:tr w:rsidR="005F3C70" w14:paraId="2F76E5A7" w14:textId="77777777" w:rsidTr="00F569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7" w:type="dxa"/>
          </w:tcPr>
          <w:p w14:paraId="1B48413A" w14:textId="6E9E3C9C" w:rsidR="006331D8" w:rsidRPr="00260D17" w:rsidRDefault="005F3C70" w:rsidP="00F569C7">
            <w:pPr>
              <w:spacing w:line="360" w:lineRule="auto"/>
              <w:rPr>
                <w:color w:val="auto"/>
              </w:rPr>
            </w:pPr>
            <w:r w:rsidRPr="00260D17">
              <w:rPr>
                <w:color w:val="auto"/>
              </w:rPr>
              <w:t>Znesek/Obrazec</w:t>
            </w:r>
          </w:p>
        </w:tc>
        <w:tc>
          <w:tcPr>
            <w:tcW w:w="1496" w:type="dxa"/>
          </w:tcPr>
          <w:p w14:paraId="3DFAFD0D" w14:textId="102F157C" w:rsidR="006331D8" w:rsidRPr="00354EF7" w:rsidRDefault="005F3C70" w:rsidP="00F569C7">
            <w:pPr>
              <w:spacing w:line="360" w:lineRule="auto"/>
              <w:cnfStyle w:val="000000100000" w:firstRow="0" w:lastRow="0" w:firstColumn="0" w:lastColumn="0" w:oddVBand="0" w:evenVBand="0" w:oddHBand="1" w:evenHBand="0" w:firstRowFirstColumn="0" w:firstRowLastColumn="0" w:lastRowFirstColumn="0" w:lastRowLastColumn="0"/>
              <w:rPr>
                <w:b/>
                <w:bCs/>
              </w:rPr>
            </w:pPr>
            <w:r w:rsidRPr="00354EF7">
              <w:rPr>
                <w:b/>
                <w:bCs/>
              </w:rPr>
              <w:t>35.773</w:t>
            </w:r>
          </w:p>
        </w:tc>
        <w:tc>
          <w:tcPr>
            <w:tcW w:w="956" w:type="dxa"/>
          </w:tcPr>
          <w:p w14:paraId="60CAB14A" w14:textId="77777777" w:rsidR="006331D8" w:rsidRPr="00354EF7" w:rsidRDefault="006331D8" w:rsidP="00F569C7">
            <w:pPr>
              <w:spacing w:line="360" w:lineRule="auto"/>
              <w:cnfStyle w:val="000000100000" w:firstRow="0" w:lastRow="0" w:firstColumn="0" w:lastColumn="0" w:oddVBand="0" w:evenVBand="0" w:oddHBand="1" w:evenHBand="0" w:firstRowFirstColumn="0" w:firstRowLastColumn="0" w:lastRowFirstColumn="0" w:lastRowLastColumn="0"/>
              <w:rPr>
                <w:b/>
                <w:bCs/>
              </w:rPr>
            </w:pPr>
          </w:p>
        </w:tc>
        <w:tc>
          <w:tcPr>
            <w:tcW w:w="1496" w:type="dxa"/>
          </w:tcPr>
          <w:p w14:paraId="5B004E5B" w14:textId="3042E069" w:rsidR="006331D8" w:rsidRPr="00354EF7" w:rsidRDefault="005F3C70" w:rsidP="00F569C7">
            <w:pPr>
              <w:spacing w:line="360" w:lineRule="auto"/>
              <w:cnfStyle w:val="000000100000" w:firstRow="0" w:lastRow="0" w:firstColumn="0" w:lastColumn="0" w:oddVBand="0" w:evenVBand="0" w:oddHBand="1" w:evenHBand="0" w:firstRowFirstColumn="0" w:firstRowLastColumn="0" w:lastRowFirstColumn="0" w:lastRowLastColumn="0"/>
              <w:rPr>
                <w:b/>
                <w:bCs/>
              </w:rPr>
            </w:pPr>
            <w:r w:rsidRPr="00354EF7">
              <w:rPr>
                <w:b/>
                <w:bCs/>
              </w:rPr>
              <w:t>35.386</w:t>
            </w:r>
          </w:p>
        </w:tc>
        <w:tc>
          <w:tcPr>
            <w:tcW w:w="947" w:type="dxa"/>
          </w:tcPr>
          <w:p w14:paraId="35CAD72B" w14:textId="77777777" w:rsidR="006331D8" w:rsidRPr="00354EF7" w:rsidRDefault="006331D8" w:rsidP="00F569C7">
            <w:pPr>
              <w:spacing w:line="360" w:lineRule="auto"/>
              <w:cnfStyle w:val="000000100000" w:firstRow="0" w:lastRow="0" w:firstColumn="0" w:lastColumn="0" w:oddVBand="0" w:evenVBand="0" w:oddHBand="1" w:evenHBand="0" w:firstRowFirstColumn="0" w:firstRowLastColumn="0" w:lastRowFirstColumn="0" w:lastRowLastColumn="0"/>
              <w:rPr>
                <w:b/>
                <w:bCs/>
              </w:rPr>
            </w:pPr>
          </w:p>
        </w:tc>
        <w:tc>
          <w:tcPr>
            <w:tcW w:w="1496" w:type="dxa"/>
          </w:tcPr>
          <w:p w14:paraId="41AD6BDB" w14:textId="25266210" w:rsidR="006331D8" w:rsidRPr="00354EF7" w:rsidRDefault="005F3C70" w:rsidP="00F569C7">
            <w:pPr>
              <w:spacing w:line="360" w:lineRule="auto"/>
              <w:cnfStyle w:val="000000100000" w:firstRow="0" w:lastRow="0" w:firstColumn="0" w:lastColumn="0" w:oddVBand="0" w:evenVBand="0" w:oddHBand="1" w:evenHBand="0" w:firstRowFirstColumn="0" w:firstRowLastColumn="0" w:lastRowFirstColumn="0" w:lastRowLastColumn="0"/>
              <w:rPr>
                <w:b/>
                <w:bCs/>
              </w:rPr>
            </w:pPr>
            <w:r w:rsidRPr="00354EF7">
              <w:rPr>
                <w:b/>
                <w:bCs/>
              </w:rPr>
              <w:t>35.739</w:t>
            </w:r>
          </w:p>
        </w:tc>
        <w:tc>
          <w:tcPr>
            <w:tcW w:w="1001" w:type="dxa"/>
          </w:tcPr>
          <w:p w14:paraId="350F853B" w14:textId="77777777" w:rsidR="006331D8" w:rsidRDefault="006331D8" w:rsidP="00F569C7">
            <w:pPr>
              <w:spacing w:line="360" w:lineRule="auto"/>
              <w:cnfStyle w:val="000000100000" w:firstRow="0" w:lastRow="0" w:firstColumn="0" w:lastColumn="0" w:oddVBand="0" w:evenVBand="0" w:oddHBand="1" w:evenHBand="0" w:firstRowFirstColumn="0" w:firstRowLastColumn="0" w:lastRowFirstColumn="0" w:lastRowLastColumn="0"/>
            </w:pPr>
          </w:p>
        </w:tc>
      </w:tr>
    </w:tbl>
    <w:p w14:paraId="41123550" w14:textId="77777777" w:rsidR="00B65A09" w:rsidRDefault="00B65A09" w:rsidP="00B65A09"/>
    <w:p w14:paraId="087CB7BB" w14:textId="0AFF082E" w:rsidR="00954E99" w:rsidRPr="00954E99" w:rsidRDefault="00954E99" w:rsidP="00954E99">
      <w:pPr>
        <w:spacing w:line="276" w:lineRule="auto"/>
        <w:rPr>
          <w:color w:val="FF0000"/>
        </w:rPr>
      </w:pPr>
      <w:r w:rsidRPr="00424274">
        <w:t xml:space="preserve">Iz triletne primerjave izhaja, da največ gotovinskih transakcij, tako kot že vsa leta prej, </w:t>
      </w:r>
      <w:r>
        <w:t>u</w:t>
      </w:r>
      <w:r w:rsidRPr="00424274">
        <w:t xml:space="preserve">radu sporočijo zavezanci iz bančnega sektorja, sledi sektor hranilnic ter igralnic, medtem ko </w:t>
      </w:r>
      <w:r>
        <w:t>drugi</w:t>
      </w:r>
      <w:r w:rsidRPr="00424274">
        <w:t xml:space="preserve"> </w:t>
      </w:r>
      <w:r>
        <w:t>zavezanci iz ZPPDFT-</w:t>
      </w:r>
      <w:r w:rsidR="00B87896">
        <w:t>1</w:t>
      </w:r>
      <w:r w:rsidRPr="00424274">
        <w:t xml:space="preserve"> (menjalnice, odvetniki, notarji …) </w:t>
      </w:r>
      <w:r>
        <w:t>sporočijo</w:t>
      </w:r>
      <w:r w:rsidRPr="00424274">
        <w:t xml:space="preserve"> manj kot 20 gotovinskih transakcij letno. Glavna ugotovitev medletne primerjave je, </w:t>
      </w:r>
      <w:r w:rsidRPr="002C2D31">
        <w:t xml:space="preserve">da se je v letu 2021 število sporočenih obrazcev, kot tudi skupna vsota transakcij, pri čemer se povprečni znesek na sporočeno prijavo gotovinske transakcije ni bistveno spremenil, dvignilo na raven števila obrazcev in skupne vrednosti transakcij iz leta 2019.  </w:t>
      </w:r>
    </w:p>
    <w:p w14:paraId="33A12A38" w14:textId="0D663E59" w:rsidR="00954E99" w:rsidRPr="00424274" w:rsidRDefault="00954E99" w:rsidP="00954E99">
      <w:pPr>
        <w:spacing w:line="276" w:lineRule="auto"/>
        <w:rPr>
          <w:bCs/>
        </w:rPr>
      </w:pPr>
      <w:r w:rsidRPr="00424274">
        <w:t xml:space="preserve">V prejšnjih poročilih </w:t>
      </w:r>
      <w:r w:rsidR="00B87896">
        <w:t>so bile</w:t>
      </w:r>
      <w:r w:rsidRPr="00424274">
        <w:t xml:space="preserve"> zaradi sprememb v zakonodaji primerja</w:t>
      </w:r>
      <w:r w:rsidR="00B87896">
        <w:t>ne</w:t>
      </w:r>
      <w:r w:rsidRPr="00424274">
        <w:t xml:space="preserve"> samo </w:t>
      </w:r>
      <w:r w:rsidRPr="00424274">
        <w:rPr>
          <w:bCs/>
        </w:rPr>
        <w:t xml:space="preserve">gotovinske transakcije nad zneskom 30.000 EUR, pri čemer </w:t>
      </w:r>
      <w:r w:rsidR="00B87896">
        <w:rPr>
          <w:bCs/>
        </w:rPr>
        <w:t>je bil ugotovljen</w:t>
      </w:r>
      <w:r w:rsidRPr="00424274">
        <w:rPr>
          <w:bCs/>
        </w:rPr>
        <w:t xml:space="preserve"> strm padec tako sporočenih transakcij kot </w:t>
      </w:r>
      <w:r>
        <w:rPr>
          <w:bCs/>
        </w:rPr>
        <w:t xml:space="preserve">tudi </w:t>
      </w:r>
      <w:r w:rsidRPr="00424274">
        <w:rPr>
          <w:bCs/>
        </w:rPr>
        <w:t>njihov</w:t>
      </w:r>
      <w:r w:rsidR="00B87896">
        <w:rPr>
          <w:bCs/>
        </w:rPr>
        <w:t>a</w:t>
      </w:r>
      <w:r w:rsidRPr="00424274">
        <w:rPr>
          <w:bCs/>
        </w:rPr>
        <w:t xml:space="preserve"> skupn</w:t>
      </w:r>
      <w:r w:rsidR="00B87896">
        <w:rPr>
          <w:bCs/>
        </w:rPr>
        <w:t>a</w:t>
      </w:r>
      <w:r w:rsidRPr="00424274">
        <w:rPr>
          <w:bCs/>
        </w:rPr>
        <w:t xml:space="preserve"> vsot</w:t>
      </w:r>
      <w:r w:rsidR="00B87896">
        <w:rPr>
          <w:bCs/>
        </w:rPr>
        <w:t>a</w:t>
      </w:r>
      <w:r w:rsidRPr="00424274">
        <w:rPr>
          <w:bCs/>
        </w:rPr>
        <w:t xml:space="preserve">. </w:t>
      </w:r>
      <w:r w:rsidR="00B87896">
        <w:rPr>
          <w:bCs/>
        </w:rPr>
        <w:t>E</w:t>
      </w:r>
      <w:r w:rsidRPr="00424274">
        <w:rPr>
          <w:bCs/>
        </w:rPr>
        <w:t xml:space="preserve">nak trend </w:t>
      </w:r>
      <w:r w:rsidR="00B87896">
        <w:rPr>
          <w:bCs/>
        </w:rPr>
        <w:t xml:space="preserve">je </w:t>
      </w:r>
      <w:r w:rsidRPr="00424274">
        <w:rPr>
          <w:bCs/>
        </w:rPr>
        <w:t>zaznati tudi pri primerjavi gotovinskih transakcij nad 15.000</w:t>
      </w:r>
      <w:r>
        <w:rPr>
          <w:bCs/>
        </w:rPr>
        <w:t> </w:t>
      </w:r>
      <w:r w:rsidRPr="00424274">
        <w:rPr>
          <w:bCs/>
        </w:rPr>
        <w:t>EUR.</w:t>
      </w:r>
    </w:p>
    <w:p w14:paraId="06010354" w14:textId="77777777" w:rsidR="00B65A09" w:rsidRDefault="00B65A09" w:rsidP="00B65A09"/>
    <w:p w14:paraId="6FE95959" w14:textId="5FE00541" w:rsidR="00B65A09" w:rsidRDefault="00B65A09" w:rsidP="00B65A09">
      <w:pPr>
        <w:pStyle w:val="Naslov2"/>
      </w:pPr>
      <w:bookmarkStart w:id="6" w:name="_Toc119581678"/>
      <w:r>
        <w:t>NAKAZILA V VREDNOSTI NAD 15.000 EUR, POVEZANA S TVEGANIMI DRŽAVAMI</w:t>
      </w:r>
      <w:bookmarkEnd w:id="6"/>
    </w:p>
    <w:p w14:paraId="66158F22" w14:textId="77777777" w:rsidR="00B65A09" w:rsidRDefault="00B65A09" w:rsidP="00B65A09"/>
    <w:p w14:paraId="1C036120" w14:textId="643E09D2" w:rsidR="00954E99" w:rsidRPr="00424274" w:rsidRDefault="00954E99" w:rsidP="00954E99">
      <w:pPr>
        <w:tabs>
          <w:tab w:val="left" w:pos="-1049"/>
          <w:tab w:val="left" w:pos="-689"/>
          <w:tab w:val="left" w:pos="31"/>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s>
        <w:spacing w:line="276" w:lineRule="auto"/>
      </w:pPr>
      <w:r w:rsidRPr="00C92D06">
        <w:rPr>
          <w:color w:val="000000" w:themeColor="text1"/>
        </w:rPr>
        <w:t>V skladu z 68. členom ZPPDFT-</w:t>
      </w:r>
      <w:r w:rsidR="00277AC3">
        <w:rPr>
          <w:color w:val="000000" w:themeColor="text1"/>
        </w:rPr>
        <w:t>1</w:t>
      </w:r>
      <w:r w:rsidRPr="00C92D06">
        <w:rPr>
          <w:color w:val="000000" w:themeColor="text1"/>
        </w:rPr>
        <w:t xml:space="preserve"> morajo zavezanci od 19. 11. 2016 najpozneje v treh delovnih dneh uradu sporočiti podatke o vsakem nakazilu nad 15.000 EUR,</w:t>
      </w:r>
      <w:r w:rsidRPr="00424274">
        <w:t xml:space="preserve"> ki je bilo na zahtevo stranke izvršeno:</w:t>
      </w:r>
    </w:p>
    <w:p w14:paraId="48B1DA72" w14:textId="77777777" w:rsidR="00954E99" w:rsidRPr="00954E99" w:rsidRDefault="00954E99" w:rsidP="007A689C">
      <w:pPr>
        <w:pStyle w:val="Odstavekseznama"/>
        <w:ind w:left="851" w:hanging="284"/>
      </w:pPr>
      <w:r w:rsidRPr="00954E99">
        <w:t>na račune fizičnih in pravnih oseb s stalnim ali začasnim prebivališčem ali sedežem v državah, v zvezi s katerimi obstaja visoko ali povečano tveganje za pojav pranja denarja ali financiranja terorizma, ali</w:t>
      </w:r>
    </w:p>
    <w:p w14:paraId="700BF501" w14:textId="283B9FBA" w:rsidR="00954E99" w:rsidRPr="00424274" w:rsidRDefault="00954E99" w:rsidP="007A689C">
      <w:pPr>
        <w:pStyle w:val="Odstavekseznama"/>
        <w:ind w:left="851" w:hanging="284"/>
      </w:pPr>
      <w:r w:rsidRPr="00954E99">
        <w:t>na račune v države iz prejšnje alineje.</w:t>
      </w:r>
      <w:r w:rsidR="00B92DED">
        <w:rPr>
          <w:rStyle w:val="Sprotnaopomba-sklic"/>
        </w:rPr>
        <w:footnoteReference w:id="8"/>
      </w:r>
    </w:p>
    <w:p w14:paraId="78D20E70" w14:textId="25D2EF86" w:rsidR="00954E99" w:rsidRPr="00954E99" w:rsidRDefault="00954E99" w:rsidP="00954E99">
      <w:pPr>
        <w:tabs>
          <w:tab w:val="left" w:pos="-1049"/>
          <w:tab w:val="left" w:pos="-689"/>
          <w:tab w:val="left" w:pos="31"/>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s>
        <w:spacing w:line="276" w:lineRule="auto"/>
        <w:rPr>
          <w:color w:val="FF0000"/>
        </w:rPr>
      </w:pPr>
      <w:r w:rsidRPr="00424274">
        <w:t xml:space="preserve">Seznam držav, v zvezi s katerimi obstaja visoko ali povečano tveganje za pojav pranja denarja ali financiranja terorizma, se je v letu </w:t>
      </w:r>
      <w:r w:rsidRPr="006B05A0">
        <w:t>2021 spremenil trikrat in je skupno zajemal med 7</w:t>
      </w:r>
      <w:r>
        <w:t>4</w:t>
      </w:r>
      <w:r w:rsidRPr="006B05A0">
        <w:t xml:space="preserve"> in 77 držav. Urad sezname tveganih držav javno objavlja na spletnih straneh.</w:t>
      </w:r>
    </w:p>
    <w:p w14:paraId="459FEF3B" w14:textId="6C9A65A8" w:rsidR="00954E99" w:rsidRPr="00954E99" w:rsidRDefault="00954E99" w:rsidP="00954E99">
      <w:pPr>
        <w:rPr>
          <w:b/>
          <w:bCs/>
          <w:lang w:eastAsia="sl-SI"/>
        </w:rPr>
      </w:pPr>
      <w:r w:rsidRPr="00424274">
        <w:lastRenderedPageBreak/>
        <w:t xml:space="preserve">V </w:t>
      </w:r>
      <w:r>
        <w:t>obdobju</w:t>
      </w:r>
      <w:r w:rsidRPr="00424274">
        <w:t xml:space="preserve"> </w:t>
      </w:r>
      <w:r>
        <w:t>od 1. 1. 2021 do 31. 12. 2021</w:t>
      </w:r>
      <w:r w:rsidRPr="00424274">
        <w:t xml:space="preserve"> so zavezanci uradu sporočili podatke o </w:t>
      </w:r>
      <w:r>
        <w:rPr>
          <w:b/>
          <w:lang w:eastAsia="sl-SI"/>
        </w:rPr>
        <w:t>3</w:t>
      </w:r>
      <w:r w:rsidRPr="00424274">
        <w:rPr>
          <w:b/>
          <w:lang w:eastAsia="sl-SI"/>
        </w:rPr>
        <w:t>.</w:t>
      </w:r>
      <w:r>
        <w:rPr>
          <w:b/>
          <w:lang w:eastAsia="sl-SI"/>
        </w:rPr>
        <w:t>875</w:t>
      </w:r>
      <w:r w:rsidRPr="00424274">
        <w:rPr>
          <w:lang w:eastAsia="sl-SI"/>
        </w:rPr>
        <w:t xml:space="preserve"> </w:t>
      </w:r>
      <w:r w:rsidRPr="00424274">
        <w:rPr>
          <w:b/>
          <w:bCs/>
        </w:rPr>
        <w:t xml:space="preserve">transakcijah v skupnem znesku </w:t>
      </w:r>
      <w:r>
        <w:rPr>
          <w:b/>
          <w:bCs/>
        </w:rPr>
        <w:t>521.218.955</w:t>
      </w:r>
      <w:r w:rsidRPr="00424274">
        <w:rPr>
          <w:b/>
          <w:bCs/>
          <w:lang w:eastAsia="sl-SI"/>
        </w:rPr>
        <w:t xml:space="preserve"> EUR, </w:t>
      </w:r>
      <w:r>
        <w:rPr>
          <w:b/>
          <w:bCs/>
          <w:lang w:eastAsia="sl-SI"/>
        </w:rPr>
        <w:t xml:space="preserve">100.096.602 USD </w:t>
      </w:r>
      <w:r w:rsidRPr="00424274">
        <w:rPr>
          <w:b/>
          <w:bCs/>
          <w:lang w:eastAsia="sl-SI"/>
        </w:rPr>
        <w:t xml:space="preserve">in </w:t>
      </w:r>
      <w:r>
        <w:rPr>
          <w:b/>
          <w:bCs/>
          <w:lang w:eastAsia="sl-SI"/>
        </w:rPr>
        <w:t>797.956</w:t>
      </w:r>
      <w:r w:rsidRPr="00424274">
        <w:rPr>
          <w:b/>
          <w:bCs/>
          <w:lang w:eastAsia="sl-SI"/>
        </w:rPr>
        <w:t xml:space="preserve"> CHF </w:t>
      </w:r>
      <w:r w:rsidRPr="008B26D0">
        <w:rPr>
          <w:b/>
          <w:bCs/>
        </w:rPr>
        <w:t>(skupaj 635.412.734</w:t>
      </w:r>
      <w:r w:rsidRPr="008B26D0">
        <w:rPr>
          <w:b/>
          <w:bCs/>
          <w:color w:val="000000"/>
          <w:lang w:eastAsia="sl-SI"/>
        </w:rPr>
        <w:t xml:space="preserve"> EUR</w:t>
      </w:r>
      <w:r w:rsidRPr="008B26D0">
        <w:rPr>
          <w:b/>
          <w:bCs/>
        </w:rPr>
        <w:t xml:space="preserve"> po tečaju evra na dan 31. 12. 2021)</w:t>
      </w:r>
      <w:r w:rsidRPr="008B26D0">
        <w:t>,</w:t>
      </w:r>
      <w:r w:rsidRPr="00424274">
        <w:t xml:space="preserve"> ki so bile izvršene osebam s sedežem v tvegani državi ali na bančne račune</w:t>
      </w:r>
      <w:r>
        <w:t>,</w:t>
      </w:r>
      <w:r w:rsidRPr="00424274">
        <w:t xml:space="preserve"> odprte v tvegani državi</w:t>
      </w:r>
      <w:r w:rsidRPr="00424274">
        <w:rPr>
          <w:b/>
          <w:bCs/>
          <w:lang w:eastAsia="sl-SI"/>
        </w:rPr>
        <w:t>.</w:t>
      </w:r>
    </w:p>
    <w:p w14:paraId="169FD304" w14:textId="71295875" w:rsidR="00B65A09" w:rsidRDefault="00954E99" w:rsidP="00CE73A7">
      <w:pPr>
        <w:tabs>
          <w:tab w:val="left" w:pos="-1049"/>
          <w:tab w:val="left" w:pos="-689"/>
          <w:tab w:val="left" w:pos="31"/>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s>
        <w:spacing w:line="276" w:lineRule="auto"/>
      </w:pPr>
      <w:r w:rsidRPr="00424274">
        <w:t>Skupno število izvršenih transakcij</w:t>
      </w:r>
      <w:r>
        <w:t>,</w:t>
      </w:r>
      <w:r w:rsidRPr="00424274">
        <w:t xml:space="preserve"> povezanih s tveganimi državami</w:t>
      </w:r>
      <w:r>
        <w:t>, se je v letu 2021 zmanjšalo za dobrih 33 </w:t>
      </w:r>
      <w:r w:rsidRPr="00424274">
        <w:t xml:space="preserve">% predvsem zaradi umika Bosne in Hercegovine </w:t>
      </w:r>
      <w:r>
        <w:t>s</w:t>
      </w:r>
      <w:r w:rsidRPr="00424274">
        <w:t xml:space="preserve"> seznama tveganih držav. Skladno s</w:t>
      </w:r>
      <w:r>
        <w:t xml:space="preserve"> tem se je za dobrih 21 </w:t>
      </w:r>
      <w:r w:rsidRPr="00424274">
        <w:t>% zmanjšal tudi skup</w:t>
      </w:r>
      <w:r>
        <w:t>ni</w:t>
      </w:r>
      <w:r w:rsidRPr="00424274">
        <w:t xml:space="preserve"> znesek izvedenih transakcij. Struktura teh transakcij po valutah ostaja enaka</w:t>
      </w:r>
      <w:r>
        <w:t>,</w:t>
      </w:r>
      <w:r w:rsidRPr="00424274">
        <w:t xml:space="preserve"> saj je</w:t>
      </w:r>
      <w:r w:rsidR="002F7C2D">
        <w:t>, tak</w:t>
      </w:r>
      <w:r w:rsidRPr="00424274">
        <w:t>o kot prejšnja leta</w:t>
      </w:r>
      <w:r w:rsidR="002F7C2D">
        <w:t>,</w:t>
      </w:r>
      <w:r w:rsidRPr="00424274">
        <w:t xml:space="preserve"> okoli </w:t>
      </w:r>
      <w:r>
        <w:t>74 </w:t>
      </w:r>
      <w:r w:rsidRPr="00424274">
        <w:t>% vseh transakcij</w:t>
      </w:r>
      <w:r>
        <w:t>,</w:t>
      </w:r>
      <w:r w:rsidRPr="00424274">
        <w:t xml:space="preserve"> povezanih s tveganimi državami</w:t>
      </w:r>
      <w:r>
        <w:t>, izvršenih</w:t>
      </w:r>
      <w:r w:rsidRPr="00424274">
        <w:t xml:space="preserve"> v valuti EUR.</w:t>
      </w:r>
    </w:p>
    <w:p w14:paraId="3CFE8808" w14:textId="7869E802" w:rsidR="00CE73A7" w:rsidRPr="00CE73A7" w:rsidRDefault="00CE73A7" w:rsidP="00CE73A7">
      <w:pPr>
        <w:tabs>
          <w:tab w:val="left" w:pos="-1049"/>
          <w:tab w:val="left" w:pos="-689"/>
          <w:tab w:val="left" w:pos="31"/>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s>
        <w:spacing w:line="276" w:lineRule="auto"/>
      </w:pPr>
      <w:r w:rsidRPr="00424274">
        <w:t>Skoraj vsa nakazila</w:t>
      </w:r>
      <w:r>
        <w:t>,</w:t>
      </w:r>
      <w:r w:rsidRPr="00424274">
        <w:t xml:space="preserve"> povezana s tveganimi državami</w:t>
      </w:r>
      <w:r>
        <w:t>,</w:t>
      </w:r>
      <w:r w:rsidRPr="00424274">
        <w:t xml:space="preserve"> so bila izvršena za račune pravnih oseb, pri katerih se kot prejemnik prav tako pojavlja pravna oseba. </w:t>
      </w:r>
      <w:r w:rsidRPr="008405B8">
        <w:t xml:space="preserve">Za račune fizičnih oseb je bilo izvršenih le 188 transakcij, medtem ko fizične osebe kot prejemnice nastopajo v 201 transakciji. </w:t>
      </w:r>
    </w:p>
    <w:p w14:paraId="4BF62D6E" w14:textId="11F68C8A" w:rsidR="00CE73A7" w:rsidRPr="00CE73A7" w:rsidRDefault="00CE73A7" w:rsidP="00CE73A7">
      <w:pPr>
        <w:tabs>
          <w:tab w:val="left" w:pos="-1049"/>
          <w:tab w:val="left" w:pos="-689"/>
          <w:tab w:val="left" w:pos="31"/>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s>
        <w:spacing w:line="276" w:lineRule="auto"/>
        <w:rPr>
          <w:bCs/>
        </w:rPr>
      </w:pPr>
      <w:r w:rsidRPr="00424274">
        <w:t xml:space="preserve">Podatki o izvršenih transakcijah v imenu in </w:t>
      </w:r>
      <w:r>
        <w:t xml:space="preserve">za </w:t>
      </w:r>
      <w:r w:rsidRPr="00424274">
        <w:t xml:space="preserve">račun pravnih oseb in na bančne račune pravnih oseb so objavljeni tudi na spletnih straneh </w:t>
      </w:r>
      <w:r>
        <w:t>u</w:t>
      </w:r>
      <w:r w:rsidRPr="00424274">
        <w:t>rada. Transakcije</w:t>
      </w:r>
      <w:r>
        <w:t>,</w:t>
      </w:r>
      <w:r w:rsidRPr="00424274">
        <w:t xml:space="preserve"> povezane s tveganimi državami</w:t>
      </w:r>
      <w:r>
        <w:t>,</w:t>
      </w:r>
      <w:r w:rsidRPr="00424274">
        <w:t xml:space="preserve"> je izvedlo skupaj </w:t>
      </w:r>
      <w:r w:rsidRPr="005E428C">
        <w:t xml:space="preserve"> 641 različnih pravnih oseb, od tega le 20 tujih. </w:t>
      </w:r>
    </w:p>
    <w:p w14:paraId="3E39A163" w14:textId="76D14DB7" w:rsidR="00CE73A7" w:rsidRPr="00424274" w:rsidRDefault="00CE73A7" w:rsidP="00CE73A7">
      <w:pPr>
        <w:spacing w:line="276" w:lineRule="auto"/>
      </w:pPr>
      <w:r w:rsidRPr="00424274">
        <w:t xml:space="preserve">V nadaljevanju </w:t>
      </w:r>
      <w:r w:rsidR="005B446E">
        <w:t xml:space="preserve">so </w:t>
      </w:r>
      <w:r w:rsidRPr="00424274">
        <w:t>podrobneje predstavlj</w:t>
      </w:r>
      <w:r w:rsidR="005B446E">
        <w:t>ena</w:t>
      </w:r>
      <w:r w:rsidRPr="00424274">
        <w:t xml:space="preserve"> nakazila</w:t>
      </w:r>
      <w:r>
        <w:t>,</w:t>
      </w:r>
      <w:r w:rsidRPr="00424274">
        <w:t xml:space="preserve"> povezana s tveganimi državami</w:t>
      </w:r>
      <w:r>
        <w:t>,</w:t>
      </w:r>
      <w:r w:rsidRPr="00424274">
        <w:t xml:space="preserve"> kjer so kot nalogodajalke in prejemnice nastopale pravne osebe, in sicer po obeh </w:t>
      </w:r>
      <w:r>
        <w:t>merilih</w:t>
      </w:r>
      <w:r w:rsidRPr="00424274">
        <w:t xml:space="preserve"> ločeno. Najprej nakazila glede na sedež prejemnika, nato pa še nakazila</w:t>
      </w:r>
      <w:r>
        <w:t>,</w:t>
      </w:r>
      <w:r w:rsidRPr="00424274">
        <w:t xml:space="preserve"> izvršena na račun v tvegani državi, in to samo v valutah EUR in USD, ki predstavljajo 99 % vseh nakazil v tvegane države.</w:t>
      </w:r>
    </w:p>
    <w:p w14:paraId="7CDD2E73" w14:textId="77777777" w:rsidR="00B65A09" w:rsidRDefault="00B65A09" w:rsidP="00B65A09"/>
    <w:p w14:paraId="5E3FB32C" w14:textId="797B9154" w:rsidR="00B65A09" w:rsidRDefault="00B65A09" w:rsidP="00B65A09">
      <w:pPr>
        <w:pStyle w:val="Naslov3"/>
      </w:pPr>
      <w:bookmarkStart w:id="7" w:name="_Toc119581679"/>
      <w:r>
        <w:t>Nakazila na račune tujih pravnih oseb s sedežem v tveganih državah</w:t>
      </w:r>
      <w:bookmarkEnd w:id="7"/>
    </w:p>
    <w:p w14:paraId="6A2A1AA9" w14:textId="77777777" w:rsidR="00B65A09" w:rsidRDefault="00B65A09" w:rsidP="00B65A09"/>
    <w:p w14:paraId="7EFEC8FD" w14:textId="6205D463" w:rsidR="00CE73A7" w:rsidRDefault="00CE73A7" w:rsidP="00CE73A7">
      <w:pPr>
        <w:rPr>
          <w:bCs/>
          <w:color w:val="000000" w:themeColor="text1"/>
        </w:rPr>
      </w:pPr>
      <w:r w:rsidRPr="00F1061E">
        <w:rPr>
          <w:bCs/>
          <w:color w:val="000000" w:themeColor="text1"/>
        </w:rPr>
        <w:t xml:space="preserve">Pravnim osebam s sedežem v tveganih državah je bilo v letu 2021 skupno izvedenih </w:t>
      </w:r>
      <w:r w:rsidRPr="00F93CD7">
        <w:rPr>
          <w:b/>
          <w:bCs/>
          <w:color w:val="000000" w:themeColor="text1"/>
        </w:rPr>
        <w:t>3.</w:t>
      </w:r>
      <w:r>
        <w:rPr>
          <w:b/>
          <w:bCs/>
          <w:color w:val="000000" w:themeColor="text1"/>
        </w:rPr>
        <w:t>263</w:t>
      </w:r>
      <w:r w:rsidRPr="00F1061E">
        <w:rPr>
          <w:b/>
          <w:color w:val="000000" w:themeColor="text1"/>
        </w:rPr>
        <w:t xml:space="preserve"> transakcij, in sicer v valuti evro </w:t>
      </w:r>
      <w:r>
        <w:rPr>
          <w:b/>
          <w:color w:val="000000" w:themeColor="text1"/>
        </w:rPr>
        <w:t>2.328</w:t>
      </w:r>
      <w:r w:rsidRPr="00F1061E">
        <w:rPr>
          <w:b/>
          <w:color w:val="000000" w:themeColor="text1"/>
        </w:rPr>
        <w:t xml:space="preserve"> transakcij v skupnem znesku </w:t>
      </w:r>
      <w:r>
        <w:rPr>
          <w:b/>
          <w:color w:val="000000" w:themeColor="text1"/>
        </w:rPr>
        <w:t>308.498.937</w:t>
      </w:r>
      <w:r w:rsidRPr="00F1061E">
        <w:rPr>
          <w:b/>
          <w:bCs/>
          <w:color w:val="000000" w:themeColor="text1"/>
          <w:lang w:eastAsia="sl-SI"/>
        </w:rPr>
        <w:t xml:space="preserve"> E</w:t>
      </w:r>
      <w:r>
        <w:rPr>
          <w:b/>
          <w:color w:val="000000" w:themeColor="text1"/>
        </w:rPr>
        <w:t>UR in v valuti ameriški dolar 935</w:t>
      </w:r>
      <w:r w:rsidRPr="00F1061E">
        <w:rPr>
          <w:b/>
          <w:color w:val="000000" w:themeColor="text1"/>
        </w:rPr>
        <w:t xml:space="preserve"> transakcij v skupnem znesku 9</w:t>
      </w:r>
      <w:r>
        <w:rPr>
          <w:b/>
          <w:color w:val="000000" w:themeColor="text1"/>
        </w:rPr>
        <w:t>9</w:t>
      </w:r>
      <w:r w:rsidRPr="00F1061E">
        <w:rPr>
          <w:b/>
          <w:color w:val="000000" w:themeColor="text1"/>
        </w:rPr>
        <w:t>.</w:t>
      </w:r>
      <w:r>
        <w:rPr>
          <w:b/>
          <w:color w:val="000000" w:themeColor="text1"/>
        </w:rPr>
        <w:t>156</w:t>
      </w:r>
      <w:r w:rsidRPr="00F1061E">
        <w:rPr>
          <w:b/>
          <w:color w:val="000000" w:themeColor="text1"/>
        </w:rPr>
        <w:t>.</w:t>
      </w:r>
      <w:r>
        <w:rPr>
          <w:b/>
          <w:color w:val="000000" w:themeColor="text1"/>
        </w:rPr>
        <w:t>743</w:t>
      </w:r>
      <w:r w:rsidRPr="00F1061E">
        <w:rPr>
          <w:b/>
          <w:color w:val="000000" w:themeColor="text1"/>
        </w:rPr>
        <w:t xml:space="preserve"> USD.</w:t>
      </w:r>
      <w:r w:rsidRPr="00F1061E">
        <w:rPr>
          <w:bCs/>
          <w:color w:val="000000" w:themeColor="text1"/>
        </w:rPr>
        <w:t xml:space="preserve"> V spodnji preglednici </w:t>
      </w:r>
      <w:r w:rsidR="00463ADD">
        <w:rPr>
          <w:bCs/>
          <w:color w:val="000000" w:themeColor="text1"/>
        </w:rPr>
        <w:t>je prikazan</w:t>
      </w:r>
      <w:r w:rsidRPr="00F1061E">
        <w:rPr>
          <w:bCs/>
          <w:color w:val="000000" w:themeColor="text1"/>
        </w:rPr>
        <w:t xml:space="preserve"> seznam tveganih držav, v katerih imajo družbe prejemnice svoje sedeže, in sicer samo tiste države sedeža prejemnika, ki so skupno prejeli več kot 1 mi</w:t>
      </w:r>
      <w:r w:rsidR="00463ADD">
        <w:rPr>
          <w:bCs/>
          <w:color w:val="000000" w:themeColor="text1"/>
        </w:rPr>
        <w:t>lijon</w:t>
      </w:r>
      <w:r w:rsidRPr="00F1061E">
        <w:rPr>
          <w:bCs/>
          <w:color w:val="000000" w:themeColor="text1"/>
        </w:rPr>
        <w:t xml:space="preserve"> EUR</w:t>
      </w:r>
      <w:r>
        <w:rPr>
          <w:bCs/>
          <w:color w:val="000000" w:themeColor="text1"/>
        </w:rPr>
        <w:t xml:space="preserve"> </w:t>
      </w:r>
      <w:r w:rsidRPr="00424274">
        <w:rPr>
          <w:bCs/>
        </w:rPr>
        <w:t>ali več kot 50 nakazil.</w:t>
      </w:r>
    </w:p>
    <w:p w14:paraId="6AA9D22D" w14:textId="77777777" w:rsidR="00CE73A7" w:rsidRPr="00CE73A7" w:rsidRDefault="00CE73A7" w:rsidP="00CE73A7">
      <w:pPr>
        <w:rPr>
          <w:bCs/>
          <w:color w:val="000000" w:themeColor="text1"/>
        </w:rPr>
      </w:pPr>
    </w:p>
    <w:p w14:paraId="20A639B8" w14:textId="2400FB52" w:rsidR="00E04A8E" w:rsidRPr="00D22B13" w:rsidRDefault="00CE73A7" w:rsidP="00E04A8E">
      <w:pPr>
        <w:spacing w:line="276" w:lineRule="auto"/>
        <w:ind w:left="1418" w:right="-22" w:hanging="1418"/>
        <w:rPr>
          <w:b/>
          <w:bCs/>
          <w:i/>
          <w:iCs/>
          <w:sz w:val="18"/>
          <w:szCs w:val="18"/>
        </w:rPr>
      </w:pPr>
      <w:r w:rsidRPr="00D22B13">
        <w:rPr>
          <w:b/>
          <w:bCs/>
          <w:i/>
          <w:iCs/>
          <w:sz w:val="18"/>
          <w:szCs w:val="18"/>
        </w:rPr>
        <w:t xml:space="preserve">Preglednica 2: </w:t>
      </w:r>
      <w:r w:rsidRPr="00D22B13">
        <w:rPr>
          <w:b/>
          <w:bCs/>
          <w:i/>
          <w:iCs/>
          <w:sz w:val="18"/>
          <w:szCs w:val="18"/>
        </w:rPr>
        <w:tab/>
        <w:t>Nakazila nad 15.000 EUR tujim podjetjem s sedežem v tveganih državah od 1. 1. 2021 do 31. 12. 2021 v EUR in USD</w:t>
      </w:r>
    </w:p>
    <w:tbl>
      <w:tblPr>
        <w:tblStyle w:val="Tabelatemnamrea5poudarek5"/>
        <w:tblW w:w="9000" w:type="dxa"/>
        <w:tblLook w:val="04A0" w:firstRow="1" w:lastRow="0" w:firstColumn="1" w:lastColumn="0" w:noHBand="0" w:noVBand="1"/>
      </w:tblPr>
      <w:tblGrid>
        <w:gridCol w:w="3656"/>
        <w:gridCol w:w="1362"/>
        <w:gridCol w:w="1337"/>
        <w:gridCol w:w="1362"/>
        <w:gridCol w:w="1283"/>
      </w:tblGrid>
      <w:tr w:rsidR="00A9101E" w:rsidRPr="00A9101E" w14:paraId="6F78111E" w14:textId="77777777" w:rsidTr="00432301">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656" w:type="dxa"/>
            <w:noWrap/>
            <w:hideMark/>
          </w:tcPr>
          <w:p w14:paraId="6A9D7BEE" w14:textId="77777777" w:rsidR="00CE73A7" w:rsidRPr="00A9101E" w:rsidRDefault="00CE73A7" w:rsidP="00F569C7">
            <w:pPr>
              <w:spacing w:line="360" w:lineRule="auto"/>
              <w:jc w:val="left"/>
              <w:rPr>
                <w:color w:val="auto"/>
                <w:lang w:eastAsia="sl-SI"/>
              </w:rPr>
            </w:pPr>
            <w:r w:rsidRPr="00A9101E">
              <w:rPr>
                <w:color w:val="auto"/>
                <w:lang w:eastAsia="sl-SI"/>
              </w:rPr>
              <w:t>DRŽAVA SEDEŽA PREJEMNIKA</w:t>
            </w:r>
          </w:p>
        </w:tc>
        <w:tc>
          <w:tcPr>
            <w:tcW w:w="1362" w:type="dxa"/>
            <w:noWrap/>
            <w:hideMark/>
          </w:tcPr>
          <w:p w14:paraId="36A85997" w14:textId="2D7F7AA5" w:rsidR="00CE73A7" w:rsidRPr="00A9101E" w:rsidRDefault="00CE73A7" w:rsidP="00F569C7">
            <w:pPr>
              <w:spacing w:line="360" w:lineRule="auto"/>
              <w:jc w:val="left"/>
              <w:cnfStyle w:val="100000000000" w:firstRow="1" w:lastRow="0" w:firstColumn="0" w:lastColumn="0" w:oddVBand="0" w:evenVBand="0" w:oddHBand="0" w:evenHBand="0" w:firstRowFirstColumn="0" w:firstRowLastColumn="0" w:lastRowFirstColumn="0" w:lastRowLastColumn="0"/>
              <w:rPr>
                <w:color w:val="auto"/>
                <w:lang w:eastAsia="sl-SI"/>
              </w:rPr>
            </w:pPr>
            <w:r w:rsidRPr="00A9101E">
              <w:rPr>
                <w:color w:val="auto"/>
                <w:lang w:eastAsia="sl-SI"/>
              </w:rPr>
              <w:t>Znesek</w:t>
            </w:r>
            <w:r w:rsidR="00E04A8E" w:rsidRPr="00A9101E">
              <w:rPr>
                <w:color w:val="auto"/>
                <w:lang w:eastAsia="sl-SI"/>
              </w:rPr>
              <w:t xml:space="preserve"> EUR</w:t>
            </w:r>
          </w:p>
        </w:tc>
        <w:tc>
          <w:tcPr>
            <w:tcW w:w="1337" w:type="dxa"/>
            <w:hideMark/>
          </w:tcPr>
          <w:p w14:paraId="7381C08E" w14:textId="77777777" w:rsidR="00CE73A7" w:rsidRPr="00A9101E" w:rsidRDefault="00CE73A7" w:rsidP="00F569C7">
            <w:pPr>
              <w:spacing w:line="360" w:lineRule="auto"/>
              <w:jc w:val="left"/>
              <w:cnfStyle w:val="100000000000" w:firstRow="1" w:lastRow="0" w:firstColumn="0" w:lastColumn="0" w:oddVBand="0" w:evenVBand="0" w:oddHBand="0" w:evenHBand="0" w:firstRowFirstColumn="0" w:firstRowLastColumn="0" w:lastRowFirstColumn="0" w:lastRowLastColumn="0"/>
              <w:rPr>
                <w:color w:val="auto"/>
                <w:lang w:eastAsia="sl-SI"/>
              </w:rPr>
            </w:pPr>
            <w:r w:rsidRPr="00A9101E">
              <w:rPr>
                <w:color w:val="auto"/>
                <w:lang w:eastAsia="sl-SI"/>
              </w:rPr>
              <w:t>Število transakcij</w:t>
            </w:r>
          </w:p>
        </w:tc>
        <w:tc>
          <w:tcPr>
            <w:tcW w:w="1362" w:type="dxa"/>
            <w:noWrap/>
            <w:hideMark/>
          </w:tcPr>
          <w:p w14:paraId="53C50B75" w14:textId="343802FF" w:rsidR="00CE73A7" w:rsidRPr="00A9101E" w:rsidRDefault="00CE73A7" w:rsidP="00F569C7">
            <w:pPr>
              <w:spacing w:line="360" w:lineRule="auto"/>
              <w:jc w:val="left"/>
              <w:cnfStyle w:val="100000000000" w:firstRow="1" w:lastRow="0" w:firstColumn="0" w:lastColumn="0" w:oddVBand="0" w:evenVBand="0" w:oddHBand="0" w:evenHBand="0" w:firstRowFirstColumn="0" w:firstRowLastColumn="0" w:lastRowFirstColumn="0" w:lastRowLastColumn="0"/>
              <w:rPr>
                <w:color w:val="auto"/>
                <w:lang w:eastAsia="sl-SI"/>
              </w:rPr>
            </w:pPr>
            <w:r w:rsidRPr="00A9101E">
              <w:rPr>
                <w:color w:val="auto"/>
                <w:lang w:eastAsia="sl-SI"/>
              </w:rPr>
              <w:t>Znesek</w:t>
            </w:r>
            <w:r w:rsidR="00E04A8E" w:rsidRPr="00A9101E">
              <w:rPr>
                <w:color w:val="auto"/>
                <w:lang w:eastAsia="sl-SI"/>
              </w:rPr>
              <w:t xml:space="preserve"> USD</w:t>
            </w:r>
          </w:p>
        </w:tc>
        <w:tc>
          <w:tcPr>
            <w:tcW w:w="1283" w:type="dxa"/>
            <w:hideMark/>
          </w:tcPr>
          <w:p w14:paraId="49557BB8" w14:textId="77777777" w:rsidR="00CE73A7" w:rsidRPr="00A9101E" w:rsidRDefault="00CE73A7" w:rsidP="00F569C7">
            <w:pPr>
              <w:spacing w:line="360" w:lineRule="auto"/>
              <w:jc w:val="left"/>
              <w:cnfStyle w:val="100000000000" w:firstRow="1" w:lastRow="0" w:firstColumn="0" w:lastColumn="0" w:oddVBand="0" w:evenVBand="0" w:oddHBand="0" w:evenHBand="0" w:firstRowFirstColumn="0" w:firstRowLastColumn="0" w:lastRowFirstColumn="0" w:lastRowLastColumn="0"/>
              <w:rPr>
                <w:color w:val="auto"/>
                <w:lang w:eastAsia="sl-SI"/>
              </w:rPr>
            </w:pPr>
            <w:r w:rsidRPr="00A9101E">
              <w:rPr>
                <w:color w:val="auto"/>
                <w:lang w:eastAsia="sl-SI"/>
              </w:rPr>
              <w:t>Število transakcij</w:t>
            </w:r>
          </w:p>
        </w:tc>
      </w:tr>
      <w:tr w:rsidR="00CE73A7" w:rsidRPr="00510C58" w14:paraId="3A763E34" w14:textId="77777777" w:rsidTr="00432301">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656" w:type="dxa"/>
            <w:noWrap/>
            <w:hideMark/>
          </w:tcPr>
          <w:p w14:paraId="6C358C7B" w14:textId="77777777" w:rsidR="00CE73A7" w:rsidRPr="00510C58" w:rsidRDefault="00CE73A7" w:rsidP="00F569C7">
            <w:pPr>
              <w:spacing w:line="360" w:lineRule="auto"/>
              <w:jc w:val="left"/>
              <w:rPr>
                <w:color w:val="000000"/>
                <w:lang w:eastAsia="sl-SI"/>
              </w:rPr>
            </w:pPr>
            <w:r w:rsidRPr="00510C58">
              <w:rPr>
                <w:color w:val="000000"/>
                <w:lang w:eastAsia="sl-SI"/>
              </w:rPr>
              <w:t>Belize</w:t>
            </w:r>
          </w:p>
        </w:tc>
        <w:tc>
          <w:tcPr>
            <w:tcW w:w="1362" w:type="dxa"/>
            <w:noWrap/>
            <w:hideMark/>
          </w:tcPr>
          <w:p w14:paraId="5D5B29C4"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95.394.150</w:t>
            </w:r>
          </w:p>
        </w:tc>
        <w:tc>
          <w:tcPr>
            <w:tcW w:w="1337" w:type="dxa"/>
            <w:noWrap/>
            <w:hideMark/>
          </w:tcPr>
          <w:p w14:paraId="0D5E3161"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134</w:t>
            </w:r>
          </w:p>
        </w:tc>
        <w:tc>
          <w:tcPr>
            <w:tcW w:w="1362" w:type="dxa"/>
            <w:noWrap/>
            <w:hideMark/>
          </w:tcPr>
          <w:p w14:paraId="7198FC4D"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1.176.490</w:t>
            </w:r>
          </w:p>
        </w:tc>
        <w:tc>
          <w:tcPr>
            <w:tcW w:w="1283" w:type="dxa"/>
            <w:noWrap/>
            <w:hideMark/>
          </w:tcPr>
          <w:p w14:paraId="1513FA4E"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17</w:t>
            </w:r>
          </w:p>
        </w:tc>
      </w:tr>
      <w:tr w:rsidR="00CE73A7" w:rsidRPr="00510C58" w14:paraId="7B3B5B01" w14:textId="77777777" w:rsidTr="00432301">
        <w:trPr>
          <w:trHeight w:val="304"/>
        </w:trPr>
        <w:tc>
          <w:tcPr>
            <w:cnfStyle w:val="001000000000" w:firstRow="0" w:lastRow="0" w:firstColumn="1" w:lastColumn="0" w:oddVBand="0" w:evenVBand="0" w:oddHBand="0" w:evenHBand="0" w:firstRowFirstColumn="0" w:firstRowLastColumn="0" w:lastRowFirstColumn="0" w:lastRowLastColumn="0"/>
            <w:tcW w:w="3656" w:type="dxa"/>
            <w:noWrap/>
            <w:hideMark/>
          </w:tcPr>
          <w:p w14:paraId="653D2FBF" w14:textId="77777777" w:rsidR="00CE73A7" w:rsidRPr="00510C58" w:rsidRDefault="00CE73A7" w:rsidP="00F569C7">
            <w:pPr>
              <w:spacing w:line="360" w:lineRule="auto"/>
              <w:jc w:val="left"/>
              <w:rPr>
                <w:color w:val="000000"/>
                <w:lang w:eastAsia="sl-SI"/>
              </w:rPr>
            </w:pPr>
            <w:r w:rsidRPr="00510C58">
              <w:rPr>
                <w:color w:val="000000"/>
                <w:lang w:eastAsia="sl-SI"/>
              </w:rPr>
              <w:t>Ukrajina</w:t>
            </w:r>
          </w:p>
        </w:tc>
        <w:tc>
          <w:tcPr>
            <w:tcW w:w="1362" w:type="dxa"/>
            <w:noWrap/>
            <w:hideMark/>
          </w:tcPr>
          <w:p w14:paraId="775DB0F0"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43.459.131</w:t>
            </w:r>
          </w:p>
        </w:tc>
        <w:tc>
          <w:tcPr>
            <w:tcW w:w="1337" w:type="dxa"/>
            <w:noWrap/>
            <w:hideMark/>
          </w:tcPr>
          <w:p w14:paraId="6059DF5F"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777</w:t>
            </w:r>
          </w:p>
        </w:tc>
        <w:tc>
          <w:tcPr>
            <w:tcW w:w="1362" w:type="dxa"/>
            <w:noWrap/>
            <w:hideMark/>
          </w:tcPr>
          <w:p w14:paraId="72DB26D6"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2.062.450</w:t>
            </w:r>
          </w:p>
        </w:tc>
        <w:tc>
          <w:tcPr>
            <w:tcW w:w="1283" w:type="dxa"/>
            <w:noWrap/>
            <w:hideMark/>
          </w:tcPr>
          <w:p w14:paraId="5C6DCC16"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37</w:t>
            </w:r>
          </w:p>
        </w:tc>
      </w:tr>
      <w:tr w:rsidR="00CE73A7" w:rsidRPr="00510C58" w14:paraId="624068AE" w14:textId="77777777" w:rsidTr="00432301">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656" w:type="dxa"/>
            <w:noWrap/>
            <w:hideMark/>
          </w:tcPr>
          <w:p w14:paraId="2F1F2E99" w14:textId="77777777" w:rsidR="00CE73A7" w:rsidRPr="00510C58" w:rsidRDefault="00CE73A7" w:rsidP="00F569C7">
            <w:pPr>
              <w:spacing w:line="360" w:lineRule="auto"/>
              <w:jc w:val="left"/>
              <w:rPr>
                <w:color w:val="000000"/>
                <w:lang w:eastAsia="sl-SI"/>
              </w:rPr>
            </w:pPr>
            <w:r w:rsidRPr="00510C58">
              <w:rPr>
                <w:color w:val="000000"/>
                <w:lang w:eastAsia="sl-SI"/>
              </w:rPr>
              <w:t>Albanija</w:t>
            </w:r>
          </w:p>
        </w:tc>
        <w:tc>
          <w:tcPr>
            <w:tcW w:w="1362" w:type="dxa"/>
            <w:noWrap/>
            <w:hideMark/>
          </w:tcPr>
          <w:p w14:paraId="5A4B7986"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41.026.237</w:t>
            </w:r>
          </w:p>
        </w:tc>
        <w:tc>
          <w:tcPr>
            <w:tcW w:w="1337" w:type="dxa"/>
            <w:noWrap/>
            <w:hideMark/>
          </w:tcPr>
          <w:p w14:paraId="1C81F0A2"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227</w:t>
            </w:r>
          </w:p>
        </w:tc>
        <w:tc>
          <w:tcPr>
            <w:tcW w:w="1362" w:type="dxa"/>
            <w:noWrap/>
            <w:hideMark/>
          </w:tcPr>
          <w:p w14:paraId="3FF9405B"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193.221</w:t>
            </w:r>
          </w:p>
        </w:tc>
        <w:tc>
          <w:tcPr>
            <w:tcW w:w="1283" w:type="dxa"/>
            <w:noWrap/>
            <w:hideMark/>
          </w:tcPr>
          <w:p w14:paraId="5826C42A"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5</w:t>
            </w:r>
          </w:p>
        </w:tc>
      </w:tr>
      <w:tr w:rsidR="00CE73A7" w:rsidRPr="00510C58" w14:paraId="43592BD0" w14:textId="77777777" w:rsidTr="00432301">
        <w:trPr>
          <w:trHeight w:val="304"/>
        </w:trPr>
        <w:tc>
          <w:tcPr>
            <w:cnfStyle w:val="001000000000" w:firstRow="0" w:lastRow="0" w:firstColumn="1" w:lastColumn="0" w:oddVBand="0" w:evenVBand="0" w:oddHBand="0" w:evenHBand="0" w:firstRowFirstColumn="0" w:firstRowLastColumn="0" w:lastRowFirstColumn="0" w:lastRowLastColumn="0"/>
            <w:tcW w:w="3656" w:type="dxa"/>
            <w:noWrap/>
            <w:hideMark/>
          </w:tcPr>
          <w:p w14:paraId="5BFCCADA" w14:textId="77777777" w:rsidR="00CE73A7" w:rsidRPr="00510C58" w:rsidRDefault="00CE73A7" w:rsidP="00F569C7">
            <w:pPr>
              <w:spacing w:line="360" w:lineRule="auto"/>
              <w:jc w:val="left"/>
              <w:rPr>
                <w:color w:val="000000"/>
                <w:lang w:eastAsia="sl-SI"/>
              </w:rPr>
            </w:pPr>
            <w:r w:rsidRPr="00510C58">
              <w:rPr>
                <w:color w:val="000000"/>
                <w:lang w:eastAsia="sl-SI"/>
              </w:rPr>
              <w:t>Grenadini</w:t>
            </w:r>
          </w:p>
        </w:tc>
        <w:tc>
          <w:tcPr>
            <w:tcW w:w="1362" w:type="dxa"/>
            <w:noWrap/>
            <w:hideMark/>
          </w:tcPr>
          <w:p w14:paraId="0BFEFFC4"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23.605.056</w:t>
            </w:r>
          </w:p>
        </w:tc>
        <w:tc>
          <w:tcPr>
            <w:tcW w:w="1337" w:type="dxa"/>
            <w:noWrap/>
            <w:hideMark/>
          </w:tcPr>
          <w:p w14:paraId="50A6AB43"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50</w:t>
            </w:r>
          </w:p>
        </w:tc>
        <w:tc>
          <w:tcPr>
            <w:tcW w:w="1362" w:type="dxa"/>
            <w:noWrap/>
            <w:hideMark/>
          </w:tcPr>
          <w:p w14:paraId="250517DC"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 </w:t>
            </w:r>
          </w:p>
        </w:tc>
        <w:tc>
          <w:tcPr>
            <w:tcW w:w="1283" w:type="dxa"/>
            <w:noWrap/>
            <w:hideMark/>
          </w:tcPr>
          <w:p w14:paraId="4F7129B0"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 </w:t>
            </w:r>
          </w:p>
        </w:tc>
      </w:tr>
      <w:tr w:rsidR="00CE73A7" w:rsidRPr="00510C58" w14:paraId="6206548E" w14:textId="77777777" w:rsidTr="00432301">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656" w:type="dxa"/>
            <w:noWrap/>
            <w:hideMark/>
          </w:tcPr>
          <w:p w14:paraId="4EF2B376" w14:textId="77777777" w:rsidR="00CE73A7" w:rsidRPr="00510C58" w:rsidRDefault="00CE73A7" w:rsidP="00F569C7">
            <w:pPr>
              <w:spacing w:line="360" w:lineRule="auto"/>
              <w:jc w:val="left"/>
              <w:rPr>
                <w:color w:val="000000"/>
                <w:lang w:eastAsia="sl-SI"/>
              </w:rPr>
            </w:pPr>
            <w:r w:rsidRPr="00510C58">
              <w:rPr>
                <w:color w:val="000000"/>
                <w:lang w:eastAsia="sl-SI"/>
              </w:rPr>
              <w:t>Egipt</w:t>
            </w:r>
          </w:p>
        </w:tc>
        <w:tc>
          <w:tcPr>
            <w:tcW w:w="1362" w:type="dxa"/>
            <w:noWrap/>
            <w:hideMark/>
          </w:tcPr>
          <w:p w14:paraId="4FDB9B18"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21.606.292</w:t>
            </w:r>
          </w:p>
        </w:tc>
        <w:tc>
          <w:tcPr>
            <w:tcW w:w="1337" w:type="dxa"/>
            <w:noWrap/>
            <w:hideMark/>
          </w:tcPr>
          <w:p w14:paraId="36D9D0C5"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187</w:t>
            </w:r>
          </w:p>
        </w:tc>
        <w:tc>
          <w:tcPr>
            <w:tcW w:w="1362" w:type="dxa"/>
            <w:noWrap/>
            <w:hideMark/>
          </w:tcPr>
          <w:p w14:paraId="5D2AE25E"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13.087.592</w:t>
            </w:r>
          </w:p>
        </w:tc>
        <w:tc>
          <w:tcPr>
            <w:tcW w:w="1283" w:type="dxa"/>
            <w:noWrap/>
            <w:hideMark/>
          </w:tcPr>
          <w:p w14:paraId="513B10F4"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89</w:t>
            </w:r>
          </w:p>
        </w:tc>
      </w:tr>
      <w:tr w:rsidR="00CE73A7" w:rsidRPr="00510C58" w14:paraId="040EE403" w14:textId="77777777" w:rsidTr="00432301">
        <w:trPr>
          <w:trHeight w:val="304"/>
        </w:trPr>
        <w:tc>
          <w:tcPr>
            <w:cnfStyle w:val="001000000000" w:firstRow="0" w:lastRow="0" w:firstColumn="1" w:lastColumn="0" w:oddVBand="0" w:evenVBand="0" w:oddHBand="0" w:evenHBand="0" w:firstRowFirstColumn="0" w:firstRowLastColumn="0" w:lastRowFirstColumn="0" w:lastRowLastColumn="0"/>
            <w:tcW w:w="3656" w:type="dxa"/>
            <w:noWrap/>
            <w:hideMark/>
          </w:tcPr>
          <w:p w14:paraId="27E6A55A" w14:textId="77777777" w:rsidR="00CE73A7" w:rsidRPr="00510C58" w:rsidRDefault="00CE73A7" w:rsidP="00F569C7">
            <w:pPr>
              <w:spacing w:line="360" w:lineRule="auto"/>
              <w:jc w:val="left"/>
              <w:rPr>
                <w:color w:val="000000"/>
                <w:lang w:eastAsia="sl-SI"/>
              </w:rPr>
            </w:pPr>
            <w:r w:rsidRPr="00510C58">
              <w:rPr>
                <w:color w:val="000000"/>
                <w:lang w:eastAsia="sl-SI"/>
              </w:rPr>
              <w:t>Lihtenštajn</w:t>
            </w:r>
          </w:p>
        </w:tc>
        <w:tc>
          <w:tcPr>
            <w:tcW w:w="1362" w:type="dxa"/>
            <w:noWrap/>
            <w:hideMark/>
          </w:tcPr>
          <w:p w14:paraId="56623866"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14.607.555</w:t>
            </w:r>
          </w:p>
        </w:tc>
        <w:tc>
          <w:tcPr>
            <w:tcW w:w="1337" w:type="dxa"/>
            <w:noWrap/>
            <w:hideMark/>
          </w:tcPr>
          <w:p w14:paraId="111A7E92"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297</w:t>
            </w:r>
          </w:p>
        </w:tc>
        <w:tc>
          <w:tcPr>
            <w:tcW w:w="1362" w:type="dxa"/>
            <w:noWrap/>
            <w:hideMark/>
          </w:tcPr>
          <w:p w14:paraId="40764E87"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 </w:t>
            </w:r>
          </w:p>
        </w:tc>
        <w:tc>
          <w:tcPr>
            <w:tcW w:w="1283" w:type="dxa"/>
            <w:noWrap/>
            <w:hideMark/>
          </w:tcPr>
          <w:p w14:paraId="15AF6052"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 </w:t>
            </w:r>
          </w:p>
        </w:tc>
      </w:tr>
      <w:tr w:rsidR="00CE73A7" w:rsidRPr="00510C58" w14:paraId="0EAD71CA" w14:textId="77777777" w:rsidTr="00432301">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656" w:type="dxa"/>
            <w:noWrap/>
            <w:hideMark/>
          </w:tcPr>
          <w:p w14:paraId="4A4DFFBC" w14:textId="77777777" w:rsidR="00CE73A7" w:rsidRPr="00510C58" w:rsidRDefault="00CE73A7" w:rsidP="00F569C7">
            <w:pPr>
              <w:spacing w:line="360" w:lineRule="auto"/>
              <w:jc w:val="left"/>
              <w:rPr>
                <w:color w:val="000000"/>
                <w:lang w:eastAsia="sl-SI"/>
              </w:rPr>
            </w:pPr>
            <w:r w:rsidRPr="00510C58">
              <w:rPr>
                <w:color w:val="000000"/>
                <w:lang w:eastAsia="sl-SI"/>
              </w:rPr>
              <w:t>Turčija</w:t>
            </w:r>
          </w:p>
        </w:tc>
        <w:tc>
          <w:tcPr>
            <w:tcW w:w="1362" w:type="dxa"/>
            <w:noWrap/>
            <w:hideMark/>
          </w:tcPr>
          <w:p w14:paraId="2D58B56D"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13.099.234</w:t>
            </w:r>
          </w:p>
        </w:tc>
        <w:tc>
          <w:tcPr>
            <w:tcW w:w="1337" w:type="dxa"/>
            <w:noWrap/>
            <w:hideMark/>
          </w:tcPr>
          <w:p w14:paraId="3F34E02D"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212</w:t>
            </w:r>
          </w:p>
        </w:tc>
        <w:tc>
          <w:tcPr>
            <w:tcW w:w="1362" w:type="dxa"/>
            <w:noWrap/>
            <w:hideMark/>
          </w:tcPr>
          <w:p w14:paraId="6A89066C"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969.498</w:t>
            </w:r>
          </w:p>
        </w:tc>
        <w:tc>
          <w:tcPr>
            <w:tcW w:w="1283" w:type="dxa"/>
            <w:noWrap/>
            <w:hideMark/>
          </w:tcPr>
          <w:p w14:paraId="25C8428A"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14</w:t>
            </w:r>
          </w:p>
        </w:tc>
      </w:tr>
      <w:tr w:rsidR="00CE73A7" w:rsidRPr="00510C58" w14:paraId="2D39E833" w14:textId="77777777" w:rsidTr="00432301">
        <w:trPr>
          <w:trHeight w:val="304"/>
        </w:trPr>
        <w:tc>
          <w:tcPr>
            <w:cnfStyle w:val="001000000000" w:firstRow="0" w:lastRow="0" w:firstColumn="1" w:lastColumn="0" w:oddVBand="0" w:evenVBand="0" w:oddHBand="0" w:evenHBand="0" w:firstRowFirstColumn="0" w:firstRowLastColumn="0" w:lastRowFirstColumn="0" w:lastRowLastColumn="0"/>
            <w:tcW w:w="3656" w:type="dxa"/>
            <w:noWrap/>
            <w:hideMark/>
          </w:tcPr>
          <w:p w14:paraId="2EF31B11" w14:textId="77777777" w:rsidR="00CE73A7" w:rsidRPr="00510C58" w:rsidRDefault="00CE73A7" w:rsidP="00F569C7">
            <w:pPr>
              <w:spacing w:line="360" w:lineRule="auto"/>
              <w:jc w:val="left"/>
              <w:rPr>
                <w:color w:val="000000"/>
                <w:lang w:eastAsia="sl-SI"/>
              </w:rPr>
            </w:pPr>
            <w:r w:rsidRPr="00510C58">
              <w:rPr>
                <w:color w:val="000000"/>
                <w:lang w:eastAsia="sl-SI"/>
              </w:rPr>
              <w:t>Maroko</w:t>
            </w:r>
          </w:p>
        </w:tc>
        <w:tc>
          <w:tcPr>
            <w:tcW w:w="1362" w:type="dxa"/>
            <w:noWrap/>
            <w:hideMark/>
          </w:tcPr>
          <w:p w14:paraId="3F6215FF"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11.766.644</w:t>
            </w:r>
          </w:p>
        </w:tc>
        <w:tc>
          <w:tcPr>
            <w:tcW w:w="1337" w:type="dxa"/>
            <w:noWrap/>
            <w:hideMark/>
          </w:tcPr>
          <w:p w14:paraId="30F2A1AB"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44</w:t>
            </w:r>
          </w:p>
        </w:tc>
        <w:tc>
          <w:tcPr>
            <w:tcW w:w="1362" w:type="dxa"/>
            <w:noWrap/>
            <w:hideMark/>
          </w:tcPr>
          <w:p w14:paraId="6730E247"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 </w:t>
            </w:r>
          </w:p>
        </w:tc>
        <w:tc>
          <w:tcPr>
            <w:tcW w:w="1283" w:type="dxa"/>
            <w:noWrap/>
            <w:hideMark/>
          </w:tcPr>
          <w:p w14:paraId="5965B0BB"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 </w:t>
            </w:r>
          </w:p>
        </w:tc>
      </w:tr>
      <w:tr w:rsidR="00CE73A7" w:rsidRPr="00510C58" w14:paraId="0593E4F0" w14:textId="77777777" w:rsidTr="00432301">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656" w:type="dxa"/>
            <w:noWrap/>
            <w:hideMark/>
          </w:tcPr>
          <w:p w14:paraId="218DC672" w14:textId="77777777" w:rsidR="00CE73A7" w:rsidRPr="00510C58" w:rsidRDefault="00CE73A7" w:rsidP="00F569C7">
            <w:pPr>
              <w:spacing w:line="360" w:lineRule="auto"/>
              <w:jc w:val="left"/>
              <w:rPr>
                <w:color w:val="000000"/>
                <w:lang w:eastAsia="sl-SI"/>
              </w:rPr>
            </w:pPr>
            <w:r w:rsidRPr="00510C58">
              <w:rPr>
                <w:color w:val="000000"/>
                <w:lang w:eastAsia="sl-SI"/>
              </w:rPr>
              <w:t>Bahami</w:t>
            </w:r>
          </w:p>
        </w:tc>
        <w:tc>
          <w:tcPr>
            <w:tcW w:w="1362" w:type="dxa"/>
            <w:noWrap/>
            <w:hideMark/>
          </w:tcPr>
          <w:p w14:paraId="5702B5B1"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10.592.775</w:t>
            </w:r>
          </w:p>
        </w:tc>
        <w:tc>
          <w:tcPr>
            <w:tcW w:w="1337" w:type="dxa"/>
            <w:noWrap/>
            <w:hideMark/>
          </w:tcPr>
          <w:p w14:paraId="1E011C92"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16</w:t>
            </w:r>
          </w:p>
        </w:tc>
        <w:tc>
          <w:tcPr>
            <w:tcW w:w="1362" w:type="dxa"/>
            <w:noWrap/>
            <w:hideMark/>
          </w:tcPr>
          <w:p w14:paraId="2BB1DBA4"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631.000</w:t>
            </w:r>
          </w:p>
        </w:tc>
        <w:tc>
          <w:tcPr>
            <w:tcW w:w="1283" w:type="dxa"/>
            <w:noWrap/>
            <w:hideMark/>
          </w:tcPr>
          <w:p w14:paraId="6143EACF"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4</w:t>
            </w:r>
          </w:p>
        </w:tc>
      </w:tr>
      <w:tr w:rsidR="00CE73A7" w:rsidRPr="00510C58" w14:paraId="40852A41" w14:textId="77777777" w:rsidTr="00432301">
        <w:trPr>
          <w:trHeight w:val="304"/>
        </w:trPr>
        <w:tc>
          <w:tcPr>
            <w:cnfStyle w:val="001000000000" w:firstRow="0" w:lastRow="0" w:firstColumn="1" w:lastColumn="0" w:oddVBand="0" w:evenVBand="0" w:oddHBand="0" w:evenHBand="0" w:firstRowFirstColumn="0" w:firstRowLastColumn="0" w:lastRowFirstColumn="0" w:lastRowLastColumn="0"/>
            <w:tcW w:w="3656" w:type="dxa"/>
            <w:noWrap/>
            <w:hideMark/>
          </w:tcPr>
          <w:p w14:paraId="15C28795" w14:textId="77777777" w:rsidR="00CE73A7" w:rsidRPr="00510C58" w:rsidRDefault="00CE73A7" w:rsidP="00F569C7">
            <w:pPr>
              <w:spacing w:line="360" w:lineRule="auto"/>
              <w:jc w:val="left"/>
              <w:rPr>
                <w:color w:val="000000"/>
                <w:lang w:eastAsia="sl-SI"/>
              </w:rPr>
            </w:pPr>
            <w:r w:rsidRPr="00510C58">
              <w:rPr>
                <w:color w:val="000000"/>
                <w:lang w:eastAsia="sl-SI"/>
              </w:rPr>
              <w:t>Senegal</w:t>
            </w:r>
          </w:p>
        </w:tc>
        <w:tc>
          <w:tcPr>
            <w:tcW w:w="1362" w:type="dxa"/>
            <w:noWrap/>
            <w:hideMark/>
          </w:tcPr>
          <w:p w14:paraId="62D8220A"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6.538.642</w:t>
            </w:r>
          </w:p>
        </w:tc>
        <w:tc>
          <w:tcPr>
            <w:tcW w:w="1337" w:type="dxa"/>
            <w:noWrap/>
            <w:hideMark/>
          </w:tcPr>
          <w:p w14:paraId="189EBB58"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52</w:t>
            </w:r>
          </w:p>
        </w:tc>
        <w:tc>
          <w:tcPr>
            <w:tcW w:w="1362" w:type="dxa"/>
            <w:noWrap/>
            <w:hideMark/>
          </w:tcPr>
          <w:p w14:paraId="1C85CD0D"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 </w:t>
            </w:r>
          </w:p>
        </w:tc>
        <w:tc>
          <w:tcPr>
            <w:tcW w:w="1283" w:type="dxa"/>
            <w:noWrap/>
            <w:hideMark/>
          </w:tcPr>
          <w:p w14:paraId="54183A65"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 </w:t>
            </w:r>
          </w:p>
        </w:tc>
      </w:tr>
      <w:tr w:rsidR="00CE73A7" w:rsidRPr="00510C58" w14:paraId="6545ACAD" w14:textId="77777777" w:rsidTr="00432301">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656" w:type="dxa"/>
            <w:noWrap/>
            <w:hideMark/>
          </w:tcPr>
          <w:p w14:paraId="4FB2D93A" w14:textId="77777777" w:rsidR="00CE73A7" w:rsidRPr="00510C58" w:rsidRDefault="00CE73A7" w:rsidP="00F569C7">
            <w:pPr>
              <w:spacing w:line="360" w:lineRule="auto"/>
              <w:jc w:val="left"/>
              <w:rPr>
                <w:color w:val="000000"/>
                <w:lang w:eastAsia="sl-SI"/>
              </w:rPr>
            </w:pPr>
            <w:r w:rsidRPr="00510C58">
              <w:rPr>
                <w:color w:val="000000"/>
                <w:lang w:eastAsia="sl-SI"/>
              </w:rPr>
              <w:t>Indonezija</w:t>
            </w:r>
          </w:p>
        </w:tc>
        <w:tc>
          <w:tcPr>
            <w:tcW w:w="1362" w:type="dxa"/>
            <w:noWrap/>
            <w:hideMark/>
          </w:tcPr>
          <w:p w14:paraId="1B446934"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3.508.054</w:t>
            </w:r>
          </w:p>
        </w:tc>
        <w:tc>
          <w:tcPr>
            <w:tcW w:w="1337" w:type="dxa"/>
            <w:noWrap/>
            <w:hideMark/>
          </w:tcPr>
          <w:p w14:paraId="2A84AF48"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45</w:t>
            </w:r>
          </w:p>
        </w:tc>
        <w:tc>
          <w:tcPr>
            <w:tcW w:w="1362" w:type="dxa"/>
            <w:noWrap/>
            <w:hideMark/>
          </w:tcPr>
          <w:p w14:paraId="3F452A42"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1.510.449</w:t>
            </w:r>
          </w:p>
        </w:tc>
        <w:tc>
          <w:tcPr>
            <w:tcW w:w="1283" w:type="dxa"/>
            <w:noWrap/>
            <w:hideMark/>
          </w:tcPr>
          <w:p w14:paraId="5B72FC4B"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37</w:t>
            </w:r>
          </w:p>
        </w:tc>
      </w:tr>
      <w:tr w:rsidR="00CE73A7" w:rsidRPr="00510C58" w14:paraId="72A7B560" w14:textId="77777777" w:rsidTr="00432301">
        <w:trPr>
          <w:trHeight w:val="304"/>
        </w:trPr>
        <w:tc>
          <w:tcPr>
            <w:cnfStyle w:val="001000000000" w:firstRow="0" w:lastRow="0" w:firstColumn="1" w:lastColumn="0" w:oddVBand="0" w:evenVBand="0" w:oddHBand="0" w:evenHBand="0" w:firstRowFirstColumn="0" w:firstRowLastColumn="0" w:lastRowFirstColumn="0" w:lastRowLastColumn="0"/>
            <w:tcW w:w="3656" w:type="dxa"/>
            <w:noWrap/>
            <w:hideMark/>
          </w:tcPr>
          <w:p w14:paraId="3CFE441C" w14:textId="77777777" w:rsidR="00CE73A7" w:rsidRPr="00510C58" w:rsidRDefault="00CE73A7" w:rsidP="00F569C7">
            <w:pPr>
              <w:spacing w:line="360" w:lineRule="auto"/>
              <w:jc w:val="left"/>
              <w:rPr>
                <w:color w:val="000000"/>
                <w:lang w:eastAsia="sl-SI"/>
              </w:rPr>
            </w:pPr>
            <w:r w:rsidRPr="00510C58">
              <w:rPr>
                <w:color w:val="000000"/>
                <w:lang w:eastAsia="sl-SI"/>
              </w:rPr>
              <w:lastRenderedPageBreak/>
              <w:t>Tunizija</w:t>
            </w:r>
          </w:p>
        </w:tc>
        <w:tc>
          <w:tcPr>
            <w:tcW w:w="1362" w:type="dxa"/>
            <w:noWrap/>
            <w:hideMark/>
          </w:tcPr>
          <w:p w14:paraId="0187C928"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3.182.729</w:t>
            </w:r>
          </w:p>
        </w:tc>
        <w:tc>
          <w:tcPr>
            <w:tcW w:w="1337" w:type="dxa"/>
            <w:noWrap/>
            <w:hideMark/>
          </w:tcPr>
          <w:p w14:paraId="513CB4FC"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41</w:t>
            </w:r>
          </w:p>
        </w:tc>
        <w:tc>
          <w:tcPr>
            <w:tcW w:w="1362" w:type="dxa"/>
            <w:noWrap/>
            <w:hideMark/>
          </w:tcPr>
          <w:p w14:paraId="20F7FCE5"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298.902</w:t>
            </w:r>
          </w:p>
        </w:tc>
        <w:tc>
          <w:tcPr>
            <w:tcW w:w="1283" w:type="dxa"/>
            <w:noWrap/>
            <w:hideMark/>
          </w:tcPr>
          <w:p w14:paraId="64AD97DC"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11</w:t>
            </w:r>
          </w:p>
        </w:tc>
      </w:tr>
      <w:tr w:rsidR="00CE73A7" w:rsidRPr="00510C58" w14:paraId="10D3806C" w14:textId="77777777" w:rsidTr="00432301">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656" w:type="dxa"/>
            <w:noWrap/>
            <w:hideMark/>
          </w:tcPr>
          <w:p w14:paraId="26E617A4" w14:textId="77777777" w:rsidR="00CE73A7" w:rsidRPr="00510C58" w:rsidRDefault="00CE73A7" w:rsidP="00F569C7">
            <w:pPr>
              <w:spacing w:line="360" w:lineRule="auto"/>
              <w:jc w:val="left"/>
              <w:rPr>
                <w:color w:val="000000"/>
                <w:lang w:eastAsia="sl-SI"/>
              </w:rPr>
            </w:pPr>
            <w:r w:rsidRPr="00510C58">
              <w:rPr>
                <w:color w:val="000000"/>
                <w:lang w:eastAsia="sl-SI"/>
              </w:rPr>
              <w:t>Libija</w:t>
            </w:r>
          </w:p>
        </w:tc>
        <w:tc>
          <w:tcPr>
            <w:tcW w:w="1362" w:type="dxa"/>
            <w:noWrap/>
            <w:hideMark/>
          </w:tcPr>
          <w:p w14:paraId="6425BA7B"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2.839.613</w:t>
            </w:r>
          </w:p>
        </w:tc>
        <w:tc>
          <w:tcPr>
            <w:tcW w:w="1337" w:type="dxa"/>
            <w:noWrap/>
            <w:hideMark/>
          </w:tcPr>
          <w:p w14:paraId="166FDA9A"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24</w:t>
            </w:r>
          </w:p>
        </w:tc>
        <w:tc>
          <w:tcPr>
            <w:tcW w:w="1362" w:type="dxa"/>
            <w:noWrap/>
            <w:hideMark/>
          </w:tcPr>
          <w:p w14:paraId="5C21F839"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96.852</w:t>
            </w:r>
          </w:p>
        </w:tc>
        <w:tc>
          <w:tcPr>
            <w:tcW w:w="1283" w:type="dxa"/>
            <w:noWrap/>
            <w:hideMark/>
          </w:tcPr>
          <w:p w14:paraId="1E3C77FA"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2</w:t>
            </w:r>
          </w:p>
        </w:tc>
      </w:tr>
      <w:tr w:rsidR="00CE73A7" w:rsidRPr="00510C58" w14:paraId="4E996495" w14:textId="77777777" w:rsidTr="00432301">
        <w:trPr>
          <w:trHeight w:val="304"/>
        </w:trPr>
        <w:tc>
          <w:tcPr>
            <w:cnfStyle w:val="001000000000" w:firstRow="0" w:lastRow="0" w:firstColumn="1" w:lastColumn="0" w:oddVBand="0" w:evenVBand="0" w:oddHBand="0" w:evenHBand="0" w:firstRowFirstColumn="0" w:firstRowLastColumn="0" w:lastRowFirstColumn="0" w:lastRowLastColumn="0"/>
            <w:tcW w:w="3656" w:type="dxa"/>
            <w:noWrap/>
            <w:hideMark/>
          </w:tcPr>
          <w:p w14:paraId="1CF27778" w14:textId="77777777" w:rsidR="00CE73A7" w:rsidRPr="00510C58" w:rsidRDefault="00CE73A7" w:rsidP="00F569C7">
            <w:pPr>
              <w:spacing w:line="360" w:lineRule="auto"/>
              <w:jc w:val="left"/>
              <w:rPr>
                <w:color w:val="000000"/>
                <w:lang w:eastAsia="sl-SI"/>
              </w:rPr>
            </w:pPr>
            <w:r w:rsidRPr="00510C58">
              <w:rPr>
                <w:color w:val="000000"/>
                <w:lang w:eastAsia="sl-SI"/>
              </w:rPr>
              <w:t>Saudova Arabija</w:t>
            </w:r>
          </w:p>
        </w:tc>
        <w:tc>
          <w:tcPr>
            <w:tcW w:w="1362" w:type="dxa"/>
            <w:noWrap/>
            <w:hideMark/>
          </w:tcPr>
          <w:p w14:paraId="1CDDEDF8"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2.712.316</w:t>
            </w:r>
          </w:p>
        </w:tc>
        <w:tc>
          <w:tcPr>
            <w:tcW w:w="1337" w:type="dxa"/>
            <w:noWrap/>
            <w:hideMark/>
          </w:tcPr>
          <w:p w14:paraId="08FEFF7D"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19</w:t>
            </w:r>
          </w:p>
        </w:tc>
        <w:tc>
          <w:tcPr>
            <w:tcW w:w="1362" w:type="dxa"/>
            <w:noWrap/>
            <w:hideMark/>
          </w:tcPr>
          <w:p w14:paraId="399C2152"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1.021.119</w:t>
            </w:r>
          </w:p>
        </w:tc>
        <w:tc>
          <w:tcPr>
            <w:tcW w:w="1283" w:type="dxa"/>
            <w:noWrap/>
            <w:hideMark/>
          </w:tcPr>
          <w:p w14:paraId="35B7287F"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29</w:t>
            </w:r>
          </w:p>
        </w:tc>
      </w:tr>
      <w:tr w:rsidR="00CE73A7" w:rsidRPr="00510C58" w14:paraId="2B41C6BE" w14:textId="77777777" w:rsidTr="00432301">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656" w:type="dxa"/>
            <w:noWrap/>
            <w:hideMark/>
          </w:tcPr>
          <w:p w14:paraId="6DB476CD" w14:textId="77777777" w:rsidR="00CE73A7" w:rsidRPr="00510C58" w:rsidRDefault="00CE73A7" w:rsidP="00F569C7">
            <w:pPr>
              <w:spacing w:line="360" w:lineRule="auto"/>
              <w:jc w:val="left"/>
              <w:rPr>
                <w:color w:val="000000"/>
                <w:lang w:eastAsia="sl-SI"/>
              </w:rPr>
            </w:pPr>
            <w:r w:rsidRPr="00510C58">
              <w:rPr>
                <w:color w:val="000000"/>
                <w:lang w:eastAsia="sl-SI"/>
              </w:rPr>
              <w:t>Pakistan</w:t>
            </w:r>
          </w:p>
        </w:tc>
        <w:tc>
          <w:tcPr>
            <w:tcW w:w="1362" w:type="dxa"/>
            <w:noWrap/>
            <w:hideMark/>
          </w:tcPr>
          <w:p w14:paraId="3F3E8C09"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2.374.795</w:t>
            </w:r>
          </w:p>
        </w:tc>
        <w:tc>
          <w:tcPr>
            <w:tcW w:w="1337" w:type="dxa"/>
            <w:noWrap/>
            <w:hideMark/>
          </w:tcPr>
          <w:p w14:paraId="5D8F0EF5"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44</w:t>
            </w:r>
          </w:p>
        </w:tc>
        <w:tc>
          <w:tcPr>
            <w:tcW w:w="1362" w:type="dxa"/>
            <w:noWrap/>
            <w:hideMark/>
          </w:tcPr>
          <w:p w14:paraId="543DB71A"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4.402.543</w:t>
            </w:r>
          </w:p>
        </w:tc>
        <w:tc>
          <w:tcPr>
            <w:tcW w:w="1283" w:type="dxa"/>
            <w:noWrap/>
            <w:hideMark/>
          </w:tcPr>
          <w:p w14:paraId="5EA64213"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74</w:t>
            </w:r>
          </w:p>
        </w:tc>
      </w:tr>
      <w:tr w:rsidR="00CE73A7" w:rsidRPr="00510C58" w14:paraId="3D6DBC66" w14:textId="77777777" w:rsidTr="00432301">
        <w:trPr>
          <w:trHeight w:val="304"/>
        </w:trPr>
        <w:tc>
          <w:tcPr>
            <w:cnfStyle w:val="001000000000" w:firstRow="0" w:lastRow="0" w:firstColumn="1" w:lastColumn="0" w:oddVBand="0" w:evenVBand="0" w:oddHBand="0" w:evenHBand="0" w:firstRowFirstColumn="0" w:firstRowLastColumn="0" w:lastRowFirstColumn="0" w:lastRowLastColumn="0"/>
            <w:tcW w:w="3656" w:type="dxa"/>
            <w:noWrap/>
            <w:hideMark/>
          </w:tcPr>
          <w:p w14:paraId="157239D2" w14:textId="77777777" w:rsidR="00CE73A7" w:rsidRPr="00510C58" w:rsidRDefault="00CE73A7" w:rsidP="00F569C7">
            <w:pPr>
              <w:spacing w:line="360" w:lineRule="auto"/>
              <w:jc w:val="left"/>
              <w:rPr>
                <w:color w:val="000000"/>
                <w:lang w:eastAsia="sl-SI"/>
              </w:rPr>
            </w:pPr>
            <w:r w:rsidRPr="00510C58">
              <w:rPr>
                <w:color w:val="000000"/>
                <w:lang w:eastAsia="sl-SI"/>
              </w:rPr>
              <w:t>Malezija</w:t>
            </w:r>
          </w:p>
        </w:tc>
        <w:tc>
          <w:tcPr>
            <w:tcW w:w="1362" w:type="dxa"/>
            <w:noWrap/>
            <w:hideMark/>
          </w:tcPr>
          <w:p w14:paraId="5A20FC1D"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2.151.476</w:t>
            </w:r>
          </w:p>
        </w:tc>
        <w:tc>
          <w:tcPr>
            <w:tcW w:w="1337" w:type="dxa"/>
            <w:noWrap/>
            <w:hideMark/>
          </w:tcPr>
          <w:p w14:paraId="3E74C1AC"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36</w:t>
            </w:r>
          </w:p>
        </w:tc>
        <w:tc>
          <w:tcPr>
            <w:tcW w:w="1362" w:type="dxa"/>
            <w:noWrap/>
            <w:hideMark/>
          </w:tcPr>
          <w:p w14:paraId="2036B4DC"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9.323.273</w:t>
            </w:r>
          </w:p>
        </w:tc>
        <w:tc>
          <w:tcPr>
            <w:tcW w:w="1283" w:type="dxa"/>
            <w:noWrap/>
            <w:hideMark/>
          </w:tcPr>
          <w:p w14:paraId="6DC5196F"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132</w:t>
            </w:r>
          </w:p>
        </w:tc>
      </w:tr>
      <w:tr w:rsidR="00CE73A7" w:rsidRPr="00510C58" w14:paraId="7E0F6E8A" w14:textId="77777777" w:rsidTr="00432301">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656" w:type="dxa"/>
            <w:noWrap/>
            <w:hideMark/>
          </w:tcPr>
          <w:p w14:paraId="35E15F4F" w14:textId="77777777" w:rsidR="00CE73A7" w:rsidRPr="00510C58" w:rsidRDefault="00CE73A7" w:rsidP="00F569C7">
            <w:pPr>
              <w:spacing w:line="360" w:lineRule="auto"/>
              <w:jc w:val="left"/>
              <w:rPr>
                <w:color w:val="000000"/>
                <w:lang w:eastAsia="sl-SI"/>
              </w:rPr>
            </w:pPr>
            <w:r w:rsidRPr="00510C58">
              <w:rPr>
                <w:color w:val="000000"/>
                <w:lang w:eastAsia="sl-SI"/>
              </w:rPr>
              <w:t>Mavricij</w:t>
            </w:r>
          </w:p>
        </w:tc>
        <w:tc>
          <w:tcPr>
            <w:tcW w:w="1362" w:type="dxa"/>
            <w:noWrap/>
            <w:hideMark/>
          </w:tcPr>
          <w:p w14:paraId="221233C4"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2.066.044</w:t>
            </w:r>
          </w:p>
        </w:tc>
        <w:tc>
          <w:tcPr>
            <w:tcW w:w="1337" w:type="dxa"/>
            <w:noWrap/>
            <w:hideMark/>
          </w:tcPr>
          <w:p w14:paraId="2F58A66B"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22</w:t>
            </w:r>
          </w:p>
        </w:tc>
        <w:tc>
          <w:tcPr>
            <w:tcW w:w="1362" w:type="dxa"/>
            <w:noWrap/>
            <w:hideMark/>
          </w:tcPr>
          <w:p w14:paraId="76F523E5"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284.576</w:t>
            </w:r>
          </w:p>
        </w:tc>
        <w:tc>
          <w:tcPr>
            <w:tcW w:w="1283" w:type="dxa"/>
            <w:noWrap/>
            <w:hideMark/>
          </w:tcPr>
          <w:p w14:paraId="356EFDE8"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lang w:eastAsia="sl-SI"/>
              </w:rPr>
            </w:pPr>
            <w:r w:rsidRPr="00510C58">
              <w:rPr>
                <w:rFonts w:ascii="Calibri" w:hAnsi="Calibri" w:cs="Calibri"/>
                <w:color w:val="000000"/>
                <w:sz w:val="22"/>
                <w:lang w:eastAsia="sl-SI"/>
              </w:rPr>
              <w:t>5</w:t>
            </w:r>
          </w:p>
        </w:tc>
      </w:tr>
      <w:tr w:rsidR="00CE73A7" w:rsidRPr="00510C58" w14:paraId="5AE6E659" w14:textId="77777777" w:rsidTr="00432301">
        <w:trPr>
          <w:trHeight w:val="304"/>
        </w:trPr>
        <w:tc>
          <w:tcPr>
            <w:cnfStyle w:val="001000000000" w:firstRow="0" w:lastRow="0" w:firstColumn="1" w:lastColumn="0" w:oddVBand="0" w:evenVBand="0" w:oddHBand="0" w:evenHBand="0" w:firstRowFirstColumn="0" w:firstRowLastColumn="0" w:lastRowFirstColumn="0" w:lastRowLastColumn="0"/>
            <w:tcW w:w="3656" w:type="dxa"/>
            <w:noWrap/>
            <w:hideMark/>
          </w:tcPr>
          <w:p w14:paraId="3110AC5B" w14:textId="77777777" w:rsidR="00CE73A7" w:rsidRPr="00510C58" w:rsidRDefault="00CE73A7" w:rsidP="00F569C7">
            <w:pPr>
              <w:spacing w:line="360" w:lineRule="auto"/>
              <w:jc w:val="left"/>
              <w:rPr>
                <w:color w:val="000000"/>
                <w:lang w:eastAsia="sl-SI"/>
              </w:rPr>
            </w:pPr>
            <w:r w:rsidRPr="00510C58">
              <w:rPr>
                <w:color w:val="000000"/>
                <w:lang w:eastAsia="sl-SI"/>
              </w:rPr>
              <w:t>Katar</w:t>
            </w:r>
          </w:p>
        </w:tc>
        <w:tc>
          <w:tcPr>
            <w:tcW w:w="1362" w:type="dxa"/>
            <w:noWrap/>
            <w:hideMark/>
          </w:tcPr>
          <w:p w14:paraId="67B0DB39"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1.953.954</w:t>
            </w:r>
          </w:p>
        </w:tc>
        <w:tc>
          <w:tcPr>
            <w:tcW w:w="1337" w:type="dxa"/>
            <w:noWrap/>
            <w:hideMark/>
          </w:tcPr>
          <w:p w14:paraId="06D71472"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29</w:t>
            </w:r>
          </w:p>
        </w:tc>
        <w:tc>
          <w:tcPr>
            <w:tcW w:w="1362" w:type="dxa"/>
            <w:noWrap/>
            <w:hideMark/>
          </w:tcPr>
          <w:p w14:paraId="0437FAC3"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276.000</w:t>
            </w:r>
          </w:p>
        </w:tc>
        <w:tc>
          <w:tcPr>
            <w:tcW w:w="1283" w:type="dxa"/>
            <w:noWrap/>
            <w:hideMark/>
          </w:tcPr>
          <w:p w14:paraId="729BB7CB"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3</w:t>
            </w:r>
          </w:p>
        </w:tc>
      </w:tr>
      <w:tr w:rsidR="00CE73A7" w:rsidRPr="00510C58" w14:paraId="380447A6" w14:textId="77777777" w:rsidTr="00432301">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656" w:type="dxa"/>
            <w:noWrap/>
            <w:hideMark/>
          </w:tcPr>
          <w:p w14:paraId="671FCB0F" w14:textId="77777777" w:rsidR="00CE73A7" w:rsidRPr="00510C58" w:rsidRDefault="00CE73A7" w:rsidP="00F569C7">
            <w:pPr>
              <w:spacing w:line="360" w:lineRule="auto"/>
              <w:jc w:val="left"/>
              <w:rPr>
                <w:color w:val="000000"/>
                <w:lang w:eastAsia="sl-SI"/>
              </w:rPr>
            </w:pPr>
            <w:r w:rsidRPr="00510C58">
              <w:rPr>
                <w:color w:val="000000"/>
                <w:lang w:eastAsia="sl-SI"/>
              </w:rPr>
              <w:t>Libanon</w:t>
            </w:r>
          </w:p>
        </w:tc>
        <w:tc>
          <w:tcPr>
            <w:tcW w:w="1362" w:type="dxa"/>
            <w:noWrap/>
            <w:hideMark/>
          </w:tcPr>
          <w:p w14:paraId="49BDD969"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1.456.040</w:t>
            </w:r>
          </w:p>
        </w:tc>
        <w:tc>
          <w:tcPr>
            <w:tcW w:w="1337" w:type="dxa"/>
            <w:noWrap/>
            <w:hideMark/>
          </w:tcPr>
          <w:p w14:paraId="134A7E9E"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13</w:t>
            </w:r>
          </w:p>
        </w:tc>
        <w:tc>
          <w:tcPr>
            <w:tcW w:w="1362" w:type="dxa"/>
            <w:noWrap/>
            <w:hideMark/>
          </w:tcPr>
          <w:p w14:paraId="2BE83556"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2.972.458</w:t>
            </w:r>
          </w:p>
        </w:tc>
        <w:tc>
          <w:tcPr>
            <w:tcW w:w="1283" w:type="dxa"/>
            <w:noWrap/>
            <w:hideMark/>
          </w:tcPr>
          <w:p w14:paraId="0652F817"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24</w:t>
            </w:r>
          </w:p>
        </w:tc>
      </w:tr>
      <w:tr w:rsidR="00CE73A7" w:rsidRPr="00510C58" w14:paraId="6DC17647" w14:textId="77777777" w:rsidTr="00432301">
        <w:trPr>
          <w:trHeight w:val="304"/>
        </w:trPr>
        <w:tc>
          <w:tcPr>
            <w:cnfStyle w:val="001000000000" w:firstRow="0" w:lastRow="0" w:firstColumn="1" w:lastColumn="0" w:oddVBand="0" w:evenVBand="0" w:oddHBand="0" w:evenHBand="0" w:firstRowFirstColumn="0" w:firstRowLastColumn="0" w:lastRowFirstColumn="0" w:lastRowLastColumn="0"/>
            <w:tcW w:w="3656" w:type="dxa"/>
            <w:noWrap/>
            <w:hideMark/>
          </w:tcPr>
          <w:p w14:paraId="173D751D" w14:textId="77777777" w:rsidR="00CE73A7" w:rsidRPr="00510C58" w:rsidRDefault="00CE73A7" w:rsidP="00F569C7">
            <w:pPr>
              <w:spacing w:line="360" w:lineRule="auto"/>
              <w:jc w:val="left"/>
              <w:rPr>
                <w:color w:val="000000"/>
                <w:lang w:eastAsia="sl-SI"/>
              </w:rPr>
            </w:pPr>
            <w:r w:rsidRPr="00510C58">
              <w:rPr>
                <w:color w:val="000000"/>
                <w:lang w:eastAsia="sl-SI"/>
              </w:rPr>
              <w:t>Jordanija</w:t>
            </w:r>
          </w:p>
        </w:tc>
        <w:tc>
          <w:tcPr>
            <w:tcW w:w="1362" w:type="dxa"/>
            <w:noWrap/>
            <w:hideMark/>
          </w:tcPr>
          <w:p w14:paraId="2BC289CA"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1.393.977</w:t>
            </w:r>
          </w:p>
        </w:tc>
        <w:tc>
          <w:tcPr>
            <w:tcW w:w="1337" w:type="dxa"/>
            <w:noWrap/>
            <w:hideMark/>
          </w:tcPr>
          <w:p w14:paraId="612CE352"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12</w:t>
            </w:r>
          </w:p>
        </w:tc>
        <w:tc>
          <w:tcPr>
            <w:tcW w:w="1362" w:type="dxa"/>
            <w:noWrap/>
            <w:hideMark/>
          </w:tcPr>
          <w:p w14:paraId="1219B1EF"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1.490.192</w:t>
            </w:r>
          </w:p>
        </w:tc>
        <w:tc>
          <w:tcPr>
            <w:tcW w:w="1283" w:type="dxa"/>
            <w:noWrap/>
            <w:hideMark/>
          </w:tcPr>
          <w:p w14:paraId="7ECBDBF0"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29</w:t>
            </w:r>
          </w:p>
        </w:tc>
      </w:tr>
      <w:tr w:rsidR="00CE73A7" w:rsidRPr="00510C58" w14:paraId="279EB1F4" w14:textId="77777777" w:rsidTr="00432301">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656" w:type="dxa"/>
            <w:noWrap/>
            <w:hideMark/>
          </w:tcPr>
          <w:p w14:paraId="31E377CE" w14:textId="77777777" w:rsidR="00CE73A7" w:rsidRPr="00510C58" w:rsidRDefault="00CE73A7" w:rsidP="00F569C7">
            <w:pPr>
              <w:spacing w:line="360" w:lineRule="auto"/>
              <w:jc w:val="left"/>
              <w:rPr>
                <w:color w:val="000000"/>
                <w:lang w:eastAsia="sl-SI"/>
              </w:rPr>
            </w:pPr>
            <w:r w:rsidRPr="00510C58">
              <w:rPr>
                <w:color w:val="000000"/>
                <w:lang w:eastAsia="sl-SI"/>
              </w:rPr>
              <w:t>Uganda</w:t>
            </w:r>
          </w:p>
        </w:tc>
        <w:tc>
          <w:tcPr>
            <w:tcW w:w="1362" w:type="dxa"/>
            <w:noWrap/>
            <w:hideMark/>
          </w:tcPr>
          <w:p w14:paraId="7E77F6F8"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1.065.551</w:t>
            </w:r>
          </w:p>
        </w:tc>
        <w:tc>
          <w:tcPr>
            <w:tcW w:w="1337" w:type="dxa"/>
            <w:noWrap/>
            <w:hideMark/>
          </w:tcPr>
          <w:p w14:paraId="5B4A7FD4"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13</w:t>
            </w:r>
          </w:p>
        </w:tc>
        <w:tc>
          <w:tcPr>
            <w:tcW w:w="1362" w:type="dxa"/>
            <w:noWrap/>
            <w:hideMark/>
          </w:tcPr>
          <w:p w14:paraId="5416CC0B"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54.500</w:t>
            </w:r>
          </w:p>
        </w:tc>
        <w:tc>
          <w:tcPr>
            <w:tcW w:w="1283" w:type="dxa"/>
            <w:noWrap/>
            <w:hideMark/>
          </w:tcPr>
          <w:p w14:paraId="099EAEA5" w14:textId="77777777" w:rsidR="00CE73A7" w:rsidRPr="00510C58" w:rsidRDefault="00CE73A7"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510C58">
              <w:rPr>
                <w:color w:val="000000"/>
                <w:lang w:eastAsia="sl-SI"/>
              </w:rPr>
              <w:t>2</w:t>
            </w:r>
          </w:p>
        </w:tc>
      </w:tr>
      <w:tr w:rsidR="00CE73A7" w:rsidRPr="00510C58" w14:paraId="5F688BA8" w14:textId="77777777" w:rsidTr="00432301">
        <w:trPr>
          <w:trHeight w:val="304"/>
        </w:trPr>
        <w:tc>
          <w:tcPr>
            <w:cnfStyle w:val="001000000000" w:firstRow="0" w:lastRow="0" w:firstColumn="1" w:lastColumn="0" w:oddVBand="0" w:evenVBand="0" w:oddHBand="0" w:evenHBand="0" w:firstRowFirstColumn="0" w:firstRowLastColumn="0" w:lastRowFirstColumn="0" w:lastRowLastColumn="0"/>
            <w:tcW w:w="3656" w:type="dxa"/>
            <w:noWrap/>
            <w:hideMark/>
          </w:tcPr>
          <w:p w14:paraId="0E1DB875" w14:textId="77777777" w:rsidR="00CE73A7" w:rsidRPr="00510C58" w:rsidRDefault="00CE73A7" w:rsidP="00F569C7">
            <w:pPr>
              <w:spacing w:line="360" w:lineRule="auto"/>
              <w:jc w:val="left"/>
              <w:rPr>
                <w:color w:val="000000"/>
                <w:lang w:eastAsia="sl-SI"/>
              </w:rPr>
            </w:pPr>
            <w:r w:rsidRPr="00510C58">
              <w:rPr>
                <w:color w:val="000000"/>
                <w:lang w:eastAsia="sl-SI"/>
              </w:rPr>
              <w:t>Kolumbija</w:t>
            </w:r>
          </w:p>
        </w:tc>
        <w:tc>
          <w:tcPr>
            <w:tcW w:w="1362" w:type="dxa"/>
            <w:noWrap/>
            <w:hideMark/>
          </w:tcPr>
          <w:p w14:paraId="253A19AD"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110.007</w:t>
            </w:r>
          </w:p>
        </w:tc>
        <w:tc>
          <w:tcPr>
            <w:tcW w:w="1337" w:type="dxa"/>
            <w:noWrap/>
            <w:hideMark/>
          </w:tcPr>
          <w:p w14:paraId="40F7CC07"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5</w:t>
            </w:r>
          </w:p>
        </w:tc>
        <w:tc>
          <w:tcPr>
            <w:tcW w:w="1362" w:type="dxa"/>
            <w:noWrap/>
            <w:hideMark/>
          </w:tcPr>
          <w:p w14:paraId="7D5AFBA3"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28.625.688</w:t>
            </w:r>
          </w:p>
        </w:tc>
        <w:tc>
          <w:tcPr>
            <w:tcW w:w="1283" w:type="dxa"/>
            <w:noWrap/>
            <w:hideMark/>
          </w:tcPr>
          <w:p w14:paraId="267486EA" w14:textId="77777777" w:rsidR="00CE73A7" w:rsidRPr="00510C58" w:rsidRDefault="00CE73A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510C58">
              <w:rPr>
                <w:color w:val="000000"/>
                <w:lang w:eastAsia="sl-SI"/>
              </w:rPr>
              <w:t>92</w:t>
            </w:r>
          </w:p>
        </w:tc>
      </w:tr>
    </w:tbl>
    <w:p w14:paraId="52EFA7EA" w14:textId="77777777" w:rsidR="00B65A09" w:rsidRDefault="00B65A09" w:rsidP="00B65A09"/>
    <w:p w14:paraId="29AAD59F" w14:textId="47306183" w:rsidR="00FE2EDA" w:rsidRPr="00FE2EDA" w:rsidRDefault="00FE2EDA" w:rsidP="00FE2EDA">
      <w:pPr>
        <w:tabs>
          <w:tab w:val="left" w:pos="-1049"/>
          <w:tab w:val="left" w:pos="-689"/>
          <w:tab w:val="left" w:pos="0"/>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s>
        <w:spacing w:line="276" w:lineRule="auto"/>
        <w:rPr>
          <w:bCs/>
          <w:iCs/>
          <w:color w:val="FF0000"/>
        </w:rPr>
      </w:pPr>
      <w:r w:rsidRPr="00895650">
        <w:rPr>
          <w:bCs/>
          <w:iCs/>
          <w:color w:val="000000" w:themeColor="text1"/>
        </w:rPr>
        <w:t xml:space="preserve">Slaba </w:t>
      </w:r>
      <w:r>
        <w:rPr>
          <w:bCs/>
          <w:iCs/>
          <w:color w:val="000000" w:themeColor="text1"/>
        </w:rPr>
        <w:t>četrtina</w:t>
      </w:r>
      <w:r w:rsidRPr="00895650">
        <w:rPr>
          <w:bCs/>
          <w:iCs/>
          <w:color w:val="000000" w:themeColor="text1"/>
        </w:rPr>
        <w:t xml:space="preserve"> transakcij</w:t>
      </w:r>
      <w:r w:rsidR="00E92156">
        <w:rPr>
          <w:bCs/>
          <w:iCs/>
          <w:color w:val="000000" w:themeColor="text1"/>
        </w:rPr>
        <w:t xml:space="preserve"> oziroma</w:t>
      </w:r>
      <w:r w:rsidRPr="00895650">
        <w:rPr>
          <w:bCs/>
          <w:iCs/>
          <w:color w:val="000000" w:themeColor="text1"/>
        </w:rPr>
        <w:t xml:space="preserve"> 2</w:t>
      </w:r>
      <w:r>
        <w:rPr>
          <w:bCs/>
          <w:iCs/>
          <w:color w:val="000000" w:themeColor="text1"/>
        </w:rPr>
        <w:t>1</w:t>
      </w:r>
      <w:r w:rsidRPr="00895650">
        <w:rPr>
          <w:bCs/>
          <w:iCs/>
          <w:color w:val="000000" w:themeColor="text1"/>
        </w:rPr>
        <w:t xml:space="preserve"> % vseh transakcij pravnim osebam s sedežem v tvegani državi, je </w:t>
      </w:r>
      <w:r w:rsidR="00E92156">
        <w:rPr>
          <w:bCs/>
          <w:iCs/>
          <w:color w:val="000000" w:themeColor="text1"/>
        </w:rPr>
        <w:t>bilo izvršenih</w:t>
      </w:r>
      <w:r w:rsidRPr="00895650">
        <w:rPr>
          <w:bCs/>
          <w:iCs/>
          <w:color w:val="000000" w:themeColor="text1"/>
        </w:rPr>
        <w:t xml:space="preserve"> družbam s sedežem v Ukrajini, kar predstavlja </w:t>
      </w:r>
      <w:r>
        <w:rPr>
          <w:bCs/>
          <w:iCs/>
          <w:color w:val="000000" w:themeColor="text1"/>
        </w:rPr>
        <w:t>dobrih 8</w:t>
      </w:r>
      <w:r w:rsidRPr="00895650">
        <w:rPr>
          <w:bCs/>
          <w:iCs/>
          <w:color w:val="000000" w:themeColor="text1"/>
        </w:rPr>
        <w:t> % celotnega zneska</w:t>
      </w:r>
      <w:r>
        <w:rPr>
          <w:bCs/>
          <w:iCs/>
          <w:color w:val="000000" w:themeColor="text1"/>
        </w:rPr>
        <w:t xml:space="preserve"> v EUR</w:t>
      </w:r>
      <w:r w:rsidRPr="00895650">
        <w:rPr>
          <w:bCs/>
          <w:iCs/>
          <w:color w:val="000000" w:themeColor="text1"/>
        </w:rPr>
        <w:t xml:space="preserve">. </w:t>
      </w:r>
      <w:r w:rsidRPr="00CF5032">
        <w:rPr>
          <w:bCs/>
          <w:iCs/>
          <w:color w:val="000000" w:themeColor="text1"/>
        </w:rPr>
        <w:t xml:space="preserve">V Ukrajino je sredstva nakazalo okoli </w:t>
      </w:r>
      <w:r>
        <w:rPr>
          <w:bCs/>
          <w:iCs/>
          <w:color w:val="000000" w:themeColor="text1"/>
        </w:rPr>
        <w:t>151</w:t>
      </w:r>
      <w:r w:rsidRPr="00CF5032">
        <w:rPr>
          <w:bCs/>
          <w:iCs/>
          <w:color w:val="000000" w:themeColor="text1"/>
        </w:rPr>
        <w:t xml:space="preserve"> domačih družb</w:t>
      </w:r>
      <w:r>
        <w:rPr>
          <w:bCs/>
          <w:iCs/>
          <w:color w:val="000000" w:themeColor="text1"/>
        </w:rPr>
        <w:t xml:space="preserve">, večina z namenom, ki se nanaša na plačila računov oziroma plačila na podlagi pogodbenih dogovorov. </w:t>
      </w:r>
    </w:p>
    <w:p w14:paraId="648C438D" w14:textId="44913C73" w:rsidR="00845B81" w:rsidRDefault="00FE2EDA" w:rsidP="00FE2EDA">
      <w:pPr>
        <w:tabs>
          <w:tab w:val="left" w:pos="-1049"/>
          <w:tab w:val="left" w:pos="-689"/>
          <w:tab w:val="left" w:pos="0"/>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s>
        <w:spacing w:line="276" w:lineRule="auto"/>
        <w:rPr>
          <w:bCs/>
          <w:iCs/>
          <w:color w:val="FF0000"/>
        </w:rPr>
      </w:pPr>
      <w:r w:rsidRPr="008B1E75">
        <w:rPr>
          <w:bCs/>
          <w:iCs/>
          <w:color w:val="000000" w:themeColor="text1"/>
        </w:rPr>
        <w:t xml:space="preserve">Med preostalimi nakazili družbam, ki imajo sedež v tveganih državah, po skupnem znesku nakazil izstopajo še nakazila prejemnikom iz države Belize v višini </w:t>
      </w:r>
      <w:r>
        <w:rPr>
          <w:bCs/>
          <w:iCs/>
          <w:color w:val="000000" w:themeColor="text1"/>
        </w:rPr>
        <w:t>19</w:t>
      </w:r>
      <w:r w:rsidRPr="008B1E75">
        <w:rPr>
          <w:bCs/>
          <w:iCs/>
          <w:color w:val="000000" w:themeColor="text1"/>
        </w:rPr>
        <w:t xml:space="preserve"> % celotnega zneska v EUR, kamor je</w:t>
      </w:r>
      <w:r>
        <w:rPr>
          <w:bCs/>
          <w:iCs/>
          <w:color w:val="000000" w:themeColor="text1"/>
        </w:rPr>
        <w:t xml:space="preserve"> večino</w:t>
      </w:r>
      <w:r w:rsidRPr="008B1E75">
        <w:rPr>
          <w:bCs/>
          <w:iCs/>
          <w:color w:val="000000" w:themeColor="text1"/>
        </w:rPr>
        <w:t xml:space="preserve"> nakazil</w:t>
      </w:r>
      <w:r>
        <w:rPr>
          <w:bCs/>
          <w:iCs/>
          <w:color w:val="000000" w:themeColor="text1"/>
        </w:rPr>
        <w:t xml:space="preserve"> izvršila</w:t>
      </w:r>
      <w:r w:rsidRPr="008B1E75">
        <w:rPr>
          <w:bCs/>
          <w:iCs/>
          <w:color w:val="000000" w:themeColor="text1"/>
        </w:rPr>
        <w:t xml:space="preserve"> tuja družba, ki se ukvarja z virtualnimi valutami.</w:t>
      </w:r>
      <w:r w:rsidRPr="008A7379">
        <w:rPr>
          <w:bCs/>
          <w:iCs/>
          <w:color w:val="FF0000"/>
        </w:rPr>
        <w:t xml:space="preserve"> </w:t>
      </w:r>
      <w:r w:rsidRPr="0022068F">
        <w:rPr>
          <w:bCs/>
          <w:iCs/>
          <w:color w:val="000000" w:themeColor="text1"/>
        </w:rPr>
        <w:t xml:space="preserve">Po deležu celotnega zneska nakazil v tvegane države izstopajo še nakazila prejemnikom iz Albanije, kamor je bilo nakazanih </w:t>
      </w:r>
      <w:r>
        <w:rPr>
          <w:bCs/>
          <w:iCs/>
          <w:color w:val="000000" w:themeColor="text1"/>
        </w:rPr>
        <w:t>dobrih</w:t>
      </w:r>
      <w:r w:rsidRPr="0022068F">
        <w:rPr>
          <w:bCs/>
          <w:iCs/>
          <w:color w:val="000000" w:themeColor="text1"/>
        </w:rPr>
        <w:t xml:space="preserve"> </w:t>
      </w:r>
      <w:r>
        <w:rPr>
          <w:bCs/>
          <w:iCs/>
          <w:color w:val="000000" w:themeColor="text1"/>
        </w:rPr>
        <w:t>8</w:t>
      </w:r>
      <w:r w:rsidRPr="0022068F">
        <w:rPr>
          <w:bCs/>
          <w:iCs/>
          <w:color w:val="000000" w:themeColor="text1"/>
        </w:rPr>
        <w:t> % nakazil, večino njih pa so izvedle slovenske družbe, ki trgujejo z energenti.</w:t>
      </w:r>
      <w:r>
        <w:rPr>
          <w:bCs/>
          <w:iCs/>
          <w:color w:val="000000" w:themeColor="text1"/>
        </w:rPr>
        <w:t xml:space="preserve"> Prav tako po deležu celotnega zneska izstopajo nakazila prejemnikom iz Kolumbije v višini dobrih 28 %, ki pa so jih opravile slovenske družbe, ki se ukvarjajo s trgovanjem s sadjem in zelenjavo.</w:t>
      </w:r>
    </w:p>
    <w:p w14:paraId="12C8EF7B" w14:textId="77777777" w:rsidR="00E92156" w:rsidRPr="00FE2EDA" w:rsidRDefault="00E92156" w:rsidP="00640368">
      <w:pPr>
        <w:pStyle w:val="Kazalovsebine1"/>
      </w:pPr>
    </w:p>
    <w:p w14:paraId="7628DEA7" w14:textId="7FF32B7F" w:rsidR="00B65A09" w:rsidRDefault="00B65A09" w:rsidP="00B65A09">
      <w:pPr>
        <w:pStyle w:val="Naslov3"/>
      </w:pPr>
      <w:bookmarkStart w:id="8" w:name="_Toc119581680"/>
      <w:r>
        <w:t>Nakazila na račune tujih pravnih oseb na račune, odprte v tveganih državah</w:t>
      </w:r>
      <w:bookmarkEnd w:id="8"/>
    </w:p>
    <w:p w14:paraId="18F29BA4" w14:textId="77777777" w:rsidR="00B65A09" w:rsidRDefault="00B65A09" w:rsidP="00B65A09"/>
    <w:p w14:paraId="67DED2C4" w14:textId="713B6449" w:rsidR="00B479B0" w:rsidRPr="005C3E99" w:rsidRDefault="00FE2EDA" w:rsidP="005C3E99">
      <w:pPr>
        <w:rPr>
          <w:bCs/>
          <w:color w:val="000000" w:themeColor="text1"/>
        </w:rPr>
      </w:pPr>
      <w:r w:rsidRPr="00A466A6">
        <w:rPr>
          <w:bCs/>
          <w:color w:val="000000" w:themeColor="text1"/>
        </w:rPr>
        <w:t xml:space="preserve">Družbam z odprtimi bančnimi računi v tveganih državah je bilo v letu 2021 nakazanih skupno </w:t>
      </w:r>
      <w:r>
        <w:rPr>
          <w:b/>
          <w:color w:val="000000" w:themeColor="text1"/>
        </w:rPr>
        <w:t>3</w:t>
      </w:r>
      <w:r w:rsidRPr="00A466A6">
        <w:rPr>
          <w:b/>
          <w:color w:val="000000" w:themeColor="text1"/>
        </w:rPr>
        <w:t>.</w:t>
      </w:r>
      <w:r>
        <w:rPr>
          <w:b/>
          <w:color w:val="000000" w:themeColor="text1"/>
        </w:rPr>
        <w:t>795</w:t>
      </w:r>
      <w:r w:rsidRPr="00A466A6">
        <w:rPr>
          <w:b/>
          <w:color w:val="000000" w:themeColor="text1"/>
        </w:rPr>
        <w:t xml:space="preserve"> transakcij, od tega v valuti evro </w:t>
      </w:r>
      <w:r>
        <w:rPr>
          <w:b/>
          <w:bCs/>
          <w:color w:val="000000" w:themeColor="text1"/>
          <w:lang w:eastAsia="sl-SI"/>
        </w:rPr>
        <w:t>3</w:t>
      </w:r>
      <w:r w:rsidRPr="00A466A6">
        <w:rPr>
          <w:b/>
          <w:bCs/>
          <w:color w:val="000000" w:themeColor="text1"/>
          <w:lang w:eastAsia="sl-SI"/>
        </w:rPr>
        <w:t>.</w:t>
      </w:r>
      <w:r>
        <w:rPr>
          <w:b/>
          <w:bCs/>
          <w:color w:val="000000" w:themeColor="text1"/>
          <w:lang w:eastAsia="sl-SI"/>
        </w:rPr>
        <w:t>096</w:t>
      </w:r>
      <w:r w:rsidRPr="00A466A6">
        <w:rPr>
          <w:b/>
          <w:bCs/>
          <w:color w:val="000000" w:themeColor="text1"/>
          <w:lang w:eastAsia="sl-SI"/>
        </w:rPr>
        <w:t xml:space="preserve"> </w:t>
      </w:r>
      <w:r w:rsidRPr="00A466A6">
        <w:rPr>
          <w:b/>
          <w:color w:val="000000" w:themeColor="text1"/>
        </w:rPr>
        <w:t xml:space="preserve">transakcij v skupnem znesku </w:t>
      </w:r>
      <w:r>
        <w:rPr>
          <w:b/>
          <w:color w:val="000000" w:themeColor="text1"/>
        </w:rPr>
        <w:t>426.104.611</w:t>
      </w:r>
      <w:r w:rsidRPr="00A466A6">
        <w:rPr>
          <w:b/>
          <w:bCs/>
          <w:color w:val="000000" w:themeColor="text1"/>
          <w:lang w:eastAsia="sl-SI"/>
        </w:rPr>
        <w:t xml:space="preserve"> </w:t>
      </w:r>
      <w:r w:rsidRPr="00A466A6">
        <w:rPr>
          <w:b/>
          <w:color w:val="000000" w:themeColor="text1"/>
        </w:rPr>
        <w:t xml:space="preserve">EUR in v valuti ameriški dolar </w:t>
      </w:r>
      <w:r>
        <w:rPr>
          <w:b/>
          <w:color w:val="000000" w:themeColor="text1"/>
        </w:rPr>
        <w:t>699</w:t>
      </w:r>
      <w:r w:rsidRPr="00A466A6">
        <w:rPr>
          <w:b/>
          <w:color w:val="000000" w:themeColor="text1"/>
        </w:rPr>
        <w:t xml:space="preserve"> transakcij v skupnem znesku </w:t>
      </w:r>
      <w:r>
        <w:rPr>
          <w:b/>
          <w:color w:val="000000" w:themeColor="text1"/>
        </w:rPr>
        <w:t>53.656.481</w:t>
      </w:r>
      <w:r w:rsidRPr="00A466A6">
        <w:rPr>
          <w:b/>
          <w:bCs/>
          <w:color w:val="000000" w:themeColor="text1"/>
          <w:lang w:eastAsia="sl-SI"/>
        </w:rPr>
        <w:t xml:space="preserve"> </w:t>
      </w:r>
      <w:r w:rsidRPr="00A466A6">
        <w:rPr>
          <w:b/>
          <w:color w:val="000000" w:themeColor="text1"/>
        </w:rPr>
        <w:t>USD.</w:t>
      </w:r>
      <w:r w:rsidRPr="00A466A6">
        <w:rPr>
          <w:bCs/>
          <w:color w:val="000000" w:themeColor="text1"/>
        </w:rPr>
        <w:t xml:space="preserve"> V spodnji preglednici prikazujemo seznam tveganih držav, v katerih imajo družbe prejemnice odprte bančne račune, in sicer samo tiste države, v katerih so družbe prejele skupno več kot 10 mio. EUR ali več kot 50 nakazil.</w:t>
      </w:r>
    </w:p>
    <w:p w14:paraId="7B4549C0" w14:textId="77777777" w:rsidR="00B479B0" w:rsidRPr="00424274" w:rsidRDefault="00B479B0" w:rsidP="005A0CAB">
      <w:pPr>
        <w:spacing w:line="276" w:lineRule="auto"/>
        <w:rPr>
          <w:bCs/>
        </w:rPr>
      </w:pPr>
    </w:p>
    <w:p w14:paraId="73BD8BFB" w14:textId="77777777" w:rsidR="00FE2EDA" w:rsidRPr="00D22B13" w:rsidRDefault="00FE2EDA" w:rsidP="00D22B13">
      <w:pPr>
        <w:spacing w:line="276" w:lineRule="auto"/>
        <w:ind w:left="1418" w:right="-22" w:hanging="1418"/>
        <w:rPr>
          <w:b/>
          <w:bCs/>
          <w:i/>
          <w:iCs/>
          <w:sz w:val="18"/>
          <w:szCs w:val="18"/>
        </w:rPr>
      </w:pPr>
      <w:r w:rsidRPr="00D22B13">
        <w:rPr>
          <w:b/>
          <w:bCs/>
          <w:i/>
          <w:iCs/>
          <w:sz w:val="18"/>
          <w:szCs w:val="18"/>
        </w:rPr>
        <w:t xml:space="preserve">Preglednica 3: </w:t>
      </w:r>
      <w:r w:rsidRPr="00D22B13">
        <w:rPr>
          <w:b/>
          <w:bCs/>
          <w:i/>
          <w:iCs/>
          <w:sz w:val="18"/>
          <w:szCs w:val="18"/>
        </w:rPr>
        <w:tab/>
        <w:t>Nakazila nad 15.000 EUR tujim podjetjem na račune v tvegane države od 1. 1. 2021 do 31. 12. 2021 v EUR in USD</w:t>
      </w:r>
    </w:p>
    <w:tbl>
      <w:tblPr>
        <w:tblStyle w:val="Tabelatemnamrea5poudarek5"/>
        <w:tblW w:w="8940" w:type="dxa"/>
        <w:tblLook w:val="04A0" w:firstRow="1" w:lastRow="0" w:firstColumn="1" w:lastColumn="0" w:noHBand="0" w:noVBand="1"/>
      </w:tblPr>
      <w:tblGrid>
        <w:gridCol w:w="2704"/>
        <w:gridCol w:w="1568"/>
        <w:gridCol w:w="1488"/>
        <w:gridCol w:w="1454"/>
        <w:gridCol w:w="1726"/>
      </w:tblGrid>
      <w:tr w:rsidR="00A9101E" w:rsidRPr="00A9101E" w14:paraId="0AE7C435" w14:textId="77777777" w:rsidTr="00947066">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704" w:type="dxa"/>
            <w:noWrap/>
            <w:hideMark/>
          </w:tcPr>
          <w:p w14:paraId="5FFC9F84" w14:textId="77777777" w:rsidR="00FE2EDA" w:rsidRPr="00A9101E" w:rsidRDefault="00FE2EDA" w:rsidP="00F569C7">
            <w:pPr>
              <w:spacing w:line="360" w:lineRule="auto"/>
              <w:jc w:val="left"/>
              <w:rPr>
                <w:color w:val="auto"/>
                <w:lang w:eastAsia="sl-SI"/>
              </w:rPr>
            </w:pPr>
            <w:r w:rsidRPr="00A9101E">
              <w:rPr>
                <w:color w:val="auto"/>
                <w:lang w:eastAsia="sl-SI"/>
              </w:rPr>
              <w:t>NAKAZILO V DRŽAVO</w:t>
            </w:r>
          </w:p>
        </w:tc>
        <w:tc>
          <w:tcPr>
            <w:tcW w:w="1568" w:type="dxa"/>
            <w:noWrap/>
            <w:hideMark/>
          </w:tcPr>
          <w:p w14:paraId="79806B15" w14:textId="029C3159" w:rsidR="00FE2EDA" w:rsidRPr="00A9101E" w:rsidRDefault="00FE2EDA" w:rsidP="00F569C7">
            <w:pPr>
              <w:spacing w:line="360" w:lineRule="auto"/>
              <w:jc w:val="left"/>
              <w:cnfStyle w:val="100000000000" w:firstRow="1" w:lastRow="0" w:firstColumn="0" w:lastColumn="0" w:oddVBand="0" w:evenVBand="0" w:oddHBand="0" w:evenHBand="0" w:firstRowFirstColumn="0" w:firstRowLastColumn="0" w:lastRowFirstColumn="0" w:lastRowLastColumn="0"/>
              <w:rPr>
                <w:color w:val="auto"/>
                <w:lang w:eastAsia="sl-SI"/>
              </w:rPr>
            </w:pPr>
            <w:r w:rsidRPr="00A9101E">
              <w:rPr>
                <w:color w:val="auto"/>
                <w:lang w:eastAsia="sl-SI"/>
              </w:rPr>
              <w:t>Znesek</w:t>
            </w:r>
            <w:r w:rsidR="00947066" w:rsidRPr="00A9101E">
              <w:rPr>
                <w:color w:val="auto"/>
                <w:lang w:eastAsia="sl-SI"/>
              </w:rPr>
              <w:t xml:space="preserve"> EUR</w:t>
            </w:r>
          </w:p>
        </w:tc>
        <w:tc>
          <w:tcPr>
            <w:tcW w:w="1488" w:type="dxa"/>
            <w:hideMark/>
          </w:tcPr>
          <w:p w14:paraId="4E99068E" w14:textId="77777777" w:rsidR="00FE2EDA" w:rsidRPr="00A9101E" w:rsidRDefault="00FE2EDA" w:rsidP="00F569C7">
            <w:pPr>
              <w:spacing w:line="360" w:lineRule="auto"/>
              <w:jc w:val="left"/>
              <w:cnfStyle w:val="100000000000" w:firstRow="1" w:lastRow="0" w:firstColumn="0" w:lastColumn="0" w:oddVBand="0" w:evenVBand="0" w:oddHBand="0" w:evenHBand="0" w:firstRowFirstColumn="0" w:firstRowLastColumn="0" w:lastRowFirstColumn="0" w:lastRowLastColumn="0"/>
              <w:rPr>
                <w:color w:val="auto"/>
                <w:lang w:eastAsia="sl-SI"/>
              </w:rPr>
            </w:pPr>
            <w:r w:rsidRPr="00A9101E">
              <w:rPr>
                <w:color w:val="auto"/>
                <w:lang w:eastAsia="sl-SI"/>
              </w:rPr>
              <w:t>Število transakcij</w:t>
            </w:r>
          </w:p>
        </w:tc>
        <w:tc>
          <w:tcPr>
            <w:tcW w:w="1454" w:type="dxa"/>
            <w:noWrap/>
            <w:hideMark/>
          </w:tcPr>
          <w:p w14:paraId="5F9D4E39" w14:textId="6045FA4A" w:rsidR="00FE2EDA" w:rsidRPr="00A9101E" w:rsidRDefault="00FE2EDA" w:rsidP="00F569C7">
            <w:pPr>
              <w:spacing w:line="360" w:lineRule="auto"/>
              <w:jc w:val="left"/>
              <w:cnfStyle w:val="100000000000" w:firstRow="1" w:lastRow="0" w:firstColumn="0" w:lastColumn="0" w:oddVBand="0" w:evenVBand="0" w:oddHBand="0" w:evenHBand="0" w:firstRowFirstColumn="0" w:firstRowLastColumn="0" w:lastRowFirstColumn="0" w:lastRowLastColumn="0"/>
              <w:rPr>
                <w:color w:val="auto"/>
                <w:lang w:eastAsia="sl-SI"/>
              </w:rPr>
            </w:pPr>
            <w:r w:rsidRPr="00A9101E">
              <w:rPr>
                <w:color w:val="auto"/>
                <w:lang w:eastAsia="sl-SI"/>
              </w:rPr>
              <w:t>Znesek</w:t>
            </w:r>
            <w:r w:rsidR="00947066" w:rsidRPr="00A9101E">
              <w:rPr>
                <w:color w:val="auto"/>
                <w:lang w:eastAsia="sl-SI"/>
              </w:rPr>
              <w:t xml:space="preserve"> USD</w:t>
            </w:r>
          </w:p>
        </w:tc>
        <w:tc>
          <w:tcPr>
            <w:tcW w:w="1726" w:type="dxa"/>
            <w:hideMark/>
          </w:tcPr>
          <w:p w14:paraId="30CEDC57" w14:textId="77777777" w:rsidR="00FE2EDA" w:rsidRPr="00A9101E" w:rsidRDefault="00FE2EDA" w:rsidP="00F569C7">
            <w:pPr>
              <w:spacing w:line="360" w:lineRule="auto"/>
              <w:jc w:val="left"/>
              <w:cnfStyle w:val="100000000000" w:firstRow="1" w:lastRow="0" w:firstColumn="0" w:lastColumn="0" w:oddVBand="0" w:evenVBand="0" w:oddHBand="0" w:evenHBand="0" w:firstRowFirstColumn="0" w:firstRowLastColumn="0" w:lastRowFirstColumn="0" w:lastRowLastColumn="0"/>
              <w:rPr>
                <w:color w:val="auto"/>
                <w:lang w:eastAsia="sl-SI"/>
              </w:rPr>
            </w:pPr>
            <w:r w:rsidRPr="00A9101E">
              <w:rPr>
                <w:color w:val="auto"/>
                <w:lang w:eastAsia="sl-SI"/>
              </w:rPr>
              <w:t>Število transakcij</w:t>
            </w:r>
          </w:p>
        </w:tc>
      </w:tr>
      <w:tr w:rsidR="00FE2EDA" w:rsidRPr="0097213B" w14:paraId="06A70D4F" w14:textId="77777777" w:rsidTr="00947066">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704" w:type="dxa"/>
            <w:noWrap/>
            <w:hideMark/>
          </w:tcPr>
          <w:p w14:paraId="785EED7B" w14:textId="77777777" w:rsidR="00FE2EDA" w:rsidRPr="0097213B" w:rsidRDefault="00FE2EDA" w:rsidP="00F569C7">
            <w:pPr>
              <w:spacing w:line="360" w:lineRule="auto"/>
              <w:jc w:val="left"/>
              <w:rPr>
                <w:color w:val="000000"/>
                <w:lang w:eastAsia="sl-SI"/>
              </w:rPr>
            </w:pPr>
            <w:r w:rsidRPr="0097213B">
              <w:rPr>
                <w:color w:val="000000"/>
                <w:lang w:eastAsia="sl-SI"/>
              </w:rPr>
              <w:t>Liechtenstein</w:t>
            </w:r>
          </w:p>
        </w:tc>
        <w:tc>
          <w:tcPr>
            <w:tcW w:w="1568" w:type="dxa"/>
            <w:noWrap/>
            <w:hideMark/>
          </w:tcPr>
          <w:p w14:paraId="6CC98BC8" w14:textId="77777777" w:rsidR="00FE2EDA" w:rsidRPr="0097213B" w:rsidRDefault="00FE2EDA"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97213B">
              <w:rPr>
                <w:color w:val="000000"/>
                <w:lang w:eastAsia="sl-SI"/>
              </w:rPr>
              <w:t>172.688.535</w:t>
            </w:r>
          </w:p>
        </w:tc>
        <w:tc>
          <w:tcPr>
            <w:tcW w:w="1488" w:type="dxa"/>
            <w:noWrap/>
            <w:hideMark/>
          </w:tcPr>
          <w:p w14:paraId="0B045A7D" w14:textId="77777777" w:rsidR="00FE2EDA" w:rsidRPr="0097213B" w:rsidRDefault="00FE2EDA"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97213B">
              <w:rPr>
                <w:color w:val="000000"/>
                <w:lang w:eastAsia="sl-SI"/>
              </w:rPr>
              <w:t>422</w:t>
            </w:r>
          </w:p>
        </w:tc>
        <w:tc>
          <w:tcPr>
            <w:tcW w:w="1454" w:type="dxa"/>
            <w:noWrap/>
            <w:hideMark/>
          </w:tcPr>
          <w:p w14:paraId="4110375D" w14:textId="7E70D0CF" w:rsidR="00FE2EDA" w:rsidRPr="0097213B" w:rsidRDefault="00FE2EDA" w:rsidP="00F569C7">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lang w:eastAsia="sl-SI"/>
              </w:rPr>
            </w:pPr>
            <w:r w:rsidRPr="0097213B">
              <w:rPr>
                <w:rFonts w:cs="Times New Roman"/>
                <w:color w:val="000000"/>
                <w:lang w:eastAsia="sl-SI"/>
              </w:rPr>
              <w:t> </w:t>
            </w:r>
            <w:r w:rsidR="00F66AC7">
              <w:rPr>
                <w:rFonts w:cs="Times New Roman"/>
                <w:color w:val="000000"/>
                <w:lang w:eastAsia="sl-SI"/>
              </w:rPr>
              <w:t>0</w:t>
            </w:r>
          </w:p>
        </w:tc>
        <w:tc>
          <w:tcPr>
            <w:tcW w:w="1726" w:type="dxa"/>
            <w:noWrap/>
            <w:hideMark/>
          </w:tcPr>
          <w:p w14:paraId="2628CF57" w14:textId="49079793" w:rsidR="00FE2EDA" w:rsidRPr="0097213B" w:rsidRDefault="00FE2EDA" w:rsidP="00F569C7">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00000"/>
                <w:lang w:eastAsia="sl-SI"/>
              </w:rPr>
            </w:pPr>
            <w:r w:rsidRPr="0097213B">
              <w:rPr>
                <w:rFonts w:cs="Times New Roman"/>
                <w:color w:val="000000"/>
                <w:lang w:eastAsia="sl-SI"/>
              </w:rPr>
              <w:t> </w:t>
            </w:r>
            <w:r w:rsidR="00F66AC7">
              <w:rPr>
                <w:rFonts w:cs="Times New Roman"/>
                <w:color w:val="000000"/>
                <w:lang w:eastAsia="sl-SI"/>
              </w:rPr>
              <w:t>0</w:t>
            </w:r>
          </w:p>
        </w:tc>
      </w:tr>
      <w:tr w:rsidR="00FE2EDA" w:rsidRPr="0097213B" w14:paraId="6DB74688" w14:textId="77777777" w:rsidTr="00947066">
        <w:trPr>
          <w:trHeight w:val="310"/>
        </w:trPr>
        <w:tc>
          <w:tcPr>
            <w:cnfStyle w:val="001000000000" w:firstRow="0" w:lastRow="0" w:firstColumn="1" w:lastColumn="0" w:oddVBand="0" w:evenVBand="0" w:oddHBand="0" w:evenHBand="0" w:firstRowFirstColumn="0" w:firstRowLastColumn="0" w:lastRowFirstColumn="0" w:lastRowLastColumn="0"/>
            <w:tcW w:w="2704" w:type="dxa"/>
            <w:noWrap/>
            <w:hideMark/>
          </w:tcPr>
          <w:p w14:paraId="51B634DD" w14:textId="77777777" w:rsidR="00FE2EDA" w:rsidRPr="0097213B" w:rsidRDefault="00FE2EDA" w:rsidP="00F569C7">
            <w:pPr>
              <w:spacing w:line="360" w:lineRule="auto"/>
              <w:jc w:val="left"/>
              <w:rPr>
                <w:color w:val="000000"/>
                <w:lang w:eastAsia="sl-SI"/>
              </w:rPr>
            </w:pPr>
            <w:r w:rsidRPr="0097213B">
              <w:rPr>
                <w:color w:val="000000"/>
                <w:lang w:eastAsia="sl-SI"/>
              </w:rPr>
              <w:t>Ukrajina</w:t>
            </w:r>
          </w:p>
        </w:tc>
        <w:tc>
          <w:tcPr>
            <w:tcW w:w="1568" w:type="dxa"/>
            <w:noWrap/>
            <w:hideMark/>
          </w:tcPr>
          <w:p w14:paraId="5616DFB8" w14:textId="77777777" w:rsidR="00FE2EDA" w:rsidRPr="0097213B" w:rsidRDefault="00FE2EDA"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97213B">
              <w:rPr>
                <w:color w:val="000000"/>
                <w:lang w:eastAsia="sl-SI"/>
              </w:rPr>
              <w:t>45.610.914</w:t>
            </w:r>
          </w:p>
        </w:tc>
        <w:tc>
          <w:tcPr>
            <w:tcW w:w="1488" w:type="dxa"/>
            <w:noWrap/>
            <w:hideMark/>
          </w:tcPr>
          <w:p w14:paraId="46918317" w14:textId="77777777" w:rsidR="00FE2EDA" w:rsidRPr="0097213B" w:rsidRDefault="00FE2EDA"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97213B">
              <w:rPr>
                <w:color w:val="000000"/>
                <w:lang w:eastAsia="sl-SI"/>
              </w:rPr>
              <w:t>779</w:t>
            </w:r>
          </w:p>
        </w:tc>
        <w:tc>
          <w:tcPr>
            <w:tcW w:w="1454" w:type="dxa"/>
            <w:noWrap/>
            <w:hideMark/>
          </w:tcPr>
          <w:p w14:paraId="575EDCC0" w14:textId="77777777" w:rsidR="00FE2EDA" w:rsidRPr="0097213B" w:rsidRDefault="00FE2EDA"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97213B">
              <w:rPr>
                <w:color w:val="000000"/>
                <w:lang w:eastAsia="sl-SI"/>
              </w:rPr>
              <w:t>2.062.450</w:t>
            </w:r>
          </w:p>
        </w:tc>
        <w:tc>
          <w:tcPr>
            <w:tcW w:w="1726" w:type="dxa"/>
            <w:noWrap/>
            <w:hideMark/>
          </w:tcPr>
          <w:p w14:paraId="6D4791F5" w14:textId="77777777" w:rsidR="00FE2EDA" w:rsidRPr="0097213B" w:rsidRDefault="00FE2EDA"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97213B">
              <w:rPr>
                <w:color w:val="000000"/>
                <w:lang w:eastAsia="sl-SI"/>
              </w:rPr>
              <w:t>37</w:t>
            </w:r>
          </w:p>
        </w:tc>
      </w:tr>
      <w:tr w:rsidR="00FE2EDA" w:rsidRPr="0097213B" w14:paraId="1A9DBE89" w14:textId="77777777" w:rsidTr="00947066">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704" w:type="dxa"/>
            <w:noWrap/>
            <w:hideMark/>
          </w:tcPr>
          <w:p w14:paraId="2B19CA37" w14:textId="77777777" w:rsidR="00FE2EDA" w:rsidRPr="0097213B" w:rsidRDefault="00FE2EDA" w:rsidP="00F569C7">
            <w:pPr>
              <w:spacing w:line="360" w:lineRule="auto"/>
              <w:jc w:val="left"/>
              <w:rPr>
                <w:color w:val="000000"/>
                <w:lang w:eastAsia="sl-SI"/>
              </w:rPr>
            </w:pPr>
            <w:r w:rsidRPr="0097213B">
              <w:rPr>
                <w:color w:val="000000"/>
                <w:lang w:eastAsia="sl-SI"/>
              </w:rPr>
              <w:t>Albanija</w:t>
            </w:r>
          </w:p>
        </w:tc>
        <w:tc>
          <w:tcPr>
            <w:tcW w:w="1568" w:type="dxa"/>
            <w:noWrap/>
            <w:hideMark/>
          </w:tcPr>
          <w:p w14:paraId="176F6EBC" w14:textId="77777777" w:rsidR="00FE2EDA" w:rsidRPr="0097213B" w:rsidRDefault="00FE2EDA"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97213B">
              <w:rPr>
                <w:color w:val="000000"/>
                <w:lang w:eastAsia="sl-SI"/>
              </w:rPr>
              <w:t>39.489.526</w:t>
            </w:r>
          </w:p>
        </w:tc>
        <w:tc>
          <w:tcPr>
            <w:tcW w:w="1488" w:type="dxa"/>
            <w:noWrap/>
            <w:hideMark/>
          </w:tcPr>
          <w:p w14:paraId="28F7D21A" w14:textId="77777777" w:rsidR="00FE2EDA" w:rsidRPr="0097213B" w:rsidRDefault="00FE2EDA"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97213B">
              <w:rPr>
                <w:color w:val="000000"/>
                <w:lang w:eastAsia="sl-SI"/>
              </w:rPr>
              <w:t>230</w:t>
            </w:r>
          </w:p>
        </w:tc>
        <w:tc>
          <w:tcPr>
            <w:tcW w:w="1454" w:type="dxa"/>
            <w:noWrap/>
            <w:hideMark/>
          </w:tcPr>
          <w:p w14:paraId="464404F0" w14:textId="77777777" w:rsidR="00FE2EDA" w:rsidRPr="0097213B" w:rsidRDefault="00FE2EDA"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97213B">
              <w:rPr>
                <w:color w:val="000000"/>
                <w:lang w:eastAsia="sl-SI"/>
              </w:rPr>
              <w:t>193.221</w:t>
            </w:r>
          </w:p>
        </w:tc>
        <w:tc>
          <w:tcPr>
            <w:tcW w:w="1726" w:type="dxa"/>
            <w:noWrap/>
            <w:hideMark/>
          </w:tcPr>
          <w:p w14:paraId="3A7E4EB1" w14:textId="77777777" w:rsidR="00FE2EDA" w:rsidRPr="0097213B" w:rsidRDefault="00FE2EDA"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97213B">
              <w:rPr>
                <w:color w:val="000000"/>
                <w:lang w:eastAsia="sl-SI"/>
              </w:rPr>
              <w:t>5</w:t>
            </w:r>
          </w:p>
        </w:tc>
      </w:tr>
      <w:tr w:rsidR="00FE2EDA" w:rsidRPr="0097213B" w14:paraId="16719B6F" w14:textId="77777777" w:rsidTr="00947066">
        <w:trPr>
          <w:trHeight w:val="310"/>
        </w:trPr>
        <w:tc>
          <w:tcPr>
            <w:cnfStyle w:val="001000000000" w:firstRow="0" w:lastRow="0" w:firstColumn="1" w:lastColumn="0" w:oddVBand="0" w:evenVBand="0" w:oddHBand="0" w:evenHBand="0" w:firstRowFirstColumn="0" w:firstRowLastColumn="0" w:lastRowFirstColumn="0" w:lastRowLastColumn="0"/>
            <w:tcW w:w="2704" w:type="dxa"/>
            <w:noWrap/>
            <w:hideMark/>
          </w:tcPr>
          <w:p w14:paraId="30A34644" w14:textId="77777777" w:rsidR="00FE2EDA" w:rsidRPr="0097213B" w:rsidRDefault="00FE2EDA" w:rsidP="00F569C7">
            <w:pPr>
              <w:spacing w:line="360" w:lineRule="auto"/>
              <w:jc w:val="left"/>
              <w:rPr>
                <w:color w:val="000000"/>
                <w:lang w:eastAsia="sl-SI"/>
              </w:rPr>
            </w:pPr>
            <w:r w:rsidRPr="0097213B">
              <w:rPr>
                <w:color w:val="000000"/>
                <w:lang w:eastAsia="sl-SI"/>
              </w:rPr>
              <w:t>Egipt</w:t>
            </w:r>
          </w:p>
        </w:tc>
        <w:tc>
          <w:tcPr>
            <w:tcW w:w="1568" w:type="dxa"/>
            <w:noWrap/>
            <w:hideMark/>
          </w:tcPr>
          <w:p w14:paraId="02CB76E6" w14:textId="77777777" w:rsidR="00FE2EDA" w:rsidRPr="0097213B" w:rsidRDefault="00FE2EDA"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97213B">
              <w:rPr>
                <w:color w:val="000000"/>
                <w:lang w:eastAsia="sl-SI"/>
              </w:rPr>
              <w:t>32.900.780</w:t>
            </w:r>
          </w:p>
        </w:tc>
        <w:tc>
          <w:tcPr>
            <w:tcW w:w="1488" w:type="dxa"/>
            <w:noWrap/>
            <w:hideMark/>
          </w:tcPr>
          <w:p w14:paraId="529D0103" w14:textId="77777777" w:rsidR="00FE2EDA" w:rsidRPr="0097213B" w:rsidRDefault="00FE2EDA"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97213B">
              <w:rPr>
                <w:color w:val="000000"/>
                <w:lang w:eastAsia="sl-SI"/>
              </w:rPr>
              <w:t>273</w:t>
            </w:r>
          </w:p>
        </w:tc>
        <w:tc>
          <w:tcPr>
            <w:tcW w:w="1454" w:type="dxa"/>
            <w:noWrap/>
            <w:hideMark/>
          </w:tcPr>
          <w:p w14:paraId="6C3CB76A" w14:textId="77777777" w:rsidR="00FE2EDA" w:rsidRPr="0097213B" w:rsidRDefault="00FE2EDA"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97213B">
              <w:rPr>
                <w:color w:val="000000"/>
                <w:lang w:eastAsia="sl-SI"/>
              </w:rPr>
              <w:t>13.064.842</w:t>
            </w:r>
          </w:p>
        </w:tc>
        <w:tc>
          <w:tcPr>
            <w:tcW w:w="1726" w:type="dxa"/>
            <w:noWrap/>
            <w:hideMark/>
          </w:tcPr>
          <w:p w14:paraId="705560DB" w14:textId="77777777" w:rsidR="00FE2EDA" w:rsidRPr="0097213B" w:rsidRDefault="00FE2EDA"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97213B">
              <w:rPr>
                <w:color w:val="000000"/>
                <w:lang w:eastAsia="sl-SI"/>
              </w:rPr>
              <w:t>88</w:t>
            </w:r>
          </w:p>
        </w:tc>
      </w:tr>
      <w:tr w:rsidR="00FE2EDA" w:rsidRPr="0097213B" w14:paraId="6C2FD30E" w14:textId="77777777" w:rsidTr="00947066">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704" w:type="dxa"/>
            <w:noWrap/>
            <w:hideMark/>
          </w:tcPr>
          <w:p w14:paraId="1F64BE21" w14:textId="77777777" w:rsidR="00FE2EDA" w:rsidRPr="0097213B" w:rsidRDefault="00FE2EDA" w:rsidP="00F569C7">
            <w:pPr>
              <w:spacing w:line="360" w:lineRule="auto"/>
              <w:jc w:val="left"/>
              <w:rPr>
                <w:color w:val="000000"/>
                <w:lang w:eastAsia="sl-SI"/>
              </w:rPr>
            </w:pPr>
            <w:r w:rsidRPr="0097213B">
              <w:rPr>
                <w:color w:val="000000"/>
                <w:lang w:eastAsia="sl-SI"/>
              </w:rPr>
              <w:t>Malta</w:t>
            </w:r>
          </w:p>
        </w:tc>
        <w:tc>
          <w:tcPr>
            <w:tcW w:w="1568" w:type="dxa"/>
            <w:noWrap/>
            <w:hideMark/>
          </w:tcPr>
          <w:p w14:paraId="76DEB26E" w14:textId="77777777" w:rsidR="00FE2EDA" w:rsidRPr="0097213B" w:rsidRDefault="00FE2EDA"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97213B">
              <w:rPr>
                <w:color w:val="000000"/>
                <w:lang w:eastAsia="sl-SI"/>
              </w:rPr>
              <w:t>29.767.698</w:t>
            </w:r>
          </w:p>
        </w:tc>
        <w:tc>
          <w:tcPr>
            <w:tcW w:w="1488" w:type="dxa"/>
            <w:noWrap/>
            <w:hideMark/>
          </w:tcPr>
          <w:p w14:paraId="587019E0" w14:textId="77777777" w:rsidR="00FE2EDA" w:rsidRPr="0097213B" w:rsidRDefault="00FE2EDA"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97213B">
              <w:rPr>
                <w:color w:val="000000"/>
                <w:lang w:eastAsia="sl-SI"/>
              </w:rPr>
              <w:t>155</w:t>
            </w:r>
          </w:p>
        </w:tc>
        <w:tc>
          <w:tcPr>
            <w:tcW w:w="1454" w:type="dxa"/>
            <w:noWrap/>
            <w:hideMark/>
          </w:tcPr>
          <w:p w14:paraId="5F9D8036" w14:textId="77777777" w:rsidR="00FE2EDA" w:rsidRPr="0097213B" w:rsidRDefault="00FE2EDA"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97213B">
              <w:rPr>
                <w:color w:val="000000"/>
                <w:lang w:eastAsia="sl-SI"/>
              </w:rPr>
              <w:t>185.121</w:t>
            </w:r>
          </w:p>
        </w:tc>
        <w:tc>
          <w:tcPr>
            <w:tcW w:w="1726" w:type="dxa"/>
            <w:noWrap/>
            <w:hideMark/>
          </w:tcPr>
          <w:p w14:paraId="384C8FA7" w14:textId="77777777" w:rsidR="00FE2EDA" w:rsidRPr="0097213B" w:rsidRDefault="00FE2EDA"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97213B">
              <w:rPr>
                <w:color w:val="000000"/>
                <w:lang w:eastAsia="sl-SI"/>
              </w:rPr>
              <w:t>3</w:t>
            </w:r>
          </w:p>
        </w:tc>
      </w:tr>
      <w:tr w:rsidR="00FE2EDA" w:rsidRPr="0097213B" w14:paraId="6ED6CB85" w14:textId="77777777" w:rsidTr="00947066">
        <w:trPr>
          <w:trHeight w:val="310"/>
        </w:trPr>
        <w:tc>
          <w:tcPr>
            <w:cnfStyle w:val="001000000000" w:firstRow="0" w:lastRow="0" w:firstColumn="1" w:lastColumn="0" w:oddVBand="0" w:evenVBand="0" w:oddHBand="0" w:evenHBand="0" w:firstRowFirstColumn="0" w:firstRowLastColumn="0" w:lastRowFirstColumn="0" w:lastRowLastColumn="0"/>
            <w:tcW w:w="2704" w:type="dxa"/>
            <w:noWrap/>
            <w:hideMark/>
          </w:tcPr>
          <w:p w14:paraId="01C0B4AE" w14:textId="77777777" w:rsidR="00FE2EDA" w:rsidRPr="0097213B" w:rsidRDefault="00FE2EDA" w:rsidP="00F569C7">
            <w:pPr>
              <w:spacing w:line="360" w:lineRule="auto"/>
              <w:jc w:val="left"/>
              <w:rPr>
                <w:color w:val="000000"/>
                <w:lang w:eastAsia="sl-SI"/>
              </w:rPr>
            </w:pPr>
            <w:r w:rsidRPr="0097213B">
              <w:rPr>
                <w:color w:val="000000"/>
                <w:lang w:eastAsia="sl-SI"/>
              </w:rPr>
              <w:t>Maroko</w:t>
            </w:r>
          </w:p>
        </w:tc>
        <w:tc>
          <w:tcPr>
            <w:tcW w:w="1568" w:type="dxa"/>
            <w:noWrap/>
            <w:hideMark/>
          </w:tcPr>
          <w:p w14:paraId="58E01C99" w14:textId="77777777" w:rsidR="00FE2EDA" w:rsidRPr="0097213B" w:rsidRDefault="00FE2EDA"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97213B">
              <w:rPr>
                <w:color w:val="000000"/>
                <w:lang w:eastAsia="sl-SI"/>
              </w:rPr>
              <w:t>11.146.449</w:t>
            </w:r>
          </w:p>
        </w:tc>
        <w:tc>
          <w:tcPr>
            <w:tcW w:w="1488" w:type="dxa"/>
            <w:noWrap/>
            <w:hideMark/>
          </w:tcPr>
          <w:p w14:paraId="28B60BED" w14:textId="77777777" w:rsidR="00FE2EDA" w:rsidRPr="0097213B" w:rsidRDefault="00FE2EDA"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97213B">
              <w:rPr>
                <w:color w:val="000000"/>
                <w:lang w:eastAsia="sl-SI"/>
              </w:rPr>
              <w:t>30</w:t>
            </w:r>
          </w:p>
        </w:tc>
        <w:tc>
          <w:tcPr>
            <w:tcW w:w="1454" w:type="dxa"/>
            <w:noWrap/>
            <w:hideMark/>
          </w:tcPr>
          <w:p w14:paraId="6AF4549E" w14:textId="0795B47F" w:rsidR="00FE2EDA" w:rsidRPr="0097213B" w:rsidRDefault="00F66AC7"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Pr>
                <w:color w:val="000000"/>
                <w:lang w:eastAsia="sl-SI"/>
              </w:rPr>
              <w:t>0</w:t>
            </w:r>
            <w:r w:rsidR="00FE2EDA" w:rsidRPr="0097213B">
              <w:rPr>
                <w:color w:val="000000"/>
                <w:lang w:eastAsia="sl-SI"/>
              </w:rPr>
              <w:t> </w:t>
            </w:r>
          </w:p>
        </w:tc>
        <w:tc>
          <w:tcPr>
            <w:tcW w:w="1726" w:type="dxa"/>
            <w:noWrap/>
            <w:hideMark/>
          </w:tcPr>
          <w:p w14:paraId="3A5F2337" w14:textId="153A1E7E" w:rsidR="00FE2EDA" w:rsidRPr="0097213B" w:rsidRDefault="00FE2EDA"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97213B">
              <w:rPr>
                <w:color w:val="000000"/>
                <w:lang w:eastAsia="sl-SI"/>
              </w:rPr>
              <w:t> </w:t>
            </w:r>
            <w:r w:rsidR="00F66AC7">
              <w:rPr>
                <w:color w:val="000000"/>
                <w:lang w:eastAsia="sl-SI"/>
              </w:rPr>
              <w:t>0</w:t>
            </w:r>
          </w:p>
        </w:tc>
      </w:tr>
      <w:tr w:rsidR="00FE2EDA" w:rsidRPr="0097213B" w14:paraId="37A282B2" w14:textId="77777777" w:rsidTr="00947066">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704" w:type="dxa"/>
            <w:noWrap/>
            <w:hideMark/>
          </w:tcPr>
          <w:p w14:paraId="414AA5A7" w14:textId="77777777" w:rsidR="00FE2EDA" w:rsidRPr="0097213B" w:rsidRDefault="00FE2EDA" w:rsidP="00F569C7">
            <w:pPr>
              <w:spacing w:line="360" w:lineRule="auto"/>
              <w:jc w:val="left"/>
              <w:rPr>
                <w:color w:val="000000"/>
                <w:lang w:eastAsia="sl-SI"/>
              </w:rPr>
            </w:pPr>
            <w:r w:rsidRPr="0097213B">
              <w:rPr>
                <w:color w:val="000000"/>
                <w:lang w:eastAsia="sl-SI"/>
              </w:rPr>
              <w:lastRenderedPageBreak/>
              <w:t>Malezija</w:t>
            </w:r>
          </w:p>
        </w:tc>
        <w:tc>
          <w:tcPr>
            <w:tcW w:w="1568" w:type="dxa"/>
            <w:noWrap/>
            <w:hideMark/>
          </w:tcPr>
          <w:p w14:paraId="67C1C6B7" w14:textId="77777777" w:rsidR="00FE2EDA" w:rsidRPr="0097213B" w:rsidRDefault="00FE2EDA"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97213B">
              <w:rPr>
                <w:color w:val="000000"/>
                <w:lang w:eastAsia="sl-SI"/>
              </w:rPr>
              <w:t>10.581.662</w:t>
            </w:r>
          </w:p>
        </w:tc>
        <w:tc>
          <w:tcPr>
            <w:tcW w:w="1488" w:type="dxa"/>
            <w:noWrap/>
            <w:hideMark/>
          </w:tcPr>
          <w:p w14:paraId="0FF14C86" w14:textId="77777777" w:rsidR="00FE2EDA" w:rsidRPr="0097213B" w:rsidRDefault="00FE2EDA"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97213B">
              <w:rPr>
                <w:color w:val="000000"/>
                <w:lang w:eastAsia="sl-SI"/>
              </w:rPr>
              <w:t>148</w:t>
            </w:r>
          </w:p>
        </w:tc>
        <w:tc>
          <w:tcPr>
            <w:tcW w:w="1454" w:type="dxa"/>
            <w:noWrap/>
            <w:hideMark/>
          </w:tcPr>
          <w:p w14:paraId="371175B1" w14:textId="77777777" w:rsidR="00FE2EDA" w:rsidRPr="0097213B" w:rsidRDefault="00FE2EDA"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97213B">
              <w:rPr>
                <w:color w:val="000000"/>
                <w:lang w:eastAsia="sl-SI"/>
              </w:rPr>
              <w:t>8.467.888</w:t>
            </w:r>
          </w:p>
        </w:tc>
        <w:tc>
          <w:tcPr>
            <w:tcW w:w="1726" w:type="dxa"/>
            <w:noWrap/>
            <w:hideMark/>
          </w:tcPr>
          <w:p w14:paraId="33DCC5F1" w14:textId="77777777" w:rsidR="00FE2EDA" w:rsidRPr="0097213B" w:rsidRDefault="00FE2EDA"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97213B">
              <w:rPr>
                <w:color w:val="000000"/>
                <w:lang w:eastAsia="sl-SI"/>
              </w:rPr>
              <w:t>114</w:t>
            </w:r>
          </w:p>
        </w:tc>
      </w:tr>
      <w:tr w:rsidR="00FE2EDA" w:rsidRPr="0097213B" w14:paraId="1CE1485E" w14:textId="77777777" w:rsidTr="00947066">
        <w:trPr>
          <w:trHeight w:val="310"/>
        </w:trPr>
        <w:tc>
          <w:tcPr>
            <w:cnfStyle w:val="001000000000" w:firstRow="0" w:lastRow="0" w:firstColumn="1" w:lastColumn="0" w:oddVBand="0" w:evenVBand="0" w:oddHBand="0" w:evenHBand="0" w:firstRowFirstColumn="0" w:firstRowLastColumn="0" w:lastRowFirstColumn="0" w:lastRowLastColumn="0"/>
            <w:tcW w:w="2704" w:type="dxa"/>
            <w:noWrap/>
            <w:hideMark/>
          </w:tcPr>
          <w:p w14:paraId="707CBFD3" w14:textId="77777777" w:rsidR="00FE2EDA" w:rsidRPr="0097213B" w:rsidRDefault="00FE2EDA" w:rsidP="00F569C7">
            <w:pPr>
              <w:spacing w:line="360" w:lineRule="auto"/>
              <w:jc w:val="left"/>
              <w:rPr>
                <w:color w:val="000000"/>
                <w:lang w:eastAsia="sl-SI"/>
              </w:rPr>
            </w:pPr>
            <w:r w:rsidRPr="0097213B">
              <w:rPr>
                <w:color w:val="000000"/>
                <w:lang w:eastAsia="sl-SI"/>
              </w:rPr>
              <w:t>Pakistan</w:t>
            </w:r>
          </w:p>
        </w:tc>
        <w:tc>
          <w:tcPr>
            <w:tcW w:w="1568" w:type="dxa"/>
            <w:noWrap/>
            <w:hideMark/>
          </w:tcPr>
          <w:p w14:paraId="7CD807B2" w14:textId="77777777" w:rsidR="00FE2EDA" w:rsidRPr="0097213B" w:rsidRDefault="00FE2EDA"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97213B">
              <w:rPr>
                <w:color w:val="000000"/>
                <w:lang w:eastAsia="sl-SI"/>
              </w:rPr>
              <w:t>5.559.661</w:t>
            </w:r>
          </w:p>
        </w:tc>
        <w:tc>
          <w:tcPr>
            <w:tcW w:w="1488" w:type="dxa"/>
            <w:noWrap/>
            <w:hideMark/>
          </w:tcPr>
          <w:p w14:paraId="06AC3639" w14:textId="77777777" w:rsidR="00FE2EDA" w:rsidRPr="0097213B" w:rsidRDefault="00FE2EDA"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97213B">
              <w:rPr>
                <w:color w:val="000000"/>
                <w:lang w:eastAsia="sl-SI"/>
              </w:rPr>
              <w:t>101</w:t>
            </w:r>
          </w:p>
        </w:tc>
        <w:tc>
          <w:tcPr>
            <w:tcW w:w="1454" w:type="dxa"/>
            <w:noWrap/>
            <w:hideMark/>
          </w:tcPr>
          <w:p w14:paraId="17A8D43E" w14:textId="77777777" w:rsidR="00FE2EDA" w:rsidRPr="0097213B" w:rsidRDefault="00FE2EDA"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97213B">
              <w:rPr>
                <w:color w:val="000000"/>
                <w:lang w:eastAsia="sl-SI"/>
              </w:rPr>
              <w:t>3.431.262</w:t>
            </w:r>
          </w:p>
        </w:tc>
        <w:tc>
          <w:tcPr>
            <w:tcW w:w="1726" w:type="dxa"/>
            <w:noWrap/>
            <w:hideMark/>
          </w:tcPr>
          <w:p w14:paraId="42E31674" w14:textId="77777777" w:rsidR="00FE2EDA" w:rsidRPr="0097213B" w:rsidRDefault="00FE2EDA"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97213B">
              <w:rPr>
                <w:color w:val="000000"/>
                <w:lang w:eastAsia="sl-SI"/>
              </w:rPr>
              <w:t>62</w:t>
            </w:r>
          </w:p>
        </w:tc>
      </w:tr>
      <w:tr w:rsidR="00FE2EDA" w:rsidRPr="0097213B" w14:paraId="6FE4BF69" w14:textId="77777777" w:rsidTr="00947066">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2704" w:type="dxa"/>
            <w:noWrap/>
            <w:hideMark/>
          </w:tcPr>
          <w:p w14:paraId="09A20B07" w14:textId="77777777" w:rsidR="00FE2EDA" w:rsidRPr="0097213B" w:rsidRDefault="00FE2EDA" w:rsidP="00F569C7">
            <w:pPr>
              <w:spacing w:line="360" w:lineRule="auto"/>
              <w:jc w:val="left"/>
              <w:rPr>
                <w:color w:val="000000"/>
                <w:lang w:eastAsia="sl-SI"/>
              </w:rPr>
            </w:pPr>
            <w:r w:rsidRPr="0097213B">
              <w:rPr>
                <w:color w:val="000000"/>
                <w:lang w:eastAsia="sl-SI"/>
              </w:rPr>
              <w:t>Tunizija</w:t>
            </w:r>
          </w:p>
        </w:tc>
        <w:tc>
          <w:tcPr>
            <w:tcW w:w="1568" w:type="dxa"/>
            <w:noWrap/>
            <w:hideMark/>
          </w:tcPr>
          <w:p w14:paraId="288DCCF5" w14:textId="77777777" w:rsidR="00FE2EDA" w:rsidRPr="0097213B" w:rsidRDefault="00FE2EDA"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97213B">
              <w:rPr>
                <w:color w:val="000000"/>
                <w:lang w:eastAsia="sl-SI"/>
              </w:rPr>
              <w:t>5.481.171</w:t>
            </w:r>
          </w:p>
        </w:tc>
        <w:tc>
          <w:tcPr>
            <w:tcW w:w="1488" w:type="dxa"/>
            <w:noWrap/>
            <w:hideMark/>
          </w:tcPr>
          <w:p w14:paraId="62FC9C6F" w14:textId="77777777" w:rsidR="00FE2EDA" w:rsidRPr="0097213B" w:rsidRDefault="00FE2EDA"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97213B">
              <w:rPr>
                <w:color w:val="000000"/>
                <w:lang w:eastAsia="sl-SI"/>
              </w:rPr>
              <w:t>67</w:t>
            </w:r>
          </w:p>
        </w:tc>
        <w:tc>
          <w:tcPr>
            <w:tcW w:w="1454" w:type="dxa"/>
            <w:noWrap/>
            <w:hideMark/>
          </w:tcPr>
          <w:p w14:paraId="100A2877" w14:textId="77777777" w:rsidR="00FE2EDA" w:rsidRPr="0097213B" w:rsidRDefault="00FE2EDA"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97213B">
              <w:rPr>
                <w:color w:val="000000"/>
                <w:lang w:eastAsia="sl-SI"/>
              </w:rPr>
              <w:t>352.902</w:t>
            </w:r>
          </w:p>
        </w:tc>
        <w:tc>
          <w:tcPr>
            <w:tcW w:w="1726" w:type="dxa"/>
            <w:noWrap/>
            <w:hideMark/>
          </w:tcPr>
          <w:p w14:paraId="70BF2469" w14:textId="77777777" w:rsidR="00FE2EDA" w:rsidRPr="0097213B" w:rsidRDefault="00FE2EDA" w:rsidP="00F569C7">
            <w:pPr>
              <w:spacing w:line="360" w:lineRule="auto"/>
              <w:jc w:val="right"/>
              <w:cnfStyle w:val="000000100000" w:firstRow="0" w:lastRow="0" w:firstColumn="0" w:lastColumn="0" w:oddVBand="0" w:evenVBand="0" w:oddHBand="1" w:evenHBand="0" w:firstRowFirstColumn="0" w:firstRowLastColumn="0" w:lastRowFirstColumn="0" w:lastRowLastColumn="0"/>
              <w:rPr>
                <w:color w:val="000000"/>
                <w:lang w:eastAsia="sl-SI"/>
              </w:rPr>
            </w:pPr>
            <w:r w:rsidRPr="0097213B">
              <w:rPr>
                <w:color w:val="000000"/>
                <w:lang w:eastAsia="sl-SI"/>
              </w:rPr>
              <w:t>12</w:t>
            </w:r>
          </w:p>
        </w:tc>
      </w:tr>
      <w:tr w:rsidR="00FE2EDA" w:rsidRPr="0097213B" w14:paraId="5366284E" w14:textId="77777777" w:rsidTr="00947066">
        <w:trPr>
          <w:trHeight w:val="310"/>
        </w:trPr>
        <w:tc>
          <w:tcPr>
            <w:cnfStyle w:val="001000000000" w:firstRow="0" w:lastRow="0" w:firstColumn="1" w:lastColumn="0" w:oddVBand="0" w:evenVBand="0" w:oddHBand="0" w:evenHBand="0" w:firstRowFirstColumn="0" w:firstRowLastColumn="0" w:lastRowFirstColumn="0" w:lastRowLastColumn="0"/>
            <w:tcW w:w="2704" w:type="dxa"/>
            <w:noWrap/>
            <w:hideMark/>
          </w:tcPr>
          <w:p w14:paraId="3590154F" w14:textId="77777777" w:rsidR="00FE2EDA" w:rsidRPr="0097213B" w:rsidRDefault="00FE2EDA" w:rsidP="00F569C7">
            <w:pPr>
              <w:spacing w:line="360" w:lineRule="auto"/>
              <w:jc w:val="left"/>
              <w:rPr>
                <w:color w:val="000000"/>
                <w:lang w:eastAsia="sl-SI"/>
              </w:rPr>
            </w:pPr>
            <w:r w:rsidRPr="0097213B">
              <w:rPr>
                <w:color w:val="000000"/>
                <w:lang w:eastAsia="sl-SI"/>
              </w:rPr>
              <w:t>Indonezija</w:t>
            </w:r>
          </w:p>
        </w:tc>
        <w:tc>
          <w:tcPr>
            <w:tcW w:w="1568" w:type="dxa"/>
            <w:noWrap/>
            <w:hideMark/>
          </w:tcPr>
          <w:p w14:paraId="738E3C68" w14:textId="77777777" w:rsidR="00FE2EDA" w:rsidRPr="0097213B" w:rsidRDefault="00FE2EDA"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97213B">
              <w:rPr>
                <w:color w:val="000000"/>
                <w:lang w:eastAsia="sl-SI"/>
              </w:rPr>
              <w:t>4.765.634</w:t>
            </w:r>
          </w:p>
        </w:tc>
        <w:tc>
          <w:tcPr>
            <w:tcW w:w="1488" w:type="dxa"/>
            <w:noWrap/>
            <w:hideMark/>
          </w:tcPr>
          <w:p w14:paraId="32B05147" w14:textId="77777777" w:rsidR="00FE2EDA" w:rsidRPr="0097213B" w:rsidRDefault="00FE2EDA"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97213B">
              <w:rPr>
                <w:color w:val="000000"/>
                <w:lang w:eastAsia="sl-SI"/>
              </w:rPr>
              <w:t>81</w:t>
            </w:r>
          </w:p>
        </w:tc>
        <w:tc>
          <w:tcPr>
            <w:tcW w:w="1454" w:type="dxa"/>
            <w:noWrap/>
            <w:hideMark/>
          </w:tcPr>
          <w:p w14:paraId="312ACF0F" w14:textId="77777777" w:rsidR="00FE2EDA" w:rsidRPr="0097213B" w:rsidRDefault="00FE2EDA"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97213B">
              <w:rPr>
                <w:color w:val="000000"/>
                <w:lang w:eastAsia="sl-SI"/>
              </w:rPr>
              <w:t>1.530.889</w:t>
            </w:r>
          </w:p>
        </w:tc>
        <w:tc>
          <w:tcPr>
            <w:tcW w:w="1726" w:type="dxa"/>
            <w:noWrap/>
            <w:hideMark/>
          </w:tcPr>
          <w:p w14:paraId="52564A1D" w14:textId="77777777" w:rsidR="00FE2EDA" w:rsidRPr="0097213B" w:rsidRDefault="00FE2EDA" w:rsidP="00F569C7">
            <w:pPr>
              <w:spacing w:line="360" w:lineRule="auto"/>
              <w:jc w:val="right"/>
              <w:cnfStyle w:val="000000000000" w:firstRow="0" w:lastRow="0" w:firstColumn="0" w:lastColumn="0" w:oddVBand="0" w:evenVBand="0" w:oddHBand="0" w:evenHBand="0" w:firstRowFirstColumn="0" w:firstRowLastColumn="0" w:lastRowFirstColumn="0" w:lastRowLastColumn="0"/>
              <w:rPr>
                <w:color w:val="000000"/>
                <w:lang w:eastAsia="sl-SI"/>
              </w:rPr>
            </w:pPr>
            <w:r w:rsidRPr="0097213B">
              <w:rPr>
                <w:color w:val="000000"/>
                <w:lang w:eastAsia="sl-SI"/>
              </w:rPr>
              <w:t>38</w:t>
            </w:r>
          </w:p>
        </w:tc>
      </w:tr>
    </w:tbl>
    <w:p w14:paraId="2957F0B6" w14:textId="77777777" w:rsidR="00B65A09" w:rsidRDefault="00B65A09" w:rsidP="00B65A09"/>
    <w:p w14:paraId="2E2990B8" w14:textId="2386A3C7" w:rsidR="00FE2EDA" w:rsidRPr="00FE2EDA" w:rsidRDefault="00FE2EDA" w:rsidP="00FE2EDA">
      <w:pPr>
        <w:spacing w:line="276" w:lineRule="auto"/>
        <w:rPr>
          <w:bCs/>
          <w:iCs/>
          <w:color w:val="000000" w:themeColor="text1"/>
        </w:rPr>
      </w:pPr>
      <w:r w:rsidRPr="00BB7E0D">
        <w:rPr>
          <w:bCs/>
          <w:color w:val="000000" w:themeColor="text1"/>
        </w:rPr>
        <w:t>Podobno kot v prejšnjem poglavju je bilo tudi po merilu števila nakazil družbam z bančnimi računi v tveganih d</w:t>
      </w:r>
      <w:r>
        <w:rPr>
          <w:bCs/>
          <w:color w:val="000000" w:themeColor="text1"/>
        </w:rPr>
        <w:t>ržavah največ nakazil oziroma dobrih 21</w:t>
      </w:r>
      <w:r w:rsidRPr="00BB7E0D">
        <w:rPr>
          <w:bCs/>
          <w:color w:val="000000" w:themeColor="text1"/>
        </w:rPr>
        <w:t xml:space="preserve"> % iz Slovenije izvršenih v Ukrajino oziroma </w:t>
      </w:r>
      <w:r>
        <w:rPr>
          <w:bCs/>
          <w:color w:val="000000" w:themeColor="text1"/>
        </w:rPr>
        <w:t>10</w:t>
      </w:r>
      <w:r w:rsidRPr="00BB7E0D">
        <w:rPr>
          <w:bCs/>
          <w:color w:val="000000" w:themeColor="text1"/>
        </w:rPr>
        <w:t xml:space="preserve"> % celotnega zneska v EUR. </w:t>
      </w:r>
      <w:r w:rsidRPr="00BB7E0D">
        <w:rPr>
          <w:bCs/>
          <w:iCs/>
          <w:color w:val="000000" w:themeColor="text1"/>
        </w:rPr>
        <w:t xml:space="preserve">V Ukrajino je, podobno kot po prejšnjem merilu, sredstva nakazalo okoli </w:t>
      </w:r>
      <w:r>
        <w:rPr>
          <w:bCs/>
          <w:iCs/>
          <w:color w:val="000000" w:themeColor="text1"/>
        </w:rPr>
        <w:t>145</w:t>
      </w:r>
      <w:r w:rsidRPr="00BB7E0D">
        <w:rPr>
          <w:bCs/>
          <w:iCs/>
          <w:color w:val="000000" w:themeColor="text1"/>
        </w:rPr>
        <w:t xml:space="preserve"> domačih družb, večina prav tako z namenom, ki se nanaša na plačila računov oziroma plačila na podlagi pogodbenih dogovorov.</w:t>
      </w:r>
    </w:p>
    <w:p w14:paraId="0BA1AB3A" w14:textId="77777777" w:rsidR="00FE2EDA" w:rsidRPr="004651BA" w:rsidRDefault="00FE2EDA" w:rsidP="00FE2EDA">
      <w:pPr>
        <w:spacing w:line="276" w:lineRule="auto"/>
        <w:rPr>
          <w:bCs/>
          <w:color w:val="000000" w:themeColor="text1"/>
        </w:rPr>
      </w:pPr>
      <w:r w:rsidRPr="00613B9B">
        <w:rPr>
          <w:bCs/>
          <w:color w:val="000000" w:themeColor="text1"/>
        </w:rPr>
        <w:t xml:space="preserve">Med nakazili po skupnem znesku izvršenih nakazil izstopajo še nakazila v Liechtenstein, kjer so prejemniki prejeli dobrih </w:t>
      </w:r>
      <w:r>
        <w:rPr>
          <w:bCs/>
          <w:color w:val="000000" w:themeColor="text1"/>
        </w:rPr>
        <w:t>40</w:t>
      </w:r>
      <w:r w:rsidRPr="00613B9B">
        <w:rPr>
          <w:bCs/>
          <w:color w:val="000000" w:themeColor="text1"/>
        </w:rPr>
        <w:t> % celotnega zneska nakazil v EUR, izvršenih v tvegane države, od</w:t>
      </w:r>
      <w:r>
        <w:rPr>
          <w:bCs/>
          <w:color w:val="000000" w:themeColor="text1"/>
        </w:rPr>
        <w:t xml:space="preserve"> tega je 36</w:t>
      </w:r>
      <w:r w:rsidRPr="00613B9B">
        <w:rPr>
          <w:bCs/>
          <w:color w:val="000000" w:themeColor="text1"/>
        </w:rPr>
        <w:t xml:space="preserve"> % zneska nakazala tuja družba, ki se ukvarja z virtualnimi valutami. </w:t>
      </w:r>
      <w:r w:rsidRPr="004651BA">
        <w:rPr>
          <w:bCs/>
          <w:color w:val="000000" w:themeColor="text1"/>
        </w:rPr>
        <w:t xml:space="preserve">Po deležu celotnega zneska v EUR izstopajo še nakazila, izvršena v Albanijo, kamor je okoli </w:t>
      </w:r>
      <w:r>
        <w:rPr>
          <w:bCs/>
          <w:color w:val="000000" w:themeColor="text1"/>
        </w:rPr>
        <w:t>60</w:t>
      </w:r>
      <w:r w:rsidRPr="004651BA">
        <w:rPr>
          <w:bCs/>
          <w:color w:val="000000" w:themeColor="text1"/>
        </w:rPr>
        <w:t xml:space="preserve"> slovenski</w:t>
      </w:r>
      <w:r>
        <w:rPr>
          <w:bCs/>
          <w:color w:val="000000" w:themeColor="text1"/>
        </w:rPr>
        <w:t>h družb skupaj nakazalo okoli 10</w:t>
      </w:r>
      <w:r w:rsidRPr="004651BA">
        <w:rPr>
          <w:bCs/>
          <w:color w:val="000000" w:themeColor="text1"/>
        </w:rPr>
        <w:t> % vseh nakazil v tvegane države. Prav tako po deležu celotnega zneska v USD izstopajo še nakazila, izvršena v E</w:t>
      </w:r>
      <w:r>
        <w:rPr>
          <w:bCs/>
          <w:color w:val="000000" w:themeColor="text1"/>
        </w:rPr>
        <w:t>gipt, kamor je bilo izvršenih 24</w:t>
      </w:r>
      <w:r w:rsidRPr="004651BA">
        <w:rPr>
          <w:bCs/>
          <w:color w:val="000000" w:themeColor="text1"/>
        </w:rPr>
        <w:t xml:space="preserve"> % vseh nakazil v tvegane države.</w:t>
      </w:r>
    </w:p>
    <w:p w14:paraId="57436681" w14:textId="77777777" w:rsidR="00B65A09" w:rsidRDefault="00B65A09" w:rsidP="00B65A09"/>
    <w:p w14:paraId="4FC04B03" w14:textId="052D3646" w:rsidR="00B65A09" w:rsidRDefault="00B65A09" w:rsidP="00B65A09">
      <w:pPr>
        <w:pStyle w:val="Naslov2"/>
      </w:pPr>
      <w:bookmarkStart w:id="9" w:name="_Toc119581681"/>
      <w:r>
        <w:t>PRENOSI GOTOVINE V VREDNOSTI 10.000 EUR ALI VEČ ČEZ MEJO EVROPSKE UNIJE</w:t>
      </w:r>
      <w:bookmarkEnd w:id="9"/>
    </w:p>
    <w:p w14:paraId="1F0A9E5D" w14:textId="77777777" w:rsidR="00B65A09" w:rsidRDefault="00B65A09" w:rsidP="00B65A09"/>
    <w:p w14:paraId="52BC5440" w14:textId="338C1BAB" w:rsidR="00F444AC" w:rsidRPr="002327DF" w:rsidRDefault="00F444AC" w:rsidP="00F444AC">
      <w:pPr>
        <w:spacing w:line="276" w:lineRule="auto"/>
        <w:rPr>
          <w:color w:val="FF0000"/>
        </w:rPr>
      </w:pPr>
      <w:r w:rsidRPr="00C92D06">
        <w:rPr>
          <w:color w:val="000000" w:themeColor="text1"/>
        </w:rPr>
        <w:t>V skladu s 1</w:t>
      </w:r>
      <w:r w:rsidR="0053420D">
        <w:rPr>
          <w:color w:val="000000" w:themeColor="text1"/>
        </w:rPr>
        <w:t>20</w:t>
      </w:r>
      <w:r w:rsidRPr="00C92D06">
        <w:rPr>
          <w:color w:val="000000" w:themeColor="text1"/>
        </w:rPr>
        <w:t>. členom ZPPDFT-</w:t>
      </w:r>
      <w:r w:rsidR="0053420D">
        <w:rPr>
          <w:color w:val="000000" w:themeColor="text1"/>
        </w:rPr>
        <w:t>1</w:t>
      </w:r>
      <w:r w:rsidRPr="00C92D06">
        <w:rPr>
          <w:color w:val="000000" w:themeColor="text1"/>
        </w:rPr>
        <w:t xml:space="preserve"> morajo carinski organi najpozneje v treh dneh uradu sporočiti podatke o prijavi vnosa ali iznosa gotovine v vrednosti 10.000 EUR</w:t>
      </w:r>
      <w:r w:rsidRPr="00424274">
        <w:t xml:space="preserve"> ali več pri vstopu v </w:t>
      </w:r>
      <w:r w:rsidRPr="00F81A62">
        <w:t>Evropsko unijo</w:t>
      </w:r>
      <w:r w:rsidRPr="00424274">
        <w:t xml:space="preserve"> ali izstopu iz nje. </w:t>
      </w:r>
      <w:r w:rsidRPr="00AF5F6E">
        <w:rPr>
          <w:bCs/>
        </w:rPr>
        <w:t xml:space="preserve">V letu 2021 je bilo na slovenskem delu meje Evropske unije skupno prijavljenih </w:t>
      </w:r>
      <w:r w:rsidRPr="003D0189">
        <w:rPr>
          <w:b/>
          <w:color w:val="000000" w:themeColor="text1"/>
        </w:rPr>
        <w:t>46 prenosov gotovine čez mejo</w:t>
      </w:r>
      <w:r w:rsidRPr="00ED2318">
        <w:rPr>
          <w:color w:val="000000" w:themeColor="text1"/>
        </w:rPr>
        <w:t>, kar je slabih 10 % manj prenosov kot prejšnje leto, ko je carina beležila 51 prenosov. V letu 2021 ni bilo ugotovljenih neprijavljenih prenosov gotovine prek meja Evropske unije.</w:t>
      </w:r>
    </w:p>
    <w:p w14:paraId="7AE44462" w14:textId="70CE5CCD" w:rsidR="00322542" w:rsidRDefault="00F444AC" w:rsidP="00322542">
      <w:pPr>
        <w:spacing w:line="276" w:lineRule="auto"/>
        <w:rPr>
          <w:color w:val="FF0000"/>
        </w:rPr>
      </w:pPr>
      <w:r w:rsidRPr="000520BA">
        <w:rPr>
          <w:color w:val="000000" w:themeColor="text1"/>
        </w:rPr>
        <w:t xml:space="preserve">Med </w:t>
      </w:r>
      <w:r w:rsidRPr="00AF5F6E">
        <w:rPr>
          <w:color w:val="000000" w:themeColor="text1"/>
        </w:rPr>
        <w:t>46</w:t>
      </w:r>
      <w:r w:rsidRPr="00AF5F6E">
        <w:rPr>
          <w:bCs/>
          <w:color w:val="000000" w:themeColor="text1"/>
        </w:rPr>
        <w:t xml:space="preserve"> prijavljenimi prenosi</w:t>
      </w:r>
      <w:r w:rsidRPr="000520BA">
        <w:rPr>
          <w:color w:val="000000" w:themeColor="text1"/>
        </w:rPr>
        <w:t xml:space="preserve"> je bilo 15 vnosov gotovine v skupni vrednosti 387.965 EUR in 24.500 USD ter 31 iznosov gotovine v skupnem znesku 405.500 EUR, 400.550 USD in 194.000 CHF. </w:t>
      </w:r>
      <w:r w:rsidRPr="00AC0CFF">
        <w:rPr>
          <w:color w:val="000000" w:themeColor="text1"/>
        </w:rPr>
        <w:t>Večji del vnosov gotovine se nanaša na vnos gotovine za osebno porabo, medtem ko se 55 % vseh iznosov nanaša na gotovino za potrebe ladij.</w:t>
      </w:r>
      <w:r w:rsidR="00322542">
        <w:rPr>
          <w:color w:val="FF0000"/>
        </w:rPr>
        <w:br w:type="page"/>
      </w:r>
    </w:p>
    <w:p w14:paraId="77AAD8AC" w14:textId="3003D5E0" w:rsidR="00B65A09" w:rsidRDefault="002F4061" w:rsidP="00B65A09">
      <w:pPr>
        <w:pStyle w:val="Naslov1"/>
      </w:pPr>
      <w:bookmarkStart w:id="10" w:name="_Toc119581682"/>
      <w:r>
        <w:lastRenderedPageBreak/>
        <w:t>SPREMLJANJ</w:t>
      </w:r>
      <w:r w:rsidR="009A20A1">
        <w:t>E</w:t>
      </w:r>
      <w:r>
        <w:t xml:space="preserve"> </w:t>
      </w:r>
      <w:r w:rsidR="00B65A09">
        <w:t>SUMLJIVIH TRANSAKCIJ</w:t>
      </w:r>
      <w:bookmarkEnd w:id="10"/>
    </w:p>
    <w:p w14:paraId="70473B03" w14:textId="77777777" w:rsidR="00B65A09" w:rsidRDefault="00B65A09" w:rsidP="00B65A09"/>
    <w:p w14:paraId="487A8C48" w14:textId="56D0E613" w:rsidR="00AD7A14" w:rsidRPr="00AD7A14" w:rsidRDefault="00AD7A14" w:rsidP="00AD7A14">
      <w:pPr>
        <w:spacing w:line="276" w:lineRule="auto"/>
      </w:pPr>
      <w:r w:rsidRPr="00C92D06">
        <w:rPr>
          <w:color w:val="000000" w:themeColor="text1"/>
        </w:rPr>
        <w:t xml:space="preserve">Urad je v letu 2021 od zavezancev, navedenih </w:t>
      </w:r>
      <w:r>
        <w:t>v 4. členu ZPPDFT-</w:t>
      </w:r>
      <w:r w:rsidR="00F829AE">
        <w:t>1</w:t>
      </w:r>
      <w:r w:rsidRPr="00424274">
        <w:t xml:space="preserve">, prejemal podatke o sumljivih transakcijah ne glede na znesek in podatke o osebah, sredstvih ter premoženju, v zvezi s katerimi so podani razlogi za sum pranja denarja ali financiranja terorizma. V skladu z Uredbo o omejevalnih ukrepih proti Demokratični ljudski republiki Koreji (Uradni list RS, št. 18/2017) je </w:t>
      </w:r>
      <w:r>
        <w:t>u</w:t>
      </w:r>
      <w:r w:rsidRPr="00424274">
        <w:t>rad pristojen tudi za sprejemanje sumljivih transakcij</w:t>
      </w:r>
      <w:r>
        <w:t>,</w:t>
      </w:r>
      <w:r w:rsidRPr="00424274">
        <w:t xml:space="preserve"> povezanih s prepovedanim razvojem in širjenjem jedrskega orožja (pr</w:t>
      </w:r>
      <w:r>
        <w:t>oliferacija), vendar v letu 2021</w:t>
      </w:r>
      <w:r w:rsidRPr="00424274">
        <w:t xml:space="preserve"> ni prejel nobene take prijave.</w:t>
      </w:r>
    </w:p>
    <w:p w14:paraId="4B35E3CF" w14:textId="2BC9A52B" w:rsidR="00AD7A14" w:rsidRPr="00424274" w:rsidRDefault="00AD7A14" w:rsidP="00AD7A14">
      <w:pPr>
        <w:spacing w:line="276" w:lineRule="auto"/>
      </w:pPr>
      <w:r w:rsidRPr="00424274">
        <w:t xml:space="preserve">Urad </w:t>
      </w:r>
      <w:r w:rsidR="00F5715B">
        <w:t>lahko začne</w:t>
      </w:r>
      <w:r w:rsidRPr="00424274">
        <w:t xml:space="preserve"> zadeve obravnavati tudi na podlagi pobud določenih državnih in inšpekcijskih organov</w:t>
      </w:r>
      <w:r>
        <w:t>,</w:t>
      </w:r>
      <w:r w:rsidRPr="00424274">
        <w:t xml:space="preserve"> navedenih v </w:t>
      </w:r>
      <w:r w:rsidR="00CF7711">
        <w:t>99</w:t>
      </w:r>
      <w:r w:rsidRPr="00424274">
        <w:t>. členu ZPPDFT-</w:t>
      </w:r>
      <w:r w:rsidR="00CF7711">
        <w:t>1</w:t>
      </w:r>
      <w:r>
        <w:t>,</w:t>
      </w:r>
      <w:r w:rsidRPr="00424274">
        <w:t xml:space="preserve"> ter na podlagi sporočenih dejstev nadzornih organov, navedenih v </w:t>
      </w:r>
      <w:r w:rsidR="005B7643">
        <w:t>139</w:t>
      </w:r>
      <w:r w:rsidRPr="00424274">
        <w:t>. členu ZPPDFT-</w:t>
      </w:r>
      <w:r w:rsidR="005B7643">
        <w:t>1</w:t>
      </w:r>
      <w:r w:rsidRPr="00424274">
        <w:t xml:space="preserve">. Poleg tega </w:t>
      </w:r>
      <w:r>
        <w:t xml:space="preserve">urad na podlagi </w:t>
      </w:r>
      <w:r w:rsidR="005B7643">
        <w:t>105</w:t>
      </w:r>
      <w:r w:rsidRPr="00424274">
        <w:t>. člena ZPPDFT-</w:t>
      </w:r>
      <w:r w:rsidR="005B7643">
        <w:t>1</w:t>
      </w:r>
      <w:r w:rsidRPr="00424274">
        <w:t xml:space="preserve"> prejema določene podatke od sorodnih organov iz tujine </w:t>
      </w:r>
      <w:r>
        <w:t>in</w:t>
      </w:r>
      <w:r w:rsidRPr="00424274">
        <w:t xml:space="preserve"> preverja evidenco gotovinskih transakcij, evidenco prenosov gotovine prek meja </w:t>
      </w:r>
      <w:r>
        <w:t xml:space="preserve">Evropske </w:t>
      </w:r>
      <w:r w:rsidRPr="001A2959">
        <w:t>unije</w:t>
      </w:r>
      <w:r w:rsidRPr="00424274">
        <w:t xml:space="preserve"> ter evidenco nakazil</w:t>
      </w:r>
      <w:r>
        <w:t>,</w:t>
      </w:r>
      <w:r w:rsidRPr="00424274">
        <w:t xml:space="preserve"> povezanih z državami s povečanim ali visokim tveganjem za pranje denarja </w:t>
      </w:r>
      <w:r>
        <w:t>in</w:t>
      </w:r>
      <w:r w:rsidRPr="00424274">
        <w:t xml:space="preserve"> financiranje terorizma, ki prav tako lahko služijo kot osnova za </w:t>
      </w:r>
      <w:r>
        <w:t>za</w:t>
      </w:r>
      <w:r w:rsidRPr="00424274">
        <w:t>četek zbiranja podatkov o sumljivih transakcijah, premoženju ali osebah.</w:t>
      </w:r>
    </w:p>
    <w:p w14:paraId="6D714CBF" w14:textId="268C2D64" w:rsidR="00AD7A14" w:rsidRPr="00424274" w:rsidRDefault="00AD7A14" w:rsidP="00AD7A14">
      <w:pPr>
        <w:spacing w:line="276" w:lineRule="auto"/>
      </w:pPr>
      <w:r w:rsidRPr="00A04B6D">
        <w:t>ZPPDFT-</w:t>
      </w:r>
      <w:r w:rsidR="00A91356">
        <w:t>1</w:t>
      </w:r>
      <w:r w:rsidRPr="00A04B6D">
        <w:t xml:space="preserve"> v </w:t>
      </w:r>
      <w:r>
        <w:t xml:space="preserve">drugem odstavku </w:t>
      </w:r>
      <w:r w:rsidR="00A91356">
        <w:t>87</w:t>
      </w:r>
      <w:r w:rsidRPr="00424274">
        <w:t xml:space="preserve">. člena določa, da </w:t>
      </w:r>
      <w:r>
        <w:t>u</w:t>
      </w:r>
      <w:r w:rsidRPr="00424274">
        <w:t xml:space="preserve">rad sprejema, zbira, </w:t>
      </w:r>
      <w:r>
        <w:t>sporoča</w:t>
      </w:r>
      <w:r w:rsidRPr="00424274">
        <w:t xml:space="preserve"> in analizira podatke in informacije na podl</w:t>
      </w:r>
      <w:r>
        <w:t>agi ZPPDFT-</w:t>
      </w:r>
      <w:r w:rsidR="00F5715B">
        <w:t>1</w:t>
      </w:r>
      <w:r>
        <w:t xml:space="preserve">, v </w:t>
      </w:r>
      <w:r w:rsidR="00A91356">
        <w:t>101</w:t>
      </w:r>
      <w:r w:rsidRPr="00424274">
        <w:t xml:space="preserve">. in </w:t>
      </w:r>
      <w:r w:rsidR="00A91356">
        <w:t>102</w:t>
      </w:r>
      <w:r w:rsidRPr="00424274">
        <w:t xml:space="preserve">. členu pa pooblašča </w:t>
      </w:r>
      <w:r>
        <w:t>u</w:t>
      </w:r>
      <w:r w:rsidRPr="00424274">
        <w:t>rad, da v primerih, ko presodi, da so pri transakcijah podani razlogi za sum pranja denarja ali financiranja terorizma ali drugih uradno pregonljivih kaznivih dejanj, za katera je predpisana zaporna kazen, o tem obvesti pristojne organe.</w:t>
      </w:r>
    </w:p>
    <w:p w14:paraId="62E80D3F" w14:textId="77777777" w:rsidR="00B65A09" w:rsidRDefault="00B65A09" w:rsidP="00B65A09"/>
    <w:p w14:paraId="7B512331" w14:textId="41D490B6" w:rsidR="00B65A09" w:rsidRDefault="00B65A09" w:rsidP="00B65A09">
      <w:pPr>
        <w:pStyle w:val="Naslov2"/>
      </w:pPr>
      <w:bookmarkStart w:id="11" w:name="_Toc119581683"/>
      <w:r>
        <w:t>ZADEVE, PRI KATERIH SO PODANI RAZLOGI ZA SUM PRANJA DENARJA ALI FINANCIRANJA TERORIZMA</w:t>
      </w:r>
      <w:bookmarkEnd w:id="11"/>
    </w:p>
    <w:p w14:paraId="72C011EC" w14:textId="77777777" w:rsidR="00B65A09" w:rsidRDefault="00B65A09" w:rsidP="00B65A09"/>
    <w:p w14:paraId="7F788488" w14:textId="77A93738" w:rsidR="00AD7A14" w:rsidRPr="00424274" w:rsidRDefault="00745A21" w:rsidP="00AD7A14">
      <w:pPr>
        <w:spacing w:line="276" w:lineRule="auto"/>
        <w:ind w:right="-22"/>
      </w:pPr>
      <w:r>
        <w:rPr>
          <w:color w:val="000000" w:themeColor="text1"/>
        </w:rPr>
        <w:t>Urad je v letu</w:t>
      </w:r>
      <w:r w:rsidR="00AD7A14" w:rsidRPr="00C92D06">
        <w:rPr>
          <w:color w:val="000000" w:themeColor="text1"/>
        </w:rPr>
        <w:t xml:space="preserve"> 2021 v skladu z določili ZPPDFT-</w:t>
      </w:r>
      <w:r w:rsidR="00C55A05">
        <w:rPr>
          <w:color w:val="000000" w:themeColor="text1"/>
        </w:rPr>
        <w:t>1</w:t>
      </w:r>
      <w:r w:rsidR="00AD7A14" w:rsidRPr="00C92D06">
        <w:rPr>
          <w:color w:val="000000" w:themeColor="text1"/>
        </w:rPr>
        <w:t xml:space="preserve"> prejel </w:t>
      </w:r>
      <w:r w:rsidR="00AD7A14" w:rsidRPr="00745A21">
        <w:rPr>
          <w:b/>
          <w:bCs/>
          <w:color w:val="000000" w:themeColor="text1"/>
        </w:rPr>
        <w:t>1.073</w:t>
      </w:r>
      <w:r w:rsidR="00AD7A14" w:rsidRPr="00745A21">
        <w:rPr>
          <w:b/>
          <w:bCs/>
        </w:rPr>
        <w:t xml:space="preserve"> prijav sumljivih transakcij ali sumljivih aktivnosti, ki so se nanašale na razloge za sum pranja denarja</w:t>
      </w:r>
      <w:r w:rsidRPr="00745A21">
        <w:rPr>
          <w:b/>
          <w:bCs/>
        </w:rPr>
        <w:t xml:space="preserve"> in</w:t>
      </w:r>
      <w:r w:rsidR="00AD7A14" w:rsidRPr="00745A21">
        <w:rPr>
          <w:b/>
          <w:bCs/>
        </w:rPr>
        <w:t xml:space="preserve"> 28 prijav, ki so se nanašale na razloge za sum financiranja terorizma</w:t>
      </w:r>
      <w:r w:rsidRPr="00745A21">
        <w:rPr>
          <w:b/>
          <w:bCs/>
        </w:rPr>
        <w:t xml:space="preserve">. </w:t>
      </w:r>
      <w:r w:rsidR="00AD7A14" w:rsidRPr="00745A21">
        <w:rPr>
          <w:b/>
          <w:bCs/>
        </w:rPr>
        <w:t xml:space="preserve"> </w:t>
      </w:r>
      <w:r>
        <w:t>Poleg tega</w:t>
      </w:r>
      <w:r w:rsidR="00AD7A14" w:rsidRPr="00424274">
        <w:t xml:space="preserve"> </w:t>
      </w:r>
      <w:r>
        <w:t>je</w:t>
      </w:r>
      <w:r w:rsidR="00AD7A14" w:rsidRPr="00424274">
        <w:t xml:space="preserve"> </w:t>
      </w:r>
      <w:r w:rsidR="00AD7A14" w:rsidRPr="00745A21">
        <w:rPr>
          <w:b/>
          <w:bCs/>
        </w:rPr>
        <w:t xml:space="preserve">dve prijavi </w:t>
      </w:r>
      <w:r w:rsidRPr="00745A21">
        <w:rPr>
          <w:b/>
          <w:bCs/>
        </w:rPr>
        <w:t>podalo tožilstvo</w:t>
      </w:r>
      <w:r w:rsidR="00AD7A14" w:rsidRPr="00424274">
        <w:t xml:space="preserve">, ki je po predhodnem strinjanju </w:t>
      </w:r>
      <w:r w:rsidR="00AD7A14">
        <w:t>u</w:t>
      </w:r>
      <w:r w:rsidR="00AD7A14" w:rsidRPr="00424274">
        <w:t>rada odredilo finančno preiskavo v skladu z Zakonom o odvzemu premoženja nezakonitega izvora.</w:t>
      </w:r>
    </w:p>
    <w:p w14:paraId="66A93A2D" w14:textId="1C6AC36A" w:rsidR="00B65A09" w:rsidRDefault="00AD7A14" w:rsidP="00AD7A14">
      <w:pPr>
        <w:spacing w:line="276" w:lineRule="auto"/>
        <w:ind w:right="-22"/>
      </w:pPr>
      <w:r w:rsidRPr="00424274">
        <w:t xml:space="preserve">Na podlagi vseh prijav je </w:t>
      </w:r>
      <w:r>
        <w:t xml:space="preserve">urad odprl </w:t>
      </w:r>
      <w:r w:rsidRPr="00745A21">
        <w:rPr>
          <w:b/>
          <w:bCs/>
        </w:rPr>
        <w:t>1.103 zadeve</w:t>
      </w:r>
      <w:r w:rsidRPr="00424274">
        <w:t xml:space="preserve"> in ji</w:t>
      </w:r>
      <w:r>
        <w:t>h obravnaval v skladu z ZPPDFT-</w:t>
      </w:r>
      <w:r w:rsidR="00745A21">
        <w:t>1</w:t>
      </w:r>
      <w:r w:rsidRPr="00424274">
        <w:t xml:space="preserve">. Obravnavane prijave </w:t>
      </w:r>
      <w:r w:rsidR="00CA44B9">
        <w:t>so</w:t>
      </w:r>
      <w:r w:rsidRPr="00424274">
        <w:t xml:space="preserve"> skupaj s prime</w:t>
      </w:r>
      <w:r>
        <w:t>rjalnimi podatki za obdobje 2017–2021</w:t>
      </w:r>
      <w:r w:rsidRPr="00424274">
        <w:t xml:space="preserve"> v poročilu </w:t>
      </w:r>
      <w:r w:rsidR="00CA44B9">
        <w:t>razvrščene</w:t>
      </w:r>
      <w:r w:rsidRPr="00424274">
        <w:t xml:space="preserve"> glede na:</w:t>
      </w:r>
    </w:p>
    <w:p w14:paraId="0529CF35" w14:textId="2F5C6443" w:rsidR="00B65A09" w:rsidRPr="00D52972" w:rsidRDefault="00B65A09" w:rsidP="007A689C">
      <w:pPr>
        <w:pStyle w:val="Odstavekseznama"/>
        <w:ind w:left="851" w:hanging="284"/>
      </w:pPr>
      <w:r w:rsidRPr="00D52972">
        <w:t>prijavitelje,</w:t>
      </w:r>
    </w:p>
    <w:p w14:paraId="2FFEC539" w14:textId="1C9EDDD7" w:rsidR="00B65A09" w:rsidRPr="00D52972" w:rsidRDefault="00B65A09" w:rsidP="007A689C">
      <w:pPr>
        <w:pStyle w:val="Odstavekseznama"/>
        <w:ind w:left="851" w:hanging="284"/>
      </w:pPr>
      <w:r w:rsidRPr="00D52972">
        <w:t>število in dinamiko odprtih in zaključenih zadev,</w:t>
      </w:r>
    </w:p>
    <w:p w14:paraId="5BE0F28C" w14:textId="3114E80E" w:rsidR="00B65A09" w:rsidRPr="00D52972" w:rsidRDefault="00B65A09" w:rsidP="007A689C">
      <w:pPr>
        <w:pStyle w:val="Odstavekseznama"/>
        <w:ind w:left="851" w:hanging="284"/>
      </w:pPr>
      <w:r w:rsidRPr="00D52972">
        <w:t>zadeve, poslane Upravi kriminalistične policije na Ministrstvu za notranje zadeve (v nadaljevanju: UKP MNZ) zaradi razlogov za sum pranja denarja,</w:t>
      </w:r>
    </w:p>
    <w:p w14:paraId="5FC5D2B4" w14:textId="563C5449" w:rsidR="00B65A09" w:rsidRPr="00D52972" w:rsidRDefault="00B65A09" w:rsidP="007A689C">
      <w:pPr>
        <w:pStyle w:val="Odstavekseznama"/>
        <w:ind w:left="851" w:hanging="284"/>
      </w:pPr>
      <w:r w:rsidRPr="00D52972">
        <w:t>zadeve, poslane UKP MNZ zaradi razlogov za sum financiranja terorizma,</w:t>
      </w:r>
    </w:p>
    <w:p w14:paraId="4331282B" w14:textId="6001C442" w:rsidR="00B65A09" w:rsidRPr="00D52972" w:rsidRDefault="00B65A09" w:rsidP="007A689C">
      <w:pPr>
        <w:pStyle w:val="Odstavekseznama"/>
        <w:ind w:left="851" w:hanging="284"/>
      </w:pPr>
      <w:r w:rsidRPr="00D52972">
        <w:t>zadeve, poslane UKP MNZ in drugim pristojnim državnim organom zaradi suma storitve določenih drugih kaznivih dejanj,</w:t>
      </w:r>
    </w:p>
    <w:p w14:paraId="4FDEDF39" w14:textId="66C96647" w:rsidR="00B65A09" w:rsidRPr="00D52972" w:rsidRDefault="00B65A09" w:rsidP="007A689C">
      <w:pPr>
        <w:pStyle w:val="Odstavekseznama"/>
        <w:ind w:left="851" w:hanging="284"/>
      </w:pPr>
      <w:r w:rsidRPr="00D52972">
        <w:t>izvajanje pooblastila za začasno ustavitev izvršitve transakcije,</w:t>
      </w:r>
    </w:p>
    <w:p w14:paraId="3426733C" w14:textId="23A615D4" w:rsidR="00B65A09" w:rsidRPr="00D52972" w:rsidRDefault="00B65A09" w:rsidP="007A689C">
      <w:pPr>
        <w:pStyle w:val="Odstavekseznama"/>
        <w:ind w:left="851" w:hanging="284"/>
      </w:pPr>
      <w:r w:rsidRPr="00D52972">
        <w:t>vrednost začasno zaseženega umazanega denarja in premoženja,</w:t>
      </w:r>
    </w:p>
    <w:p w14:paraId="52CABCBD" w14:textId="6344EC9B" w:rsidR="00B65A09" w:rsidRDefault="00B65A09" w:rsidP="009754F7">
      <w:pPr>
        <w:pStyle w:val="Odstavekseznama"/>
        <w:ind w:left="851" w:hanging="284"/>
      </w:pPr>
      <w:r w:rsidRPr="00D52972">
        <w:t>tipologijo sumljivih transakcij.</w:t>
      </w:r>
    </w:p>
    <w:p w14:paraId="6635E739" w14:textId="3CF46BA5" w:rsidR="009754F7" w:rsidRDefault="009754F7" w:rsidP="009754F7">
      <w:pPr>
        <w:pStyle w:val="Odstavekseznama"/>
        <w:numPr>
          <w:ilvl w:val="0"/>
          <w:numId w:val="0"/>
        </w:numPr>
        <w:ind w:left="851"/>
      </w:pPr>
    </w:p>
    <w:p w14:paraId="07D26F0A" w14:textId="77777777" w:rsidR="009754F7" w:rsidRDefault="009754F7" w:rsidP="009754F7">
      <w:pPr>
        <w:pStyle w:val="Odstavekseznama"/>
        <w:numPr>
          <w:ilvl w:val="0"/>
          <w:numId w:val="0"/>
        </w:numPr>
        <w:ind w:left="851"/>
      </w:pPr>
    </w:p>
    <w:p w14:paraId="5411F379" w14:textId="77777777" w:rsidR="00CA44B9" w:rsidRDefault="00CA44B9" w:rsidP="007A689C">
      <w:pPr>
        <w:ind w:left="851" w:hanging="284"/>
      </w:pPr>
    </w:p>
    <w:p w14:paraId="46B780F7" w14:textId="22AB7781" w:rsidR="00B65A09" w:rsidRDefault="00B65A09" w:rsidP="00B65A09">
      <w:pPr>
        <w:pStyle w:val="Naslov3"/>
      </w:pPr>
      <w:bookmarkStart w:id="12" w:name="_Toc119581684"/>
      <w:r>
        <w:lastRenderedPageBreak/>
        <w:t>Prijavitelji</w:t>
      </w:r>
      <w:bookmarkEnd w:id="12"/>
    </w:p>
    <w:p w14:paraId="08DB6990" w14:textId="77777777" w:rsidR="00B65A09" w:rsidRDefault="00B65A09" w:rsidP="00B65A09"/>
    <w:p w14:paraId="3AEA2BA2" w14:textId="24B853C3" w:rsidR="00C44C01" w:rsidRDefault="00AD7A14" w:rsidP="0017540B">
      <w:pPr>
        <w:spacing w:line="276" w:lineRule="auto"/>
        <w:ind w:right="-22"/>
      </w:pPr>
      <w:r w:rsidRPr="00C92D06">
        <w:rPr>
          <w:color w:val="000000" w:themeColor="text1"/>
        </w:rPr>
        <w:t>Podrobnejš</w:t>
      </w:r>
      <w:r w:rsidR="000E41FC">
        <w:rPr>
          <w:color w:val="000000" w:themeColor="text1"/>
        </w:rPr>
        <w:t>i</w:t>
      </w:r>
      <w:r w:rsidRPr="00C92D06">
        <w:rPr>
          <w:color w:val="000000" w:themeColor="text1"/>
        </w:rPr>
        <w:t xml:space="preserve"> podatk</w:t>
      </w:r>
      <w:r w:rsidR="000E41FC">
        <w:rPr>
          <w:color w:val="000000" w:themeColor="text1"/>
        </w:rPr>
        <w:t>i</w:t>
      </w:r>
      <w:r w:rsidRPr="00C92D06">
        <w:rPr>
          <w:color w:val="000000" w:themeColor="text1"/>
        </w:rPr>
        <w:t xml:space="preserve"> o prijaviteljih sumljivih transakcij in osebah, na podlagi katerih </w:t>
      </w:r>
      <w:r w:rsidR="00AA0051">
        <w:rPr>
          <w:color w:val="000000" w:themeColor="text1"/>
        </w:rPr>
        <w:t>so bile</w:t>
      </w:r>
      <w:r w:rsidRPr="00C92D06">
        <w:rPr>
          <w:color w:val="000000" w:themeColor="text1"/>
        </w:rPr>
        <w:t xml:space="preserve"> v uradu leta 2021 </w:t>
      </w:r>
      <w:r w:rsidR="00AA0051">
        <w:rPr>
          <w:color w:val="000000" w:themeColor="text1"/>
        </w:rPr>
        <w:t>odprte in obravnavane</w:t>
      </w:r>
      <w:r w:rsidRPr="00C92D06">
        <w:rPr>
          <w:color w:val="000000" w:themeColor="text1"/>
        </w:rPr>
        <w:t xml:space="preserve"> posamezne prijave, </w:t>
      </w:r>
      <w:r w:rsidR="00AA0051">
        <w:rPr>
          <w:color w:val="000000" w:themeColor="text1"/>
        </w:rPr>
        <w:t>so prikazan</w:t>
      </w:r>
      <w:r w:rsidR="000E41FC">
        <w:rPr>
          <w:color w:val="000000" w:themeColor="text1"/>
        </w:rPr>
        <w:t>i</w:t>
      </w:r>
      <w:r w:rsidRPr="00C92D06">
        <w:rPr>
          <w:color w:val="000000" w:themeColor="text1"/>
        </w:rPr>
        <w:t xml:space="preserve"> v nadaljevanju, kjer so zaradi medletne primerjave nave</w:t>
      </w:r>
      <w:r w:rsidR="00AA0051">
        <w:rPr>
          <w:color w:val="000000" w:themeColor="text1"/>
        </w:rPr>
        <w:t>deni</w:t>
      </w:r>
      <w:r w:rsidRPr="00C92D06">
        <w:rPr>
          <w:color w:val="000000" w:themeColor="text1"/>
        </w:rPr>
        <w:t xml:space="preserve"> tudi podatk</w:t>
      </w:r>
      <w:r w:rsidR="00AA0051">
        <w:rPr>
          <w:color w:val="000000" w:themeColor="text1"/>
        </w:rPr>
        <w:t>i</w:t>
      </w:r>
      <w:r w:rsidRPr="00C92D06">
        <w:rPr>
          <w:color w:val="000000" w:themeColor="text1"/>
        </w:rPr>
        <w:t xml:space="preserve"> o prijavah</w:t>
      </w:r>
      <w:r w:rsidRPr="00993DF4">
        <w:rPr>
          <w:color w:val="00B050"/>
        </w:rPr>
        <w:t xml:space="preserve"> </w:t>
      </w:r>
      <w:r>
        <w:t>od leta 2017</w:t>
      </w:r>
      <w:r w:rsidRPr="00424274">
        <w:t xml:space="preserve"> </w:t>
      </w:r>
      <w:r>
        <w:t>naprej</w:t>
      </w:r>
      <w:r w:rsidRPr="00424274">
        <w:t>, pri čemer</w:t>
      </w:r>
      <w:r w:rsidR="00AA0051">
        <w:t xml:space="preserve"> so</w:t>
      </w:r>
      <w:r w:rsidRPr="00424274">
        <w:t xml:space="preserve"> od leta 2018 </w:t>
      </w:r>
      <w:r>
        <w:t>naprej</w:t>
      </w:r>
      <w:r w:rsidRPr="00424274">
        <w:t xml:space="preserve"> ločeno prikaz</w:t>
      </w:r>
      <w:r w:rsidR="00AA0051">
        <w:t>ani</w:t>
      </w:r>
      <w:r w:rsidRPr="00424274">
        <w:t xml:space="preserve"> podatk</w:t>
      </w:r>
      <w:r w:rsidR="00685030">
        <w:t>i</w:t>
      </w:r>
      <w:r w:rsidRPr="00424274">
        <w:t xml:space="preserve"> o prijavah, ki so se nanašal</w:t>
      </w:r>
      <w:r w:rsidR="00C44C01">
        <w:t>e</w:t>
      </w:r>
      <w:r w:rsidRPr="00424274">
        <w:t xml:space="preserve"> na pranje denarja in financiranje terorizma. V spodnji </w:t>
      </w:r>
      <w:r>
        <w:t>preglednici</w:t>
      </w:r>
      <w:r w:rsidRPr="00424274">
        <w:t xml:space="preserve"> so zajeti tisti prijavitelji, ki so izrecno določeni v ZPPDFT-</w:t>
      </w:r>
      <w:r w:rsidR="00F70CFC">
        <w:t>1</w:t>
      </w:r>
      <w:r w:rsidRPr="00424274">
        <w:t xml:space="preserve">, saj lahko </w:t>
      </w:r>
      <w:r>
        <w:t>u</w:t>
      </w:r>
      <w:r w:rsidRPr="00424274">
        <w:t xml:space="preserve">rad samo na podlagi takih zaznav </w:t>
      </w:r>
      <w:r w:rsidR="00C44C01">
        <w:t>obravnava</w:t>
      </w:r>
      <w:r w:rsidRPr="00424274">
        <w:t xml:space="preserve"> določeno zadevo in izvaja svoja pooblastila</w:t>
      </w:r>
      <w:r w:rsidR="00F70CFC">
        <w:t>.</w:t>
      </w:r>
    </w:p>
    <w:p w14:paraId="4E72363B" w14:textId="77777777" w:rsidR="000E41FC" w:rsidRPr="0017540B" w:rsidRDefault="000E41FC" w:rsidP="0017540B">
      <w:pPr>
        <w:spacing w:line="276" w:lineRule="auto"/>
        <w:ind w:right="-22"/>
      </w:pPr>
    </w:p>
    <w:p w14:paraId="22DC2231" w14:textId="1B72D23E" w:rsidR="00AD7A14" w:rsidRPr="00947066" w:rsidRDefault="00AD7A14" w:rsidP="00D22B13">
      <w:pPr>
        <w:spacing w:line="276" w:lineRule="auto"/>
        <w:ind w:left="851" w:right="-22" w:hanging="851"/>
        <w:rPr>
          <w:i/>
          <w:iCs/>
          <w:sz w:val="18"/>
          <w:szCs w:val="18"/>
        </w:rPr>
      </w:pPr>
      <w:r w:rsidRPr="00947066">
        <w:rPr>
          <w:i/>
          <w:iCs/>
          <w:sz w:val="18"/>
          <w:szCs w:val="18"/>
        </w:rPr>
        <w:t>Preglednica 4: Število in delež zadev po prijaviteljih v obdobju 2017–2021</w:t>
      </w:r>
    </w:p>
    <w:tbl>
      <w:tblPr>
        <w:tblStyle w:val="Tabelatemnamrea5poudarek5"/>
        <w:tblW w:w="9214" w:type="dxa"/>
        <w:tblLayout w:type="fixed"/>
        <w:tblLook w:val="04A0" w:firstRow="1" w:lastRow="0" w:firstColumn="1" w:lastColumn="0" w:noHBand="0" w:noVBand="1"/>
      </w:tblPr>
      <w:tblGrid>
        <w:gridCol w:w="2409"/>
        <w:gridCol w:w="1134"/>
        <w:gridCol w:w="709"/>
        <w:gridCol w:w="709"/>
        <w:gridCol w:w="709"/>
        <w:gridCol w:w="709"/>
        <w:gridCol w:w="709"/>
        <w:gridCol w:w="709"/>
        <w:gridCol w:w="709"/>
        <w:gridCol w:w="708"/>
      </w:tblGrid>
      <w:tr w:rsidR="00A9101E" w:rsidRPr="00A9101E" w14:paraId="7172F2B1" w14:textId="77777777" w:rsidTr="00432301">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409" w:type="dxa"/>
            <w:noWrap/>
          </w:tcPr>
          <w:p w14:paraId="09D7515D" w14:textId="77777777" w:rsidR="00947066" w:rsidRPr="00A9101E" w:rsidRDefault="00947066" w:rsidP="00F569C7">
            <w:pPr>
              <w:spacing w:line="360" w:lineRule="auto"/>
              <w:jc w:val="left"/>
              <w:rPr>
                <w:color w:val="auto"/>
                <w:sz w:val="14"/>
                <w:szCs w:val="14"/>
                <w:lang w:eastAsia="sl-SI"/>
              </w:rPr>
            </w:pPr>
          </w:p>
        </w:tc>
        <w:tc>
          <w:tcPr>
            <w:tcW w:w="1134" w:type="dxa"/>
          </w:tcPr>
          <w:p w14:paraId="2459216C" w14:textId="304D41C5" w:rsidR="00947066" w:rsidRPr="00A9101E" w:rsidRDefault="00947066" w:rsidP="00F569C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14"/>
                <w:szCs w:val="14"/>
                <w:lang w:eastAsia="sl-SI"/>
              </w:rPr>
            </w:pPr>
            <w:r w:rsidRPr="00A9101E">
              <w:rPr>
                <w:b w:val="0"/>
                <w:bCs w:val="0"/>
                <w:color w:val="auto"/>
                <w:sz w:val="14"/>
                <w:szCs w:val="14"/>
                <w:lang w:eastAsia="sl-SI"/>
              </w:rPr>
              <w:t>2017</w:t>
            </w:r>
          </w:p>
        </w:tc>
        <w:tc>
          <w:tcPr>
            <w:tcW w:w="709" w:type="dxa"/>
          </w:tcPr>
          <w:p w14:paraId="0A63EE66" w14:textId="35E72E7C" w:rsidR="00947066" w:rsidRPr="00A9101E" w:rsidRDefault="00947066" w:rsidP="00F569C7">
            <w:pPr>
              <w:spacing w:line="360" w:lineRule="auto"/>
              <w:jc w:val="right"/>
              <w:cnfStyle w:val="100000000000" w:firstRow="1" w:lastRow="0" w:firstColumn="0" w:lastColumn="0" w:oddVBand="0" w:evenVBand="0" w:oddHBand="0" w:evenHBand="0" w:firstRowFirstColumn="0" w:firstRowLastColumn="0" w:lastRowFirstColumn="0" w:lastRowLastColumn="0"/>
              <w:rPr>
                <w:b w:val="0"/>
                <w:bCs w:val="0"/>
                <w:color w:val="auto"/>
                <w:sz w:val="14"/>
                <w:szCs w:val="14"/>
                <w:lang w:eastAsia="sl-SI"/>
              </w:rPr>
            </w:pPr>
            <w:r w:rsidRPr="00A9101E">
              <w:rPr>
                <w:b w:val="0"/>
                <w:bCs w:val="0"/>
                <w:color w:val="auto"/>
                <w:sz w:val="14"/>
                <w:szCs w:val="14"/>
                <w:lang w:eastAsia="sl-SI"/>
              </w:rPr>
              <w:t>2018</w:t>
            </w:r>
          </w:p>
        </w:tc>
        <w:tc>
          <w:tcPr>
            <w:tcW w:w="709" w:type="dxa"/>
          </w:tcPr>
          <w:p w14:paraId="36BD8171" w14:textId="77777777" w:rsidR="00947066" w:rsidRPr="00A9101E" w:rsidRDefault="00947066" w:rsidP="00F569C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14"/>
                <w:szCs w:val="14"/>
                <w:lang w:eastAsia="sl-SI"/>
              </w:rPr>
            </w:pPr>
          </w:p>
        </w:tc>
        <w:tc>
          <w:tcPr>
            <w:tcW w:w="709" w:type="dxa"/>
          </w:tcPr>
          <w:p w14:paraId="1F1BA358" w14:textId="6E2DEF40" w:rsidR="00947066" w:rsidRPr="00A9101E" w:rsidRDefault="00947066" w:rsidP="00F569C7">
            <w:pPr>
              <w:spacing w:line="360" w:lineRule="auto"/>
              <w:jc w:val="right"/>
              <w:cnfStyle w:val="100000000000" w:firstRow="1" w:lastRow="0" w:firstColumn="0" w:lastColumn="0" w:oddVBand="0" w:evenVBand="0" w:oddHBand="0" w:evenHBand="0" w:firstRowFirstColumn="0" w:firstRowLastColumn="0" w:lastRowFirstColumn="0" w:lastRowLastColumn="0"/>
              <w:rPr>
                <w:b w:val="0"/>
                <w:bCs w:val="0"/>
                <w:color w:val="auto"/>
                <w:sz w:val="14"/>
                <w:szCs w:val="14"/>
                <w:lang w:eastAsia="sl-SI"/>
              </w:rPr>
            </w:pPr>
            <w:r w:rsidRPr="00A9101E">
              <w:rPr>
                <w:b w:val="0"/>
                <w:bCs w:val="0"/>
                <w:color w:val="auto"/>
                <w:sz w:val="14"/>
                <w:szCs w:val="14"/>
                <w:lang w:eastAsia="sl-SI"/>
              </w:rPr>
              <w:t>2019</w:t>
            </w:r>
          </w:p>
        </w:tc>
        <w:tc>
          <w:tcPr>
            <w:tcW w:w="709" w:type="dxa"/>
          </w:tcPr>
          <w:p w14:paraId="025631E7" w14:textId="77777777" w:rsidR="00947066" w:rsidRPr="00A9101E" w:rsidRDefault="00947066" w:rsidP="00F569C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14"/>
                <w:szCs w:val="14"/>
                <w:lang w:eastAsia="sl-SI"/>
              </w:rPr>
            </w:pPr>
          </w:p>
        </w:tc>
        <w:tc>
          <w:tcPr>
            <w:tcW w:w="709" w:type="dxa"/>
          </w:tcPr>
          <w:p w14:paraId="3FC5109B" w14:textId="3ADB600B" w:rsidR="00947066" w:rsidRPr="00A9101E" w:rsidRDefault="00947066" w:rsidP="00F569C7">
            <w:pPr>
              <w:spacing w:line="360" w:lineRule="auto"/>
              <w:jc w:val="right"/>
              <w:cnfStyle w:val="100000000000" w:firstRow="1" w:lastRow="0" w:firstColumn="0" w:lastColumn="0" w:oddVBand="0" w:evenVBand="0" w:oddHBand="0" w:evenHBand="0" w:firstRowFirstColumn="0" w:firstRowLastColumn="0" w:lastRowFirstColumn="0" w:lastRowLastColumn="0"/>
              <w:rPr>
                <w:b w:val="0"/>
                <w:bCs w:val="0"/>
                <w:color w:val="auto"/>
                <w:sz w:val="14"/>
                <w:szCs w:val="14"/>
                <w:lang w:eastAsia="sl-SI"/>
              </w:rPr>
            </w:pPr>
            <w:r w:rsidRPr="00A9101E">
              <w:rPr>
                <w:b w:val="0"/>
                <w:bCs w:val="0"/>
                <w:color w:val="auto"/>
                <w:sz w:val="14"/>
                <w:szCs w:val="14"/>
                <w:lang w:eastAsia="sl-SI"/>
              </w:rPr>
              <w:t>2020</w:t>
            </w:r>
          </w:p>
        </w:tc>
        <w:tc>
          <w:tcPr>
            <w:tcW w:w="709" w:type="dxa"/>
          </w:tcPr>
          <w:p w14:paraId="061AF22A" w14:textId="77777777" w:rsidR="00947066" w:rsidRPr="00A9101E" w:rsidRDefault="00947066" w:rsidP="00F569C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14"/>
                <w:szCs w:val="14"/>
                <w:lang w:eastAsia="sl-SI"/>
              </w:rPr>
            </w:pPr>
          </w:p>
        </w:tc>
        <w:tc>
          <w:tcPr>
            <w:tcW w:w="709" w:type="dxa"/>
          </w:tcPr>
          <w:p w14:paraId="52C8F64B" w14:textId="0B42BDC5" w:rsidR="00947066" w:rsidRPr="00A9101E" w:rsidRDefault="00947066" w:rsidP="00F569C7">
            <w:pPr>
              <w:spacing w:line="360" w:lineRule="auto"/>
              <w:jc w:val="right"/>
              <w:cnfStyle w:val="100000000000" w:firstRow="1" w:lastRow="0" w:firstColumn="0" w:lastColumn="0" w:oddVBand="0" w:evenVBand="0" w:oddHBand="0" w:evenHBand="0" w:firstRowFirstColumn="0" w:firstRowLastColumn="0" w:lastRowFirstColumn="0" w:lastRowLastColumn="0"/>
              <w:rPr>
                <w:b w:val="0"/>
                <w:bCs w:val="0"/>
                <w:color w:val="auto"/>
                <w:sz w:val="14"/>
                <w:szCs w:val="14"/>
                <w:lang w:eastAsia="sl-SI"/>
              </w:rPr>
            </w:pPr>
            <w:r w:rsidRPr="00A9101E">
              <w:rPr>
                <w:b w:val="0"/>
                <w:bCs w:val="0"/>
                <w:color w:val="auto"/>
                <w:sz w:val="14"/>
                <w:szCs w:val="14"/>
                <w:lang w:eastAsia="sl-SI"/>
              </w:rPr>
              <w:t>2021</w:t>
            </w:r>
          </w:p>
        </w:tc>
        <w:tc>
          <w:tcPr>
            <w:tcW w:w="708" w:type="dxa"/>
          </w:tcPr>
          <w:p w14:paraId="029D8E91" w14:textId="77777777" w:rsidR="00947066" w:rsidRPr="00A9101E" w:rsidRDefault="00947066" w:rsidP="00F569C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14"/>
                <w:szCs w:val="14"/>
                <w:lang w:eastAsia="sl-SI"/>
              </w:rPr>
            </w:pPr>
          </w:p>
        </w:tc>
      </w:tr>
      <w:tr w:rsidR="00947066" w:rsidRPr="001F481F" w14:paraId="0A9614CB" w14:textId="77777777" w:rsidTr="00432301">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409" w:type="dxa"/>
            <w:noWrap/>
          </w:tcPr>
          <w:p w14:paraId="6A9014AB" w14:textId="77777777" w:rsidR="00947066" w:rsidRPr="00A9101E" w:rsidRDefault="00947066" w:rsidP="00F569C7">
            <w:pPr>
              <w:spacing w:line="360" w:lineRule="auto"/>
              <w:jc w:val="left"/>
              <w:rPr>
                <w:color w:val="auto"/>
                <w:sz w:val="14"/>
                <w:szCs w:val="14"/>
                <w:lang w:eastAsia="sl-SI"/>
              </w:rPr>
            </w:pPr>
          </w:p>
        </w:tc>
        <w:tc>
          <w:tcPr>
            <w:tcW w:w="1134" w:type="dxa"/>
          </w:tcPr>
          <w:p w14:paraId="3475C587" w14:textId="78BFA83F" w:rsidR="00947066" w:rsidRPr="00947066" w:rsidRDefault="00947066"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947066">
              <w:rPr>
                <w:b/>
                <w:bCs/>
                <w:sz w:val="14"/>
                <w:szCs w:val="14"/>
                <w:lang w:eastAsia="sl-SI"/>
              </w:rPr>
              <w:t>PD</w:t>
            </w:r>
          </w:p>
        </w:tc>
        <w:tc>
          <w:tcPr>
            <w:tcW w:w="709" w:type="dxa"/>
          </w:tcPr>
          <w:p w14:paraId="2527AAFB" w14:textId="513650F9" w:rsidR="00947066" w:rsidRPr="00947066" w:rsidRDefault="00947066"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947066">
              <w:rPr>
                <w:b/>
                <w:bCs/>
                <w:sz w:val="14"/>
                <w:szCs w:val="14"/>
                <w:lang w:eastAsia="sl-SI"/>
              </w:rPr>
              <w:t>PD</w:t>
            </w:r>
          </w:p>
        </w:tc>
        <w:tc>
          <w:tcPr>
            <w:tcW w:w="709" w:type="dxa"/>
          </w:tcPr>
          <w:p w14:paraId="7DD717FA" w14:textId="7C535AFE" w:rsidR="00947066" w:rsidRPr="00947066" w:rsidRDefault="00947066"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947066">
              <w:rPr>
                <w:b/>
                <w:bCs/>
                <w:sz w:val="14"/>
                <w:szCs w:val="14"/>
                <w:lang w:eastAsia="sl-SI"/>
              </w:rPr>
              <w:t>FT</w:t>
            </w:r>
          </w:p>
        </w:tc>
        <w:tc>
          <w:tcPr>
            <w:tcW w:w="709" w:type="dxa"/>
          </w:tcPr>
          <w:p w14:paraId="3FBFC5E2" w14:textId="5CB08259" w:rsidR="00947066" w:rsidRPr="00947066" w:rsidRDefault="00947066"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947066">
              <w:rPr>
                <w:b/>
                <w:bCs/>
                <w:sz w:val="14"/>
                <w:szCs w:val="14"/>
                <w:lang w:eastAsia="sl-SI"/>
              </w:rPr>
              <w:t>PD</w:t>
            </w:r>
          </w:p>
        </w:tc>
        <w:tc>
          <w:tcPr>
            <w:tcW w:w="709" w:type="dxa"/>
          </w:tcPr>
          <w:p w14:paraId="3B1756E1" w14:textId="6AC59179" w:rsidR="00947066" w:rsidRPr="00947066" w:rsidRDefault="00947066"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947066">
              <w:rPr>
                <w:b/>
                <w:bCs/>
                <w:sz w:val="14"/>
                <w:szCs w:val="14"/>
                <w:lang w:eastAsia="sl-SI"/>
              </w:rPr>
              <w:t>FT</w:t>
            </w:r>
          </w:p>
        </w:tc>
        <w:tc>
          <w:tcPr>
            <w:tcW w:w="709" w:type="dxa"/>
          </w:tcPr>
          <w:p w14:paraId="096CBF2C" w14:textId="73977547" w:rsidR="00947066" w:rsidRPr="00947066" w:rsidRDefault="00947066"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947066">
              <w:rPr>
                <w:b/>
                <w:bCs/>
                <w:sz w:val="14"/>
                <w:szCs w:val="14"/>
                <w:lang w:eastAsia="sl-SI"/>
              </w:rPr>
              <w:t>PD</w:t>
            </w:r>
          </w:p>
        </w:tc>
        <w:tc>
          <w:tcPr>
            <w:tcW w:w="709" w:type="dxa"/>
          </w:tcPr>
          <w:p w14:paraId="2BEEAEC3" w14:textId="5258870B" w:rsidR="00947066" w:rsidRPr="00947066" w:rsidRDefault="00947066"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947066">
              <w:rPr>
                <w:b/>
                <w:bCs/>
                <w:sz w:val="14"/>
                <w:szCs w:val="14"/>
                <w:lang w:eastAsia="sl-SI"/>
              </w:rPr>
              <w:t>FT</w:t>
            </w:r>
          </w:p>
        </w:tc>
        <w:tc>
          <w:tcPr>
            <w:tcW w:w="709" w:type="dxa"/>
          </w:tcPr>
          <w:p w14:paraId="7EB33605" w14:textId="51EB2BC0" w:rsidR="00947066" w:rsidRPr="00947066" w:rsidRDefault="00947066"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947066">
              <w:rPr>
                <w:b/>
                <w:bCs/>
                <w:sz w:val="14"/>
                <w:szCs w:val="14"/>
                <w:lang w:eastAsia="sl-SI"/>
              </w:rPr>
              <w:t>PD</w:t>
            </w:r>
          </w:p>
        </w:tc>
        <w:tc>
          <w:tcPr>
            <w:tcW w:w="708" w:type="dxa"/>
          </w:tcPr>
          <w:p w14:paraId="3C2C4D16" w14:textId="2DB2C7D9" w:rsidR="00947066" w:rsidRPr="00947066" w:rsidRDefault="00947066"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947066">
              <w:rPr>
                <w:b/>
                <w:bCs/>
                <w:sz w:val="14"/>
                <w:szCs w:val="14"/>
                <w:lang w:eastAsia="sl-SI"/>
              </w:rPr>
              <w:t>FT</w:t>
            </w:r>
          </w:p>
        </w:tc>
      </w:tr>
      <w:tr w:rsidR="00947066" w:rsidRPr="001F481F" w14:paraId="52F22C53" w14:textId="77777777" w:rsidTr="00432301">
        <w:trPr>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78EA9C0D" w14:textId="09999703" w:rsidR="00947066" w:rsidRPr="00A9101E" w:rsidRDefault="00947066" w:rsidP="00F569C7">
            <w:pPr>
              <w:spacing w:line="360" w:lineRule="auto"/>
              <w:jc w:val="left"/>
              <w:rPr>
                <w:color w:val="auto"/>
                <w:sz w:val="14"/>
                <w:szCs w:val="14"/>
                <w:lang w:eastAsia="sl-SI"/>
              </w:rPr>
            </w:pPr>
            <w:r w:rsidRPr="00A9101E">
              <w:rPr>
                <w:color w:val="auto"/>
                <w:sz w:val="14"/>
                <w:szCs w:val="14"/>
                <w:lang w:eastAsia="sl-SI"/>
              </w:rPr>
              <w:t>1. PRIJAVE ZAVEZANCEV</w:t>
            </w:r>
          </w:p>
          <w:p w14:paraId="3C1CC492" w14:textId="5B71A452" w:rsidR="00947066" w:rsidRPr="00A9101E" w:rsidRDefault="00947066" w:rsidP="00F569C7">
            <w:pPr>
              <w:spacing w:line="360" w:lineRule="auto"/>
              <w:jc w:val="left"/>
              <w:rPr>
                <w:color w:val="auto"/>
                <w:sz w:val="14"/>
                <w:szCs w:val="14"/>
                <w:lang w:eastAsia="sl-SI"/>
              </w:rPr>
            </w:pPr>
            <w:r w:rsidRPr="00A9101E">
              <w:rPr>
                <w:color w:val="auto"/>
                <w:sz w:val="14"/>
                <w:szCs w:val="14"/>
                <w:lang w:eastAsia="sl-SI"/>
              </w:rPr>
              <w:t> </w:t>
            </w:r>
          </w:p>
        </w:tc>
        <w:tc>
          <w:tcPr>
            <w:tcW w:w="1134" w:type="dxa"/>
            <w:hideMark/>
          </w:tcPr>
          <w:p w14:paraId="36ADFA31" w14:textId="77777777" w:rsidR="00947066" w:rsidRPr="00947066" w:rsidRDefault="00947066"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947066">
              <w:rPr>
                <w:b/>
                <w:bCs/>
                <w:sz w:val="14"/>
                <w:szCs w:val="14"/>
                <w:lang w:eastAsia="sl-SI"/>
              </w:rPr>
              <w:t>484</w:t>
            </w:r>
          </w:p>
        </w:tc>
        <w:tc>
          <w:tcPr>
            <w:tcW w:w="709" w:type="dxa"/>
            <w:hideMark/>
          </w:tcPr>
          <w:p w14:paraId="4B640BE2" w14:textId="77777777" w:rsidR="00947066" w:rsidRPr="00947066" w:rsidRDefault="00947066"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947066">
              <w:rPr>
                <w:b/>
                <w:bCs/>
                <w:sz w:val="14"/>
                <w:szCs w:val="14"/>
                <w:lang w:eastAsia="sl-SI"/>
              </w:rPr>
              <w:t>660</w:t>
            </w:r>
          </w:p>
        </w:tc>
        <w:tc>
          <w:tcPr>
            <w:tcW w:w="709" w:type="dxa"/>
            <w:hideMark/>
          </w:tcPr>
          <w:p w14:paraId="5828AE06" w14:textId="77777777" w:rsidR="00947066" w:rsidRPr="00947066" w:rsidRDefault="00947066"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947066">
              <w:rPr>
                <w:b/>
                <w:bCs/>
                <w:sz w:val="14"/>
                <w:szCs w:val="14"/>
                <w:lang w:eastAsia="sl-SI"/>
              </w:rPr>
              <w:t>25</w:t>
            </w:r>
          </w:p>
        </w:tc>
        <w:tc>
          <w:tcPr>
            <w:tcW w:w="709" w:type="dxa"/>
            <w:hideMark/>
          </w:tcPr>
          <w:p w14:paraId="2BA8FC9D" w14:textId="77777777" w:rsidR="00947066" w:rsidRPr="00947066" w:rsidRDefault="00947066"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947066">
              <w:rPr>
                <w:b/>
                <w:bCs/>
                <w:sz w:val="14"/>
                <w:szCs w:val="14"/>
                <w:lang w:eastAsia="sl-SI"/>
              </w:rPr>
              <w:t>889</w:t>
            </w:r>
          </w:p>
        </w:tc>
        <w:tc>
          <w:tcPr>
            <w:tcW w:w="709" w:type="dxa"/>
            <w:hideMark/>
          </w:tcPr>
          <w:p w14:paraId="0CEFE41C" w14:textId="77777777" w:rsidR="00947066" w:rsidRPr="00947066" w:rsidRDefault="00947066"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947066">
              <w:rPr>
                <w:b/>
                <w:bCs/>
                <w:sz w:val="14"/>
                <w:szCs w:val="14"/>
                <w:lang w:eastAsia="sl-SI"/>
              </w:rPr>
              <w:t>24</w:t>
            </w:r>
          </w:p>
        </w:tc>
        <w:tc>
          <w:tcPr>
            <w:tcW w:w="709" w:type="dxa"/>
            <w:hideMark/>
          </w:tcPr>
          <w:p w14:paraId="6A0ECE2D" w14:textId="77777777" w:rsidR="00947066" w:rsidRPr="00947066" w:rsidRDefault="00947066"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947066">
              <w:rPr>
                <w:b/>
                <w:bCs/>
                <w:sz w:val="14"/>
                <w:szCs w:val="14"/>
                <w:lang w:eastAsia="sl-SI"/>
              </w:rPr>
              <w:t>893</w:t>
            </w:r>
          </w:p>
        </w:tc>
        <w:tc>
          <w:tcPr>
            <w:tcW w:w="709" w:type="dxa"/>
            <w:hideMark/>
          </w:tcPr>
          <w:p w14:paraId="5508838A" w14:textId="77777777" w:rsidR="00947066" w:rsidRPr="00947066" w:rsidRDefault="00947066"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947066">
              <w:rPr>
                <w:b/>
                <w:bCs/>
                <w:sz w:val="14"/>
                <w:szCs w:val="14"/>
                <w:lang w:eastAsia="sl-SI"/>
              </w:rPr>
              <w:t>51</w:t>
            </w:r>
          </w:p>
        </w:tc>
        <w:tc>
          <w:tcPr>
            <w:tcW w:w="709" w:type="dxa"/>
            <w:hideMark/>
          </w:tcPr>
          <w:p w14:paraId="42AB3440" w14:textId="77777777" w:rsidR="00947066" w:rsidRPr="00947066" w:rsidRDefault="00947066"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947066">
              <w:rPr>
                <w:b/>
                <w:bCs/>
                <w:sz w:val="14"/>
                <w:szCs w:val="14"/>
                <w:lang w:eastAsia="sl-SI"/>
              </w:rPr>
              <w:t>860</w:t>
            </w:r>
          </w:p>
        </w:tc>
        <w:tc>
          <w:tcPr>
            <w:tcW w:w="708" w:type="dxa"/>
            <w:hideMark/>
          </w:tcPr>
          <w:p w14:paraId="3D006367" w14:textId="77777777" w:rsidR="00947066" w:rsidRPr="00947066" w:rsidRDefault="00947066"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947066">
              <w:rPr>
                <w:b/>
                <w:bCs/>
                <w:sz w:val="14"/>
                <w:szCs w:val="14"/>
                <w:lang w:eastAsia="sl-SI"/>
              </w:rPr>
              <w:t>19</w:t>
            </w:r>
          </w:p>
        </w:tc>
      </w:tr>
      <w:tr w:rsidR="00947066" w:rsidRPr="001F481F" w14:paraId="65093E6A" w14:textId="77777777" w:rsidTr="00432301">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2F9B580D" w14:textId="29E2B29B" w:rsidR="00947066" w:rsidRPr="00A9101E" w:rsidRDefault="00947066" w:rsidP="00F569C7">
            <w:pPr>
              <w:spacing w:line="360" w:lineRule="auto"/>
              <w:jc w:val="left"/>
              <w:rPr>
                <w:b w:val="0"/>
                <w:bCs w:val="0"/>
                <w:color w:val="auto"/>
                <w:sz w:val="14"/>
                <w:szCs w:val="14"/>
                <w:lang w:eastAsia="sl-SI"/>
              </w:rPr>
            </w:pPr>
          </w:p>
        </w:tc>
        <w:tc>
          <w:tcPr>
            <w:tcW w:w="1134" w:type="dxa"/>
            <w:hideMark/>
          </w:tcPr>
          <w:p w14:paraId="758DB3C6" w14:textId="77777777" w:rsidR="00947066" w:rsidRPr="001F481F" w:rsidRDefault="00947066"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86,74 %</w:t>
            </w:r>
          </w:p>
        </w:tc>
        <w:tc>
          <w:tcPr>
            <w:tcW w:w="709" w:type="dxa"/>
            <w:hideMark/>
          </w:tcPr>
          <w:p w14:paraId="5836B6F4" w14:textId="77777777" w:rsidR="00947066" w:rsidRPr="001F481F" w:rsidRDefault="00947066"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87,07 %</w:t>
            </w:r>
          </w:p>
        </w:tc>
        <w:tc>
          <w:tcPr>
            <w:tcW w:w="709" w:type="dxa"/>
            <w:hideMark/>
          </w:tcPr>
          <w:p w14:paraId="46158A94" w14:textId="77777777" w:rsidR="00947066" w:rsidRPr="001F481F" w:rsidRDefault="00947066"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86,21 %</w:t>
            </w:r>
          </w:p>
        </w:tc>
        <w:tc>
          <w:tcPr>
            <w:tcW w:w="709" w:type="dxa"/>
            <w:hideMark/>
          </w:tcPr>
          <w:p w14:paraId="437224BC" w14:textId="77777777" w:rsidR="00947066" w:rsidRPr="001F481F" w:rsidRDefault="00947066"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85,65 %</w:t>
            </w:r>
          </w:p>
        </w:tc>
        <w:tc>
          <w:tcPr>
            <w:tcW w:w="709" w:type="dxa"/>
            <w:hideMark/>
          </w:tcPr>
          <w:p w14:paraId="0CF81964" w14:textId="77777777" w:rsidR="00947066" w:rsidRPr="001F481F" w:rsidRDefault="00947066"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77,42 %</w:t>
            </w:r>
          </w:p>
        </w:tc>
        <w:tc>
          <w:tcPr>
            <w:tcW w:w="709" w:type="dxa"/>
            <w:hideMark/>
          </w:tcPr>
          <w:p w14:paraId="24F2C3AF" w14:textId="77777777" w:rsidR="00947066" w:rsidRPr="001F481F" w:rsidRDefault="00947066"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82,38 %</w:t>
            </w:r>
          </w:p>
        </w:tc>
        <w:tc>
          <w:tcPr>
            <w:tcW w:w="709" w:type="dxa"/>
            <w:hideMark/>
          </w:tcPr>
          <w:p w14:paraId="1049C673" w14:textId="77777777" w:rsidR="00947066" w:rsidRPr="001F481F" w:rsidRDefault="00947066"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96,23 %</w:t>
            </w:r>
          </w:p>
        </w:tc>
        <w:tc>
          <w:tcPr>
            <w:tcW w:w="709" w:type="dxa"/>
            <w:hideMark/>
          </w:tcPr>
          <w:p w14:paraId="794EF441" w14:textId="77777777" w:rsidR="00947066" w:rsidRPr="001F481F" w:rsidRDefault="00947066"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80,00 %</w:t>
            </w:r>
          </w:p>
        </w:tc>
        <w:tc>
          <w:tcPr>
            <w:tcW w:w="708" w:type="dxa"/>
            <w:hideMark/>
          </w:tcPr>
          <w:p w14:paraId="64FD5095" w14:textId="77777777" w:rsidR="00947066" w:rsidRPr="001F481F" w:rsidRDefault="00947066"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67,86 %</w:t>
            </w:r>
          </w:p>
        </w:tc>
      </w:tr>
      <w:tr w:rsidR="00947066" w:rsidRPr="001F481F" w14:paraId="2C59C340" w14:textId="77777777" w:rsidTr="00432301">
        <w:trPr>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2EAC63FE" w14:textId="77777777" w:rsidR="00C124DE" w:rsidRPr="00A9101E" w:rsidRDefault="00C124DE" w:rsidP="00F569C7">
            <w:pPr>
              <w:spacing w:line="360" w:lineRule="auto"/>
              <w:jc w:val="left"/>
              <w:rPr>
                <w:b w:val="0"/>
                <w:bCs w:val="0"/>
                <w:color w:val="auto"/>
                <w:sz w:val="14"/>
                <w:szCs w:val="14"/>
                <w:lang w:eastAsia="sl-SI"/>
              </w:rPr>
            </w:pPr>
            <w:r w:rsidRPr="00A9101E">
              <w:rPr>
                <w:b w:val="0"/>
                <w:bCs w:val="0"/>
                <w:color w:val="auto"/>
                <w:sz w:val="14"/>
                <w:szCs w:val="14"/>
                <w:lang w:eastAsia="sl-SI"/>
              </w:rPr>
              <w:t>Banke</w:t>
            </w:r>
          </w:p>
        </w:tc>
        <w:tc>
          <w:tcPr>
            <w:tcW w:w="1134" w:type="dxa"/>
            <w:hideMark/>
          </w:tcPr>
          <w:p w14:paraId="2684C7F0"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426</w:t>
            </w:r>
          </w:p>
        </w:tc>
        <w:tc>
          <w:tcPr>
            <w:tcW w:w="709" w:type="dxa"/>
            <w:hideMark/>
          </w:tcPr>
          <w:p w14:paraId="4EF712A9"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548</w:t>
            </w:r>
          </w:p>
        </w:tc>
        <w:tc>
          <w:tcPr>
            <w:tcW w:w="709" w:type="dxa"/>
            <w:hideMark/>
          </w:tcPr>
          <w:p w14:paraId="7793BA61"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18</w:t>
            </w:r>
          </w:p>
        </w:tc>
        <w:tc>
          <w:tcPr>
            <w:tcW w:w="709" w:type="dxa"/>
            <w:hideMark/>
          </w:tcPr>
          <w:p w14:paraId="79620509"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755</w:t>
            </w:r>
          </w:p>
        </w:tc>
        <w:tc>
          <w:tcPr>
            <w:tcW w:w="709" w:type="dxa"/>
            <w:hideMark/>
          </w:tcPr>
          <w:p w14:paraId="40681664"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8</w:t>
            </w:r>
          </w:p>
        </w:tc>
        <w:tc>
          <w:tcPr>
            <w:tcW w:w="709" w:type="dxa"/>
            <w:hideMark/>
          </w:tcPr>
          <w:p w14:paraId="742FD85C"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737</w:t>
            </w:r>
          </w:p>
        </w:tc>
        <w:tc>
          <w:tcPr>
            <w:tcW w:w="709" w:type="dxa"/>
            <w:hideMark/>
          </w:tcPr>
          <w:p w14:paraId="6A8C400C"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5</w:t>
            </w:r>
          </w:p>
        </w:tc>
        <w:tc>
          <w:tcPr>
            <w:tcW w:w="709" w:type="dxa"/>
            <w:noWrap/>
            <w:hideMark/>
          </w:tcPr>
          <w:p w14:paraId="21820BAA"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732</w:t>
            </w:r>
          </w:p>
        </w:tc>
        <w:tc>
          <w:tcPr>
            <w:tcW w:w="708" w:type="dxa"/>
            <w:noWrap/>
            <w:hideMark/>
          </w:tcPr>
          <w:p w14:paraId="1506438A"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6</w:t>
            </w:r>
          </w:p>
        </w:tc>
      </w:tr>
      <w:tr w:rsidR="00947066" w:rsidRPr="001F481F" w14:paraId="7CFAF0F2" w14:textId="77777777" w:rsidTr="00432301">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0AA437FC" w14:textId="77777777" w:rsidR="00C124DE" w:rsidRPr="00A9101E" w:rsidRDefault="00C124DE" w:rsidP="00F569C7">
            <w:pPr>
              <w:spacing w:line="360" w:lineRule="auto"/>
              <w:jc w:val="left"/>
              <w:rPr>
                <w:b w:val="0"/>
                <w:bCs w:val="0"/>
                <w:color w:val="auto"/>
                <w:sz w:val="14"/>
                <w:szCs w:val="14"/>
                <w:lang w:eastAsia="sl-SI"/>
              </w:rPr>
            </w:pPr>
            <w:r w:rsidRPr="00A9101E">
              <w:rPr>
                <w:b w:val="0"/>
                <w:bCs w:val="0"/>
                <w:color w:val="auto"/>
                <w:sz w:val="14"/>
                <w:szCs w:val="14"/>
                <w:lang w:eastAsia="sl-SI"/>
              </w:rPr>
              <w:t xml:space="preserve">Hranilnice </w:t>
            </w:r>
          </w:p>
        </w:tc>
        <w:tc>
          <w:tcPr>
            <w:tcW w:w="1134" w:type="dxa"/>
            <w:hideMark/>
          </w:tcPr>
          <w:p w14:paraId="590467D5"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28</w:t>
            </w:r>
          </w:p>
        </w:tc>
        <w:tc>
          <w:tcPr>
            <w:tcW w:w="709" w:type="dxa"/>
            <w:hideMark/>
          </w:tcPr>
          <w:p w14:paraId="19103371"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75</w:t>
            </w:r>
          </w:p>
        </w:tc>
        <w:tc>
          <w:tcPr>
            <w:tcW w:w="709" w:type="dxa"/>
            <w:hideMark/>
          </w:tcPr>
          <w:p w14:paraId="1D924075"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0EBF8A25"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84</w:t>
            </w:r>
          </w:p>
        </w:tc>
        <w:tc>
          <w:tcPr>
            <w:tcW w:w="709" w:type="dxa"/>
            <w:hideMark/>
          </w:tcPr>
          <w:p w14:paraId="65236569"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19F66149"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87</w:t>
            </w:r>
          </w:p>
        </w:tc>
        <w:tc>
          <w:tcPr>
            <w:tcW w:w="709" w:type="dxa"/>
            <w:hideMark/>
          </w:tcPr>
          <w:p w14:paraId="1BFEF5D4"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9" w:type="dxa"/>
            <w:noWrap/>
            <w:hideMark/>
          </w:tcPr>
          <w:p w14:paraId="1F29845C"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57</w:t>
            </w:r>
          </w:p>
        </w:tc>
        <w:tc>
          <w:tcPr>
            <w:tcW w:w="708" w:type="dxa"/>
            <w:noWrap/>
            <w:hideMark/>
          </w:tcPr>
          <w:p w14:paraId="16C775B2"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r>
      <w:tr w:rsidR="00947066" w:rsidRPr="001F481F" w14:paraId="1555D446" w14:textId="77777777" w:rsidTr="00432301">
        <w:trPr>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41FA7876" w14:textId="77777777" w:rsidR="00C124DE" w:rsidRPr="00A9101E" w:rsidRDefault="00C124DE" w:rsidP="00F569C7">
            <w:pPr>
              <w:spacing w:line="360" w:lineRule="auto"/>
              <w:jc w:val="left"/>
              <w:rPr>
                <w:b w:val="0"/>
                <w:bCs w:val="0"/>
                <w:color w:val="auto"/>
                <w:sz w:val="14"/>
                <w:szCs w:val="14"/>
                <w:lang w:eastAsia="sl-SI"/>
              </w:rPr>
            </w:pPr>
            <w:r w:rsidRPr="00A9101E">
              <w:rPr>
                <w:b w:val="0"/>
                <w:bCs w:val="0"/>
                <w:color w:val="auto"/>
                <w:sz w:val="14"/>
                <w:szCs w:val="14"/>
                <w:lang w:eastAsia="sl-SI"/>
              </w:rPr>
              <w:t>Pošta</w:t>
            </w:r>
          </w:p>
        </w:tc>
        <w:tc>
          <w:tcPr>
            <w:tcW w:w="1134" w:type="dxa"/>
            <w:hideMark/>
          </w:tcPr>
          <w:p w14:paraId="40EC2D25"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10</w:t>
            </w:r>
          </w:p>
        </w:tc>
        <w:tc>
          <w:tcPr>
            <w:tcW w:w="709" w:type="dxa"/>
            <w:hideMark/>
          </w:tcPr>
          <w:p w14:paraId="3F8CBBF5"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15</w:t>
            </w:r>
          </w:p>
        </w:tc>
        <w:tc>
          <w:tcPr>
            <w:tcW w:w="709" w:type="dxa"/>
            <w:hideMark/>
          </w:tcPr>
          <w:p w14:paraId="151385D7"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290248CC"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7</w:t>
            </w:r>
          </w:p>
        </w:tc>
        <w:tc>
          <w:tcPr>
            <w:tcW w:w="709" w:type="dxa"/>
            <w:hideMark/>
          </w:tcPr>
          <w:p w14:paraId="57AF7CB8"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02508B0B"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17</w:t>
            </w:r>
          </w:p>
        </w:tc>
        <w:tc>
          <w:tcPr>
            <w:tcW w:w="709" w:type="dxa"/>
            <w:hideMark/>
          </w:tcPr>
          <w:p w14:paraId="66F2E38F"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noWrap/>
            <w:hideMark/>
          </w:tcPr>
          <w:p w14:paraId="0F10D87F"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4</w:t>
            </w:r>
          </w:p>
        </w:tc>
        <w:tc>
          <w:tcPr>
            <w:tcW w:w="708" w:type="dxa"/>
            <w:noWrap/>
            <w:hideMark/>
          </w:tcPr>
          <w:p w14:paraId="144E27B4"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r>
      <w:tr w:rsidR="00947066" w:rsidRPr="001F481F" w14:paraId="3AF49D78" w14:textId="77777777" w:rsidTr="00432301">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18BD3788" w14:textId="77777777" w:rsidR="00C124DE" w:rsidRPr="00A9101E" w:rsidRDefault="00C124DE" w:rsidP="00F569C7">
            <w:pPr>
              <w:spacing w:line="360" w:lineRule="auto"/>
              <w:jc w:val="left"/>
              <w:rPr>
                <w:b w:val="0"/>
                <w:bCs w:val="0"/>
                <w:color w:val="auto"/>
                <w:sz w:val="14"/>
                <w:szCs w:val="14"/>
                <w:lang w:eastAsia="sl-SI"/>
              </w:rPr>
            </w:pPr>
            <w:r w:rsidRPr="00A9101E">
              <w:rPr>
                <w:b w:val="0"/>
                <w:bCs w:val="0"/>
                <w:color w:val="auto"/>
                <w:sz w:val="14"/>
                <w:szCs w:val="14"/>
                <w:lang w:eastAsia="sl-SI"/>
              </w:rPr>
              <w:t>BPH in DZU</w:t>
            </w:r>
          </w:p>
        </w:tc>
        <w:tc>
          <w:tcPr>
            <w:tcW w:w="1134" w:type="dxa"/>
            <w:hideMark/>
          </w:tcPr>
          <w:p w14:paraId="2E08156E"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3</w:t>
            </w:r>
          </w:p>
        </w:tc>
        <w:tc>
          <w:tcPr>
            <w:tcW w:w="709" w:type="dxa"/>
            <w:hideMark/>
          </w:tcPr>
          <w:p w14:paraId="072AD935"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2</w:t>
            </w:r>
          </w:p>
        </w:tc>
        <w:tc>
          <w:tcPr>
            <w:tcW w:w="709" w:type="dxa"/>
            <w:hideMark/>
          </w:tcPr>
          <w:p w14:paraId="11DB7B3B"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2C134A05"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10</w:t>
            </w:r>
          </w:p>
        </w:tc>
        <w:tc>
          <w:tcPr>
            <w:tcW w:w="709" w:type="dxa"/>
            <w:hideMark/>
          </w:tcPr>
          <w:p w14:paraId="7B0B7582"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01A7F850"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4</w:t>
            </w:r>
          </w:p>
        </w:tc>
        <w:tc>
          <w:tcPr>
            <w:tcW w:w="709" w:type="dxa"/>
            <w:hideMark/>
          </w:tcPr>
          <w:p w14:paraId="23EDC0BF"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noWrap/>
            <w:hideMark/>
          </w:tcPr>
          <w:p w14:paraId="73083541"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3</w:t>
            </w:r>
          </w:p>
        </w:tc>
        <w:tc>
          <w:tcPr>
            <w:tcW w:w="708" w:type="dxa"/>
            <w:noWrap/>
            <w:hideMark/>
          </w:tcPr>
          <w:p w14:paraId="1CEFEA1A"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r>
      <w:tr w:rsidR="00947066" w:rsidRPr="001F481F" w14:paraId="6E4BFFB3" w14:textId="77777777" w:rsidTr="00432301">
        <w:trPr>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5549DD02" w14:textId="77777777" w:rsidR="00C124DE" w:rsidRPr="00A9101E" w:rsidRDefault="00C124DE" w:rsidP="00F569C7">
            <w:pPr>
              <w:spacing w:line="360" w:lineRule="auto"/>
              <w:jc w:val="left"/>
              <w:rPr>
                <w:b w:val="0"/>
                <w:bCs w:val="0"/>
                <w:color w:val="auto"/>
                <w:sz w:val="14"/>
                <w:szCs w:val="14"/>
                <w:lang w:eastAsia="sl-SI"/>
              </w:rPr>
            </w:pPr>
            <w:r w:rsidRPr="00A9101E">
              <w:rPr>
                <w:b w:val="0"/>
                <w:bCs w:val="0"/>
                <w:color w:val="auto"/>
                <w:sz w:val="14"/>
                <w:szCs w:val="14"/>
                <w:lang w:eastAsia="sl-SI"/>
              </w:rPr>
              <w:t>Lizing</w:t>
            </w:r>
          </w:p>
        </w:tc>
        <w:tc>
          <w:tcPr>
            <w:tcW w:w="1134" w:type="dxa"/>
            <w:hideMark/>
          </w:tcPr>
          <w:p w14:paraId="0DB07C75"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2</w:t>
            </w:r>
          </w:p>
        </w:tc>
        <w:tc>
          <w:tcPr>
            <w:tcW w:w="709" w:type="dxa"/>
            <w:hideMark/>
          </w:tcPr>
          <w:p w14:paraId="46A3491A"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2</w:t>
            </w:r>
          </w:p>
        </w:tc>
        <w:tc>
          <w:tcPr>
            <w:tcW w:w="709" w:type="dxa"/>
            <w:hideMark/>
          </w:tcPr>
          <w:p w14:paraId="013857EB"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6991944E"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2</w:t>
            </w:r>
          </w:p>
        </w:tc>
        <w:tc>
          <w:tcPr>
            <w:tcW w:w="709" w:type="dxa"/>
            <w:hideMark/>
          </w:tcPr>
          <w:p w14:paraId="10F36E8C"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65E4B99D"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9" w:type="dxa"/>
            <w:hideMark/>
          </w:tcPr>
          <w:p w14:paraId="12B1A430"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noWrap/>
            <w:hideMark/>
          </w:tcPr>
          <w:p w14:paraId="43F48B58"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8" w:type="dxa"/>
            <w:noWrap/>
            <w:hideMark/>
          </w:tcPr>
          <w:p w14:paraId="17929ADE"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r>
      <w:tr w:rsidR="00947066" w:rsidRPr="001F481F" w14:paraId="2DF38468" w14:textId="77777777" w:rsidTr="00432301">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749D7A0C" w14:textId="77777777" w:rsidR="00C124DE" w:rsidRPr="00A9101E" w:rsidRDefault="00C124DE" w:rsidP="00F569C7">
            <w:pPr>
              <w:spacing w:line="360" w:lineRule="auto"/>
              <w:jc w:val="left"/>
              <w:rPr>
                <w:b w:val="0"/>
                <w:bCs w:val="0"/>
                <w:color w:val="auto"/>
                <w:sz w:val="14"/>
                <w:szCs w:val="14"/>
                <w:lang w:eastAsia="sl-SI"/>
              </w:rPr>
            </w:pPr>
            <w:r w:rsidRPr="00A9101E">
              <w:rPr>
                <w:b w:val="0"/>
                <w:bCs w:val="0"/>
                <w:color w:val="auto"/>
                <w:sz w:val="14"/>
                <w:szCs w:val="14"/>
                <w:lang w:eastAsia="sl-SI"/>
              </w:rPr>
              <w:t>Revizorji in računovodje</w:t>
            </w:r>
          </w:p>
        </w:tc>
        <w:tc>
          <w:tcPr>
            <w:tcW w:w="1134" w:type="dxa"/>
            <w:hideMark/>
          </w:tcPr>
          <w:p w14:paraId="586020A9"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2</w:t>
            </w:r>
          </w:p>
        </w:tc>
        <w:tc>
          <w:tcPr>
            <w:tcW w:w="709" w:type="dxa"/>
            <w:hideMark/>
          </w:tcPr>
          <w:p w14:paraId="7AD1C86F"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5D0350BE"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9" w:type="dxa"/>
            <w:hideMark/>
          </w:tcPr>
          <w:p w14:paraId="633D8421"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5</w:t>
            </w:r>
          </w:p>
        </w:tc>
        <w:tc>
          <w:tcPr>
            <w:tcW w:w="709" w:type="dxa"/>
            <w:hideMark/>
          </w:tcPr>
          <w:p w14:paraId="4A02D089"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6906FCD8"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4C1EEBF2"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noWrap/>
            <w:hideMark/>
          </w:tcPr>
          <w:p w14:paraId="594E77F5"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8" w:type="dxa"/>
            <w:noWrap/>
            <w:hideMark/>
          </w:tcPr>
          <w:p w14:paraId="325CD210"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r>
      <w:tr w:rsidR="00947066" w:rsidRPr="001F481F" w14:paraId="68508E88" w14:textId="77777777" w:rsidTr="00432301">
        <w:trPr>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722B6664" w14:textId="77777777" w:rsidR="00C124DE" w:rsidRPr="00A9101E" w:rsidRDefault="00C124DE" w:rsidP="00F569C7">
            <w:pPr>
              <w:spacing w:line="360" w:lineRule="auto"/>
              <w:jc w:val="left"/>
              <w:rPr>
                <w:b w:val="0"/>
                <w:bCs w:val="0"/>
                <w:color w:val="auto"/>
                <w:sz w:val="14"/>
                <w:szCs w:val="14"/>
                <w:lang w:eastAsia="sl-SI"/>
              </w:rPr>
            </w:pPr>
            <w:r w:rsidRPr="00A9101E">
              <w:rPr>
                <w:b w:val="0"/>
                <w:bCs w:val="0"/>
                <w:color w:val="auto"/>
                <w:sz w:val="14"/>
                <w:szCs w:val="14"/>
                <w:lang w:eastAsia="sl-SI"/>
              </w:rPr>
              <w:t>Igralnice</w:t>
            </w:r>
          </w:p>
        </w:tc>
        <w:tc>
          <w:tcPr>
            <w:tcW w:w="1134" w:type="dxa"/>
            <w:hideMark/>
          </w:tcPr>
          <w:p w14:paraId="0603F7A7"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10</w:t>
            </w:r>
          </w:p>
        </w:tc>
        <w:tc>
          <w:tcPr>
            <w:tcW w:w="709" w:type="dxa"/>
            <w:hideMark/>
          </w:tcPr>
          <w:p w14:paraId="614075BE"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5</w:t>
            </w:r>
          </w:p>
        </w:tc>
        <w:tc>
          <w:tcPr>
            <w:tcW w:w="709" w:type="dxa"/>
            <w:hideMark/>
          </w:tcPr>
          <w:p w14:paraId="00F1DD15"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59BB270C"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9</w:t>
            </w:r>
          </w:p>
        </w:tc>
        <w:tc>
          <w:tcPr>
            <w:tcW w:w="709" w:type="dxa"/>
            <w:hideMark/>
          </w:tcPr>
          <w:p w14:paraId="7BD5EEF1"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593C9B52"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9" w:type="dxa"/>
            <w:hideMark/>
          </w:tcPr>
          <w:p w14:paraId="051F77BA"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noWrap/>
            <w:hideMark/>
          </w:tcPr>
          <w:p w14:paraId="2340D35E"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8" w:type="dxa"/>
            <w:noWrap/>
            <w:hideMark/>
          </w:tcPr>
          <w:p w14:paraId="08F98ADA"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r>
      <w:tr w:rsidR="00947066" w:rsidRPr="001F481F" w14:paraId="2D9C1348" w14:textId="77777777" w:rsidTr="00432301">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7578E03A" w14:textId="77777777" w:rsidR="00C124DE" w:rsidRPr="00A9101E" w:rsidRDefault="00C124DE" w:rsidP="00F569C7">
            <w:pPr>
              <w:spacing w:line="360" w:lineRule="auto"/>
              <w:jc w:val="left"/>
              <w:rPr>
                <w:b w:val="0"/>
                <w:bCs w:val="0"/>
                <w:color w:val="auto"/>
                <w:sz w:val="14"/>
                <w:szCs w:val="14"/>
                <w:lang w:eastAsia="sl-SI"/>
              </w:rPr>
            </w:pPr>
            <w:r w:rsidRPr="00A9101E">
              <w:rPr>
                <w:b w:val="0"/>
                <w:bCs w:val="0"/>
                <w:color w:val="auto"/>
                <w:sz w:val="14"/>
                <w:szCs w:val="14"/>
                <w:lang w:eastAsia="sl-SI"/>
              </w:rPr>
              <w:t>Ostali prireditelji iger na srečo</w:t>
            </w:r>
          </w:p>
        </w:tc>
        <w:tc>
          <w:tcPr>
            <w:tcW w:w="1134" w:type="dxa"/>
            <w:hideMark/>
          </w:tcPr>
          <w:p w14:paraId="393F15B2"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9" w:type="dxa"/>
            <w:hideMark/>
          </w:tcPr>
          <w:p w14:paraId="4430149F"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0393F221"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5DBC91B6"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9" w:type="dxa"/>
            <w:hideMark/>
          </w:tcPr>
          <w:p w14:paraId="262ED606"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6DD57506"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9" w:type="dxa"/>
            <w:hideMark/>
          </w:tcPr>
          <w:p w14:paraId="30F76702"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noWrap/>
            <w:hideMark/>
          </w:tcPr>
          <w:p w14:paraId="1E378D13"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8" w:type="dxa"/>
            <w:noWrap/>
            <w:hideMark/>
          </w:tcPr>
          <w:p w14:paraId="542BC11B"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r>
      <w:tr w:rsidR="00947066" w:rsidRPr="001F481F" w14:paraId="69B3EBEE" w14:textId="77777777" w:rsidTr="00432301">
        <w:trPr>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579C8F44" w14:textId="77777777" w:rsidR="00C124DE" w:rsidRPr="00A9101E" w:rsidRDefault="00C124DE" w:rsidP="00F569C7">
            <w:pPr>
              <w:spacing w:line="360" w:lineRule="auto"/>
              <w:jc w:val="left"/>
              <w:rPr>
                <w:b w:val="0"/>
                <w:bCs w:val="0"/>
                <w:color w:val="auto"/>
                <w:sz w:val="14"/>
                <w:szCs w:val="14"/>
                <w:lang w:eastAsia="sl-SI"/>
              </w:rPr>
            </w:pPr>
            <w:r w:rsidRPr="00A9101E">
              <w:rPr>
                <w:b w:val="0"/>
                <w:bCs w:val="0"/>
                <w:color w:val="auto"/>
                <w:sz w:val="14"/>
                <w:szCs w:val="14"/>
                <w:lang w:eastAsia="sl-SI"/>
              </w:rPr>
              <w:t>Zlatarji</w:t>
            </w:r>
          </w:p>
        </w:tc>
        <w:tc>
          <w:tcPr>
            <w:tcW w:w="1134" w:type="dxa"/>
            <w:hideMark/>
          </w:tcPr>
          <w:p w14:paraId="2C3102F0"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6F4A85DB"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3</w:t>
            </w:r>
          </w:p>
        </w:tc>
        <w:tc>
          <w:tcPr>
            <w:tcW w:w="709" w:type="dxa"/>
            <w:hideMark/>
          </w:tcPr>
          <w:p w14:paraId="18FE0624"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643E55FD"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9" w:type="dxa"/>
            <w:hideMark/>
          </w:tcPr>
          <w:p w14:paraId="4675AC9E"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2B6BFDD8"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68F61624"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noWrap/>
            <w:hideMark/>
          </w:tcPr>
          <w:p w14:paraId="43BC58A4"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8" w:type="dxa"/>
            <w:noWrap/>
            <w:hideMark/>
          </w:tcPr>
          <w:p w14:paraId="2BA16532"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r>
      <w:tr w:rsidR="00947066" w:rsidRPr="001F481F" w14:paraId="39C34E49" w14:textId="77777777" w:rsidTr="00432301">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366EEF37" w14:textId="77777777" w:rsidR="00C124DE" w:rsidRPr="00A9101E" w:rsidRDefault="00C124DE" w:rsidP="00F569C7">
            <w:pPr>
              <w:spacing w:line="360" w:lineRule="auto"/>
              <w:jc w:val="left"/>
              <w:rPr>
                <w:b w:val="0"/>
                <w:bCs w:val="0"/>
                <w:color w:val="auto"/>
                <w:sz w:val="14"/>
                <w:szCs w:val="14"/>
                <w:lang w:eastAsia="sl-SI"/>
              </w:rPr>
            </w:pPr>
            <w:r w:rsidRPr="00A9101E">
              <w:rPr>
                <w:b w:val="0"/>
                <w:bCs w:val="0"/>
                <w:color w:val="auto"/>
                <w:sz w:val="14"/>
                <w:szCs w:val="14"/>
                <w:lang w:eastAsia="sl-SI"/>
              </w:rPr>
              <w:t>Nepremičninske agencije</w:t>
            </w:r>
          </w:p>
        </w:tc>
        <w:tc>
          <w:tcPr>
            <w:tcW w:w="1134" w:type="dxa"/>
            <w:hideMark/>
          </w:tcPr>
          <w:p w14:paraId="58DBDE15"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9" w:type="dxa"/>
            <w:hideMark/>
          </w:tcPr>
          <w:p w14:paraId="05E3A1F3"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08C8A459"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14559F3C"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33CA7D6A"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7A3A2352"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2369FC7F"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noWrap/>
            <w:hideMark/>
          </w:tcPr>
          <w:p w14:paraId="340869C8"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8" w:type="dxa"/>
            <w:noWrap/>
            <w:hideMark/>
          </w:tcPr>
          <w:p w14:paraId="41CEE8BC"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r>
      <w:tr w:rsidR="00947066" w:rsidRPr="001F481F" w14:paraId="29494A73" w14:textId="77777777" w:rsidTr="00432301">
        <w:trPr>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149F2622" w14:textId="77777777" w:rsidR="00C124DE" w:rsidRPr="00A9101E" w:rsidRDefault="00C124DE" w:rsidP="00F569C7">
            <w:pPr>
              <w:spacing w:line="360" w:lineRule="auto"/>
              <w:jc w:val="left"/>
              <w:rPr>
                <w:b w:val="0"/>
                <w:bCs w:val="0"/>
                <w:color w:val="auto"/>
                <w:sz w:val="14"/>
                <w:szCs w:val="14"/>
                <w:lang w:eastAsia="sl-SI"/>
              </w:rPr>
            </w:pPr>
            <w:r w:rsidRPr="00A9101E">
              <w:rPr>
                <w:b w:val="0"/>
                <w:bCs w:val="0"/>
                <w:color w:val="auto"/>
                <w:sz w:val="14"/>
                <w:szCs w:val="14"/>
                <w:lang w:eastAsia="sl-SI"/>
              </w:rPr>
              <w:t>Zavarovalnice</w:t>
            </w:r>
          </w:p>
        </w:tc>
        <w:tc>
          <w:tcPr>
            <w:tcW w:w="1134" w:type="dxa"/>
            <w:hideMark/>
          </w:tcPr>
          <w:p w14:paraId="38869123"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9" w:type="dxa"/>
            <w:hideMark/>
          </w:tcPr>
          <w:p w14:paraId="1D7ABAB1"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0858DD04"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54238538"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71BA99F8"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1EB1BD20"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9" w:type="dxa"/>
            <w:hideMark/>
          </w:tcPr>
          <w:p w14:paraId="23B13C2F"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noWrap/>
            <w:hideMark/>
          </w:tcPr>
          <w:p w14:paraId="615E9C75"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8" w:type="dxa"/>
            <w:noWrap/>
            <w:hideMark/>
          </w:tcPr>
          <w:p w14:paraId="05A515FD"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r>
      <w:tr w:rsidR="00947066" w:rsidRPr="001F481F" w14:paraId="3A9C7925" w14:textId="77777777" w:rsidTr="00432301">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7BB9F8D0" w14:textId="77777777" w:rsidR="00C124DE" w:rsidRPr="00A9101E" w:rsidRDefault="00C124DE" w:rsidP="00F569C7">
            <w:pPr>
              <w:spacing w:line="360" w:lineRule="auto"/>
              <w:jc w:val="left"/>
              <w:rPr>
                <w:b w:val="0"/>
                <w:bCs w:val="0"/>
                <w:color w:val="auto"/>
                <w:sz w:val="14"/>
                <w:szCs w:val="14"/>
                <w:lang w:eastAsia="sl-SI"/>
              </w:rPr>
            </w:pPr>
            <w:r w:rsidRPr="00A9101E">
              <w:rPr>
                <w:b w:val="0"/>
                <w:bCs w:val="0"/>
                <w:color w:val="auto"/>
                <w:sz w:val="14"/>
                <w:szCs w:val="14"/>
                <w:lang w:eastAsia="sl-SI"/>
              </w:rPr>
              <w:t>Virtualne valute</w:t>
            </w:r>
          </w:p>
        </w:tc>
        <w:tc>
          <w:tcPr>
            <w:tcW w:w="1134" w:type="dxa"/>
            <w:hideMark/>
          </w:tcPr>
          <w:p w14:paraId="288B3801"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7FF03C53"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9" w:type="dxa"/>
            <w:hideMark/>
          </w:tcPr>
          <w:p w14:paraId="3E4744AC"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4F225286"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72C4C8ED"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025D1BAC"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48FB346E"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noWrap/>
            <w:hideMark/>
          </w:tcPr>
          <w:p w14:paraId="68173A79"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6</w:t>
            </w:r>
          </w:p>
        </w:tc>
        <w:tc>
          <w:tcPr>
            <w:tcW w:w="708" w:type="dxa"/>
            <w:noWrap/>
            <w:hideMark/>
          </w:tcPr>
          <w:p w14:paraId="5E2B34FB"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r>
      <w:tr w:rsidR="00947066" w:rsidRPr="001F481F" w14:paraId="655E989B" w14:textId="77777777" w:rsidTr="00432301">
        <w:trPr>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1FE052DD" w14:textId="77777777" w:rsidR="00C124DE" w:rsidRPr="00A9101E" w:rsidRDefault="00C124DE" w:rsidP="00F569C7">
            <w:pPr>
              <w:spacing w:line="360" w:lineRule="auto"/>
              <w:jc w:val="left"/>
              <w:rPr>
                <w:b w:val="0"/>
                <w:bCs w:val="0"/>
                <w:color w:val="auto"/>
                <w:sz w:val="14"/>
                <w:szCs w:val="14"/>
                <w:lang w:eastAsia="sl-SI"/>
              </w:rPr>
            </w:pPr>
            <w:r w:rsidRPr="00A9101E">
              <w:rPr>
                <w:b w:val="0"/>
                <w:bCs w:val="0"/>
                <w:color w:val="auto"/>
                <w:sz w:val="14"/>
                <w:szCs w:val="14"/>
                <w:lang w:eastAsia="sl-SI"/>
              </w:rPr>
              <w:t>Izvajalci plačilnega prometa</w:t>
            </w:r>
          </w:p>
        </w:tc>
        <w:tc>
          <w:tcPr>
            <w:tcW w:w="1134" w:type="dxa"/>
            <w:hideMark/>
          </w:tcPr>
          <w:p w14:paraId="7BD7BAA1"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1E1FA43B"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4</w:t>
            </w:r>
          </w:p>
        </w:tc>
        <w:tc>
          <w:tcPr>
            <w:tcW w:w="709" w:type="dxa"/>
            <w:hideMark/>
          </w:tcPr>
          <w:p w14:paraId="3EEC3B15"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6</w:t>
            </w:r>
          </w:p>
        </w:tc>
        <w:tc>
          <w:tcPr>
            <w:tcW w:w="709" w:type="dxa"/>
            <w:hideMark/>
          </w:tcPr>
          <w:p w14:paraId="07A371B2"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5</w:t>
            </w:r>
          </w:p>
        </w:tc>
        <w:tc>
          <w:tcPr>
            <w:tcW w:w="709" w:type="dxa"/>
            <w:hideMark/>
          </w:tcPr>
          <w:p w14:paraId="244D5DB5"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16</w:t>
            </w:r>
          </w:p>
        </w:tc>
        <w:tc>
          <w:tcPr>
            <w:tcW w:w="709" w:type="dxa"/>
            <w:hideMark/>
          </w:tcPr>
          <w:p w14:paraId="4710AA64"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38</w:t>
            </w:r>
          </w:p>
        </w:tc>
        <w:tc>
          <w:tcPr>
            <w:tcW w:w="709" w:type="dxa"/>
            <w:hideMark/>
          </w:tcPr>
          <w:p w14:paraId="65659CA9"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45</w:t>
            </w:r>
          </w:p>
        </w:tc>
        <w:tc>
          <w:tcPr>
            <w:tcW w:w="709" w:type="dxa"/>
            <w:noWrap/>
            <w:hideMark/>
          </w:tcPr>
          <w:p w14:paraId="0637F38A"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23</w:t>
            </w:r>
          </w:p>
        </w:tc>
        <w:tc>
          <w:tcPr>
            <w:tcW w:w="708" w:type="dxa"/>
            <w:noWrap/>
            <w:hideMark/>
          </w:tcPr>
          <w:p w14:paraId="2B869714"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13</w:t>
            </w:r>
          </w:p>
        </w:tc>
      </w:tr>
      <w:tr w:rsidR="00947066" w:rsidRPr="001F481F" w14:paraId="4E23A469" w14:textId="77777777" w:rsidTr="00432301">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791150F1" w14:textId="77777777" w:rsidR="00C124DE" w:rsidRPr="00A9101E" w:rsidRDefault="00C124DE" w:rsidP="00F569C7">
            <w:pPr>
              <w:spacing w:line="360" w:lineRule="auto"/>
              <w:jc w:val="left"/>
              <w:rPr>
                <w:b w:val="0"/>
                <w:bCs w:val="0"/>
                <w:color w:val="auto"/>
                <w:sz w:val="14"/>
                <w:szCs w:val="14"/>
                <w:lang w:eastAsia="sl-SI"/>
              </w:rPr>
            </w:pPr>
            <w:r w:rsidRPr="00A9101E">
              <w:rPr>
                <w:b w:val="0"/>
                <w:bCs w:val="0"/>
                <w:color w:val="auto"/>
                <w:sz w:val="14"/>
                <w:szCs w:val="14"/>
                <w:lang w:eastAsia="sl-SI"/>
              </w:rPr>
              <w:t>Drugi zavezanci</w:t>
            </w:r>
          </w:p>
        </w:tc>
        <w:tc>
          <w:tcPr>
            <w:tcW w:w="1134" w:type="dxa"/>
            <w:hideMark/>
          </w:tcPr>
          <w:p w14:paraId="285B1734"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4995DDDD"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3</w:t>
            </w:r>
          </w:p>
        </w:tc>
        <w:tc>
          <w:tcPr>
            <w:tcW w:w="709" w:type="dxa"/>
            <w:hideMark/>
          </w:tcPr>
          <w:p w14:paraId="156D3510"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19996F1F"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3</w:t>
            </w:r>
          </w:p>
        </w:tc>
        <w:tc>
          <w:tcPr>
            <w:tcW w:w="709" w:type="dxa"/>
            <w:hideMark/>
          </w:tcPr>
          <w:p w14:paraId="2E48B69A"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36921095"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4</w:t>
            </w:r>
          </w:p>
        </w:tc>
        <w:tc>
          <w:tcPr>
            <w:tcW w:w="709" w:type="dxa"/>
            <w:hideMark/>
          </w:tcPr>
          <w:p w14:paraId="1C92E76B"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noWrap/>
            <w:hideMark/>
          </w:tcPr>
          <w:p w14:paraId="4AC4ABB1"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29</w:t>
            </w:r>
          </w:p>
        </w:tc>
        <w:tc>
          <w:tcPr>
            <w:tcW w:w="708" w:type="dxa"/>
            <w:noWrap/>
            <w:hideMark/>
          </w:tcPr>
          <w:p w14:paraId="75FB8B80"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r>
      <w:tr w:rsidR="00947066" w:rsidRPr="001F481F" w14:paraId="60B50008" w14:textId="77777777" w:rsidTr="00432301">
        <w:trPr>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4867342C" w14:textId="77777777" w:rsidR="00C124DE" w:rsidRPr="00A9101E" w:rsidRDefault="00C124DE" w:rsidP="00F569C7">
            <w:pPr>
              <w:spacing w:line="360" w:lineRule="auto"/>
              <w:jc w:val="left"/>
              <w:rPr>
                <w:b w:val="0"/>
                <w:bCs w:val="0"/>
                <w:color w:val="auto"/>
                <w:sz w:val="14"/>
                <w:szCs w:val="14"/>
                <w:lang w:eastAsia="sl-SI"/>
              </w:rPr>
            </w:pPr>
            <w:r w:rsidRPr="00A9101E">
              <w:rPr>
                <w:b w:val="0"/>
                <w:bCs w:val="0"/>
                <w:color w:val="auto"/>
                <w:sz w:val="14"/>
                <w:szCs w:val="14"/>
                <w:lang w:eastAsia="sl-SI"/>
              </w:rPr>
              <w:t>Notarji</w:t>
            </w:r>
          </w:p>
        </w:tc>
        <w:tc>
          <w:tcPr>
            <w:tcW w:w="1134" w:type="dxa"/>
            <w:hideMark/>
          </w:tcPr>
          <w:p w14:paraId="3A4968A2"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2</w:t>
            </w:r>
          </w:p>
        </w:tc>
        <w:tc>
          <w:tcPr>
            <w:tcW w:w="709" w:type="dxa"/>
            <w:hideMark/>
          </w:tcPr>
          <w:p w14:paraId="2D3FD0DD"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2</w:t>
            </w:r>
          </w:p>
        </w:tc>
        <w:tc>
          <w:tcPr>
            <w:tcW w:w="709" w:type="dxa"/>
            <w:hideMark/>
          </w:tcPr>
          <w:p w14:paraId="043C891A"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2164639E"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2</w:t>
            </w:r>
          </w:p>
        </w:tc>
        <w:tc>
          <w:tcPr>
            <w:tcW w:w="709" w:type="dxa"/>
            <w:hideMark/>
          </w:tcPr>
          <w:p w14:paraId="234E6E94"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12F4F6DD"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9" w:type="dxa"/>
            <w:hideMark/>
          </w:tcPr>
          <w:p w14:paraId="5AAF409E"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noWrap/>
            <w:hideMark/>
          </w:tcPr>
          <w:p w14:paraId="104EE06B"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8" w:type="dxa"/>
            <w:noWrap/>
            <w:hideMark/>
          </w:tcPr>
          <w:p w14:paraId="3D041561"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r>
      <w:tr w:rsidR="00947066" w:rsidRPr="001F481F" w14:paraId="4FDBFF1C" w14:textId="77777777" w:rsidTr="00432301">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1ACF0BEC" w14:textId="77777777" w:rsidR="00C124DE" w:rsidRPr="00A9101E" w:rsidRDefault="00C124DE" w:rsidP="00F569C7">
            <w:pPr>
              <w:spacing w:line="360" w:lineRule="auto"/>
              <w:jc w:val="left"/>
              <w:rPr>
                <w:b w:val="0"/>
                <w:bCs w:val="0"/>
                <w:color w:val="auto"/>
                <w:sz w:val="14"/>
                <w:szCs w:val="14"/>
                <w:lang w:eastAsia="sl-SI"/>
              </w:rPr>
            </w:pPr>
            <w:r w:rsidRPr="00A9101E">
              <w:rPr>
                <w:b w:val="0"/>
                <w:bCs w:val="0"/>
                <w:color w:val="auto"/>
                <w:sz w:val="14"/>
                <w:szCs w:val="14"/>
                <w:lang w:eastAsia="sl-SI"/>
              </w:rPr>
              <w:t>Odvetniki</w:t>
            </w:r>
          </w:p>
        </w:tc>
        <w:tc>
          <w:tcPr>
            <w:tcW w:w="1134" w:type="dxa"/>
            <w:hideMark/>
          </w:tcPr>
          <w:p w14:paraId="14092E7C"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3F49050B"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6F534119"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67F54E92"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5</w:t>
            </w:r>
          </w:p>
        </w:tc>
        <w:tc>
          <w:tcPr>
            <w:tcW w:w="709" w:type="dxa"/>
            <w:hideMark/>
          </w:tcPr>
          <w:p w14:paraId="48D425DC"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0DBD3534"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9" w:type="dxa"/>
            <w:hideMark/>
          </w:tcPr>
          <w:p w14:paraId="2EAEBBEC"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noWrap/>
            <w:hideMark/>
          </w:tcPr>
          <w:p w14:paraId="006C10C6"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2</w:t>
            </w:r>
          </w:p>
        </w:tc>
        <w:tc>
          <w:tcPr>
            <w:tcW w:w="708" w:type="dxa"/>
            <w:noWrap/>
            <w:hideMark/>
          </w:tcPr>
          <w:p w14:paraId="4CCC2CB5"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r>
      <w:tr w:rsidR="00227EFD" w:rsidRPr="001F481F" w14:paraId="7177234A" w14:textId="77777777" w:rsidTr="00432301">
        <w:trPr>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45D6B4EE" w14:textId="1744147C" w:rsidR="00227EFD" w:rsidRPr="00A9101E" w:rsidRDefault="00227EFD" w:rsidP="00F569C7">
            <w:pPr>
              <w:spacing w:line="360" w:lineRule="auto"/>
              <w:jc w:val="left"/>
              <w:rPr>
                <w:color w:val="auto"/>
                <w:sz w:val="14"/>
                <w:szCs w:val="14"/>
                <w:lang w:eastAsia="sl-SI"/>
              </w:rPr>
            </w:pPr>
            <w:r w:rsidRPr="00A9101E">
              <w:rPr>
                <w:color w:val="auto"/>
                <w:sz w:val="14"/>
                <w:szCs w:val="14"/>
                <w:lang w:eastAsia="sl-SI"/>
              </w:rPr>
              <w:t>2. POBUDE DRŽAVNIH ORGANOV</w:t>
            </w:r>
          </w:p>
        </w:tc>
        <w:tc>
          <w:tcPr>
            <w:tcW w:w="1134" w:type="dxa"/>
            <w:hideMark/>
          </w:tcPr>
          <w:p w14:paraId="58E7ED8B"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38</w:t>
            </w:r>
          </w:p>
        </w:tc>
        <w:tc>
          <w:tcPr>
            <w:tcW w:w="709" w:type="dxa"/>
            <w:hideMark/>
          </w:tcPr>
          <w:p w14:paraId="5490DA97"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49</w:t>
            </w:r>
          </w:p>
        </w:tc>
        <w:tc>
          <w:tcPr>
            <w:tcW w:w="709" w:type="dxa"/>
            <w:hideMark/>
          </w:tcPr>
          <w:p w14:paraId="541EBEAD"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2</w:t>
            </w:r>
          </w:p>
        </w:tc>
        <w:tc>
          <w:tcPr>
            <w:tcW w:w="709" w:type="dxa"/>
            <w:hideMark/>
          </w:tcPr>
          <w:p w14:paraId="3A85DB4C"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81</w:t>
            </w:r>
          </w:p>
        </w:tc>
        <w:tc>
          <w:tcPr>
            <w:tcW w:w="709" w:type="dxa"/>
            <w:hideMark/>
          </w:tcPr>
          <w:p w14:paraId="3C3AD464"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5</w:t>
            </w:r>
          </w:p>
        </w:tc>
        <w:tc>
          <w:tcPr>
            <w:tcW w:w="709" w:type="dxa"/>
            <w:hideMark/>
          </w:tcPr>
          <w:p w14:paraId="37F2DBBE"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115</w:t>
            </w:r>
          </w:p>
        </w:tc>
        <w:tc>
          <w:tcPr>
            <w:tcW w:w="709" w:type="dxa"/>
            <w:hideMark/>
          </w:tcPr>
          <w:p w14:paraId="7AE4D293"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9" w:type="dxa"/>
            <w:hideMark/>
          </w:tcPr>
          <w:p w14:paraId="376F4757"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128</w:t>
            </w:r>
          </w:p>
        </w:tc>
        <w:tc>
          <w:tcPr>
            <w:tcW w:w="708" w:type="dxa"/>
            <w:hideMark/>
          </w:tcPr>
          <w:p w14:paraId="4310AAD9"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5</w:t>
            </w:r>
          </w:p>
        </w:tc>
      </w:tr>
      <w:tr w:rsidR="00227EFD" w:rsidRPr="001F481F" w14:paraId="649F9A2E" w14:textId="77777777" w:rsidTr="00432301">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0291D3A2" w14:textId="5848BC01" w:rsidR="00227EFD" w:rsidRPr="00A9101E" w:rsidRDefault="00227EFD" w:rsidP="00F569C7">
            <w:pPr>
              <w:spacing w:line="360" w:lineRule="auto"/>
              <w:jc w:val="left"/>
              <w:rPr>
                <w:b w:val="0"/>
                <w:bCs w:val="0"/>
                <w:color w:val="auto"/>
                <w:sz w:val="14"/>
                <w:szCs w:val="14"/>
                <w:lang w:eastAsia="sl-SI"/>
              </w:rPr>
            </w:pPr>
          </w:p>
        </w:tc>
        <w:tc>
          <w:tcPr>
            <w:tcW w:w="1134" w:type="dxa"/>
            <w:hideMark/>
          </w:tcPr>
          <w:p w14:paraId="2F70AA2C"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6,81 %</w:t>
            </w:r>
          </w:p>
        </w:tc>
        <w:tc>
          <w:tcPr>
            <w:tcW w:w="709" w:type="dxa"/>
            <w:hideMark/>
          </w:tcPr>
          <w:p w14:paraId="103D15EF"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6,46 %</w:t>
            </w:r>
          </w:p>
        </w:tc>
        <w:tc>
          <w:tcPr>
            <w:tcW w:w="709" w:type="dxa"/>
            <w:hideMark/>
          </w:tcPr>
          <w:p w14:paraId="127F21EE"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6,90 %</w:t>
            </w:r>
          </w:p>
        </w:tc>
        <w:tc>
          <w:tcPr>
            <w:tcW w:w="709" w:type="dxa"/>
            <w:hideMark/>
          </w:tcPr>
          <w:p w14:paraId="32457277"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7,80 %</w:t>
            </w:r>
          </w:p>
        </w:tc>
        <w:tc>
          <w:tcPr>
            <w:tcW w:w="709" w:type="dxa"/>
            <w:hideMark/>
          </w:tcPr>
          <w:p w14:paraId="2D451241"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16,13 %</w:t>
            </w:r>
          </w:p>
        </w:tc>
        <w:tc>
          <w:tcPr>
            <w:tcW w:w="709" w:type="dxa"/>
            <w:hideMark/>
          </w:tcPr>
          <w:p w14:paraId="4DDA04FB"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10,61 %</w:t>
            </w:r>
          </w:p>
        </w:tc>
        <w:tc>
          <w:tcPr>
            <w:tcW w:w="709" w:type="dxa"/>
            <w:hideMark/>
          </w:tcPr>
          <w:p w14:paraId="3FFDE1F5"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1,89 %</w:t>
            </w:r>
          </w:p>
        </w:tc>
        <w:tc>
          <w:tcPr>
            <w:tcW w:w="709" w:type="dxa"/>
            <w:hideMark/>
          </w:tcPr>
          <w:p w14:paraId="09D24681"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11,91 %</w:t>
            </w:r>
          </w:p>
        </w:tc>
        <w:tc>
          <w:tcPr>
            <w:tcW w:w="708" w:type="dxa"/>
            <w:hideMark/>
          </w:tcPr>
          <w:p w14:paraId="62E775D0"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17,86 %</w:t>
            </w:r>
          </w:p>
        </w:tc>
      </w:tr>
      <w:tr w:rsidR="00947066" w:rsidRPr="001F481F" w14:paraId="754BF476" w14:textId="77777777" w:rsidTr="00432301">
        <w:trPr>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59EACCF2" w14:textId="77777777" w:rsidR="00C124DE" w:rsidRPr="00A9101E" w:rsidRDefault="00C124DE" w:rsidP="00F569C7">
            <w:pPr>
              <w:spacing w:line="360" w:lineRule="auto"/>
              <w:jc w:val="left"/>
              <w:rPr>
                <w:b w:val="0"/>
                <w:bCs w:val="0"/>
                <w:color w:val="auto"/>
                <w:sz w:val="14"/>
                <w:szCs w:val="14"/>
                <w:lang w:eastAsia="sl-SI"/>
              </w:rPr>
            </w:pPr>
            <w:r w:rsidRPr="00A9101E">
              <w:rPr>
                <w:b w:val="0"/>
                <w:bCs w:val="0"/>
                <w:color w:val="auto"/>
                <w:sz w:val="14"/>
                <w:szCs w:val="14"/>
                <w:lang w:eastAsia="sl-SI"/>
              </w:rPr>
              <w:t>Ministrstvo za notranje zadeve, UKP</w:t>
            </w:r>
          </w:p>
        </w:tc>
        <w:tc>
          <w:tcPr>
            <w:tcW w:w="1134" w:type="dxa"/>
            <w:hideMark/>
          </w:tcPr>
          <w:p w14:paraId="1FC551E2"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18</w:t>
            </w:r>
          </w:p>
        </w:tc>
        <w:tc>
          <w:tcPr>
            <w:tcW w:w="709" w:type="dxa"/>
            <w:hideMark/>
          </w:tcPr>
          <w:p w14:paraId="6FE30924"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30</w:t>
            </w:r>
          </w:p>
        </w:tc>
        <w:tc>
          <w:tcPr>
            <w:tcW w:w="709" w:type="dxa"/>
            <w:hideMark/>
          </w:tcPr>
          <w:p w14:paraId="73E29333"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563605BC"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48</w:t>
            </w:r>
          </w:p>
        </w:tc>
        <w:tc>
          <w:tcPr>
            <w:tcW w:w="709" w:type="dxa"/>
            <w:hideMark/>
          </w:tcPr>
          <w:p w14:paraId="7186E106"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5E739A50"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70</w:t>
            </w:r>
          </w:p>
        </w:tc>
        <w:tc>
          <w:tcPr>
            <w:tcW w:w="709" w:type="dxa"/>
            <w:hideMark/>
          </w:tcPr>
          <w:p w14:paraId="13F3E813"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noWrap/>
            <w:hideMark/>
          </w:tcPr>
          <w:p w14:paraId="0F1AE1CB"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99</w:t>
            </w:r>
          </w:p>
        </w:tc>
        <w:tc>
          <w:tcPr>
            <w:tcW w:w="708" w:type="dxa"/>
            <w:noWrap/>
            <w:hideMark/>
          </w:tcPr>
          <w:p w14:paraId="1554E7C4"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3</w:t>
            </w:r>
          </w:p>
        </w:tc>
      </w:tr>
      <w:tr w:rsidR="00947066" w:rsidRPr="001F481F" w14:paraId="2C2F67C0" w14:textId="77777777" w:rsidTr="00432301">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7DEE3DC9" w14:textId="77777777" w:rsidR="00C124DE" w:rsidRPr="00A9101E" w:rsidRDefault="00C124DE" w:rsidP="00F569C7">
            <w:pPr>
              <w:spacing w:line="360" w:lineRule="auto"/>
              <w:jc w:val="left"/>
              <w:rPr>
                <w:b w:val="0"/>
                <w:bCs w:val="0"/>
                <w:color w:val="auto"/>
                <w:sz w:val="14"/>
                <w:szCs w:val="14"/>
                <w:lang w:eastAsia="sl-SI"/>
              </w:rPr>
            </w:pPr>
            <w:r w:rsidRPr="00A9101E">
              <w:rPr>
                <w:b w:val="0"/>
                <w:bCs w:val="0"/>
                <w:color w:val="auto"/>
                <w:sz w:val="14"/>
                <w:szCs w:val="14"/>
                <w:lang w:eastAsia="sl-SI"/>
              </w:rPr>
              <w:t>Državno tožilstvo</w:t>
            </w:r>
          </w:p>
        </w:tc>
        <w:tc>
          <w:tcPr>
            <w:tcW w:w="1134" w:type="dxa"/>
            <w:hideMark/>
          </w:tcPr>
          <w:p w14:paraId="37C55004"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13</w:t>
            </w:r>
          </w:p>
        </w:tc>
        <w:tc>
          <w:tcPr>
            <w:tcW w:w="709" w:type="dxa"/>
            <w:hideMark/>
          </w:tcPr>
          <w:p w14:paraId="279B7701"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13</w:t>
            </w:r>
          </w:p>
        </w:tc>
        <w:tc>
          <w:tcPr>
            <w:tcW w:w="709" w:type="dxa"/>
            <w:hideMark/>
          </w:tcPr>
          <w:p w14:paraId="12313B21"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05B62BB2"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20</w:t>
            </w:r>
          </w:p>
        </w:tc>
        <w:tc>
          <w:tcPr>
            <w:tcW w:w="709" w:type="dxa"/>
            <w:hideMark/>
          </w:tcPr>
          <w:p w14:paraId="38B702D0"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5FF3B369"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17</w:t>
            </w:r>
          </w:p>
        </w:tc>
        <w:tc>
          <w:tcPr>
            <w:tcW w:w="709" w:type="dxa"/>
            <w:hideMark/>
          </w:tcPr>
          <w:p w14:paraId="2336B8C9"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noWrap/>
            <w:hideMark/>
          </w:tcPr>
          <w:p w14:paraId="055BB13E"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9</w:t>
            </w:r>
          </w:p>
        </w:tc>
        <w:tc>
          <w:tcPr>
            <w:tcW w:w="708" w:type="dxa"/>
            <w:hideMark/>
          </w:tcPr>
          <w:p w14:paraId="29AB502C"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r>
      <w:tr w:rsidR="00947066" w:rsidRPr="001F481F" w14:paraId="0A628571" w14:textId="77777777" w:rsidTr="00432301">
        <w:trPr>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31ABFA55" w14:textId="77777777" w:rsidR="00C124DE" w:rsidRPr="00A9101E" w:rsidRDefault="00C124DE" w:rsidP="00F569C7">
            <w:pPr>
              <w:spacing w:line="360" w:lineRule="auto"/>
              <w:jc w:val="left"/>
              <w:rPr>
                <w:b w:val="0"/>
                <w:bCs w:val="0"/>
                <w:color w:val="auto"/>
                <w:sz w:val="14"/>
                <w:szCs w:val="14"/>
                <w:lang w:eastAsia="sl-SI"/>
              </w:rPr>
            </w:pPr>
            <w:r w:rsidRPr="00A9101E">
              <w:rPr>
                <w:b w:val="0"/>
                <w:bCs w:val="0"/>
                <w:color w:val="auto"/>
                <w:sz w:val="14"/>
                <w:szCs w:val="14"/>
                <w:lang w:eastAsia="sl-SI"/>
              </w:rPr>
              <w:t>Ministrstvo za finance, FURS</w:t>
            </w:r>
          </w:p>
        </w:tc>
        <w:tc>
          <w:tcPr>
            <w:tcW w:w="1134" w:type="dxa"/>
            <w:hideMark/>
          </w:tcPr>
          <w:p w14:paraId="2DAF5098"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39B39629"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39946C8D"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0E1525E8"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5C5BF019"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4E16DF79"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5E88107A"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noWrap/>
            <w:hideMark/>
          </w:tcPr>
          <w:p w14:paraId="24ED0B43"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4</w:t>
            </w:r>
          </w:p>
        </w:tc>
        <w:tc>
          <w:tcPr>
            <w:tcW w:w="708" w:type="dxa"/>
            <w:hideMark/>
          </w:tcPr>
          <w:p w14:paraId="34D5D53E"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r>
      <w:tr w:rsidR="00947066" w:rsidRPr="001F481F" w14:paraId="2D93DF15" w14:textId="77777777" w:rsidTr="00432301">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00A5F255" w14:textId="77777777" w:rsidR="00C124DE" w:rsidRPr="00A9101E" w:rsidRDefault="00C124DE" w:rsidP="00F569C7">
            <w:pPr>
              <w:spacing w:line="360" w:lineRule="auto"/>
              <w:jc w:val="left"/>
              <w:rPr>
                <w:b w:val="0"/>
                <w:bCs w:val="0"/>
                <w:color w:val="auto"/>
                <w:sz w:val="14"/>
                <w:szCs w:val="14"/>
                <w:lang w:eastAsia="sl-SI"/>
              </w:rPr>
            </w:pPr>
            <w:r w:rsidRPr="00A9101E">
              <w:rPr>
                <w:b w:val="0"/>
                <w:bCs w:val="0"/>
                <w:color w:val="auto"/>
                <w:sz w:val="14"/>
                <w:szCs w:val="14"/>
                <w:lang w:eastAsia="sl-SI"/>
              </w:rPr>
              <w:t>Sodišče</w:t>
            </w:r>
          </w:p>
        </w:tc>
        <w:tc>
          <w:tcPr>
            <w:tcW w:w="1134" w:type="dxa"/>
            <w:hideMark/>
          </w:tcPr>
          <w:p w14:paraId="794E55C8"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4D3DCE9F"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572C7D9B"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60DB86F6"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4</w:t>
            </w:r>
          </w:p>
        </w:tc>
        <w:tc>
          <w:tcPr>
            <w:tcW w:w="709" w:type="dxa"/>
            <w:hideMark/>
          </w:tcPr>
          <w:p w14:paraId="60D57B88"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78F10D62"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3</w:t>
            </w:r>
          </w:p>
        </w:tc>
        <w:tc>
          <w:tcPr>
            <w:tcW w:w="709" w:type="dxa"/>
            <w:hideMark/>
          </w:tcPr>
          <w:p w14:paraId="529B67E7"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noWrap/>
            <w:hideMark/>
          </w:tcPr>
          <w:p w14:paraId="2EEDFA23"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4</w:t>
            </w:r>
          </w:p>
        </w:tc>
        <w:tc>
          <w:tcPr>
            <w:tcW w:w="708" w:type="dxa"/>
            <w:hideMark/>
          </w:tcPr>
          <w:p w14:paraId="7AA1D5CC"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r>
      <w:tr w:rsidR="00947066" w:rsidRPr="001F481F" w14:paraId="5D414629" w14:textId="77777777" w:rsidTr="00432301">
        <w:trPr>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1CE1F8BB" w14:textId="77777777" w:rsidR="00C124DE" w:rsidRPr="00A9101E" w:rsidRDefault="00C124DE" w:rsidP="00F569C7">
            <w:pPr>
              <w:spacing w:line="360" w:lineRule="auto"/>
              <w:jc w:val="left"/>
              <w:rPr>
                <w:b w:val="0"/>
                <w:bCs w:val="0"/>
                <w:color w:val="auto"/>
                <w:sz w:val="14"/>
                <w:szCs w:val="14"/>
                <w:lang w:eastAsia="sl-SI"/>
              </w:rPr>
            </w:pPr>
            <w:r w:rsidRPr="00A9101E">
              <w:rPr>
                <w:b w:val="0"/>
                <w:bCs w:val="0"/>
                <w:color w:val="auto"/>
                <w:sz w:val="14"/>
                <w:szCs w:val="14"/>
                <w:lang w:eastAsia="sl-SI"/>
              </w:rPr>
              <w:t>Komisija za preprečevanje korupcije</w:t>
            </w:r>
          </w:p>
        </w:tc>
        <w:tc>
          <w:tcPr>
            <w:tcW w:w="1134" w:type="dxa"/>
            <w:hideMark/>
          </w:tcPr>
          <w:p w14:paraId="240FD814"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0EE14F4F"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color w:val="FF0000"/>
                <w:sz w:val="14"/>
                <w:szCs w:val="14"/>
                <w:lang w:eastAsia="sl-SI"/>
              </w:rPr>
            </w:pPr>
            <w:r w:rsidRPr="001F481F">
              <w:rPr>
                <w:b/>
                <w:bCs/>
                <w:color w:val="FF0000"/>
                <w:sz w:val="14"/>
                <w:szCs w:val="14"/>
                <w:lang w:eastAsia="sl-SI"/>
              </w:rPr>
              <w:t> </w:t>
            </w:r>
          </w:p>
        </w:tc>
        <w:tc>
          <w:tcPr>
            <w:tcW w:w="709" w:type="dxa"/>
            <w:hideMark/>
          </w:tcPr>
          <w:p w14:paraId="74AC4D95"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color w:val="FF0000"/>
                <w:sz w:val="14"/>
                <w:szCs w:val="14"/>
                <w:lang w:eastAsia="sl-SI"/>
              </w:rPr>
            </w:pPr>
            <w:r w:rsidRPr="001F481F">
              <w:rPr>
                <w:b/>
                <w:bCs/>
                <w:color w:val="FF0000"/>
                <w:sz w:val="14"/>
                <w:szCs w:val="14"/>
                <w:lang w:eastAsia="sl-SI"/>
              </w:rPr>
              <w:t> </w:t>
            </w:r>
          </w:p>
        </w:tc>
        <w:tc>
          <w:tcPr>
            <w:tcW w:w="709" w:type="dxa"/>
            <w:hideMark/>
          </w:tcPr>
          <w:p w14:paraId="11293CB3"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760A6455"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07B811C2"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9" w:type="dxa"/>
            <w:hideMark/>
          </w:tcPr>
          <w:p w14:paraId="3B8E0323"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521B3061"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8" w:type="dxa"/>
            <w:hideMark/>
          </w:tcPr>
          <w:p w14:paraId="781BCAD5"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r>
      <w:tr w:rsidR="00947066" w:rsidRPr="001F481F" w14:paraId="6C24D961" w14:textId="77777777" w:rsidTr="00432301">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2C2D8B9B" w14:textId="77777777" w:rsidR="00C124DE" w:rsidRPr="00A9101E" w:rsidRDefault="00C124DE" w:rsidP="00F569C7">
            <w:pPr>
              <w:spacing w:line="360" w:lineRule="auto"/>
              <w:jc w:val="left"/>
              <w:rPr>
                <w:b w:val="0"/>
                <w:bCs w:val="0"/>
                <w:color w:val="auto"/>
                <w:sz w:val="14"/>
                <w:szCs w:val="14"/>
                <w:lang w:eastAsia="sl-SI"/>
              </w:rPr>
            </w:pPr>
            <w:r w:rsidRPr="00A9101E">
              <w:rPr>
                <w:b w:val="0"/>
                <w:bCs w:val="0"/>
                <w:color w:val="auto"/>
                <w:sz w:val="14"/>
                <w:szCs w:val="14"/>
                <w:lang w:eastAsia="sl-SI"/>
              </w:rPr>
              <w:t>SOVA</w:t>
            </w:r>
          </w:p>
        </w:tc>
        <w:tc>
          <w:tcPr>
            <w:tcW w:w="1134" w:type="dxa"/>
            <w:hideMark/>
          </w:tcPr>
          <w:p w14:paraId="6A5184AF"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7</w:t>
            </w:r>
          </w:p>
        </w:tc>
        <w:tc>
          <w:tcPr>
            <w:tcW w:w="709" w:type="dxa"/>
            <w:hideMark/>
          </w:tcPr>
          <w:p w14:paraId="545C236F"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6</w:t>
            </w:r>
          </w:p>
        </w:tc>
        <w:tc>
          <w:tcPr>
            <w:tcW w:w="709" w:type="dxa"/>
            <w:hideMark/>
          </w:tcPr>
          <w:p w14:paraId="6DC84ECF"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9" w:type="dxa"/>
            <w:hideMark/>
          </w:tcPr>
          <w:p w14:paraId="38845436"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9</w:t>
            </w:r>
          </w:p>
        </w:tc>
        <w:tc>
          <w:tcPr>
            <w:tcW w:w="709" w:type="dxa"/>
            <w:hideMark/>
          </w:tcPr>
          <w:p w14:paraId="479F5C94"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5</w:t>
            </w:r>
          </w:p>
        </w:tc>
        <w:tc>
          <w:tcPr>
            <w:tcW w:w="709" w:type="dxa"/>
            <w:hideMark/>
          </w:tcPr>
          <w:p w14:paraId="47AF861D"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24</w:t>
            </w:r>
          </w:p>
        </w:tc>
        <w:tc>
          <w:tcPr>
            <w:tcW w:w="709" w:type="dxa"/>
            <w:hideMark/>
          </w:tcPr>
          <w:p w14:paraId="33B8D30A"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9" w:type="dxa"/>
            <w:noWrap/>
            <w:hideMark/>
          </w:tcPr>
          <w:p w14:paraId="5484EB91"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11</w:t>
            </w:r>
          </w:p>
        </w:tc>
        <w:tc>
          <w:tcPr>
            <w:tcW w:w="708" w:type="dxa"/>
            <w:noWrap/>
            <w:hideMark/>
          </w:tcPr>
          <w:p w14:paraId="0A4DF7B7"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2</w:t>
            </w:r>
          </w:p>
        </w:tc>
      </w:tr>
      <w:tr w:rsidR="00947066" w:rsidRPr="001F481F" w14:paraId="34E33BB6" w14:textId="77777777" w:rsidTr="00432301">
        <w:trPr>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5CB45D64" w14:textId="77777777" w:rsidR="00C124DE" w:rsidRPr="00A9101E" w:rsidRDefault="00C124DE" w:rsidP="00F569C7">
            <w:pPr>
              <w:spacing w:line="360" w:lineRule="auto"/>
              <w:jc w:val="left"/>
              <w:rPr>
                <w:b w:val="0"/>
                <w:bCs w:val="0"/>
                <w:color w:val="auto"/>
                <w:sz w:val="14"/>
                <w:szCs w:val="14"/>
                <w:lang w:eastAsia="sl-SI"/>
              </w:rPr>
            </w:pPr>
            <w:r w:rsidRPr="00A9101E">
              <w:rPr>
                <w:b w:val="0"/>
                <w:bCs w:val="0"/>
                <w:color w:val="auto"/>
                <w:sz w:val="14"/>
                <w:szCs w:val="14"/>
                <w:lang w:eastAsia="sl-SI"/>
              </w:rPr>
              <w:t>MORS-OVS</w:t>
            </w:r>
          </w:p>
        </w:tc>
        <w:tc>
          <w:tcPr>
            <w:tcW w:w="1134" w:type="dxa"/>
            <w:hideMark/>
          </w:tcPr>
          <w:p w14:paraId="0E6FA89D"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6CA435FF"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72B862DB"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9" w:type="dxa"/>
            <w:hideMark/>
          </w:tcPr>
          <w:p w14:paraId="26B56911"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188C6E3F"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5E6E1BC9"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412CD100"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6F5AC4D0"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8" w:type="dxa"/>
            <w:hideMark/>
          </w:tcPr>
          <w:p w14:paraId="083D5B46"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r>
      <w:tr w:rsidR="00227EFD" w:rsidRPr="001F481F" w14:paraId="7129FC5F" w14:textId="77777777" w:rsidTr="00432301">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409" w:type="dxa"/>
            <w:noWrap/>
            <w:hideMark/>
          </w:tcPr>
          <w:p w14:paraId="0C768033" w14:textId="69274D68" w:rsidR="00227EFD" w:rsidRPr="00A9101E" w:rsidRDefault="00227EFD" w:rsidP="00F569C7">
            <w:pPr>
              <w:spacing w:line="360" w:lineRule="auto"/>
              <w:jc w:val="left"/>
              <w:rPr>
                <w:b w:val="0"/>
                <w:bCs w:val="0"/>
                <w:color w:val="auto"/>
                <w:sz w:val="14"/>
                <w:szCs w:val="14"/>
                <w:lang w:eastAsia="sl-SI"/>
              </w:rPr>
            </w:pPr>
            <w:r w:rsidRPr="00A9101E">
              <w:rPr>
                <w:color w:val="auto"/>
                <w:sz w:val="14"/>
                <w:szCs w:val="14"/>
                <w:lang w:eastAsia="sl-SI"/>
              </w:rPr>
              <w:t>3. SPOROČILA DEJSTEV NADZORNIKOV</w:t>
            </w:r>
          </w:p>
        </w:tc>
        <w:tc>
          <w:tcPr>
            <w:tcW w:w="1134" w:type="dxa"/>
            <w:hideMark/>
          </w:tcPr>
          <w:p w14:paraId="3920D827"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3</w:t>
            </w:r>
          </w:p>
        </w:tc>
        <w:tc>
          <w:tcPr>
            <w:tcW w:w="709" w:type="dxa"/>
            <w:hideMark/>
          </w:tcPr>
          <w:p w14:paraId="3C112FC7"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5</w:t>
            </w:r>
          </w:p>
        </w:tc>
        <w:tc>
          <w:tcPr>
            <w:tcW w:w="709" w:type="dxa"/>
            <w:hideMark/>
          </w:tcPr>
          <w:p w14:paraId="7A62B670"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0</w:t>
            </w:r>
          </w:p>
        </w:tc>
        <w:tc>
          <w:tcPr>
            <w:tcW w:w="709" w:type="dxa"/>
            <w:hideMark/>
          </w:tcPr>
          <w:p w14:paraId="37FDDC07"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14</w:t>
            </w:r>
          </w:p>
        </w:tc>
        <w:tc>
          <w:tcPr>
            <w:tcW w:w="709" w:type="dxa"/>
            <w:hideMark/>
          </w:tcPr>
          <w:p w14:paraId="20EEBD67"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0</w:t>
            </w:r>
          </w:p>
        </w:tc>
        <w:tc>
          <w:tcPr>
            <w:tcW w:w="709" w:type="dxa"/>
            <w:hideMark/>
          </w:tcPr>
          <w:p w14:paraId="01E4EF7D"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16</w:t>
            </w:r>
          </w:p>
        </w:tc>
        <w:tc>
          <w:tcPr>
            <w:tcW w:w="709" w:type="dxa"/>
            <w:hideMark/>
          </w:tcPr>
          <w:p w14:paraId="46C4446F"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0</w:t>
            </w:r>
          </w:p>
        </w:tc>
        <w:tc>
          <w:tcPr>
            <w:tcW w:w="709" w:type="dxa"/>
            <w:hideMark/>
          </w:tcPr>
          <w:p w14:paraId="72822EBD"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14</w:t>
            </w:r>
          </w:p>
        </w:tc>
        <w:tc>
          <w:tcPr>
            <w:tcW w:w="708" w:type="dxa"/>
            <w:hideMark/>
          </w:tcPr>
          <w:p w14:paraId="07480665"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0</w:t>
            </w:r>
          </w:p>
        </w:tc>
      </w:tr>
      <w:tr w:rsidR="00227EFD" w:rsidRPr="001F481F" w14:paraId="7CBAE4A0" w14:textId="77777777" w:rsidTr="00432301">
        <w:trPr>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72C3C4BD" w14:textId="29D29DAF" w:rsidR="00227EFD" w:rsidRPr="00A9101E" w:rsidRDefault="00227EFD" w:rsidP="00F569C7">
            <w:pPr>
              <w:spacing w:line="360" w:lineRule="auto"/>
              <w:jc w:val="left"/>
              <w:rPr>
                <w:b w:val="0"/>
                <w:bCs w:val="0"/>
                <w:color w:val="auto"/>
                <w:sz w:val="14"/>
                <w:szCs w:val="14"/>
                <w:lang w:eastAsia="sl-SI"/>
              </w:rPr>
            </w:pPr>
          </w:p>
        </w:tc>
        <w:tc>
          <w:tcPr>
            <w:tcW w:w="1134" w:type="dxa"/>
            <w:hideMark/>
          </w:tcPr>
          <w:p w14:paraId="5B5F8D28"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0,54 %</w:t>
            </w:r>
          </w:p>
        </w:tc>
        <w:tc>
          <w:tcPr>
            <w:tcW w:w="709" w:type="dxa"/>
            <w:hideMark/>
          </w:tcPr>
          <w:p w14:paraId="7BB7132A"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0,66 %</w:t>
            </w:r>
          </w:p>
        </w:tc>
        <w:tc>
          <w:tcPr>
            <w:tcW w:w="709" w:type="dxa"/>
            <w:hideMark/>
          </w:tcPr>
          <w:p w14:paraId="39673815"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0,00 %</w:t>
            </w:r>
          </w:p>
        </w:tc>
        <w:tc>
          <w:tcPr>
            <w:tcW w:w="709" w:type="dxa"/>
            <w:hideMark/>
          </w:tcPr>
          <w:p w14:paraId="47DF40FD"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1,35 %</w:t>
            </w:r>
          </w:p>
        </w:tc>
        <w:tc>
          <w:tcPr>
            <w:tcW w:w="709" w:type="dxa"/>
            <w:hideMark/>
          </w:tcPr>
          <w:p w14:paraId="5ACD0F10"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0,00 %</w:t>
            </w:r>
          </w:p>
        </w:tc>
        <w:tc>
          <w:tcPr>
            <w:tcW w:w="709" w:type="dxa"/>
            <w:hideMark/>
          </w:tcPr>
          <w:p w14:paraId="07C7BAE6"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1,48 %</w:t>
            </w:r>
          </w:p>
        </w:tc>
        <w:tc>
          <w:tcPr>
            <w:tcW w:w="709" w:type="dxa"/>
            <w:hideMark/>
          </w:tcPr>
          <w:p w14:paraId="1459B41E"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0,00 %</w:t>
            </w:r>
          </w:p>
        </w:tc>
        <w:tc>
          <w:tcPr>
            <w:tcW w:w="709" w:type="dxa"/>
            <w:hideMark/>
          </w:tcPr>
          <w:p w14:paraId="505F9CF8"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1,30 %</w:t>
            </w:r>
          </w:p>
        </w:tc>
        <w:tc>
          <w:tcPr>
            <w:tcW w:w="708" w:type="dxa"/>
            <w:hideMark/>
          </w:tcPr>
          <w:p w14:paraId="7F15A72A"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0,00 %</w:t>
            </w:r>
          </w:p>
        </w:tc>
      </w:tr>
      <w:tr w:rsidR="00947066" w:rsidRPr="001F481F" w14:paraId="0E81E061" w14:textId="77777777" w:rsidTr="00432301">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28E1BD65" w14:textId="77777777" w:rsidR="00C124DE" w:rsidRPr="00A9101E" w:rsidRDefault="00C124DE" w:rsidP="00F569C7">
            <w:pPr>
              <w:spacing w:line="360" w:lineRule="auto"/>
              <w:jc w:val="left"/>
              <w:rPr>
                <w:b w:val="0"/>
                <w:bCs w:val="0"/>
                <w:color w:val="auto"/>
                <w:sz w:val="14"/>
                <w:szCs w:val="14"/>
                <w:lang w:eastAsia="sl-SI"/>
              </w:rPr>
            </w:pPr>
            <w:r w:rsidRPr="00A9101E">
              <w:rPr>
                <w:b w:val="0"/>
                <w:bCs w:val="0"/>
                <w:color w:val="auto"/>
                <w:sz w:val="14"/>
                <w:szCs w:val="14"/>
                <w:lang w:eastAsia="sl-SI"/>
              </w:rPr>
              <w:t>Ministrstvo za finance, FURS</w:t>
            </w:r>
          </w:p>
        </w:tc>
        <w:tc>
          <w:tcPr>
            <w:tcW w:w="1134" w:type="dxa"/>
            <w:hideMark/>
          </w:tcPr>
          <w:p w14:paraId="772B9B7D"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5EF8F568" w14:textId="77777777" w:rsidR="00C124DE" w:rsidRPr="001F481F" w:rsidRDefault="00C124DE" w:rsidP="00F569C7">
            <w:pPr>
              <w:spacing w:line="360" w:lineRule="auto"/>
              <w:cnfStyle w:val="000000100000" w:firstRow="0" w:lastRow="0" w:firstColumn="0" w:lastColumn="0" w:oddVBand="0" w:evenVBand="0" w:oddHBand="1" w:evenHBand="0" w:firstRowFirstColumn="0" w:firstRowLastColumn="0" w:lastRowFirstColumn="0" w:lastRowLastColumn="0"/>
              <w:rPr>
                <w:rFonts w:cs="Times New Roman"/>
                <w:sz w:val="14"/>
                <w:szCs w:val="14"/>
                <w:lang w:eastAsia="sl-SI"/>
              </w:rPr>
            </w:pPr>
            <w:r w:rsidRPr="001F481F">
              <w:rPr>
                <w:rFonts w:cs="Times New Roman"/>
                <w:sz w:val="14"/>
                <w:szCs w:val="14"/>
                <w:lang w:eastAsia="sl-SI"/>
              </w:rPr>
              <w:t> </w:t>
            </w:r>
          </w:p>
        </w:tc>
        <w:tc>
          <w:tcPr>
            <w:tcW w:w="709" w:type="dxa"/>
            <w:hideMark/>
          </w:tcPr>
          <w:p w14:paraId="0FEB7F4F" w14:textId="77777777" w:rsidR="00C124DE" w:rsidRPr="001F481F" w:rsidRDefault="00C124DE" w:rsidP="00F569C7">
            <w:pPr>
              <w:spacing w:line="360" w:lineRule="auto"/>
              <w:cnfStyle w:val="000000100000" w:firstRow="0" w:lastRow="0" w:firstColumn="0" w:lastColumn="0" w:oddVBand="0" w:evenVBand="0" w:oddHBand="1" w:evenHBand="0" w:firstRowFirstColumn="0" w:firstRowLastColumn="0" w:lastRowFirstColumn="0" w:lastRowLastColumn="0"/>
              <w:rPr>
                <w:rFonts w:cs="Times New Roman"/>
                <w:sz w:val="14"/>
                <w:szCs w:val="14"/>
                <w:lang w:eastAsia="sl-SI"/>
              </w:rPr>
            </w:pPr>
            <w:r w:rsidRPr="001F481F">
              <w:rPr>
                <w:rFonts w:cs="Times New Roman"/>
                <w:sz w:val="14"/>
                <w:szCs w:val="14"/>
                <w:lang w:eastAsia="sl-SI"/>
              </w:rPr>
              <w:t> </w:t>
            </w:r>
          </w:p>
        </w:tc>
        <w:tc>
          <w:tcPr>
            <w:tcW w:w="709" w:type="dxa"/>
            <w:hideMark/>
          </w:tcPr>
          <w:p w14:paraId="587FBC16"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9" w:type="dxa"/>
            <w:hideMark/>
          </w:tcPr>
          <w:p w14:paraId="375F6F49"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633D0E72"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9" w:type="dxa"/>
            <w:hideMark/>
          </w:tcPr>
          <w:p w14:paraId="38601DD5"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5A6535DD"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8" w:type="dxa"/>
            <w:hideMark/>
          </w:tcPr>
          <w:p w14:paraId="77D0560B"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r>
      <w:tr w:rsidR="00947066" w:rsidRPr="001F481F" w14:paraId="1B3F748B" w14:textId="77777777" w:rsidTr="00432301">
        <w:trPr>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2789B0CC" w14:textId="77777777" w:rsidR="00C124DE" w:rsidRPr="00A9101E" w:rsidRDefault="00C124DE" w:rsidP="00F569C7">
            <w:pPr>
              <w:spacing w:line="360" w:lineRule="auto"/>
              <w:jc w:val="left"/>
              <w:rPr>
                <w:b w:val="0"/>
                <w:bCs w:val="0"/>
                <w:color w:val="auto"/>
                <w:sz w:val="14"/>
                <w:szCs w:val="14"/>
                <w:lang w:eastAsia="sl-SI"/>
              </w:rPr>
            </w:pPr>
            <w:r w:rsidRPr="00A9101E">
              <w:rPr>
                <w:b w:val="0"/>
                <w:bCs w:val="0"/>
                <w:color w:val="auto"/>
                <w:sz w:val="14"/>
                <w:szCs w:val="14"/>
                <w:lang w:eastAsia="sl-SI"/>
              </w:rPr>
              <w:t>ATVP</w:t>
            </w:r>
          </w:p>
        </w:tc>
        <w:tc>
          <w:tcPr>
            <w:tcW w:w="1134" w:type="dxa"/>
            <w:hideMark/>
          </w:tcPr>
          <w:p w14:paraId="6850477E"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6AD38E41"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9" w:type="dxa"/>
            <w:hideMark/>
          </w:tcPr>
          <w:p w14:paraId="51053984" w14:textId="77777777" w:rsidR="00C124DE" w:rsidRPr="001F481F" w:rsidRDefault="00C124DE" w:rsidP="00F569C7">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14"/>
                <w:szCs w:val="14"/>
                <w:lang w:eastAsia="sl-SI"/>
              </w:rPr>
            </w:pPr>
            <w:r w:rsidRPr="001F481F">
              <w:rPr>
                <w:rFonts w:cs="Times New Roman"/>
                <w:sz w:val="14"/>
                <w:szCs w:val="14"/>
                <w:lang w:eastAsia="sl-SI"/>
              </w:rPr>
              <w:t> </w:t>
            </w:r>
          </w:p>
        </w:tc>
        <w:tc>
          <w:tcPr>
            <w:tcW w:w="709" w:type="dxa"/>
            <w:hideMark/>
          </w:tcPr>
          <w:p w14:paraId="507C57FE"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2</w:t>
            </w:r>
          </w:p>
        </w:tc>
        <w:tc>
          <w:tcPr>
            <w:tcW w:w="709" w:type="dxa"/>
            <w:hideMark/>
          </w:tcPr>
          <w:p w14:paraId="4D487959"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70642F82"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9" w:type="dxa"/>
            <w:hideMark/>
          </w:tcPr>
          <w:p w14:paraId="4E7F88CF"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0DB04D56"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8" w:type="dxa"/>
            <w:hideMark/>
          </w:tcPr>
          <w:p w14:paraId="3F939171"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r>
      <w:tr w:rsidR="00947066" w:rsidRPr="001F481F" w14:paraId="57BF7A4C" w14:textId="77777777" w:rsidTr="00432301">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6C66BFD3" w14:textId="77777777" w:rsidR="00C124DE" w:rsidRPr="00A9101E" w:rsidRDefault="00C124DE" w:rsidP="00F569C7">
            <w:pPr>
              <w:spacing w:line="360" w:lineRule="auto"/>
              <w:jc w:val="left"/>
              <w:rPr>
                <w:b w:val="0"/>
                <w:bCs w:val="0"/>
                <w:color w:val="auto"/>
                <w:sz w:val="14"/>
                <w:szCs w:val="14"/>
                <w:lang w:eastAsia="sl-SI"/>
              </w:rPr>
            </w:pPr>
            <w:r w:rsidRPr="00A9101E">
              <w:rPr>
                <w:b w:val="0"/>
                <w:bCs w:val="0"/>
                <w:color w:val="auto"/>
                <w:sz w:val="14"/>
                <w:szCs w:val="14"/>
                <w:lang w:eastAsia="sl-SI"/>
              </w:rPr>
              <w:t>Tržni inšpektorat</w:t>
            </w:r>
          </w:p>
        </w:tc>
        <w:tc>
          <w:tcPr>
            <w:tcW w:w="1134" w:type="dxa"/>
            <w:hideMark/>
          </w:tcPr>
          <w:p w14:paraId="3CD9FEDC"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1213057B"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9" w:type="dxa"/>
            <w:hideMark/>
          </w:tcPr>
          <w:p w14:paraId="7EC60510" w14:textId="77777777" w:rsidR="00C124DE" w:rsidRPr="001F481F" w:rsidRDefault="00C124DE" w:rsidP="00F569C7">
            <w:pPr>
              <w:spacing w:line="360" w:lineRule="auto"/>
              <w:cnfStyle w:val="000000100000" w:firstRow="0" w:lastRow="0" w:firstColumn="0" w:lastColumn="0" w:oddVBand="0" w:evenVBand="0" w:oddHBand="1" w:evenHBand="0" w:firstRowFirstColumn="0" w:firstRowLastColumn="0" w:lastRowFirstColumn="0" w:lastRowLastColumn="0"/>
              <w:rPr>
                <w:rFonts w:cs="Times New Roman"/>
                <w:sz w:val="14"/>
                <w:szCs w:val="14"/>
                <w:lang w:eastAsia="sl-SI"/>
              </w:rPr>
            </w:pPr>
            <w:r w:rsidRPr="001F481F">
              <w:rPr>
                <w:rFonts w:cs="Times New Roman"/>
                <w:sz w:val="14"/>
                <w:szCs w:val="14"/>
                <w:lang w:eastAsia="sl-SI"/>
              </w:rPr>
              <w:t> </w:t>
            </w:r>
          </w:p>
        </w:tc>
        <w:tc>
          <w:tcPr>
            <w:tcW w:w="709" w:type="dxa"/>
            <w:hideMark/>
          </w:tcPr>
          <w:p w14:paraId="0DBD3EA9"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30199903"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610FC3BB"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34D4CD41"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62D2F4CD"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8" w:type="dxa"/>
            <w:hideMark/>
          </w:tcPr>
          <w:p w14:paraId="52065388"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r>
      <w:tr w:rsidR="00947066" w:rsidRPr="001F481F" w14:paraId="47EEDA2B" w14:textId="77777777" w:rsidTr="00432301">
        <w:trPr>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67C3930B" w14:textId="77777777" w:rsidR="00C124DE" w:rsidRPr="00A9101E" w:rsidRDefault="00C124DE" w:rsidP="00F569C7">
            <w:pPr>
              <w:spacing w:line="360" w:lineRule="auto"/>
              <w:jc w:val="left"/>
              <w:rPr>
                <w:b w:val="0"/>
                <w:bCs w:val="0"/>
                <w:color w:val="auto"/>
                <w:sz w:val="14"/>
                <w:szCs w:val="14"/>
                <w:lang w:eastAsia="sl-SI"/>
              </w:rPr>
            </w:pPr>
            <w:r w:rsidRPr="00A9101E">
              <w:rPr>
                <w:b w:val="0"/>
                <w:bCs w:val="0"/>
                <w:color w:val="auto"/>
                <w:sz w:val="14"/>
                <w:szCs w:val="14"/>
                <w:lang w:eastAsia="sl-SI"/>
              </w:rPr>
              <w:lastRenderedPageBreak/>
              <w:t>Banka Slovenije</w:t>
            </w:r>
          </w:p>
        </w:tc>
        <w:tc>
          <w:tcPr>
            <w:tcW w:w="1134" w:type="dxa"/>
            <w:hideMark/>
          </w:tcPr>
          <w:p w14:paraId="54ECFA3E"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3</w:t>
            </w:r>
          </w:p>
        </w:tc>
        <w:tc>
          <w:tcPr>
            <w:tcW w:w="709" w:type="dxa"/>
            <w:hideMark/>
          </w:tcPr>
          <w:p w14:paraId="2248EFEC"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3</w:t>
            </w:r>
          </w:p>
        </w:tc>
        <w:tc>
          <w:tcPr>
            <w:tcW w:w="709" w:type="dxa"/>
            <w:hideMark/>
          </w:tcPr>
          <w:p w14:paraId="6328EA94" w14:textId="77777777" w:rsidR="00C124DE" w:rsidRPr="001F481F" w:rsidRDefault="00C124DE" w:rsidP="00F569C7">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14"/>
                <w:szCs w:val="14"/>
                <w:lang w:eastAsia="sl-SI"/>
              </w:rPr>
            </w:pPr>
            <w:r w:rsidRPr="001F481F">
              <w:rPr>
                <w:rFonts w:cs="Times New Roman"/>
                <w:sz w:val="14"/>
                <w:szCs w:val="14"/>
                <w:lang w:eastAsia="sl-SI"/>
              </w:rPr>
              <w:t> </w:t>
            </w:r>
          </w:p>
        </w:tc>
        <w:tc>
          <w:tcPr>
            <w:tcW w:w="709" w:type="dxa"/>
            <w:hideMark/>
          </w:tcPr>
          <w:p w14:paraId="33BC124C"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11</w:t>
            </w:r>
          </w:p>
        </w:tc>
        <w:tc>
          <w:tcPr>
            <w:tcW w:w="709" w:type="dxa"/>
            <w:hideMark/>
          </w:tcPr>
          <w:p w14:paraId="5116C1FA"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711C81E3"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13</w:t>
            </w:r>
          </w:p>
        </w:tc>
        <w:tc>
          <w:tcPr>
            <w:tcW w:w="709" w:type="dxa"/>
            <w:hideMark/>
          </w:tcPr>
          <w:p w14:paraId="6DAFDB25"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0E771A0C"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13</w:t>
            </w:r>
          </w:p>
        </w:tc>
        <w:tc>
          <w:tcPr>
            <w:tcW w:w="708" w:type="dxa"/>
            <w:hideMark/>
          </w:tcPr>
          <w:p w14:paraId="0A2EFEBA"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r>
      <w:tr w:rsidR="00947066" w:rsidRPr="001F481F" w14:paraId="4B085A27" w14:textId="77777777" w:rsidTr="00432301">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31349118" w14:textId="77777777" w:rsidR="00C124DE" w:rsidRPr="00A9101E" w:rsidRDefault="00C124DE" w:rsidP="00F569C7">
            <w:pPr>
              <w:spacing w:line="360" w:lineRule="auto"/>
              <w:jc w:val="left"/>
              <w:rPr>
                <w:b w:val="0"/>
                <w:bCs w:val="0"/>
                <w:color w:val="auto"/>
                <w:sz w:val="14"/>
                <w:szCs w:val="14"/>
                <w:lang w:eastAsia="sl-SI"/>
              </w:rPr>
            </w:pPr>
            <w:r w:rsidRPr="00A9101E">
              <w:rPr>
                <w:b w:val="0"/>
                <w:bCs w:val="0"/>
                <w:color w:val="auto"/>
                <w:sz w:val="14"/>
                <w:szCs w:val="14"/>
                <w:lang w:eastAsia="sl-SI"/>
              </w:rPr>
              <w:t>Agencija za zavarovalni nadzor</w:t>
            </w:r>
          </w:p>
        </w:tc>
        <w:tc>
          <w:tcPr>
            <w:tcW w:w="1134" w:type="dxa"/>
            <w:hideMark/>
          </w:tcPr>
          <w:p w14:paraId="48AF07A8"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7DC58BDF" w14:textId="77777777" w:rsidR="00C124DE" w:rsidRPr="001F481F" w:rsidRDefault="00C124DE" w:rsidP="00F569C7">
            <w:pPr>
              <w:spacing w:line="360" w:lineRule="auto"/>
              <w:cnfStyle w:val="000000100000" w:firstRow="0" w:lastRow="0" w:firstColumn="0" w:lastColumn="0" w:oddVBand="0" w:evenVBand="0" w:oddHBand="1" w:evenHBand="0" w:firstRowFirstColumn="0" w:firstRowLastColumn="0" w:lastRowFirstColumn="0" w:lastRowLastColumn="0"/>
              <w:rPr>
                <w:rFonts w:cs="Times New Roman"/>
                <w:sz w:val="14"/>
                <w:szCs w:val="14"/>
                <w:lang w:eastAsia="sl-SI"/>
              </w:rPr>
            </w:pPr>
            <w:r w:rsidRPr="001F481F">
              <w:rPr>
                <w:rFonts w:cs="Times New Roman"/>
                <w:sz w:val="14"/>
                <w:szCs w:val="14"/>
                <w:lang w:eastAsia="sl-SI"/>
              </w:rPr>
              <w:t> </w:t>
            </w:r>
          </w:p>
        </w:tc>
        <w:tc>
          <w:tcPr>
            <w:tcW w:w="709" w:type="dxa"/>
            <w:hideMark/>
          </w:tcPr>
          <w:p w14:paraId="1E93F408" w14:textId="77777777" w:rsidR="00C124DE" w:rsidRPr="001F481F" w:rsidRDefault="00C124DE" w:rsidP="00F569C7">
            <w:pPr>
              <w:spacing w:line="360" w:lineRule="auto"/>
              <w:cnfStyle w:val="000000100000" w:firstRow="0" w:lastRow="0" w:firstColumn="0" w:lastColumn="0" w:oddVBand="0" w:evenVBand="0" w:oddHBand="1" w:evenHBand="0" w:firstRowFirstColumn="0" w:firstRowLastColumn="0" w:lastRowFirstColumn="0" w:lastRowLastColumn="0"/>
              <w:rPr>
                <w:rFonts w:cs="Times New Roman"/>
                <w:sz w:val="14"/>
                <w:szCs w:val="14"/>
                <w:lang w:eastAsia="sl-SI"/>
              </w:rPr>
            </w:pPr>
            <w:r w:rsidRPr="001F481F">
              <w:rPr>
                <w:rFonts w:cs="Times New Roman"/>
                <w:sz w:val="14"/>
                <w:szCs w:val="14"/>
                <w:lang w:eastAsia="sl-SI"/>
              </w:rPr>
              <w:t> </w:t>
            </w:r>
          </w:p>
        </w:tc>
        <w:tc>
          <w:tcPr>
            <w:tcW w:w="709" w:type="dxa"/>
            <w:hideMark/>
          </w:tcPr>
          <w:p w14:paraId="2D05A0DD"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4BF8FC7A"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29FAA505"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9" w:type="dxa"/>
            <w:hideMark/>
          </w:tcPr>
          <w:p w14:paraId="0F997C59"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0E441968"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8" w:type="dxa"/>
            <w:hideMark/>
          </w:tcPr>
          <w:p w14:paraId="658F71A9" w14:textId="77777777" w:rsidR="00C124DE" w:rsidRPr="001F481F" w:rsidRDefault="00C124DE"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 </w:t>
            </w:r>
          </w:p>
        </w:tc>
      </w:tr>
      <w:tr w:rsidR="00227EFD" w:rsidRPr="001F481F" w14:paraId="74E51D19" w14:textId="77777777" w:rsidTr="00432301">
        <w:trPr>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693DD33D" w14:textId="340EE8C7" w:rsidR="00227EFD" w:rsidRPr="00A9101E" w:rsidRDefault="00227EFD" w:rsidP="00F569C7">
            <w:pPr>
              <w:spacing w:line="360" w:lineRule="auto"/>
              <w:jc w:val="left"/>
              <w:rPr>
                <w:color w:val="auto"/>
                <w:sz w:val="14"/>
                <w:szCs w:val="14"/>
                <w:lang w:eastAsia="sl-SI"/>
              </w:rPr>
            </w:pPr>
            <w:r w:rsidRPr="00A9101E">
              <w:rPr>
                <w:color w:val="auto"/>
                <w:sz w:val="14"/>
                <w:szCs w:val="14"/>
                <w:lang w:eastAsia="sl-SI"/>
              </w:rPr>
              <w:t>4. URAD NA LASTNO POBUDO</w:t>
            </w:r>
          </w:p>
          <w:p w14:paraId="1A776A61" w14:textId="03DDB1EE" w:rsidR="00227EFD" w:rsidRPr="00A9101E" w:rsidRDefault="00227EFD" w:rsidP="00F569C7">
            <w:pPr>
              <w:spacing w:line="360" w:lineRule="auto"/>
              <w:jc w:val="left"/>
              <w:rPr>
                <w:color w:val="auto"/>
                <w:sz w:val="14"/>
                <w:szCs w:val="14"/>
                <w:lang w:eastAsia="sl-SI"/>
              </w:rPr>
            </w:pPr>
            <w:r w:rsidRPr="00A9101E">
              <w:rPr>
                <w:color w:val="auto"/>
                <w:sz w:val="14"/>
                <w:szCs w:val="14"/>
                <w:lang w:eastAsia="sl-SI"/>
              </w:rPr>
              <w:t> </w:t>
            </w:r>
          </w:p>
        </w:tc>
        <w:tc>
          <w:tcPr>
            <w:tcW w:w="1134" w:type="dxa"/>
            <w:hideMark/>
          </w:tcPr>
          <w:p w14:paraId="7238C767"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3</w:t>
            </w:r>
          </w:p>
        </w:tc>
        <w:tc>
          <w:tcPr>
            <w:tcW w:w="709" w:type="dxa"/>
            <w:hideMark/>
          </w:tcPr>
          <w:p w14:paraId="0746B528"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4</w:t>
            </w:r>
          </w:p>
        </w:tc>
        <w:tc>
          <w:tcPr>
            <w:tcW w:w="709" w:type="dxa"/>
            <w:hideMark/>
          </w:tcPr>
          <w:p w14:paraId="3EA06106" w14:textId="77777777" w:rsidR="00227EFD" w:rsidRPr="001F481F" w:rsidRDefault="00227EFD" w:rsidP="00F569C7">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14"/>
                <w:szCs w:val="14"/>
                <w:lang w:eastAsia="sl-SI"/>
              </w:rPr>
            </w:pPr>
            <w:r w:rsidRPr="001F481F">
              <w:rPr>
                <w:rFonts w:cs="Times New Roman"/>
                <w:sz w:val="14"/>
                <w:szCs w:val="14"/>
                <w:lang w:eastAsia="sl-SI"/>
              </w:rPr>
              <w:t> </w:t>
            </w:r>
          </w:p>
        </w:tc>
        <w:tc>
          <w:tcPr>
            <w:tcW w:w="709" w:type="dxa"/>
            <w:hideMark/>
          </w:tcPr>
          <w:p w14:paraId="29B70470"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9" w:type="dxa"/>
            <w:hideMark/>
          </w:tcPr>
          <w:p w14:paraId="6D320DAF"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3443D9FA"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2</w:t>
            </w:r>
          </w:p>
        </w:tc>
        <w:tc>
          <w:tcPr>
            <w:tcW w:w="709" w:type="dxa"/>
            <w:hideMark/>
          </w:tcPr>
          <w:p w14:paraId="2A0E18C6"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w:t>
            </w:r>
          </w:p>
        </w:tc>
        <w:tc>
          <w:tcPr>
            <w:tcW w:w="709" w:type="dxa"/>
            <w:hideMark/>
          </w:tcPr>
          <w:p w14:paraId="79D92C4F"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18</w:t>
            </w:r>
          </w:p>
        </w:tc>
        <w:tc>
          <w:tcPr>
            <w:tcW w:w="708" w:type="dxa"/>
            <w:hideMark/>
          </w:tcPr>
          <w:p w14:paraId="1B85BE60"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0</w:t>
            </w:r>
          </w:p>
        </w:tc>
      </w:tr>
      <w:tr w:rsidR="00227EFD" w:rsidRPr="001F481F" w14:paraId="5D480160" w14:textId="77777777" w:rsidTr="00432301">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149A3914" w14:textId="0B702B67" w:rsidR="00227EFD" w:rsidRPr="00A9101E" w:rsidRDefault="00227EFD" w:rsidP="00F569C7">
            <w:pPr>
              <w:spacing w:line="360" w:lineRule="auto"/>
              <w:jc w:val="left"/>
              <w:rPr>
                <w:b w:val="0"/>
                <w:bCs w:val="0"/>
                <w:color w:val="auto"/>
                <w:sz w:val="14"/>
                <w:szCs w:val="14"/>
                <w:lang w:eastAsia="sl-SI"/>
              </w:rPr>
            </w:pPr>
          </w:p>
        </w:tc>
        <w:tc>
          <w:tcPr>
            <w:tcW w:w="1134" w:type="dxa"/>
            <w:hideMark/>
          </w:tcPr>
          <w:p w14:paraId="7B8C6471"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0,54 %</w:t>
            </w:r>
          </w:p>
        </w:tc>
        <w:tc>
          <w:tcPr>
            <w:tcW w:w="709" w:type="dxa"/>
            <w:hideMark/>
          </w:tcPr>
          <w:p w14:paraId="53F63B62"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0,53 %</w:t>
            </w:r>
          </w:p>
        </w:tc>
        <w:tc>
          <w:tcPr>
            <w:tcW w:w="709" w:type="dxa"/>
            <w:hideMark/>
          </w:tcPr>
          <w:p w14:paraId="28511404"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0,00 %</w:t>
            </w:r>
          </w:p>
        </w:tc>
        <w:tc>
          <w:tcPr>
            <w:tcW w:w="709" w:type="dxa"/>
            <w:hideMark/>
          </w:tcPr>
          <w:p w14:paraId="4979A921"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0,10 %</w:t>
            </w:r>
          </w:p>
        </w:tc>
        <w:tc>
          <w:tcPr>
            <w:tcW w:w="709" w:type="dxa"/>
            <w:hideMark/>
          </w:tcPr>
          <w:p w14:paraId="5B5A425C"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0,00 %</w:t>
            </w:r>
          </w:p>
        </w:tc>
        <w:tc>
          <w:tcPr>
            <w:tcW w:w="709" w:type="dxa"/>
            <w:hideMark/>
          </w:tcPr>
          <w:p w14:paraId="30B0A86D"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0,18 %</w:t>
            </w:r>
          </w:p>
        </w:tc>
        <w:tc>
          <w:tcPr>
            <w:tcW w:w="709" w:type="dxa"/>
            <w:hideMark/>
          </w:tcPr>
          <w:p w14:paraId="043A31BF"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1,89 %</w:t>
            </w:r>
          </w:p>
        </w:tc>
        <w:tc>
          <w:tcPr>
            <w:tcW w:w="709" w:type="dxa"/>
            <w:hideMark/>
          </w:tcPr>
          <w:p w14:paraId="47931F30"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1,67 %</w:t>
            </w:r>
          </w:p>
        </w:tc>
        <w:tc>
          <w:tcPr>
            <w:tcW w:w="708" w:type="dxa"/>
            <w:hideMark/>
          </w:tcPr>
          <w:p w14:paraId="7220541E"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0,00 %</w:t>
            </w:r>
          </w:p>
        </w:tc>
      </w:tr>
      <w:tr w:rsidR="00227EFD" w:rsidRPr="001F481F" w14:paraId="7F1885CF" w14:textId="77777777" w:rsidTr="00432301">
        <w:trPr>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10BFA55E" w14:textId="48C8C601" w:rsidR="00227EFD" w:rsidRPr="00A9101E" w:rsidRDefault="00227EFD" w:rsidP="00F569C7">
            <w:pPr>
              <w:spacing w:line="360" w:lineRule="auto"/>
              <w:jc w:val="left"/>
              <w:rPr>
                <w:color w:val="auto"/>
                <w:sz w:val="14"/>
                <w:szCs w:val="14"/>
                <w:lang w:eastAsia="sl-SI"/>
              </w:rPr>
            </w:pPr>
            <w:r w:rsidRPr="00A9101E">
              <w:rPr>
                <w:color w:val="auto"/>
                <w:sz w:val="14"/>
                <w:szCs w:val="14"/>
                <w:lang w:eastAsia="sl-SI"/>
              </w:rPr>
              <w:t>5. URADI DRUGIH DRŽAV</w:t>
            </w:r>
          </w:p>
          <w:p w14:paraId="2E69B118" w14:textId="2337BDD9" w:rsidR="00227EFD" w:rsidRPr="00A9101E" w:rsidRDefault="00227EFD" w:rsidP="00F569C7">
            <w:pPr>
              <w:spacing w:line="360" w:lineRule="auto"/>
              <w:jc w:val="left"/>
              <w:rPr>
                <w:b w:val="0"/>
                <w:bCs w:val="0"/>
                <w:color w:val="auto"/>
                <w:sz w:val="14"/>
                <w:szCs w:val="14"/>
                <w:lang w:eastAsia="sl-SI"/>
              </w:rPr>
            </w:pPr>
            <w:r w:rsidRPr="00A9101E">
              <w:rPr>
                <w:b w:val="0"/>
                <w:bCs w:val="0"/>
                <w:color w:val="auto"/>
                <w:sz w:val="14"/>
                <w:szCs w:val="14"/>
                <w:lang w:eastAsia="sl-SI"/>
              </w:rPr>
              <w:t> </w:t>
            </w:r>
          </w:p>
        </w:tc>
        <w:tc>
          <w:tcPr>
            <w:tcW w:w="1134" w:type="dxa"/>
            <w:hideMark/>
          </w:tcPr>
          <w:p w14:paraId="27BBAACE"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28</w:t>
            </w:r>
          </w:p>
        </w:tc>
        <w:tc>
          <w:tcPr>
            <w:tcW w:w="709" w:type="dxa"/>
            <w:hideMark/>
          </w:tcPr>
          <w:p w14:paraId="65946671"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40</w:t>
            </w:r>
          </w:p>
        </w:tc>
        <w:tc>
          <w:tcPr>
            <w:tcW w:w="709" w:type="dxa"/>
            <w:hideMark/>
          </w:tcPr>
          <w:p w14:paraId="092AF371"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2</w:t>
            </w:r>
          </w:p>
        </w:tc>
        <w:tc>
          <w:tcPr>
            <w:tcW w:w="709" w:type="dxa"/>
            <w:hideMark/>
          </w:tcPr>
          <w:p w14:paraId="4FC9E93A"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53</w:t>
            </w:r>
          </w:p>
        </w:tc>
        <w:tc>
          <w:tcPr>
            <w:tcW w:w="709" w:type="dxa"/>
            <w:hideMark/>
          </w:tcPr>
          <w:p w14:paraId="1005323C"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2</w:t>
            </w:r>
          </w:p>
        </w:tc>
        <w:tc>
          <w:tcPr>
            <w:tcW w:w="709" w:type="dxa"/>
            <w:hideMark/>
          </w:tcPr>
          <w:p w14:paraId="3264EB4F"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58</w:t>
            </w:r>
          </w:p>
        </w:tc>
        <w:tc>
          <w:tcPr>
            <w:tcW w:w="709" w:type="dxa"/>
            <w:hideMark/>
          </w:tcPr>
          <w:p w14:paraId="64A4026D"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 </w:t>
            </w:r>
          </w:p>
        </w:tc>
        <w:tc>
          <w:tcPr>
            <w:tcW w:w="709" w:type="dxa"/>
            <w:hideMark/>
          </w:tcPr>
          <w:p w14:paraId="02FDE971"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55</w:t>
            </w:r>
          </w:p>
        </w:tc>
        <w:tc>
          <w:tcPr>
            <w:tcW w:w="708" w:type="dxa"/>
            <w:hideMark/>
          </w:tcPr>
          <w:p w14:paraId="61F13F5C" w14:textId="77777777" w:rsidR="00227EFD" w:rsidRPr="001F481F" w:rsidRDefault="00227EFD"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4</w:t>
            </w:r>
          </w:p>
        </w:tc>
      </w:tr>
      <w:tr w:rsidR="00227EFD" w:rsidRPr="001F481F" w14:paraId="352FB288" w14:textId="77777777" w:rsidTr="00432301">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6AD261CA" w14:textId="317C8323" w:rsidR="00227EFD" w:rsidRPr="00A9101E" w:rsidRDefault="00227EFD" w:rsidP="00F569C7">
            <w:pPr>
              <w:spacing w:line="360" w:lineRule="auto"/>
              <w:jc w:val="left"/>
              <w:rPr>
                <w:b w:val="0"/>
                <w:bCs w:val="0"/>
                <w:color w:val="auto"/>
                <w:sz w:val="14"/>
                <w:szCs w:val="14"/>
                <w:lang w:eastAsia="sl-SI"/>
              </w:rPr>
            </w:pPr>
          </w:p>
        </w:tc>
        <w:tc>
          <w:tcPr>
            <w:tcW w:w="1134" w:type="dxa"/>
            <w:hideMark/>
          </w:tcPr>
          <w:p w14:paraId="23FE6B82"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5,02%</w:t>
            </w:r>
          </w:p>
        </w:tc>
        <w:tc>
          <w:tcPr>
            <w:tcW w:w="709" w:type="dxa"/>
            <w:hideMark/>
          </w:tcPr>
          <w:p w14:paraId="726F2E12"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5,28 %</w:t>
            </w:r>
          </w:p>
        </w:tc>
        <w:tc>
          <w:tcPr>
            <w:tcW w:w="709" w:type="dxa"/>
            <w:hideMark/>
          </w:tcPr>
          <w:p w14:paraId="2E474C32"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6,90 %</w:t>
            </w:r>
          </w:p>
        </w:tc>
        <w:tc>
          <w:tcPr>
            <w:tcW w:w="709" w:type="dxa"/>
            <w:hideMark/>
          </w:tcPr>
          <w:p w14:paraId="0042E41F"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5,11 %</w:t>
            </w:r>
          </w:p>
        </w:tc>
        <w:tc>
          <w:tcPr>
            <w:tcW w:w="709" w:type="dxa"/>
            <w:hideMark/>
          </w:tcPr>
          <w:p w14:paraId="21363774"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6,45 %</w:t>
            </w:r>
          </w:p>
        </w:tc>
        <w:tc>
          <w:tcPr>
            <w:tcW w:w="709" w:type="dxa"/>
            <w:hideMark/>
          </w:tcPr>
          <w:p w14:paraId="37FA2DD7"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5,35 %</w:t>
            </w:r>
          </w:p>
        </w:tc>
        <w:tc>
          <w:tcPr>
            <w:tcW w:w="709" w:type="dxa"/>
            <w:hideMark/>
          </w:tcPr>
          <w:p w14:paraId="13BD6B06"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0,00 %</w:t>
            </w:r>
          </w:p>
        </w:tc>
        <w:tc>
          <w:tcPr>
            <w:tcW w:w="709" w:type="dxa"/>
            <w:hideMark/>
          </w:tcPr>
          <w:p w14:paraId="64BF7774"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5,12%</w:t>
            </w:r>
          </w:p>
        </w:tc>
        <w:tc>
          <w:tcPr>
            <w:tcW w:w="708" w:type="dxa"/>
            <w:hideMark/>
          </w:tcPr>
          <w:p w14:paraId="205698C6" w14:textId="77777777" w:rsidR="00227EFD" w:rsidRPr="001F481F" w:rsidRDefault="00227EFD" w:rsidP="00F569C7">
            <w:pPr>
              <w:spacing w:line="360" w:lineRule="auto"/>
              <w:jc w:val="center"/>
              <w:cnfStyle w:val="000000100000" w:firstRow="0" w:lastRow="0" w:firstColumn="0" w:lastColumn="0" w:oddVBand="0" w:evenVBand="0" w:oddHBand="1" w:evenHBand="0" w:firstRowFirstColumn="0" w:firstRowLastColumn="0" w:lastRowFirstColumn="0" w:lastRowLastColumn="0"/>
              <w:rPr>
                <w:b/>
                <w:bCs/>
                <w:sz w:val="14"/>
                <w:szCs w:val="14"/>
                <w:lang w:eastAsia="sl-SI"/>
              </w:rPr>
            </w:pPr>
            <w:r w:rsidRPr="001F481F">
              <w:rPr>
                <w:b/>
                <w:bCs/>
                <w:sz w:val="14"/>
                <w:szCs w:val="14"/>
                <w:lang w:eastAsia="sl-SI"/>
              </w:rPr>
              <w:t>14,29 %</w:t>
            </w:r>
          </w:p>
        </w:tc>
      </w:tr>
      <w:tr w:rsidR="00947066" w:rsidRPr="001F481F" w14:paraId="11F40C89" w14:textId="77777777" w:rsidTr="00432301">
        <w:trPr>
          <w:trHeight w:val="250"/>
        </w:trPr>
        <w:tc>
          <w:tcPr>
            <w:cnfStyle w:val="001000000000" w:firstRow="0" w:lastRow="0" w:firstColumn="1" w:lastColumn="0" w:oddVBand="0" w:evenVBand="0" w:oddHBand="0" w:evenHBand="0" w:firstRowFirstColumn="0" w:firstRowLastColumn="0" w:lastRowFirstColumn="0" w:lastRowLastColumn="0"/>
            <w:tcW w:w="2409" w:type="dxa"/>
            <w:noWrap/>
            <w:hideMark/>
          </w:tcPr>
          <w:p w14:paraId="01E0D3A4" w14:textId="77777777" w:rsidR="00C124DE" w:rsidRPr="00A9101E" w:rsidRDefault="00C124DE" w:rsidP="00F569C7">
            <w:pPr>
              <w:spacing w:line="360" w:lineRule="auto"/>
              <w:jc w:val="left"/>
              <w:rPr>
                <w:color w:val="auto"/>
                <w:sz w:val="14"/>
                <w:szCs w:val="14"/>
                <w:lang w:eastAsia="sl-SI"/>
              </w:rPr>
            </w:pPr>
            <w:r w:rsidRPr="00A9101E">
              <w:rPr>
                <w:color w:val="auto"/>
                <w:sz w:val="14"/>
                <w:szCs w:val="14"/>
                <w:lang w:eastAsia="sl-SI"/>
              </w:rPr>
              <w:t>SKUPAJ</w:t>
            </w:r>
          </w:p>
        </w:tc>
        <w:tc>
          <w:tcPr>
            <w:tcW w:w="1134" w:type="dxa"/>
            <w:hideMark/>
          </w:tcPr>
          <w:p w14:paraId="2923F1F4"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558</w:t>
            </w:r>
          </w:p>
        </w:tc>
        <w:tc>
          <w:tcPr>
            <w:tcW w:w="709" w:type="dxa"/>
            <w:hideMark/>
          </w:tcPr>
          <w:p w14:paraId="6305DA09"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758</w:t>
            </w:r>
          </w:p>
        </w:tc>
        <w:tc>
          <w:tcPr>
            <w:tcW w:w="709" w:type="dxa"/>
            <w:hideMark/>
          </w:tcPr>
          <w:p w14:paraId="728A652E"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29</w:t>
            </w:r>
          </w:p>
        </w:tc>
        <w:tc>
          <w:tcPr>
            <w:tcW w:w="709" w:type="dxa"/>
            <w:hideMark/>
          </w:tcPr>
          <w:p w14:paraId="425894B7"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1038</w:t>
            </w:r>
          </w:p>
        </w:tc>
        <w:tc>
          <w:tcPr>
            <w:tcW w:w="709" w:type="dxa"/>
            <w:hideMark/>
          </w:tcPr>
          <w:p w14:paraId="5B4E05D3"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31</w:t>
            </w:r>
          </w:p>
        </w:tc>
        <w:tc>
          <w:tcPr>
            <w:tcW w:w="709" w:type="dxa"/>
            <w:hideMark/>
          </w:tcPr>
          <w:p w14:paraId="5B424538"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1084</w:t>
            </w:r>
          </w:p>
        </w:tc>
        <w:tc>
          <w:tcPr>
            <w:tcW w:w="709" w:type="dxa"/>
            <w:hideMark/>
          </w:tcPr>
          <w:p w14:paraId="18665FD2"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53</w:t>
            </w:r>
          </w:p>
        </w:tc>
        <w:tc>
          <w:tcPr>
            <w:tcW w:w="709" w:type="dxa"/>
            <w:hideMark/>
          </w:tcPr>
          <w:p w14:paraId="2A76B30A"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1075</w:t>
            </w:r>
          </w:p>
        </w:tc>
        <w:tc>
          <w:tcPr>
            <w:tcW w:w="708" w:type="dxa"/>
            <w:hideMark/>
          </w:tcPr>
          <w:p w14:paraId="26BF3F81" w14:textId="77777777" w:rsidR="00C124DE" w:rsidRPr="001F481F" w:rsidRDefault="00C124DE"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4"/>
                <w:szCs w:val="14"/>
                <w:lang w:eastAsia="sl-SI"/>
              </w:rPr>
            </w:pPr>
            <w:r w:rsidRPr="001F481F">
              <w:rPr>
                <w:b/>
                <w:bCs/>
                <w:sz w:val="14"/>
                <w:szCs w:val="14"/>
                <w:lang w:eastAsia="sl-SI"/>
              </w:rPr>
              <w:t>28</w:t>
            </w:r>
          </w:p>
        </w:tc>
      </w:tr>
    </w:tbl>
    <w:p w14:paraId="2717E45E" w14:textId="77777777" w:rsidR="00B65A09" w:rsidRDefault="00B65A09" w:rsidP="00B65A09"/>
    <w:p w14:paraId="2BD421E2" w14:textId="16278A24" w:rsidR="00B65A09" w:rsidRDefault="00634D6B" w:rsidP="00B65A09">
      <w:r>
        <w:t>V</w:t>
      </w:r>
      <w:r w:rsidR="00B65A09">
        <w:t xml:space="preserve"> letu 202</w:t>
      </w:r>
      <w:r w:rsidR="00D22B13">
        <w:t>1</w:t>
      </w:r>
      <w:r w:rsidR="00B65A09">
        <w:t xml:space="preserve"> </w:t>
      </w:r>
      <w:r>
        <w:t xml:space="preserve">je bilo </w:t>
      </w:r>
      <w:r w:rsidR="00B65A09">
        <w:t xml:space="preserve">na podlagi sporočenih sumljivih transakcij prijaviteljev </w:t>
      </w:r>
      <w:r w:rsidR="00D8156B" w:rsidRPr="00634D6B">
        <w:rPr>
          <w:b/>
          <w:bCs/>
        </w:rPr>
        <w:t>odprtih</w:t>
      </w:r>
      <w:r w:rsidR="00B65A09">
        <w:t xml:space="preserve"> </w:t>
      </w:r>
      <w:r w:rsidR="00B65A09" w:rsidRPr="00634D6B">
        <w:rPr>
          <w:b/>
          <w:bCs/>
        </w:rPr>
        <w:t>1.1</w:t>
      </w:r>
      <w:r w:rsidR="00D22B13" w:rsidRPr="00634D6B">
        <w:rPr>
          <w:b/>
          <w:bCs/>
        </w:rPr>
        <w:t>03</w:t>
      </w:r>
      <w:r w:rsidR="00B65A09" w:rsidRPr="00634D6B">
        <w:rPr>
          <w:b/>
          <w:bCs/>
        </w:rPr>
        <w:t xml:space="preserve"> zadev</w:t>
      </w:r>
      <w:r w:rsidR="00B65A09">
        <w:t>, in sicer:</w:t>
      </w:r>
    </w:p>
    <w:p w14:paraId="0424A2E3" w14:textId="42FFCC6E" w:rsidR="00B65A09" w:rsidRPr="00D8156B" w:rsidRDefault="00D22B13" w:rsidP="007A689C">
      <w:pPr>
        <w:pStyle w:val="Odstavekseznama"/>
        <w:ind w:left="851" w:hanging="284"/>
        <w:rPr>
          <w:b/>
          <w:bCs/>
        </w:rPr>
      </w:pPr>
      <w:r w:rsidRPr="00D8156B">
        <w:rPr>
          <w:b/>
          <w:bCs/>
        </w:rPr>
        <w:t>879</w:t>
      </w:r>
      <w:r w:rsidR="00B65A09" w:rsidRPr="00D8156B">
        <w:rPr>
          <w:b/>
          <w:bCs/>
        </w:rPr>
        <w:t xml:space="preserve"> </w:t>
      </w:r>
      <w:r w:rsidR="00B65A09" w:rsidRPr="00885D44">
        <w:t>zadev na podlagi</w:t>
      </w:r>
      <w:r w:rsidR="00B65A09" w:rsidRPr="00D8156B">
        <w:rPr>
          <w:b/>
          <w:bCs/>
        </w:rPr>
        <w:t xml:space="preserve"> sporočenih sumljivih transakcij zavezancev</w:t>
      </w:r>
      <w:r w:rsidR="00F70CFC" w:rsidRPr="00D8156B">
        <w:rPr>
          <w:b/>
          <w:bCs/>
        </w:rPr>
        <w:t>,</w:t>
      </w:r>
    </w:p>
    <w:p w14:paraId="0C899265" w14:textId="77325F29" w:rsidR="00B65A09" w:rsidRPr="00D8156B" w:rsidRDefault="00D22B13" w:rsidP="007A689C">
      <w:pPr>
        <w:pStyle w:val="Odstavekseznama"/>
        <w:ind w:left="851" w:hanging="284"/>
        <w:rPr>
          <w:b/>
          <w:bCs/>
        </w:rPr>
      </w:pPr>
      <w:r w:rsidRPr="00D8156B">
        <w:rPr>
          <w:b/>
          <w:bCs/>
        </w:rPr>
        <w:t>133</w:t>
      </w:r>
      <w:r w:rsidR="00B65A09" w:rsidRPr="00D8156B">
        <w:rPr>
          <w:b/>
          <w:bCs/>
        </w:rPr>
        <w:t xml:space="preserve"> </w:t>
      </w:r>
      <w:r w:rsidR="00B65A09" w:rsidRPr="00885D44">
        <w:t>zadev na podlagi</w:t>
      </w:r>
      <w:r w:rsidR="00B65A09" w:rsidRPr="00D8156B">
        <w:rPr>
          <w:b/>
          <w:bCs/>
        </w:rPr>
        <w:t xml:space="preserve"> pobud državnih organov</w:t>
      </w:r>
      <w:r w:rsidR="00F70CFC" w:rsidRPr="00D8156B">
        <w:rPr>
          <w:b/>
          <w:bCs/>
        </w:rPr>
        <w:t>,</w:t>
      </w:r>
      <w:r w:rsidR="00B65A09" w:rsidRPr="00D8156B">
        <w:rPr>
          <w:b/>
          <w:bCs/>
        </w:rPr>
        <w:t xml:space="preserve"> </w:t>
      </w:r>
    </w:p>
    <w:p w14:paraId="14C1DB73" w14:textId="6E2D301B" w:rsidR="00B65A09" w:rsidRPr="00D8156B" w:rsidRDefault="00D22B13" w:rsidP="007A689C">
      <w:pPr>
        <w:pStyle w:val="Odstavekseznama"/>
        <w:ind w:left="851" w:hanging="284"/>
        <w:rPr>
          <w:b/>
          <w:bCs/>
        </w:rPr>
      </w:pPr>
      <w:r w:rsidRPr="00D8156B">
        <w:rPr>
          <w:b/>
          <w:bCs/>
        </w:rPr>
        <w:t>14</w:t>
      </w:r>
      <w:r w:rsidR="00B65A09" w:rsidRPr="00D8156B">
        <w:rPr>
          <w:b/>
          <w:bCs/>
        </w:rPr>
        <w:t xml:space="preserve"> </w:t>
      </w:r>
      <w:r w:rsidR="00B65A09" w:rsidRPr="00885D44">
        <w:t xml:space="preserve">zadev na podlagi </w:t>
      </w:r>
      <w:r w:rsidR="00B65A09" w:rsidRPr="00885D44">
        <w:rPr>
          <w:b/>
          <w:bCs/>
        </w:rPr>
        <w:t>dejstev,</w:t>
      </w:r>
      <w:r w:rsidR="00B65A09" w:rsidRPr="00D8156B">
        <w:rPr>
          <w:b/>
          <w:bCs/>
        </w:rPr>
        <w:t xml:space="preserve"> prejetih od nadzornih organov</w:t>
      </w:r>
      <w:r w:rsidR="00F70CFC" w:rsidRPr="00D8156B">
        <w:rPr>
          <w:b/>
          <w:bCs/>
        </w:rPr>
        <w:t>,</w:t>
      </w:r>
    </w:p>
    <w:p w14:paraId="6C0C8B70" w14:textId="0E975FD6" w:rsidR="00B65A09" w:rsidRPr="00D8156B" w:rsidRDefault="00D22B13" w:rsidP="007A689C">
      <w:pPr>
        <w:pStyle w:val="Odstavekseznama"/>
        <w:ind w:left="851" w:hanging="284"/>
        <w:rPr>
          <w:b/>
          <w:bCs/>
        </w:rPr>
      </w:pPr>
      <w:r w:rsidRPr="00D8156B">
        <w:rPr>
          <w:b/>
          <w:bCs/>
        </w:rPr>
        <w:t xml:space="preserve">18 </w:t>
      </w:r>
      <w:r w:rsidR="00B65A09" w:rsidRPr="00885D44">
        <w:t>zadev na podlagi</w:t>
      </w:r>
      <w:r w:rsidR="00B65A09" w:rsidRPr="00D8156B">
        <w:rPr>
          <w:b/>
          <w:bCs/>
        </w:rPr>
        <w:t xml:space="preserve"> podatkov iz evidenc urada</w:t>
      </w:r>
      <w:r w:rsidR="00F70CFC" w:rsidRPr="00D8156B">
        <w:rPr>
          <w:b/>
          <w:bCs/>
        </w:rPr>
        <w:t>,</w:t>
      </w:r>
    </w:p>
    <w:p w14:paraId="49E0A377" w14:textId="414A8837" w:rsidR="009A349D" w:rsidRPr="000E41FC" w:rsidRDefault="00D22B13" w:rsidP="00B65A09">
      <w:pPr>
        <w:pStyle w:val="Odstavekseznama"/>
        <w:ind w:left="851" w:hanging="284"/>
        <w:rPr>
          <w:b/>
          <w:bCs/>
        </w:rPr>
      </w:pPr>
      <w:r w:rsidRPr="00D8156B">
        <w:rPr>
          <w:b/>
          <w:bCs/>
        </w:rPr>
        <w:t>59</w:t>
      </w:r>
      <w:r w:rsidR="00B65A09" w:rsidRPr="00D8156B">
        <w:rPr>
          <w:b/>
          <w:bCs/>
        </w:rPr>
        <w:t xml:space="preserve"> </w:t>
      </w:r>
      <w:r w:rsidR="00B65A09" w:rsidRPr="00885D44">
        <w:t xml:space="preserve">zadev na podlagi </w:t>
      </w:r>
      <w:r w:rsidR="00B65A09" w:rsidRPr="00D8156B">
        <w:rPr>
          <w:b/>
          <w:bCs/>
        </w:rPr>
        <w:t>podatkov iz zaprosil tujih sorodnih uradov s področja preprečevanja pranja denarja in financiranja terorizma.</w:t>
      </w:r>
    </w:p>
    <w:p w14:paraId="26F8A307" w14:textId="3CE60F5E" w:rsidR="00D22B13" w:rsidRDefault="00B65A09" w:rsidP="00B65A09">
      <w:r>
        <w:t xml:space="preserve">V nadaljevanju </w:t>
      </w:r>
      <w:r w:rsidR="000F2C3B">
        <w:t xml:space="preserve">so </w:t>
      </w:r>
      <w:r>
        <w:t>v grafu na podlagi zgoraj navedenih podatkov prikaz</w:t>
      </w:r>
      <w:r w:rsidR="000F2C3B">
        <w:t>ani</w:t>
      </w:r>
      <w:r>
        <w:t xml:space="preserve"> delež</w:t>
      </w:r>
      <w:r w:rsidR="000F2C3B">
        <w:t>i</w:t>
      </w:r>
      <w:r>
        <w:t xml:space="preserve"> prijav posameznih prijaviteljev v obdobju od 201</w:t>
      </w:r>
      <w:r w:rsidR="00D22B13">
        <w:t>1</w:t>
      </w:r>
      <w:r>
        <w:t>–202</w:t>
      </w:r>
      <w:r w:rsidR="00D22B13">
        <w:t>1</w:t>
      </w:r>
      <w:r>
        <w:t>.</w:t>
      </w:r>
    </w:p>
    <w:p w14:paraId="647D360D" w14:textId="77777777" w:rsidR="009754F7" w:rsidRDefault="009754F7" w:rsidP="00D22B13">
      <w:pPr>
        <w:spacing w:line="276" w:lineRule="auto"/>
        <w:ind w:left="851" w:right="-22" w:hanging="851"/>
        <w:rPr>
          <w:b/>
          <w:bCs/>
          <w:i/>
          <w:iCs/>
          <w:sz w:val="18"/>
          <w:szCs w:val="18"/>
        </w:rPr>
      </w:pPr>
    </w:p>
    <w:p w14:paraId="17D7317C" w14:textId="4F7206D7" w:rsidR="00D22B13" w:rsidRPr="00D22B13" w:rsidRDefault="00D22B13" w:rsidP="00D22B13">
      <w:pPr>
        <w:spacing w:line="276" w:lineRule="auto"/>
        <w:ind w:left="851" w:right="-22" w:hanging="851"/>
        <w:rPr>
          <w:b/>
          <w:bCs/>
          <w:i/>
          <w:iCs/>
          <w:sz w:val="18"/>
          <w:szCs w:val="18"/>
        </w:rPr>
      </w:pPr>
      <w:r w:rsidRPr="00D22B13">
        <w:rPr>
          <w:b/>
          <w:bCs/>
          <w:i/>
          <w:iCs/>
          <w:sz w:val="18"/>
          <w:szCs w:val="18"/>
        </w:rPr>
        <w:t>Graf 2: Delež posameznih prijaviteljev v skupnem številu prijav v obdobju 2011–2021</w:t>
      </w:r>
    </w:p>
    <w:p w14:paraId="2EFB3FAD" w14:textId="5900C422" w:rsidR="00B65A09" w:rsidRDefault="00D22B13" w:rsidP="00B65A09">
      <w:r>
        <w:rPr>
          <w:noProof/>
          <w:lang w:eastAsia="sl-SI"/>
        </w:rPr>
        <w:drawing>
          <wp:inline distT="0" distB="0" distL="0" distR="0" wp14:anchorId="0D712525" wp14:editId="38832D61">
            <wp:extent cx="5746750" cy="3053080"/>
            <wp:effectExtent l="0" t="0" r="6350" b="13970"/>
            <wp:docPr id="5" name="Grafikon 5" descr="Delež posameznih prijaviteljev v skupnem številu prijav v obdobju 2011–2021, prikazan o obliki paličnega grafikona."/>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537E68A" w14:textId="34B900CD" w:rsidR="00D22B13" w:rsidRPr="00424274" w:rsidRDefault="00D22B13" w:rsidP="00D22B13">
      <w:pPr>
        <w:spacing w:line="276" w:lineRule="auto"/>
        <w:ind w:right="-22"/>
        <w:rPr>
          <w:iCs/>
        </w:rPr>
      </w:pPr>
      <w:r w:rsidRPr="00C92D06">
        <w:rPr>
          <w:iCs/>
          <w:color w:val="000000" w:themeColor="text1"/>
        </w:rPr>
        <w:t xml:space="preserve">Iz preglednice 4 in grafa 2 je razvidno, da so največ prijav sumljivih transakcij uradu poslali zavezanci (finančne in nefinančne institucije), </w:t>
      </w:r>
      <w:r w:rsidRPr="00424274">
        <w:rPr>
          <w:iCs/>
        </w:rPr>
        <w:t xml:space="preserve">med katerimi po številu </w:t>
      </w:r>
      <w:r>
        <w:rPr>
          <w:iCs/>
        </w:rPr>
        <w:t>poslanih</w:t>
      </w:r>
      <w:r w:rsidRPr="00424274">
        <w:rPr>
          <w:iCs/>
        </w:rPr>
        <w:t xml:space="preserve"> prijav izstopajo </w:t>
      </w:r>
      <w:r w:rsidRPr="00DC4972">
        <w:rPr>
          <w:bCs/>
          <w:iCs/>
        </w:rPr>
        <w:t>banke</w:t>
      </w:r>
      <w:r w:rsidRPr="00424274">
        <w:rPr>
          <w:bCs/>
          <w:iCs/>
        </w:rPr>
        <w:t>,</w:t>
      </w:r>
      <w:r w:rsidRPr="00424274">
        <w:rPr>
          <w:iCs/>
        </w:rPr>
        <w:t xml:space="preserve"> ki </w:t>
      </w:r>
      <w:r>
        <w:rPr>
          <w:iCs/>
        </w:rPr>
        <w:t>u</w:t>
      </w:r>
      <w:r w:rsidRPr="00424274">
        <w:rPr>
          <w:iCs/>
        </w:rPr>
        <w:t xml:space="preserve">radu vsako leto </w:t>
      </w:r>
      <w:r>
        <w:rPr>
          <w:iCs/>
        </w:rPr>
        <w:t>pošljejo</w:t>
      </w:r>
      <w:r w:rsidRPr="00424274">
        <w:rPr>
          <w:iCs/>
        </w:rPr>
        <w:t xml:space="preserve"> največje število prijav, v zvezi s katerimi naj bi po njihovi oceni obstajali razlogi za sum pranja denarja ali financiranja terorizma. Omenjeni tren</w:t>
      </w:r>
      <w:r>
        <w:rPr>
          <w:iCs/>
        </w:rPr>
        <w:t>d je bil zaznan tudi v letu 2021</w:t>
      </w:r>
      <w:r w:rsidRPr="00424274">
        <w:rPr>
          <w:iCs/>
        </w:rPr>
        <w:t xml:space="preserve">, saj je bilo od </w:t>
      </w:r>
      <w:r>
        <w:rPr>
          <w:bCs/>
          <w:iCs/>
        </w:rPr>
        <w:t>vseh 1.103</w:t>
      </w:r>
      <w:r w:rsidRPr="00424274">
        <w:rPr>
          <w:bCs/>
          <w:iCs/>
        </w:rPr>
        <w:t xml:space="preserve"> zadev </w:t>
      </w:r>
      <w:r w:rsidRPr="00424274">
        <w:rPr>
          <w:iCs/>
        </w:rPr>
        <w:t xml:space="preserve">kar </w:t>
      </w:r>
      <w:r>
        <w:rPr>
          <w:iCs/>
        </w:rPr>
        <w:t>738</w:t>
      </w:r>
      <w:r w:rsidRPr="00424274">
        <w:rPr>
          <w:bCs/>
          <w:iCs/>
        </w:rPr>
        <w:t xml:space="preserve"> odprtih na podlagi podatkov</w:t>
      </w:r>
      <w:r>
        <w:rPr>
          <w:iCs/>
        </w:rPr>
        <w:t xml:space="preserve"> iz prijav bank, kar znaša 66</w:t>
      </w:r>
      <w:r w:rsidRPr="00424274">
        <w:rPr>
          <w:iCs/>
        </w:rPr>
        <w:t>,</w:t>
      </w:r>
      <w:r>
        <w:rPr>
          <w:iCs/>
        </w:rPr>
        <w:t>91</w:t>
      </w:r>
      <w:r w:rsidRPr="00424274">
        <w:rPr>
          <w:iCs/>
        </w:rPr>
        <w:t>% delež vseh odprtih zadev.</w:t>
      </w:r>
    </w:p>
    <w:p w14:paraId="1C93EC50" w14:textId="77777777" w:rsidR="00D22B13" w:rsidRPr="00424274" w:rsidRDefault="00D22B13" w:rsidP="00D22B13">
      <w:pPr>
        <w:spacing w:line="276" w:lineRule="auto"/>
        <w:ind w:right="-22"/>
        <w:rPr>
          <w:iCs/>
        </w:rPr>
      </w:pPr>
      <w:r>
        <w:rPr>
          <w:iCs/>
        </w:rPr>
        <w:lastRenderedPageBreak/>
        <w:t>Čeprav</w:t>
      </w:r>
      <w:r w:rsidRPr="00424274">
        <w:rPr>
          <w:iCs/>
        </w:rPr>
        <w:t xml:space="preserve"> se je število odprtih zadev v zadnjih štirih letih več kot podvojilo, se struktura prijaviteljev ni znatno spremenila.</w:t>
      </w:r>
    </w:p>
    <w:p w14:paraId="4529B959" w14:textId="77777777" w:rsidR="00B65A09" w:rsidRDefault="00B65A09" w:rsidP="00B65A09"/>
    <w:p w14:paraId="6CB85522" w14:textId="2ED3F3AB" w:rsidR="00B65A09" w:rsidRDefault="00B65A09" w:rsidP="00B65A09">
      <w:pPr>
        <w:pStyle w:val="Naslov3"/>
      </w:pPr>
      <w:bookmarkStart w:id="13" w:name="_Toc119581685"/>
      <w:r>
        <w:t>Število in dinamika odprtih in zaključenih zadev</w:t>
      </w:r>
      <w:bookmarkEnd w:id="13"/>
    </w:p>
    <w:p w14:paraId="76A6F654" w14:textId="77777777" w:rsidR="00B65A09" w:rsidRDefault="00B65A09" w:rsidP="00B65A09"/>
    <w:p w14:paraId="650AFB3A" w14:textId="6883D06D" w:rsidR="00B65A09" w:rsidRDefault="00D22B13" w:rsidP="00D22B13">
      <w:pPr>
        <w:spacing w:line="276" w:lineRule="auto"/>
        <w:ind w:right="-22"/>
        <w:rPr>
          <w:color w:val="000000" w:themeColor="text1"/>
        </w:rPr>
      </w:pPr>
      <w:r w:rsidRPr="00C92D06">
        <w:rPr>
          <w:color w:val="000000" w:themeColor="text1"/>
        </w:rPr>
        <w:t xml:space="preserve">V nadaljevanju </w:t>
      </w:r>
      <w:r w:rsidR="0000765E">
        <w:rPr>
          <w:color w:val="000000" w:themeColor="text1"/>
        </w:rPr>
        <w:t xml:space="preserve">je </w:t>
      </w:r>
      <w:r w:rsidRPr="00C92D06">
        <w:rPr>
          <w:color w:val="000000" w:themeColor="text1"/>
        </w:rPr>
        <w:t>v spodnji preglednici prikaz</w:t>
      </w:r>
      <w:r w:rsidR="0000765E">
        <w:rPr>
          <w:color w:val="000000" w:themeColor="text1"/>
        </w:rPr>
        <w:t>ano število</w:t>
      </w:r>
      <w:r w:rsidRPr="00C92D06">
        <w:rPr>
          <w:color w:val="000000" w:themeColor="text1"/>
        </w:rPr>
        <w:t xml:space="preserve"> odprtih in zaključenih zadev v obdobju 2011–2021, torej prirast in zaključevanje zadev, ki jih je urad obravnaval zaradi razlogov za sum storitve kaznivega dejanja pranja denarja ali financiranja terorizma.</w:t>
      </w:r>
    </w:p>
    <w:p w14:paraId="789E60F3" w14:textId="77777777" w:rsidR="009A349D" w:rsidRPr="00F156D5" w:rsidRDefault="009A349D" w:rsidP="00D22B13">
      <w:pPr>
        <w:spacing w:line="276" w:lineRule="auto"/>
        <w:ind w:right="-22"/>
        <w:rPr>
          <w:color w:val="FF0000"/>
        </w:rPr>
      </w:pPr>
    </w:p>
    <w:p w14:paraId="7154C944" w14:textId="4539B249" w:rsidR="00B65A09" w:rsidRPr="00160F2B" w:rsidRDefault="00B65A09" w:rsidP="00D22B13">
      <w:pPr>
        <w:spacing w:line="276" w:lineRule="auto"/>
        <w:ind w:left="851" w:right="-22" w:hanging="851"/>
        <w:rPr>
          <w:b/>
          <w:bCs/>
          <w:i/>
          <w:iCs/>
          <w:sz w:val="18"/>
          <w:szCs w:val="18"/>
        </w:rPr>
      </w:pPr>
      <w:r w:rsidRPr="00160F2B">
        <w:rPr>
          <w:b/>
          <w:bCs/>
          <w:i/>
          <w:iCs/>
          <w:sz w:val="18"/>
          <w:szCs w:val="18"/>
        </w:rPr>
        <w:t>Preglednica 5: Pregled odprtih in zaključenih zadev v uradu v obdobju 201</w:t>
      </w:r>
      <w:r w:rsidR="00D22B13" w:rsidRPr="00160F2B">
        <w:rPr>
          <w:b/>
          <w:bCs/>
          <w:i/>
          <w:iCs/>
          <w:sz w:val="18"/>
          <w:szCs w:val="18"/>
        </w:rPr>
        <w:t>1</w:t>
      </w:r>
      <w:r w:rsidRPr="00160F2B">
        <w:rPr>
          <w:b/>
          <w:bCs/>
          <w:i/>
          <w:iCs/>
          <w:sz w:val="18"/>
          <w:szCs w:val="18"/>
        </w:rPr>
        <w:t>–202</w:t>
      </w:r>
      <w:r w:rsidR="00D22B13" w:rsidRPr="00160F2B">
        <w:rPr>
          <w:b/>
          <w:bCs/>
          <w:i/>
          <w:iCs/>
          <w:sz w:val="18"/>
          <w:szCs w:val="18"/>
        </w:rPr>
        <w:t>1</w:t>
      </w:r>
    </w:p>
    <w:tbl>
      <w:tblPr>
        <w:tblStyle w:val="Tabelatemnamrea5poudarek5"/>
        <w:tblW w:w="9067" w:type="dxa"/>
        <w:tblLayout w:type="fixed"/>
        <w:tblLook w:val="02A0" w:firstRow="1" w:lastRow="0" w:firstColumn="1" w:lastColumn="0" w:noHBand="1" w:noVBand="0"/>
      </w:tblPr>
      <w:tblGrid>
        <w:gridCol w:w="704"/>
        <w:gridCol w:w="1134"/>
        <w:gridCol w:w="1276"/>
        <w:gridCol w:w="1417"/>
        <w:gridCol w:w="1418"/>
        <w:gridCol w:w="1417"/>
        <w:gridCol w:w="1701"/>
      </w:tblGrid>
      <w:tr w:rsidR="00A9101E" w:rsidRPr="00A9101E" w14:paraId="64AC6556" w14:textId="77777777" w:rsidTr="00BB1C1D">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04" w:type="dxa"/>
            <w:noWrap/>
            <w:vAlign w:val="center"/>
          </w:tcPr>
          <w:p w14:paraId="36849935" w14:textId="7DF15335" w:rsidR="00BB1C1D" w:rsidRPr="00A9101E" w:rsidRDefault="00BB1C1D" w:rsidP="00F569C7">
            <w:pPr>
              <w:spacing w:line="360" w:lineRule="auto"/>
              <w:jc w:val="center"/>
              <w:rPr>
                <w:color w:val="auto"/>
                <w:sz w:val="17"/>
                <w:szCs w:val="17"/>
                <w:lang w:eastAsia="sl-SI"/>
              </w:rPr>
            </w:pPr>
            <w:r w:rsidRPr="00A9101E">
              <w:rPr>
                <w:color w:val="auto"/>
                <w:sz w:val="17"/>
                <w:szCs w:val="17"/>
                <w:lang w:eastAsia="sl-SI"/>
              </w:rPr>
              <w:t>LETO</w:t>
            </w:r>
          </w:p>
        </w:tc>
        <w:tc>
          <w:tcPr>
            <w:cnfStyle w:val="000010000000" w:firstRow="0" w:lastRow="0" w:firstColumn="0" w:lastColumn="0" w:oddVBand="1" w:evenVBand="0" w:oddHBand="0" w:evenHBand="0" w:firstRowFirstColumn="0" w:firstRowLastColumn="0" w:lastRowFirstColumn="0" w:lastRowLastColumn="0"/>
            <w:tcW w:w="1134" w:type="dxa"/>
            <w:vAlign w:val="center"/>
          </w:tcPr>
          <w:p w14:paraId="17F65D8C" w14:textId="23FA3D11" w:rsidR="00BB1C1D" w:rsidRPr="00A9101E" w:rsidRDefault="00BB1C1D" w:rsidP="00F569C7">
            <w:pPr>
              <w:spacing w:line="360" w:lineRule="auto"/>
              <w:jc w:val="center"/>
              <w:rPr>
                <w:color w:val="auto"/>
                <w:sz w:val="17"/>
                <w:szCs w:val="17"/>
                <w:lang w:eastAsia="sl-SI"/>
              </w:rPr>
            </w:pPr>
            <w:r w:rsidRPr="00A9101E">
              <w:rPr>
                <w:color w:val="auto"/>
                <w:sz w:val="17"/>
                <w:szCs w:val="17"/>
                <w:lang w:eastAsia="sl-SI"/>
              </w:rPr>
              <w:t>PREJETO</w:t>
            </w:r>
          </w:p>
        </w:tc>
        <w:tc>
          <w:tcPr>
            <w:tcW w:w="1276" w:type="dxa"/>
            <w:vAlign w:val="center"/>
          </w:tcPr>
          <w:p w14:paraId="616F8EC9" w14:textId="44213149" w:rsidR="00BB1C1D" w:rsidRPr="00A9101E" w:rsidRDefault="00BB1C1D" w:rsidP="00F569C7">
            <w:pPr>
              <w:spacing w:line="360" w:lineRule="auto"/>
              <w:jc w:val="center"/>
              <w:cnfStyle w:val="100000000000" w:firstRow="1" w:lastRow="0" w:firstColumn="0" w:lastColumn="0" w:oddVBand="0" w:evenVBand="0" w:oddHBand="0" w:evenHBand="0" w:firstRowFirstColumn="0" w:firstRowLastColumn="0" w:lastRowFirstColumn="0" w:lastRowLastColumn="0"/>
              <w:rPr>
                <w:color w:val="auto"/>
                <w:sz w:val="17"/>
                <w:szCs w:val="17"/>
                <w:lang w:eastAsia="sl-SI"/>
              </w:rPr>
            </w:pPr>
            <w:r w:rsidRPr="00A9101E">
              <w:rPr>
                <w:color w:val="auto"/>
                <w:sz w:val="17"/>
                <w:szCs w:val="17"/>
                <w:lang w:eastAsia="sl-SI"/>
              </w:rPr>
              <w:t>OBVESTILA</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0FC5A770" w14:textId="6F2D612A" w:rsidR="00BB1C1D" w:rsidRPr="00A9101E" w:rsidRDefault="00BB1C1D" w:rsidP="00F569C7">
            <w:pPr>
              <w:spacing w:line="360" w:lineRule="auto"/>
              <w:jc w:val="center"/>
              <w:rPr>
                <w:color w:val="auto"/>
                <w:sz w:val="17"/>
                <w:szCs w:val="17"/>
                <w:lang w:eastAsia="sl-SI"/>
              </w:rPr>
            </w:pPr>
            <w:r w:rsidRPr="00A9101E">
              <w:rPr>
                <w:color w:val="auto"/>
                <w:sz w:val="17"/>
                <w:szCs w:val="17"/>
                <w:lang w:eastAsia="sl-SI"/>
              </w:rPr>
              <w:t>INFORMACIJE</w:t>
            </w:r>
          </w:p>
        </w:tc>
        <w:tc>
          <w:tcPr>
            <w:tcW w:w="1418" w:type="dxa"/>
            <w:vAlign w:val="center"/>
          </w:tcPr>
          <w:p w14:paraId="2CB5352D" w14:textId="0FB1EF24" w:rsidR="00BB1C1D" w:rsidRPr="00A9101E" w:rsidRDefault="00BB1C1D" w:rsidP="00F569C7">
            <w:pPr>
              <w:spacing w:line="360" w:lineRule="auto"/>
              <w:jc w:val="center"/>
              <w:cnfStyle w:val="100000000000" w:firstRow="1" w:lastRow="0" w:firstColumn="0" w:lastColumn="0" w:oddVBand="0" w:evenVBand="0" w:oddHBand="0" w:evenHBand="0" w:firstRowFirstColumn="0" w:firstRowLastColumn="0" w:lastRowFirstColumn="0" w:lastRowLastColumn="0"/>
              <w:rPr>
                <w:color w:val="auto"/>
                <w:sz w:val="17"/>
                <w:szCs w:val="17"/>
                <w:lang w:eastAsia="sl-SI"/>
              </w:rPr>
            </w:pPr>
            <w:r w:rsidRPr="00A9101E">
              <w:rPr>
                <w:color w:val="auto"/>
                <w:sz w:val="17"/>
                <w:szCs w:val="17"/>
                <w:lang w:eastAsia="sl-SI"/>
              </w:rPr>
              <w:t>ZAKLJUČENO V URADU</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3EC5CFBF" w14:textId="6648B2E0" w:rsidR="00BB1C1D" w:rsidRPr="00A9101E" w:rsidRDefault="00BB1C1D" w:rsidP="00F569C7">
            <w:pPr>
              <w:spacing w:line="360" w:lineRule="auto"/>
              <w:jc w:val="center"/>
              <w:rPr>
                <w:color w:val="auto"/>
                <w:sz w:val="17"/>
                <w:szCs w:val="17"/>
                <w:lang w:eastAsia="sl-SI"/>
              </w:rPr>
            </w:pPr>
            <w:r w:rsidRPr="00A9101E">
              <w:rPr>
                <w:color w:val="auto"/>
                <w:sz w:val="17"/>
                <w:szCs w:val="17"/>
                <w:lang w:eastAsia="sl-SI"/>
              </w:rPr>
              <w:t>ZAKLJUČENO SKUPAJ</w:t>
            </w:r>
          </w:p>
        </w:tc>
        <w:tc>
          <w:tcPr>
            <w:tcW w:w="1701" w:type="dxa"/>
            <w:vAlign w:val="center"/>
          </w:tcPr>
          <w:p w14:paraId="45BFA868" w14:textId="29B384A0" w:rsidR="00BB1C1D" w:rsidRPr="00A9101E" w:rsidRDefault="00BB1C1D" w:rsidP="00F569C7">
            <w:pPr>
              <w:spacing w:line="360" w:lineRule="auto"/>
              <w:jc w:val="center"/>
              <w:cnfStyle w:val="100000000000" w:firstRow="1" w:lastRow="0" w:firstColumn="0" w:lastColumn="0" w:oddVBand="0" w:evenVBand="0" w:oddHBand="0" w:evenHBand="0" w:firstRowFirstColumn="0" w:firstRowLastColumn="0" w:lastRowFirstColumn="0" w:lastRowLastColumn="0"/>
              <w:rPr>
                <w:color w:val="auto"/>
                <w:sz w:val="17"/>
                <w:szCs w:val="17"/>
                <w:lang w:eastAsia="sl-SI"/>
              </w:rPr>
            </w:pPr>
            <w:r w:rsidRPr="00A9101E">
              <w:rPr>
                <w:color w:val="auto"/>
                <w:sz w:val="17"/>
                <w:szCs w:val="17"/>
                <w:lang w:eastAsia="sl-SI"/>
              </w:rPr>
              <w:t>ŠTEVILO POSLANIH PISNIH IZDELKOV</w:t>
            </w:r>
            <w:r w:rsidR="005C3E99" w:rsidRPr="00A9101E">
              <w:rPr>
                <w:rStyle w:val="Sprotnaopomba-sklic"/>
                <w:color w:val="auto"/>
                <w:sz w:val="17"/>
                <w:szCs w:val="17"/>
                <w:lang w:eastAsia="sl-SI"/>
              </w:rPr>
              <w:footnoteReference w:id="9"/>
            </w:r>
            <w:r w:rsidRPr="00A9101E">
              <w:rPr>
                <w:color w:val="auto"/>
                <w:sz w:val="17"/>
                <w:szCs w:val="17"/>
                <w:lang w:eastAsia="sl-SI"/>
              </w:rPr>
              <w:t xml:space="preserve"> OBVESTILA/</w:t>
            </w:r>
            <w:r w:rsidRPr="00A9101E">
              <w:rPr>
                <w:color w:val="auto"/>
                <w:sz w:val="17"/>
                <w:szCs w:val="17"/>
                <w:lang w:eastAsia="sl-SI"/>
              </w:rPr>
              <w:br/>
              <w:t>INFORMACIJE</w:t>
            </w:r>
          </w:p>
        </w:tc>
      </w:tr>
      <w:tr w:rsidR="00F06E38" w:rsidRPr="00160F2B" w14:paraId="20726121" w14:textId="77777777" w:rsidTr="00BB1C1D">
        <w:trPr>
          <w:trHeight w:val="330"/>
        </w:trPr>
        <w:tc>
          <w:tcPr>
            <w:cnfStyle w:val="001000000000" w:firstRow="0" w:lastRow="0" w:firstColumn="1" w:lastColumn="0" w:oddVBand="0" w:evenVBand="0" w:oddHBand="0" w:evenHBand="0" w:firstRowFirstColumn="0" w:firstRowLastColumn="0" w:lastRowFirstColumn="0" w:lastRowLastColumn="0"/>
            <w:tcW w:w="704" w:type="dxa"/>
            <w:noWrap/>
          </w:tcPr>
          <w:p w14:paraId="0171BEE1" w14:textId="77777777" w:rsidR="00D22B13" w:rsidRPr="00A9101E" w:rsidRDefault="00D22B13" w:rsidP="00F569C7">
            <w:pPr>
              <w:spacing w:line="360" w:lineRule="auto"/>
              <w:jc w:val="center"/>
              <w:rPr>
                <w:b w:val="0"/>
                <w:bCs w:val="0"/>
                <w:color w:val="auto"/>
                <w:sz w:val="17"/>
                <w:szCs w:val="17"/>
                <w:lang w:eastAsia="sl-SI"/>
              </w:rPr>
            </w:pPr>
            <w:r w:rsidRPr="00A9101E">
              <w:rPr>
                <w:color w:val="auto"/>
                <w:sz w:val="17"/>
                <w:szCs w:val="17"/>
                <w:lang w:eastAsia="sl-SI"/>
              </w:rPr>
              <w:t>2011</w:t>
            </w:r>
          </w:p>
        </w:tc>
        <w:tc>
          <w:tcPr>
            <w:cnfStyle w:val="000010000000" w:firstRow="0" w:lastRow="0" w:firstColumn="0" w:lastColumn="0" w:oddVBand="1" w:evenVBand="0" w:oddHBand="0" w:evenHBand="0" w:firstRowFirstColumn="0" w:firstRowLastColumn="0" w:lastRowFirstColumn="0" w:lastRowLastColumn="0"/>
            <w:tcW w:w="1134" w:type="dxa"/>
          </w:tcPr>
          <w:p w14:paraId="03B46767" w14:textId="77777777" w:rsidR="00D22B13" w:rsidRPr="00160F2B" w:rsidRDefault="00D22B13" w:rsidP="00F569C7">
            <w:pPr>
              <w:spacing w:line="360" w:lineRule="auto"/>
              <w:jc w:val="center"/>
              <w:rPr>
                <w:sz w:val="17"/>
                <w:szCs w:val="17"/>
                <w:lang w:eastAsia="sl-SI"/>
              </w:rPr>
            </w:pPr>
            <w:r w:rsidRPr="00160F2B">
              <w:rPr>
                <w:sz w:val="17"/>
                <w:szCs w:val="17"/>
                <w:lang w:eastAsia="sl-SI"/>
              </w:rPr>
              <w:t>327</w:t>
            </w:r>
          </w:p>
        </w:tc>
        <w:tc>
          <w:tcPr>
            <w:tcW w:w="1276" w:type="dxa"/>
          </w:tcPr>
          <w:p w14:paraId="3AEF8D99" w14:textId="77777777" w:rsidR="00D22B13" w:rsidRPr="00160F2B"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sz w:val="17"/>
                <w:szCs w:val="17"/>
                <w:lang w:eastAsia="sl-SI"/>
              </w:rPr>
            </w:pPr>
            <w:r w:rsidRPr="00160F2B">
              <w:rPr>
                <w:sz w:val="17"/>
                <w:szCs w:val="17"/>
                <w:lang w:eastAsia="sl-SI"/>
              </w:rPr>
              <w:t>99</w:t>
            </w:r>
          </w:p>
        </w:tc>
        <w:tc>
          <w:tcPr>
            <w:cnfStyle w:val="000010000000" w:firstRow="0" w:lastRow="0" w:firstColumn="0" w:lastColumn="0" w:oddVBand="1" w:evenVBand="0" w:oddHBand="0" w:evenHBand="0" w:firstRowFirstColumn="0" w:firstRowLastColumn="0" w:lastRowFirstColumn="0" w:lastRowLastColumn="0"/>
            <w:tcW w:w="1417" w:type="dxa"/>
          </w:tcPr>
          <w:p w14:paraId="1317E7E1" w14:textId="77777777" w:rsidR="00D22B13" w:rsidRPr="00160F2B" w:rsidRDefault="00D22B13" w:rsidP="00F569C7">
            <w:pPr>
              <w:spacing w:line="360" w:lineRule="auto"/>
              <w:jc w:val="center"/>
              <w:rPr>
                <w:sz w:val="17"/>
                <w:szCs w:val="17"/>
                <w:lang w:eastAsia="sl-SI"/>
              </w:rPr>
            </w:pPr>
            <w:r w:rsidRPr="00160F2B">
              <w:rPr>
                <w:sz w:val="17"/>
                <w:szCs w:val="17"/>
                <w:lang w:eastAsia="sl-SI"/>
              </w:rPr>
              <w:t>58</w:t>
            </w:r>
          </w:p>
        </w:tc>
        <w:tc>
          <w:tcPr>
            <w:tcW w:w="1418" w:type="dxa"/>
          </w:tcPr>
          <w:p w14:paraId="17276D4B" w14:textId="77777777" w:rsidR="00D22B13" w:rsidRPr="00160F2B"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sz w:val="17"/>
                <w:szCs w:val="17"/>
                <w:lang w:eastAsia="sl-SI"/>
              </w:rPr>
            </w:pPr>
            <w:r w:rsidRPr="00160F2B">
              <w:rPr>
                <w:sz w:val="17"/>
                <w:szCs w:val="17"/>
                <w:lang w:eastAsia="sl-SI"/>
              </w:rPr>
              <w:t>99</w:t>
            </w:r>
          </w:p>
        </w:tc>
        <w:tc>
          <w:tcPr>
            <w:cnfStyle w:val="000010000000" w:firstRow="0" w:lastRow="0" w:firstColumn="0" w:lastColumn="0" w:oddVBand="1" w:evenVBand="0" w:oddHBand="0" w:evenHBand="0" w:firstRowFirstColumn="0" w:firstRowLastColumn="0" w:lastRowFirstColumn="0" w:lastRowLastColumn="0"/>
            <w:tcW w:w="1417" w:type="dxa"/>
          </w:tcPr>
          <w:p w14:paraId="5E98A5D2" w14:textId="77777777" w:rsidR="00D22B13" w:rsidRPr="00160F2B" w:rsidRDefault="00D22B13" w:rsidP="00F569C7">
            <w:pPr>
              <w:spacing w:line="360" w:lineRule="auto"/>
              <w:jc w:val="center"/>
              <w:rPr>
                <w:sz w:val="17"/>
                <w:szCs w:val="17"/>
                <w:lang w:eastAsia="sl-SI"/>
              </w:rPr>
            </w:pPr>
            <w:r w:rsidRPr="00160F2B">
              <w:rPr>
                <w:sz w:val="17"/>
                <w:szCs w:val="17"/>
                <w:lang w:eastAsia="sl-SI"/>
              </w:rPr>
              <w:t>256</w:t>
            </w:r>
          </w:p>
        </w:tc>
        <w:tc>
          <w:tcPr>
            <w:tcW w:w="1701" w:type="dxa"/>
          </w:tcPr>
          <w:p w14:paraId="211E3F62" w14:textId="77777777" w:rsidR="00D22B13" w:rsidRPr="00160F2B"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sz w:val="17"/>
                <w:szCs w:val="17"/>
                <w:lang w:eastAsia="sl-SI"/>
              </w:rPr>
            </w:pPr>
            <w:r w:rsidRPr="00160F2B">
              <w:rPr>
                <w:sz w:val="17"/>
                <w:szCs w:val="17"/>
                <w:lang w:eastAsia="sl-SI"/>
              </w:rPr>
              <w:t>84/48</w:t>
            </w:r>
          </w:p>
        </w:tc>
      </w:tr>
      <w:tr w:rsidR="00F06E38" w:rsidRPr="00160F2B" w14:paraId="64FDC404" w14:textId="77777777" w:rsidTr="00BB1C1D">
        <w:trPr>
          <w:trHeight w:val="330"/>
        </w:trPr>
        <w:tc>
          <w:tcPr>
            <w:cnfStyle w:val="001000000000" w:firstRow="0" w:lastRow="0" w:firstColumn="1" w:lastColumn="0" w:oddVBand="0" w:evenVBand="0" w:oddHBand="0" w:evenHBand="0" w:firstRowFirstColumn="0" w:firstRowLastColumn="0" w:lastRowFirstColumn="0" w:lastRowLastColumn="0"/>
            <w:tcW w:w="704" w:type="dxa"/>
            <w:noWrap/>
          </w:tcPr>
          <w:p w14:paraId="5F04F040" w14:textId="77777777" w:rsidR="00D22B13" w:rsidRPr="00A9101E" w:rsidRDefault="00D22B13" w:rsidP="00F569C7">
            <w:pPr>
              <w:spacing w:line="360" w:lineRule="auto"/>
              <w:jc w:val="center"/>
              <w:rPr>
                <w:b w:val="0"/>
                <w:bCs w:val="0"/>
                <w:color w:val="auto"/>
                <w:sz w:val="17"/>
                <w:szCs w:val="17"/>
                <w:lang w:eastAsia="sl-SI"/>
              </w:rPr>
            </w:pPr>
            <w:r w:rsidRPr="00A9101E">
              <w:rPr>
                <w:color w:val="auto"/>
                <w:sz w:val="17"/>
                <w:szCs w:val="17"/>
                <w:lang w:eastAsia="sl-SI"/>
              </w:rPr>
              <w:t>2012</w:t>
            </w:r>
          </w:p>
        </w:tc>
        <w:tc>
          <w:tcPr>
            <w:cnfStyle w:val="000010000000" w:firstRow="0" w:lastRow="0" w:firstColumn="0" w:lastColumn="0" w:oddVBand="1" w:evenVBand="0" w:oddHBand="0" w:evenHBand="0" w:firstRowFirstColumn="0" w:firstRowLastColumn="0" w:lastRowFirstColumn="0" w:lastRowLastColumn="0"/>
            <w:tcW w:w="1134" w:type="dxa"/>
          </w:tcPr>
          <w:p w14:paraId="5B81A91B" w14:textId="77777777" w:rsidR="00D22B13" w:rsidRPr="00160F2B" w:rsidRDefault="00D22B13" w:rsidP="00F569C7">
            <w:pPr>
              <w:spacing w:line="360" w:lineRule="auto"/>
              <w:jc w:val="center"/>
              <w:rPr>
                <w:sz w:val="17"/>
                <w:szCs w:val="17"/>
                <w:lang w:eastAsia="sl-SI"/>
              </w:rPr>
            </w:pPr>
            <w:r w:rsidRPr="00160F2B">
              <w:rPr>
                <w:sz w:val="17"/>
                <w:szCs w:val="17"/>
                <w:lang w:eastAsia="sl-SI"/>
              </w:rPr>
              <w:t>559</w:t>
            </w:r>
          </w:p>
        </w:tc>
        <w:tc>
          <w:tcPr>
            <w:tcW w:w="1276" w:type="dxa"/>
          </w:tcPr>
          <w:p w14:paraId="18415331" w14:textId="77777777" w:rsidR="00D22B13" w:rsidRPr="00160F2B"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sz w:val="17"/>
                <w:szCs w:val="17"/>
                <w:lang w:eastAsia="sl-SI"/>
              </w:rPr>
            </w:pPr>
            <w:r w:rsidRPr="00160F2B">
              <w:rPr>
                <w:sz w:val="17"/>
                <w:szCs w:val="17"/>
                <w:lang w:eastAsia="sl-SI"/>
              </w:rPr>
              <w:t>175</w:t>
            </w:r>
          </w:p>
        </w:tc>
        <w:tc>
          <w:tcPr>
            <w:cnfStyle w:val="000010000000" w:firstRow="0" w:lastRow="0" w:firstColumn="0" w:lastColumn="0" w:oddVBand="1" w:evenVBand="0" w:oddHBand="0" w:evenHBand="0" w:firstRowFirstColumn="0" w:firstRowLastColumn="0" w:lastRowFirstColumn="0" w:lastRowLastColumn="0"/>
            <w:tcW w:w="1417" w:type="dxa"/>
          </w:tcPr>
          <w:p w14:paraId="1D21453C" w14:textId="77777777" w:rsidR="00D22B13" w:rsidRPr="00160F2B" w:rsidRDefault="00D22B13" w:rsidP="00F569C7">
            <w:pPr>
              <w:spacing w:line="360" w:lineRule="auto"/>
              <w:jc w:val="center"/>
              <w:rPr>
                <w:sz w:val="17"/>
                <w:szCs w:val="17"/>
                <w:lang w:eastAsia="sl-SI"/>
              </w:rPr>
            </w:pPr>
            <w:r w:rsidRPr="00160F2B">
              <w:rPr>
                <w:sz w:val="17"/>
                <w:szCs w:val="17"/>
                <w:lang w:eastAsia="sl-SI"/>
              </w:rPr>
              <w:t>73</w:t>
            </w:r>
          </w:p>
        </w:tc>
        <w:tc>
          <w:tcPr>
            <w:tcW w:w="1418" w:type="dxa"/>
          </w:tcPr>
          <w:p w14:paraId="2069DEBF" w14:textId="77777777" w:rsidR="00D22B13" w:rsidRPr="00160F2B"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sz w:val="17"/>
                <w:szCs w:val="17"/>
                <w:lang w:eastAsia="sl-SI"/>
              </w:rPr>
            </w:pPr>
            <w:r w:rsidRPr="00160F2B">
              <w:rPr>
                <w:sz w:val="17"/>
                <w:szCs w:val="17"/>
                <w:lang w:eastAsia="sl-SI"/>
              </w:rPr>
              <w:t>130</w:t>
            </w:r>
          </w:p>
        </w:tc>
        <w:tc>
          <w:tcPr>
            <w:cnfStyle w:val="000010000000" w:firstRow="0" w:lastRow="0" w:firstColumn="0" w:lastColumn="0" w:oddVBand="1" w:evenVBand="0" w:oddHBand="0" w:evenHBand="0" w:firstRowFirstColumn="0" w:firstRowLastColumn="0" w:lastRowFirstColumn="0" w:lastRowLastColumn="0"/>
            <w:tcW w:w="1417" w:type="dxa"/>
          </w:tcPr>
          <w:p w14:paraId="189317F6" w14:textId="77777777" w:rsidR="00D22B13" w:rsidRPr="00160F2B" w:rsidRDefault="00D22B13" w:rsidP="00F569C7">
            <w:pPr>
              <w:spacing w:line="360" w:lineRule="auto"/>
              <w:jc w:val="center"/>
              <w:rPr>
                <w:sz w:val="17"/>
                <w:szCs w:val="17"/>
                <w:lang w:eastAsia="sl-SI"/>
              </w:rPr>
            </w:pPr>
            <w:r w:rsidRPr="00160F2B">
              <w:rPr>
                <w:sz w:val="17"/>
                <w:szCs w:val="17"/>
                <w:lang w:eastAsia="sl-SI"/>
              </w:rPr>
              <w:t>378</w:t>
            </w:r>
          </w:p>
        </w:tc>
        <w:tc>
          <w:tcPr>
            <w:tcW w:w="1701" w:type="dxa"/>
          </w:tcPr>
          <w:p w14:paraId="5E0AF249" w14:textId="77777777" w:rsidR="00D22B13" w:rsidRPr="00160F2B"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sz w:val="17"/>
                <w:szCs w:val="17"/>
                <w:lang w:eastAsia="sl-SI"/>
              </w:rPr>
            </w:pPr>
            <w:r w:rsidRPr="00160F2B">
              <w:rPr>
                <w:sz w:val="17"/>
                <w:szCs w:val="17"/>
                <w:lang w:eastAsia="sl-SI"/>
              </w:rPr>
              <w:t>132/64</w:t>
            </w:r>
          </w:p>
        </w:tc>
      </w:tr>
      <w:tr w:rsidR="00F06E38" w:rsidRPr="00160F2B" w14:paraId="4E66F3D8" w14:textId="77777777" w:rsidTr="00BB1C1D">
        <w:trPr>
          <w:trHeight w:val="330"/>
        </w:trPr>
        <w:tc>
          <w:tcPr>
            <w:cnfStyle w:val="001000000000" w:firstRow="0" w:lastRow="0" w:firstColumn="1" w:lastColumn="0" w:oddVBand="0" w:evenVBand="0" w:oddHBand="0" w:evenHBand="0" w:firstRowFirstColumn="0" w:firstRowLastColumn="0" w:lastRowFirstColumn="0" w:lastRowLastColumn="0"/>
            <w:tcW w:w="704" w:type="dxa"/>
            <w:noWrap/>
          </w:tcPr>
          <w:p w14:paraId="7655C410" w14:textId="77777777" w:rsidR="00D22B13" w:rsidRPr="00A9101E" w:rsidRDefault="00D22B13" w:rsidP="00F569C7">
            <w:pPr>
              <w:spacing w:line="360" w:lineRule="auto"/>
              <w:jc w:val="center"/>
              <w:rPr>
                <w:b w:val="0"/>
                <w:bCs w:val="0"/>
                <w:color w:val="auto"/>
                <w:sz w:val="17"/>
                <w:szCs w:val="17"/>
                <w:lang w:eastAsia="sl-SI"/>
              </w:rPr>
            </w:pPr>
            <w:r w:rsidRPr="00A9101E">
              <w:rPr>
                <w:color w:val="auto"/>
                <w:sz w:val="17"/>
                <w:szCs w:val="17"/>
                <w:lang w:eastAsia="sl-SI"/>
              </w:rPr>
              <w:t>2013</w:t>
            </w:r>
          </w:p>
        </w:tc>
        <w:tc>
          <w:tcPr>
            <w:cnfStyle w:val="000010000000" w:firstRow="0" w:lastRow="0" w:firstColumn="0" w:lastColumn="0" w:oddVBand="1" w:evenVBand="0" w:oddHBand="0" w:evenHBand="0" w:firstRowFirstColumn="0" w:firstRowLastColumn="0" w:lastRowFirstColumn="0" w:lastRowLastColumn="0"/>
            <w:tcW w:w="1134" w:type="dxa"/>
          </w:tcPr>
          <w:p w14:paraId="534F8842" w14:textId="77777777" w:rsidR="00D22B13" w:rsidRPr="00160F2B" w:rsidRDefault="00D22B13" w:rsidP="00F569C7">
            <w:pPr>
              <w:spacing w:line="360" w:lineRule="auto"/>
              <w:jc w:val="center"/>
              <w:rPr>
                <w:sz w:val="17"/>
                <w:szCs w:val="17"/>
                <w:lang w:eastAsia="sl-SI"/>
              </w:rPr>
            </w:pPr>
            <w:r w:rsidRPr="00160F2B">
              <w:rPr>
                <w:sz w:val="17"/>
                <w:szCs w:val="17"/>
                <w:lang w:eastAsia="sl-SI"/>
              </w:rPr>
              <w:t>600</w:t>
            </w:r>
          </w:p>
        </w:tc>
        <w:tc>
          <w:tcPr>
            <w:tcW w:w="1276" w:type="dxa"/>
          </w:tcPr>
          <w:p w14:paraId="2D2B1BED" w14:textId="77777777" w:rsidR="00D22B13" w:rsidRPr="00160F2B"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sz w:val="17"/>
                <w:szCs w:val="17"/>
                <w:lang w:eastAsia="sl-SI"/>
              </w:rPr>
            </w:pPr>
            <w:r w:rsidRPr="00160F2B">
              <w:rPr>
                <w:sz w:val="17"/>
                <w:szCs w:val="17"/>
                <w:lang w:eastAsia="sl-SI"/>
              </w:rPr>
              <w:t>170</w:t>
            </w:r>
          </w:p>
        </w:tc>
        <w:tc>
          <w:tcPr>
            <w:cnfStyle w:val="000010000000" w:firstRow="0" w:lastRow="0" w:firstColumn="0" w:lastColumn="0" w:oddVBand="1" w:evenVBand="0" w:oddHBand="0" w:evenHBand="0" w:firstRowFirstColumn="0" w:firstRowLastColumn="0" w:lastRowFirstColumn="0" w:lastRowLastColumn="0"/>
            <w:tcW w:w="1417" w:type="dxa"/>
          </w:tcPr>
          <w:p w14:paraId="69DB25AB" w14:textId="77777777" w:rsidR="00D22B13" w:rsidRPr="00160F2B" w:rsidRDefault="00D22B13" w:rsidP="00F569C7">
            <w:pPr>
              <w:spacing w:line="360" w:lineRule="auto"/>
              <w:jc w:val="center"/>
              <w:rPr>
                <w:sz w:val="17"/>
                <w:szCs w:val="17"/>
                <w:lang w:eastAsia="sl-SI"/>
              </w:rPr>
            </w:pPr>
            <w:r w:rsidRPr="00160F2B">
              <w:rPr>
                <w:sz w:val="17"/>
                <w:szCs w:val="17"/>
                <w:lang w:eastAsia="sl-SI"/>
              </w:rPr>
              <w:t>109</w:t>
            </w:r>
          </w:p>
        </w:tc>
        <w:tc>
          <w:tcPr>
            <w:tcW w:w="1418" w:type="dxa"/>
          </w:tcPr>
          <w:p w14:paraId="1740F168" w14:textId="77777777" w:rsidR="00D22B13" w:rsidRPr="00160F2B"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sz w:val="17"/>
                <w:szCs w:val="17"/>
                <w:lang w:eastAsia="sl-SI"/>
              </w:rPr>
            </w:pPr>
            <w:r w:rsidRPr="00160F2B">
              <w:rPr>
                <w:sz w:val="17"/>
                <w:szCs w:val="17"/>
                <w:lang w:eastAsia="sl-SI"/>
              </w:rPr>
              <w:t>156</w:t>
            </w:r>
          </w:p>
        </w:tc>
        <w:tc>
          <w:tcPr>
            <w:cnfStyle w:val="000010000000" w:firstRow="0" w:lastRow="0" w:firstColumn="0" w:lastColumn="0" w:oddVBand="1" w:evenVBand="0" w:oddHBand="0" w:evenHBand="0" w:firstRowFirstColumn="0" w:firstRowLastColumn="0" w:lastRowFirstColumn="0" w:lastRowLastColumn="0"/>
            <w:tcW w:w="1417" w:type="dxa"/>
          </w:tcPr>
          <w:p w14:paraId="3179E5EB" w14:textId="77777777" w:rsidR="00D22B13" w:rsidRPr="00160F2B" w:rsidRDefault="00D22B13" w:rsidP="00F569C7">
            <w:pPr>
              <w:spacing w:line="360" w:lineRule="auto"/>
              <w:jc w:val="center"/>
              <w:rPr>
                <w:sz w:val="17"/>
                <w:szCs w:val="17"/>
                <w:lang w:eastAsia="sl-SI"/>
              </w:rPr>
            </w:pPr>
            <w:r w:rsidRPr="00160F2B">
              <w:rPr>
                <w:sz w:val="17"/>
                <w:szCs w:val="17"/>
                <w:lang w:eastAsia="sl-SI"/>
              </w:rPr>
              <w:t>435</w:t>
            </w:r>
          </w:p>
        </w:tc>
        <w:tc>
          <w:tcPr>
            <w:tcW w:w="1701" w:type="dxa"/>
          </w:tcPr>
          <w:p w14:paraId="2C76389F" w14:textId="77777777" w:rsidR="00D22B13" w:rsidRPr="00160F2B"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sz w:val="17"/>
                <w:szCs w:val="17"/>
                <w:lang w:eastAsia="sl-SI"/>
              </w:rPr>
            </w:pPr>
            <w:r w:rsidRPr="00160F2B">
              <w:rPr>
                <w:sz w:val="17"/>
                <w:szCs w:val="17"/>
                <w:lang w:eastAsia="sl-SI"/>
              </w:rPr>
              <w:t>135/83</w:t>
            </w:r>
          </w:p>
        </w:tc>
      </w:tr>
      <w:tr w:rsidR="00F06E38" w:rsidRPr="00160F2B" w14:paraId="34187C31" w14:textId="77777777" w:rsidTr="00BB1C1D">
        <w:trPr>
          <w:trHeight w:val="330"/>
        </w:trPr>
        <w:tc>
          <w:tcPr>
            <w:cnfStyle w:val="001000000000" w:firstRow="0" w:lastRow="0" w:firstColumn="1" w:lastColumn="0" w:oddVBand="0" w:evenVBand="0" w:oddHBand="0" w:evenHBand="0" w:firstRowFirstColumn="0" w:firstRowLastColumn="0" w:lastRowFirstColumn="0" w:lastRowLastColumn="0"/>
            <w:tcW w:w="704" w:type="dxa"/>
            <w:noWrap/>
          </w:tcPr>
          <w:p w14:paraId="5EA57544" w14:textId="77777777" w:rsidR="00D22B13" w:rsidRPr="00A9101E" w:rsidRDefault="00D22B13" w:rsidP="00F569C7">
            <w:pPr>
              <w:spacing w:line="360" w:lineRule="auto"/>
              <w:jc w:val="center"/>
              <w:rPr>
                <w:b w:val="0"/>
                <w:bCs w:val="0"/>
                <w:color w:val="auto"/>
                <w:sz w:val="17"/>
                <w:szCs w:val="17"/>
                <w:lang w:eastAsia="sl-SI"/>
              </w:rPr>
            </w:pPr>
            <w:r w:rsidRPr="00A9101E">
              <w:rPr>
                <w:color w:val="auto"/>
                <w:sz w:val="17"/>
                <w:szCs w:val="17"/>
                <w:lang w:eastAsia="sl-SI"/>
              </w:rPr>
              <w:t>2014</w:t>
            </w:r>
          </w:p>
        </w:tc>
        <w:tc>
          <w:tcPr>
            <w:cnfStyle w:val="000010000000" w:firstRow="0" w:lastRow="0" w:firstColumn="0" w:lastColumn="0" w:oddVBand="1" w:evenVBand="0" w:oddHBand="0" w:evenHBand="0" w:firstRowFirstColumn="0" w:firstRowLastColumn="0" w:lastRowFirstColumn="0" w:lastRowLastColumn="0"/>
            <w:tcW w:w="1134" w:type="dxa"/>
          </w:tcPr>
          <w:p w14:paraId="0C909CB4" w14:textId="77777777" w:rsidR="00D22B13" w:rsidRPr="00160F2B" w:rsidRDefault="00D22B13" w:rsidP="00F569C7">
            <w:pPr>
              <w:spacing w:line="360" w:lineRule="auto"/>
              <w:jc w:val="center"/>
              <w:rPr>
                <w:sz w:val="17"/>
                <w:szCs w:val="17"/>
                <w:lang w:eastAsia="sl-SI"/>
              </w:rPr>
            </w:pPr>
            <w:r w:rsidRPr="00160F2B">
              <w:rPr>
                <w:sz w:val="17"/>
                <w:szCs w:val="17"/>
                <w:lang w:eastAsia="sl-SI"/>
              </w:rPr>
              <w:t>480</w:t>
            </w:r>
          </w:p>
        </w:tc>
        <w:tc>
          <w:tcPr>
            <w:tcW w:w="1276" w:type="dxa"/>
          </w:tcPr>
          <w:p w14:paraId="22D8678E" w14:textId="77777777" w:rsidR="00D22B13" w:rsidRPr="00160F2B"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sz w:val="17"/>
                <w:szCs w:val="17"/>
                <w:lang w:eastAsia="sl-SI"/>
              </w:rPr>
            </w:pPr>
            <w:r w:rsidRPr="00160F2B">
              <w:rPr>
                <w:sz w:val="17"/>
                <w:szCs w:val="17"/>
                <w:lang w:eastAsia="sl-SI"/>
              </w:rPr>
              <w:t>190</w:t>
            </w:r>
          </w:p>
        </w:tc>
        <w:tc>
          <w:tcPr>
            <w:cnfStyle w:val="000010000000" w:firstRow="0" w:lastRow="0" w:firstColumn="0" w:lastColumn="0" w:oddVBand="1" w:evenVBand="0" w:oddHBand="0" w:evenHBand="0" w:firstRowFirstColumn="0" w:firstRowLastColumn="0" w:lastRowFirstColumn="0" w:lastRowLastColumn="0"/>
            <w:tcW w:w="1417" w:type="dxa"/>
          </w:tcPr>
          <w:p w14:paraId="630974F8" w14:textId="77777777" w:rsidR="00D22B13" w:rsidRPr="00160F2B" w:rsidRDefault="00D22B13" w:rsidP="00F569C7">
            <w:pPr>
              <w:spacing w:line="360" w:lineRule="auto"/>
              <w:jc w:val="center"/>
              <w:rPr>
                <w:sz w:val="17"/>
                <w:szCs w:val="17"/>
                <w:lang w:eastAsia="sl-SI"/>
              </w:rPr>
            </w:pPr>
            <w:r w:rsidRPr="00160F2B">
              <w:rPr>
                <w:sz w:val="17"/>
                <w:szCs w:val="17"/>
                <w:lang w:eastAsia="sl-SI"/>
              </w:rPr>
              <w:t>124</w:t>
            </w:r>
          </w:p>
        </w:tc>
        <w:tc>
          <w:tcPr>
            <w:tcW w:w="1418" w:type="dxa"/>
          </w:tcPr>
          <w:p w14:paraId="7CD94BBF" w14:textId="77777777" w:rsidR="00D22B13" w:rsidRPr="00160F2B"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sz w:val="17"/>
                <w:szCs w:val="17"/>
                <w:lang w:eastAsia="sl-SI"/>
              </w:rPr>
            </w:pPr>
            <w:r w:rsidRPr="00160F2B">
              <w:rPr>
                <w:sz w:val="17"/>
                <w:szCs w:val="17"/>
                <w:lang w:eastAsia="sl-SI"/>
              </w:rPr>
              <w:t>207</w:t>
            </w:r>
          </w:p>
        </w:tc>
        <w:tc>
          <w:tcPr>
            <w:cnfStyle w:val="000010000000" w:firstRow="0" w:lastRow="0" w:firstColumn="0" w:lastColumn="0" w:oddVBand="1" w:evenVBand="0" w:oddHBand="0" w:evenHBand="0" w:firstRowFirstColumn="0" w:firstRowLastColumn="0" w:lastRowFirstColumn="0" w:lastRowLastColumn="0"/>
            <w:tcW w:w="1417" w:type="dxa"/>
          </w:tcPr>
          <w:p w14:paraId="373BCFAE" w14:textId="77777777" w:rsidR="00D22B13" w:rsidRPr="00160F2B" w:rsidRDefault="00D22B13" w:rsidP="00F569C7">
            <w:pPr>
              <w:spacing w:line="360" w:lineRule="auto"/>
              <w:jc w:val="center"/>
              <w:rPr>
                <w:sz w:val="17"/>
                <w:szCs w:val="17"/>
                <w:lang w:eastAsia="sl-SI"/>
              </w:rPr>
            </w:pPr>
            <w:r w:rsidRPr="00160F2B">
              <w:rPr>
                <w:sz w:val="17"/>
                <w:szCs w:val="17"/>
                <w:lang w:eastAsia="sl-SI"/>
              </w:rPr>
              <w:t>521</w:t>
            </w:r>
          </w:p>
        </w:tc>
        <w:tc>
          <w:tcPr>
            <w:tcW w:w="1701" w:type="dxa"/>
          </w:tcPr>
          <w:p w14:paraId="0C9B1244" w14:textId="77777777" w:rsidR="00D22B13" w:rsidRPr="00160F2B"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sz w:val="17"/>
                <w:szCs w:val="17"/>
                <w:lang w:eastAsia="sl-SI"/>
              </w:rPr>
            </w:pPr>
            <w:r w:rsidRPr="00160F2B">
              <w:rPr>
                <w:sz w:val="17"/>
                <w:szCs w:val="17"/>
                <w:lang w:eastAsia="sl-SI"/>
              </w:rPr>
              <w:t>157/111</w:t>
            </w:r>
          </w:p>
        </w:tc>
      </w:tr>
      <w:tr w:rsidR="00F06E38" w:rsidRPr="00160F2B" w14:paraId="02971EE0" w14:textId="77777777" w:rsidTr="00BB1C1D">
        <w:trPr>
          <w:trHeight w:val="330"/>
        </w:trPr>
        <w:tc>
          <w:tcPr>
            <w:cnfStyle w:val="001000000000" w:firstRow="0" w:lastRow="0" w:firstColumn="1" w:lastColumn="0" w:oddVBand="0" w:evenVBand="0" w:oddHBand="0" w:evenHBand="0" w:firstRowFirstColumn="0" w:firstRowLastColumn="0" w:lastRowFirstColumn="0" w:lastRowLastColumn="0"/>
            <w:tcW w:w="704" w:type="dxa"/>
            <w:noWrap/>
          </w:tcPr>
          <w:p w14:paraId="2A613433" w14:textId="77777777" w:rsidR="00D22B13" w:rsidRPr="00A9101E" w:rsidRDefault="00D22B13" w:rsidP="00F569C7">
            <w:pPr>
              <w:spacing w:line="360" w:lineRule="auto"/>
              <w:jc w:val="center"/>
              <w:rPr>
                <w:b w:val="0"/>
                <w:bCs w:val="0"/>
                <w:color w:val="auto"/>
                <w:sz w:val="17"/>
                <w:szCs w:val="17"/>
                <w:lang w:eastAsia="sl-SI"/>
              </w:rPr>
            </w:pPr>
            <w:r w:rsidRPr="00A9101E">
              <w:rPr>
                <w:color w:val="auto"/>
                <w:sz w:val="17"/>
                <w:szCs w:val="17"/>
                <w:lang w:eastAsia="sl-SI"/>
              </w:rPr>
              <w:t>2015</w:t>
            </w:r>
          </w:p>
        </w:tc>
        <w:tc>
          <w:tcPr>
            <w:cnfStyle w:val="000010000000" w:firstRow="0" w:lastRow="0" w:firstColumn="0" w:lastColumn="0" w:oddVBand="1" w:evenVBand="0" w:oddHBand="0" w:evenHBand="0" w:firstRowFirstColumn="0" w:firstRowLastColumn="0" w:lastRowFirstColumn="0" w:lastRowLastColumn="0"/>
            <w:tcW w:w="1134" w:type="dxa"/>
          </w:tcPr>
          <w:p w14:paraId="6E1C5E8B" w14:textId="77777777" w:rsidR="00D22B13" w:rsidRPr="00160F2B" w:rsidRDefault="00D22B13" w:rsidP="00F569C7">
            <w:pPr>
              <w:spacing w:line="360" w:lineRule="auto"/>
              <w:jc w:val="center"/>
              <w:rPr>
                <w:sz w:val="17"/>
                <w:szCs w:val="17"/>
                <w:lang w:eastAsia="sl-SI"/>
              </w:rPr>
            </w:pPr>
            <w:r w:rsidRPr="00160F2B">
              <w:rPr>
                <w:sz w:val="17"/>
                <w:szCs w:val="17"/>
                <w:lang w:eastAsia="sl-SI"/>
              </w:rPr>
              <w:t>521</w:t>
            </w:r>
          </w:p>
        </w:tc>
        <w:tc>
          <w:tcPr>
            <w:tcW w:w="1276" w:type="dxa"/>
          </w:tcPr>
          <w:p w14:paraId="5163E86A" w14:textId="77777777" w:rsidR="00D22B13" w:rsidRPr="00160F2B"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sz w:val="17"/>
                <w:szCs w:val="17"/>
                <w:lang w:eastAsia="sl-SI"/>
              </w:rPr>
            </w:pPr>
            <w:r w:rsidRPr="00160F2B">
              <w:rPr>
                <w:sz w:val="17"/>
                <w:szCs w:val="17"/>
                <w:lang w:eastAsia="sl-SI"/>
              </w:rPr>
              <w:t>259</w:t>
            </w:r>
          </w:p>
        </w:tc>
        <w:tc>
          <w:tcPr>
            <w:cnfStyle w:val="000010000000" w:firstRow="0" w:lastRow="0" w:firstColumn="0" w:lastColumn="0" w:oddVBand="1" w:evenVBand="0" w:oddHBand="0" w:evenHBand="0" w:firstRowFirstColumn="0" w:firstRowLastColumn="0" w:lastRowFirstColumn="0" w:lastRowLastColumn="0"/>
            <w:tcW w:w="1417" w:type="dxa"/>
          </w:tcPr>
          <w:p w14:paraId="00D81655" w14:textId="77777777" w:rsidR="00D22B13" w:rsidRPr="00160F2B" w:rsidRDefault="00D22B13" w:rsidP="00F569C7">
            <w:pPr>
              <w:spacing w:line="360" w:lineRule="auto"/>
              <w:jc w:val="center"/>
              <w:rPr>
                <w:sz w:val="17"/>
                <w:szCs w:val="17"/>
                <w:lang w:eastAsia="sl-SI"/>
              </w:rPr>
            </w:pPr>
            <w:r w:rsidRPr="00160F2B">
              <w:rPr>
                <w:sz w:val="17"/>
                <w:szCs w:val="17"/>
                <w:lang w:eastAsia="sl-SI"/>
              </w:rPr>
              <w:t>107</w:t>
            </w:r>
          </w:p>
        </w:tc>
        <w:tc>
          <w:tcPr>
            <w:tcW w:w="1418" w:type="dxa"/>
          </w:tcPr>
          <w:p w14:paraId="7CDD7CF6" w14:textId="77777777" w:rsidR="00D22B13" w:rsidRPr="00160F2B"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sz w:val="17"/>
                <w:szCs w:val="17"/>
                <w:lang w:eastAsia="sl-SI"/>
              </w:rPr>
            </w:pPr>
            <w:r w:rsidRPr="00160F2B">
              <w:rPr>
                <w:sz w:val="17"/>
                <w:szCs w:val="17"/>
                <w:lang w:eastAsia="sl-SI"/>
              </w:rPr>
              <w:t>206</w:t>
            </w:r>
          </w:p>
        </w:tc>
        <w:tc>
          <w:tcPr>
            <w:cnfStyle w:val="000010000000" w:firstRow="0" w:lastRow="0" w:firstColumn="0" w:lastColumn="0" w:oddVBand="1" w:evenVBand="0" w:oddHBand="0" w:evenHBand="0" w:firstRowFirstColumn="0" w:firstRowLastColumn="0" w:lastRowFirstColumn="0" w:lastRowLastColumn="0"/>
            <w:tcW w:w="1417" w:type="dxa"/>
          </w:tcPr>
          <w:p w14:paraId="580FF183" w14:textId="77777777" w:rsidR="00D22B13" w:rsidRPr="00160F2B" w:rsidRDefault="00D22B13" w:rsidP="00F569C7">
            <w:pPr>
              <w:spacing w:line="360" w:lineRule="auto"/>
              <w:jc w:val="center"/>
              <w:rPr>
                <w:sz w:val="17"/>
                <w:szCs w:val="17"/>
                <w:lang w:eastAsia="sl-SI"/>
              </w:rPr>
            </w:pPr>
            <w:r w:rsidRPr="00160F2B">
              <w:rPr>
                <w:sz w:val="17"/>
                <w:szCs w:val="17"/>
                <w:lang w:eastAsia="sl-SI"/>
              </w:rPr>
              <w:t>572</w:t>
            </w:r>
          </w:p>
        </w:tc>
        <w:tc>
          <w:tcPr>
            <w:tcW w:w="1701" w:type="dxa"/>
          </w:tcPr>
          <w:p w14:paraId="76B1159D" w14:textId="77777777" w:rsidR="00D22B13" w:rsidRPr="00160F2B"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sz w:val="17"/>
                <w:szCs w:val="17"/>
                <w:lang w:eastAsia="sl-SI"/>
              </w:rPr>
            </w:pPr>
            <w:r w:rsidRPr="00160F2B">
              <w:rPr>
                <w:sz w:val="17"/>
                <w:szCs w:val="17"/>
                <w:lang w:eastAsia="sl-SI"/>
              </w:rPr>
              <w:t>190/95</w:t>
            </w:r>
          </w:p>
        </w:tc>
      </w:tr>
      <w:tr w:rsidR="00F06E38" w:rsidRPr="00160F2B" w14:paraId="4514EED5" w14:textId="77777777" w:rsidTr="00BB1C1D">
        <w:trPr>
          <w:trHeight w:val="330"/>
        </w:trPr>
        <w:tc>
          <w:tcPr>
            <w:cnfStyle w:val="001000000000" w:firstRow="0" w:lastRow="0" w:firstColumn="1" w:lastColumn="0" w:oddVBand="0" w:evenVBand="0" w:oddHBand="0" w:evenHBand="0" w:firstRowFirstColumn="0" w:firstRowLastColumn="0" w:lastRowFirstColumn="0" w:lastRowLastColumn="0"/>
            <w:tcW w:w="704" w:type="dxa"/>
            <w:noWrap/>
          </w:tcPr>
          <w:p w14:paraId="7A882E25" w14:textId="77777777" w:rsidR="00D22B13" w:rsidRPr="00A9101E" w:rsidRDefault="00D22B13" w:rsidP="00F569C7">
            <w:pPr>
              <w:spacing w:line="360" w:lineRule="auto"/>
              <w:jc w:val="center"/>
              <w:rPr>
                <w:b w:val="0"/>
                <w:bCs w:val="0"/>
                <w:color w:val="auto"/>
                <w:sz w:val="17"/>
                <w:szCs w:val="17"/>
                <w:lang w:eastAsia="sl-SI"/>
              </w:rPr>
            </w:pPr>
            <w:r w:rsidRPr="00A9101E">
              <w:rPr>
                <w:color w:val="auto"/>
                <w:sz w:val="17"/>
                <w:szCs w:val="17"/>
                <w:lang w:eastAsia="sl-SI"/>
              </w:rPr>
              <w:t>2016</w:t>
            </w:r>
          </w:p>
        </w:tc>
        <w:tc>
          <w:tcPr>
            <w:cnfStyle w:val="000010000000" w:firstRow="0" w:lastRow="0" w:firstColumn="0" w:lastColumn="0" w:oddVBand="1" w:evenVBand="0" w:oddHBand="0" w:evenHBand="0" w:firstRowFirstColumn="0" w:firstRowLastColumn="0" w:lastRowFirstColumn="0" w:lastRowLastColumn="0"/>
            <w:tcW w:w="1134" w:type="dxa"/>
          </w:tcPr>
          <w:p w14:paraId="555F392E" w14:textId="77777777" w:rsidR="00D22B13" w:rsidRPr="00160F2B" w:rsidRDefault="00D22B13" w:rsidP="00F569C7">
            <w:pPr>
              <w:spacing w:line="360" w:lineRule="auto"/>
              <w:jc w:val="center"/>
              <w:rPr>
                <w:sz w:val="17"/>
                <w:szCs w:val="17"/>
                <w:lang w:eastAsia="sl-SI"/>
              </w:rPr>
            </w:pPr>
            <w:r w:rsidRPr="00160F2B">
              <w:rPr>
                <w:sz w:val="17"/>
                <w:szCs w:val="17"/>
                <w:lang w:eastAsia="sl-SI"/>
              </w:rPr>
              <w:t>449</w:t>
            </w:r>
          </w:p>
        </w:tc>
        <w:tc>
          <w:tcPr>
            <w:tcW w:w="1276" w:type="dxa"/>
          </w:tcPr>
          <w:p w14:paraId="41216E4E" w14:textId="77777777" w:rsidR="00D22B13" w:rsidRPr="00160F2B"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sz w:val="17"/>
                <w:szCs w:val="17"/>
                <w:lang w:eastAsia="sl-SI"/>
              </w:rPr>
            </w:pPr>
            <w:r w:rsidRPr="00160F2B">
              <w:rPr>
                <w:sz w:val="17"/>
                <w:szCs w:val="17"/>
                <w:lang w:eastAsia="sl-SI"/>
              </w:rPr>
              <w:t>245</w:t>
            </w:r>
          </w:p>
        </w:tc>
        <w:tc>
          <w:tcPr>
            <w:cnfStyle w:val="000010000000" w:firstRow="0" w:lastRow="0" w:firstColumn="0" w:lastColumn="0" w:oddVBand="1" w:evenVBand="0" w:oddHBand="0" w:evenHBand="0" w:firstRowFirstColumn="0" w:firstRowLastColumn="0" w:lastRowFirstColumn="0" w:lastRowLastColumn="0"/>
            <w:tcW w:w="1417" w:type="dxa"/>
          </w:tcPr>
          <w:p w14:paraId="3A9182F3" w14:textId="77777777" w:rsidR="00D22B13" w:rsidRPr="00160F2B" w:rsidRDefault="00D22B13" w:rsidP="00F569C7">
            <w:pPr>
              <w:spacing w:line="360" w:lineRule="auto"/>
              <w:jc w:val="center"/>
              <w:rPr>
                <w:sz w:val="17"/>
                <w:szCs w:val="17"/>
                <w:lang w:eastAsia="sl-SI"/>
              </w:rPr>
            </w:pPr>
            <w:r w:rsidRPr="00160F2B">
              <w:rPr>
                <w:sz w:val="17"/>
                <w:szCs w:val="17"/>
                <w:lang w:eastAsia="sl-SI"/>
              </w:rPr>
              <w:t>151</w:t>
            </w:r>
          </w:p>
        </w:tc>
        <w:tc>
          <w:tcPr>
            <w:tcW w:w="1418" w:type="dxa"/>
          </w:tcPr>
          <w:p w14:paraId="7B596B3B" w14:textId="77777777" w:rsidR="00D22B13" w:rsidRPr="00160F2B"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sz w:val="17"/>
                <w:szCs w:val="17"/>
                <w:lang w:eastAsia="sl-SI"/>
              </w:rPr>
            </w:pPr>
            <w:r w:rsidRPr="00160F2B">
              <w:rPr>
                <w:sz w:val="17"/>
                <w:szCs w:val="17"/>
                <w:lang w:eastAsia="sl-SI"/>
              </w:rPr>
              <w:t>136</w:t>
            </w:r>
          </w:p>
        </w:tc>
        <w:tc>
          <w:tcPr>
            <w:cnfStyle w:val="000010000000" w:firstRow="0" w:lastRow="0" w:firstColumn="0" w:lastColumn="0" w:oddVBand="1" w:evenVBand="0" w:oddHBand="0" w:evenHBand="0" w:firstRowFirstColumn="0" w:firstRowLastColumn="0" w:lastRowFirstColumn="0" w:lastRowLastColumn="0"/>
            <w:tcW w:w="1417" w:type="dxa"/>
          </w:tcPr>
          <w:p w14:paraId="3073B729" w14:textId="77777777" w:rsidR="00D22B13" w:rsidRPr="00160F2B" w:rsidRDefault="00D22B13" w:rsidP="00F569C7">
            <w:pPr>
              <w:spacing w:line="360" w:lineRule="auto"/>
              <w:jc w:val="center"/>
              <w:rPr>
                <w:sz w:val="17"/>
                <w:szCs w:val="17"/>
                <w:lang w:eastAsia="sl-SI"/>
              </w:rPr>
            </w:pPr>
            <w:r w:rsidRPr="00160F2B">
              <w:rPr>
                <w:sz w:val="17"/>
                <w:szCs w:val="17"/>
                <w:lang w:eastAsia="sl-SI"/>
              </w:rPr>
              <w:t>531</w:t>
            </w:r>
          </w:p>
        </w:tc>
        <w:tc>
          <w:tcPr>
            <w:tcW w:w="1701" w:type="dxa"/>
          </w:tcPr>
          <w:p w14:paraId="62467C21" w14:textId="77777777" w:rsidR="00D22B13" w:rsidRPr="00160F2B"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sz w:val="17"/>
                <w:szCs w:val="17"/>
                <w:lang w:eastAsia="sl-SI"/>
              </w:rPr>
            </w:pPr>
            <w:r w:rsidRPr="00160F2B">
              <w:rPr>
                <w:sz w:val="17"/>
                <w:szCs w:val="17"/>
                <w:lang w:eastAsia="sl-SI"/>
              </w:rPr>
              <w:t>185/128</w:t>
            </w:r>
          </w:p>
        </w:tc>
      </w:tr>
      <w:tr w:rsidR="00F06E38" w:rsidRPr="00160F2B" w14:paraId="625CF4AF" w14:textId="77777777" w:rsidTr="00BB1C1D">
        <w:trPr>
          <w:trHeight w:val="330"/>
        </w:trPr>
        <w:tc>
          <w:tcPr>
            <w:cnfStyle w:val="001000000000" w:firstRow="0" w:lastRow="0" w:firstColumn="1" w:lastColumn="0" w:oddVBand="0" w:evenVBand="0" w:oddHBand="0" w:evenHBand="0" w:firstRowFirstColumn="0" w:firstRowLastColumn="0" w:lastRowFirstColumn="0" w:lastRowLastColumn="0"/>
            <w:tcW w:w="704" w:type="dxa"/>
            <w:noWrap/>
          </w:tcPr>
          <w:p w14:paraId="4F1B29FC" w14:textId="77777777" w:rsidR="00D22B13" w:rsidRPr="00A9101E" w:rsidRDefault="00D22B13" w:rsidP="00F569C7">
            <w:pPr>
              <w:spacing w:line="360" w:lineRule="auto"/>
              <w:jc w:val="center"/>
              <w:rPr>
                <w:b w:val="0"/>
                <w:bCs w:val="0"/>
                <w:color w:val="auto"/>
                <w:sz w:val="17"/>
                <w:szCs w:val="17"/>
                <w:lang w:eastAsia="sl-SI"/>
              </w:rPr>
            </w:pPr>
            <w:r w:rsidRPr="00A9101E">
              <w:rPr>
                <w:color w:val="auto"/>
                <w:sz w:val="17"/>
                <w:szCs w:val="17"/>
                <w:lang w:eastAsia="sl-SI"/>
              </w:rPr>
              <w:t>2017</w:t>
            </w:r>
          </w:p>
        </w:tc>
        <w:tc>
          <w:tcPr>
            <w:cnfStyle w:val="000010000000" w:firstRow="0" w:lastRow="0" w:firstColumn="0" w:lastColumn="0" w:oddVBand="1" w:evenVBand="0" w:oddHBand="0" w:evenHBand="0" w:firstRowFirstColumn="0" w:firstRowLastColumn="0" w:lastRowFirstColumn="0" w:lastRowLastColumn="0"/>
            <w:tcW w:w="1134" w:type="dxa"/>
          </w:tcPr>
          <w:p w14:paraId="602682C2" w14:textId="77777777" w:rsidR="00D22B13" w:rsidRPr="00160F2B" w:rsidRDefault="00D22B13" w:rsidP="00F569C7">
            <w:pPr>
              <w:spacing w:line="360" w:lineRule="auto"/>
              <w:jc w:val="center"/>
              <w:rPr>
                <w:sz w:val="17"/>
                <w:szCs w:val="17"/>
                <w:lang w:eastAsia="sl-SI"/>
              </w:rPr>
            </w:pPr>
            <w:r w:rsidRPr="00160F2B">
              <w:rPr>
                <w:sz w:val="17"/>
                <w:szCs w:val="17"/>
                <w:lang w:eastAsia="sl-SI"/>
              </w:rPr>
              <w:t>558</w:t>
            </w:r>
          </w:p>
        </w:tc>
        <w:tc>
          <w:tcPr>
            <w:tcW w:w="1276" w:type="dxa"/>
          </w:tcPr>
          <w:p w14:paraId="407340FE" w14:textId="77777777" w:rsidR="00D22B13" w:rsidRPr="00160F2B"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sz w:val="17"/>
                <w:szCs w:val="17"/>
                <w:lang w:eastAsia="sl-SI"/>
              </w:rPr>
            </w:pPr>
            <w:r w:rsidRPr="00160F2B">
              <w:rPr>
                <w:sz w:val="17"/>
                <w:szCs w:val="17"/>
                <w:lang w:eastAsia="sl-SI"/>
              </w:rPr>
              <w:t>243</w:t>
            </w:r>
          </w:p>
        </w:tc>
        <w:tc>
          <w:tcPr>
            <w:cnfStyle w:val="000010000000" w:firstRow="0" w:lastRow="0" w:firstColumn="0" w:lastColumn="0" w:oddVBand="1" w:evenVBand="0" w:oddHBand="0" w:evenHBand="0" w:firstRowFirstColumn="0" w:firstRowLastColumn="0" w:lastRowFirstColumn="0" w:lastRowLastColumn="0"/>
            <w:tcW w:w="1417" w:type="dxa"/>
          </w:tcPr>
          <w:p w14:paraId="2091150F" w14:textId="77777777" w:rsidR="00D22B13" w:rsidRPr="00160F2B" w:rsidRDefault="00D22B13" w:rsidP="00F569C7">
            <w:pPr>
              <w:spacing w:line="360" w:lineRule="auto"/>
              <w:jc w:val="center"/>
              <w:rPr>
                <w:sz w:val="17"/>
                <w:szCs w:val="17"/>
                <w:lang w:eastAsia="sl-SI"/>
              </w:rPr>
            </w:pPr>
            <w:r w:rsidRPr="00160F2B">
              <w:rPr>
                <w:sz w:val="17"/>
                <w:szCs w:val="17"/>
                <w:lang w:eastAsia="sl-SI"/>
              </w:rPr>
              <w:t>117</w:t>
            </w:r>
          </w:p>
        </w:tc>
        <w:tc>
          <w:tcPr>
            <w:tcW w:w="1418" w:type="dxa"/>
          </w:tcPr>
          <w:p w14:paraId="78E1B08B" w14:textId="77777777" w:rsidR="00D22B13" w:rsidRPr="00160F2B"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sz w:val="17"/>
                <w:szCs w:val="17"/>
                <w:lang w:eastAsia="sl-SI"/>
              </w:rPr>
            </w:pPr>
            <w:r w:rsidRPr="00160F2B">
              <w:rPr>
                <w:sz w:val="17"/>
                <w:szCs w:val="17"/>
                <w:lang w:eastAsia="sl-SI"/>
              </w:rPr>
              <w:t>75</w:t>
            </w:r>
          </w:p>
        </w:tc>
        <w:tc>
          <w:tcPr>
            <w:cnfStyle w:val="000010000000" w:firstRow="0" w:lastRow="0" w:firstColumn="0" w:lastColumn="0" w:oddVBand="1" w:evenVBand="0" w:oddHBand="0" w:evenHBand="0" w:firstRowFirstColumn="0" w:firstRowLastColumn="0" w:lastRowFirstColumn="0" w:lastRowLastColumn="0"/>
            <w:tcW w:w="1417" w:type="dxa"/>
          </w:tcPr>
          <w:p w14:paraId="053ECB5F" w14:textId="77777777" w:rsidR="00D22B13" w:rsidRPr="00160F2B" w:rsidRDefault="00D22B13" w:rsidP="00F569C7">
            <w:pPr>
              <w:spacing w:line="360" w:lineRule="auto"/>
              <w:jc w:val="center"/>
              <w:rPr>
                <w:sz w:val="17"/>
                <w:szCs w:val="17"/>
                <w:lang w:eastAsia="sl-SI"/>
              </w:rPr>
            </w:pPr>
            <w:r w:rsidRPr="00160F2B">
              <w:rPr>
                <w:sz w:val="17"/>
                <w:szCs w:val="17"/>
                <w:lang w:eastAsia="sl-SI"/>
              </w:rPr>
              <w:t>435</w:t>
            </w:r>
          </w:p>
        </w:tc>
        <w:tc>
          <w:tcPr>
            <w:tcW w:w="1701" w:type="dxa"/>
          </w:tcPr>
          <w:p w14:paraId="550CAD30" w14:textId="77777777" w:rsidR="00D22B13" w:rsidRPr="00160F2B"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sz w:val="17"/>
                <w:szCs w:val="17"/>
                <w:lang w:eastAsia="sl-SI"/>
              </w:rPr>
            </w:pPr>
            <w:r w:rsidRPr="00160F2B">
              <w:rPr>
                <w:sz w:val="17"/>
                <w:szCs w:val="17"/>
                <w:lang w:eastAsia="sl-SI"/>
              </w:rPr>
              <w:t>181/92</w:t>
            </w:r>
          </w:p>
        </w:tc>
      </w:tr>
      <w:tr w:rsidR="00F06E38" w:rsidRPr="00160F2B" w14:paraId="7839D2CC" w14:textId="77777777" w:rsidTr="00BB1C1D">
        <w:trPr>
          <w:trHeight w:val="49"/>
        </w:trPr>
        <w:tc>
          <w:tcPr>
            <w:cnfStyle w:val="001000000000" w:firstRow="0" w:lastRow="0" w:firstColumn="1" w:lastColumn="0" w:oddVBand="0" w:evenVBand="0" w:oddHBand="0" w:evenHBand="0" w:firstRowFirstColumn="0" w:firstRowLastColumn="0" w:lastRowFirstColumn="0" w:lastRowLastColumn="0"/>
            <w:tcW w:w="704" w:type="dxa"/>
            <w:noWrap/>
          </w:tcPr>
          <w:p w14:paraId="2323CD25" w14:textId="77777777" w:rsidR="00D22B13" w:rsidRPr="00A9101E" w:rsidRDefault="00D22B13" w:rsidP="00F569C7">
            <w:pPr>
              <w:spacing w:line="360" w:lineRule="auto"/>
              <w:jc w:val="center"/>
              <w:rPr>
                <w:b w:val="0"/>
                <w:bCs w:val="0"/>
                <w:color w:val="auto"/>
                <w:sz w:val="17"/>
                <w:szCs w:val="17"/>
                <w:lang w:eastAsia="sl-SI"/>
              </w:rPr>
            </w:pPr>
            <w:r w:rsidRPr="00A9101E">
              <w:rPr>
                <w:color w:val="auto"/>
                <w:sz w:val="17"/>
                <w:szCs w:val="17"/>
                <w:lang w:eastAsia="sl-SI"/>
              </w:rPr>
              <w:t>2018</w:t>
            </w:r>
          </w:p>
        </w:tc>
        <w:tc>
          <w:tcPr>
            <w:cnfStyle w:val="000010000000" w:firstRow="0" w:lastRow="0" w:firstColumn="0" w:lastColumn="0" w:oddVBand="1" w:evenVBand="0" w:oddHBand="0" w:evenHBand="0" w:firstRowFirstColumn="0" w:firstRowLastColumn="0" w:lastRowFirstColumn="0" w:lastRowLastColumn="0"/>
            <w:tcW w:w="1134" w:type="dxa"/>
          </w:tcPr>
          <w:p w14:paraId="2F81C9AD" w14:textId="77777777" w:rsidR="00D22B13" w:rsidRPr="00160F2B" w:rsidRDefault="00D22B13" w:rsidP="00F569C7">
            <w:pPr>
              <w:spacing w:line="360" w:lineRule="auto"/>
              <w:jc w:val="center"/>
              <w:rPr>
                <w:sz w:val="17"/>
                <w:szCs w:val="17"/>
                <w:lang w:eastAsia="sl-SI"/>
              </w:rPr>
            </w:pPr>
            <w:r w:rsidRPr="00160F2B">
              <w:rPr>
                <w:sz w:val="17"/>
                <w:szCs w:val="17"/>
                <w:lang w:eastAsia="sl-SI"/>
              </w:rPr>
              <w:t>787</w:t>
            </w:r>
          </w:p>
        </w:tc>
        <w:tc>
          <w:tcPr>
            <w:tcW w:w="1276" w:type="dxa"/>
          </w:tcPr>
          <w:p w14:paraId="2122C565" w14:textId="77777777" w:rsidR="00D22B13" w:rsidRPr="00160F2B"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sz w:val="17"/>
                <w:szCs w:val="17"/>
                <w:lang w:eastAsia="sl-SI"/>
              </w:rPr>
            </w:pPr>
            <w:r w:rsidRPr="00160F2B">
              <w:rPr>
                <w:sz w:val="17"/>
                <w:szCs w:val="17"/>
                <w:lang w:eastAsia="sl-SI"/>
              </w:rPr>
              <w:t>328</w:t>
            </w:r>
          </w:p>
        </w:tc>
        <w:tc>
          <w:tcPr>
            <w:cnfStyle w:val="000010000000" w:firstRow="0" w:lastRow="0" w:firstColumn="0" w:lastColumn="0" w:oddVBand="1" w:evenVBand="0" w:oddHBand="0" w:evenHBand="0" w:firstRowFirstColumn="0" w:firstRowLastColumn="0" w:lastRowFirstColumn="0" w:lastRowLastColumn="0"/>
            <w:tcW w:w="1417" w:type="dxa"/>
          </w:tcPr>
          <w:p w14:paraId="4DFB7B79" w14:textId="77777777" w:rsidR="00D22B13" w:rsidRPr="00160F2B" w:rsidRDefault="00D22B13" w:rsidP="00F569C7">
            <w:pPr>
              <w:spacing w:line="360" w:lineRule="auto"/>
              <w:jc w:val="center"/>
              <w:rPr>
                <w:sz w:val="17"/>
                <w:szCs w:val="17"/>
                <w:lang w:eastAsia="sl-SI"/>
              </w:rPr>
            </w:pPr>
            <w:r w:rsidRPr="00160F2B">
              <w:rPr>
                <w:sz w:val="17"/>
                <w:szCs w:val="17"/>
                <w:lang w:eastAsia="sl-SI"/>
              </w:rPr>
              <w:t>149</w:t>
            </w:r>
          </w:p>
        </w:tc>
        <w:tc>
          <w:tcPr>
            <w:tcW w:w="1418" w:type="dxa"/>
          </w:tcPr>
          <w:p w14:paraId="43BCAB3F" w14:textId="77777777" w:rsidR="00D22B13" w:rsidRPr="00160F2B"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sz w:val="17"/>
                <w:szCs w:val="17"/>
                <w:lang w:eastAsia="sl-SI"/>
              </w:rPr>
            </w:pPr>
            <w:r w:rsidRPr="00160F2B">
              <w:rPr>
                <w:sz w:val="17"/>
                <w:szCs w:val="17"/>
                <w:lang w:eastAsia="sl-SI"/>
              </w:rPr>
              <w:t>82</w:t>
            </w:r>
          </w:p>
        </w:tc>
        <w:tc>
          <w:tcPr>
            <w:cnfStyle w:val="000010000000" w:firstRow="0" w:lastRow="0" w:firstColumn="0" w:lastColumn="0" w:oddVBand="1" w:evenVBand="0" w:oddHBand="0" w:evenHBand="0" w:firstRowFirstColumn="0" w:firstRowLastColumn="0" w:lastRowFirstColumn="0" w:lastRowLastColumn="0"/>
            <w:tcW w:w="1417" w:type="dxa"/>
          </w:tcPr>
          <w:p w14:paraId="38026502" w14:textId="77777777" w:rsidR="00D22B13" w:rsidRPr="00160F2B" w:rsidRDefault="00D22B13" w:rsidP="00F569C7">
            <w:pPr>
              <w:spacing w:line="360" w:lineRule="auto"/>
              <w:jc w:val="center"/>
              <w:rPr>
                <w:sz w:val="17"/>
                <w:szCs w:val="17"/>
                <w:lang w:eastAsia="sl-SI"/>
              </w:rPr>
            </w:pPr>
            <w:r w:rsidRPr="00160F2B">
              <w:rPr>
                <w:sz w:val="17"/>
                <w:szCs w:val="17"/>
                <w:lang w:eastAsia="sl-SI"/>
              </w:rPr>
              <w:t>559</w:t>
            </w:r>
          </w:p>
        </w:tc>
        <w:tc>
          <w:tcPr>
            <w:tcW w:w="1701" w:type="dxa"/>
          </w:tcPr>
          <w:p w14:paraId="4EE9BE64" w14:textId="77777777" w:rsidR="00D22B13" w:rsidRPr="00160F2B"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sz w:val="17"/>
                <w:szCs w:val="17"/>
                <w:lang w:eastAsia="sl-SI"/>
              </w:rPr>
            </w:pPr>
            <w:r w:rsidRPr="00160F2B">
              <w:rPr>
                <w:sz w:val="17"/>
                <w:szCs w:val="17"/>
                <w:lang w:eastAsia="sl-SI"/>
              </w:rPr>
              <w:t>253/129</w:t>
            </w:r>
          </w:p>
        </w:tc>
      </w:tr>
      <w:tr w:rsidR="00F06E38" w:rsidRPr="00160F2B" w14:paraId="31DE0EE5" w14:textId="77777777" w:rsidTr="00BB1C1D">
        <w:trPr>
          <w:trHeight w:val="330"/>
        </w:trPr>
        <w:tc>
          <w:tcPr>
            <w:cnfStyle w:val="001000000000" w:firstRow="0" w:lastRow="0" w:firstColumn="1" w:lastColumn="0" w:oddVBand="0" w:evenVBand="0" w:oddHBand="0" w:evenHBand="0" w:firstRowFirstColumn="0" w:firstRowLastColumn="0" w:lastRowFirstColumn="0" w:lastRowLastColumn="0"/>
            <w:tcW w:w="704" w:type="dxa"/>
            <w:noWrap/>
          </w:tcPr>
          <w:p w14:paraId="5D58DF75" w14:textId="77777777" w:rsidR="00D22B13" w:rsidRPr="00A9101E" w:rsidRDefault="00D22B13" w:rsidP="00F569C7">
            <w:pPr>
              <w:spacing w:line="360" w:lineRule="auto"/>
              <w:jc w:val="center"/>
              <w:rPr>
                <w:b w:val="0"/>
                <w:bCs w:val="0"/>
                <w:color w:val="auto"/>
                <w:sz w:val="17"/>
                <w:szCs w:val="17"/>
                <w:lang w:eastAsia="sl-SI"/>
              </w:rPr>
            </w:pPr>
            <w:r w:rsidRPr="00A9101E">
              <w:rPr>
                <w:color w:val="auto"/>
                <w:sz w:val="17"/>
                <w:szCs w:val="17"/>
                <w:lang w:eastAsia="sl-SI"/>
              </w:rPr>
              <w:t>2019</w:t>
            </w:r>
          </w:p>
        </w:tc>
        <w:tc>
          <w:tcPr>
            <w:cnfStyle w:val="000010000000" w:firstRow="0" w:lastRow="0" w:firstColumn="0" w:lastColumn="0" w:oddVBand="1" w:evenVBand="0" w:oddHBand="0" w:evenHBand="0" w:firstRowFirstColumn="0" w:firstRowLastColumn="0" w:lastRowFirstColumn="0" w:lastRowLastColumn="0"/>
            <w:tcW w:w="1134" w:type="dxa"/>
          </w:tcPr>
          <w:p w14:paraId="35817561" w14:textId="77777777" w:rsidR="00D22B13" w:rsidRPr="00160F2B" w:rsidRDefault="00D22B13" w:rsidP="00F569C7">
            <w:pPr>
              <w:spacing w:line="360" w:lineRule="auto"/>
              <w:jc w:val="center"/>
              <w:rPr>
                <w:sz w:val="17"/>
                <w:szCs w:val="17"/>
                <w:lang w:eastAsia="sl-SI"/>
              </w:rPr>
            </w:pPr>
            <w:r w:rsidRPr="00160F2B">
              <w:rPr>
                <w:sz w:val="17"/>
                <w:szCs w:val="17"/>
                <w:lang w:eastAsia="sl-SI"/>
              </w:rPr>
              <w:t>1.069</w:t>
            </w:r>
          </w:p>
        </w:tc>
        <w:tc>
          <w:tcPr>
            <w:tcW w:w="1276" w:type="dxa"/>
          </w:tcPr>
          <w:p w14:paraId="4280D6F7" w14:textId="77777777" w:rsidR="00D22B13" w:rsidRPr="00160F2B"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sz w:val="17"/>
                <w:szCs w:val="17"/>
                <w:lang w:eastAsia="sl-SI"/>
              </w:rPr>
            </w:pPr>
            <w:r w:rsidRPr="00160F2B">
              <w:rPr>
                <w:sz w:val="17"/>
                <w:szCs w:val="17"/>
                <w:lang w:eastAsia="sl-SI"/>
              </w:rPr>
              <w:t>351</w:t>
            </w:r>
          </w:p>
        </w:tc>
        <w:tc>
          <w:tcPr>
            <w:cnfStyle w:val="000010000000" w:firstRow="0" w:lastRow="0" w:firstColumn="0" w:lastColumn="0" w:oddVBand="1" w:evenVBand="0" w:oddHBand="0" w:evenHBand="0" w:firstRowFirstColumn="0" w:firstRowLastColumn="0" w:lastRowFirstColumn="0" w:lastRowLastColumn="0"/>
            <w:tcW w:w="1417" w:type="dxa"/>
          </w:tcPr>
          <w:p w14:paraId="63C39B91" w14:textId="77777777" w:rsidR="00D22B13" w:rsidRPr="00160F2B" w:rsidRDefault="00D22B13" w:rsidP="00F569C7">
            <w:pPr>
              <w:spacing w:line="360" w:lineRule="auto"/>
              <w:jc w:val="center"/>
              <w:rPr>
                <w:sz w:val="17"/>
                <w:szCs w:val="17"/>
                <w:lang w:eastAsia="sl-SI"/>
              </w:rPr>
            </w:pPr>
            <w:r w:rsidRPr="00160F2B">
              <w:rPr>
                <w:sz w:val="17"/>
                <w:szCs w:val="17"/>
                <w:lang w:eastAsia="sl-SI"/>
              </w:rPr>
              <w:t>243</w:t>
            </w:r>
          </w:p>
        </w:tc>
        <w:tc>
          <w:tcPr>
            <w:tcW w:w="1418" w:type="dxa"/>
          </w:tcPr>
          <w:p w14:paraId="623401B6" w14:textId="77777777" w:rsidR="00D22B13" w:rsidRPr="00160F2B"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sz w:val="17"/>
                <w:szCs w:val="17"/>
                <w:lang w:eastAsia="sl-SI"/>
              </w:rPr>
            </w:pPr>
            <w:r w:rsidRPr="00160F2B">
              <w:rPr>
                <w:sz w:val="17"/>
                <w:szCs w:val="17"/>
                <w:lang w:eastAsia="sl-SI"/>
              </w:rPr>
              <w:t>187</w:t>
            </w:r>
          </w:p>
        </w:tc>
        <w:tc>
          <w:tcPr>
            <w:cnfStyle w:val="000010000000" w:firstRow="0" w:lastRow="0" w:firstColumn="0" w:lastColumn="0" w:oddVBand="1" w:evenVBand="0" w:oddHBand="0" w:evenHBand="0" w:firstRowFirstColumn="0" w:firstRowLastColumn="0" w:lastRowFirstColumn="0" w:lastRowLastColumn="0"/>
            <w:tcW w:w="1417" w:type="dxa"/>
          </w:tcPr>
          <w:p w14:paraId="00327C83" w14:textId="77777777" w:rsidR="00D22B13" w:rsidRPr="00160F2B" w:rsidRDefault="00D22B13" w:rsidP="00F569C7">
            <w:pPr>
              <w:spacing w:line="360" w:lineRule="auto"/>
              <w:jc w:val="center"/>
              <w:rPr>
                <w:sz w:val="17"/>
                <w:szCs w:val="17"/>
                <w:lang w:eastAsia="sl-SI"/>
              </w:rPr>
            </w:pPr>
            <w:r w:rsidRPr="00160F2B">
              <w:rPr>
                <w:sz w:val="17"/>
                <w:szCs w:val="17"/>
                <w:lang w:eastAsia="sl-SI"/>
              </w:rPr>
              <w:t>781</w:t>
            </w:r>
          </w:p>
        </w:tc>
        <w:tc>
          <w:tcPr>
            <w:tcW w:w="1701" w:type="dxa"/>
          </w:tcPr>
          <w:p w14:paraId="2BDF5574" w14:textId="77777777" w:rsidR="00D22B13" w:rsidRPr="00160F2B"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sz w:val="17"/>
                <w:szCs w:val="17"/>
                <w:lang w:eastAsia="sl-SI"/>
              </w:rPr>
            </w:pPr>
            <w:r w:rsidRPr="00160F2B">
              <w:rPr>
                <w:sz w:val="17"/>
                <w:szCs w:val="17"/>
                <w:lang w:eastAsia="sl-SI"/>
              </w:rPr>
              <w:t>259/170</w:t>
            </w:r>
          </w:p>
        </w:tc>
      </w:tr>
      <w:tr w:rsidR="00F06E38" w:rsidRPr="00160F2B" w14:paraId="6F878974" w14:textId="77777777" w:rsidTr="00BB1C1D">
        <w:trPr>
          <w:trHeight w:val="330"/>
        </w:trPr>
        <w:tc>
          <w:tcPr>
            <w:cnfStyle w:val="001000000000" w:firstRow="0" w:lastRow="0" w:firstColumn="1" w:lastColumn="0" w:oddVBand="0" w:evenVBand="0" w:oddHBand="0" w:evenHBand="0" w:firstRowFirstColumn="0" w:firstRowLastColumn="0" w:lastRowFirstColumn="0" w:lastRowLastColumn="0"/>
            <w:tcW w:w="704" w:type="dxa"/>
            <w:noWrap/>
          </w:tcPr>
          <w:p w14:paraId="2EEE418E" w14:textId="77777777" w:rsidR="00D22B13" w:rsidRPr="00A9101E" w:rsidRDefault="00D22B13" w:rsidP="00F569C7">
            <w:pPr>
              <w:spacing w:line="360" w:lineRule="auto"/>
              <w:jc w:val="center"/>
              <w:rPr>
                <w:b w:val="0"/>
                <w:bCs w:val="0"/>
                <w:color w:val="auto"/>
                <w:sz w:val="17"/>
                <w:szCs w:val="17"/>
                <w:lang w:eastAsia="sl-SI"/>
              </w:rPr>
            </w:pPr>
            <w:r w:rsidRPr="00A9101E">
              <w:rPr>
                <w:color w:val="auto"/>
                <w:sz w:val="17"/>
                <w:szCs w:val="17"/>
                <w:lang w:eastAsia="sl-SI"/>
              </w:rPr>
              <w:t>2020</w:t>
            </w:r>
          </w:p>
        </w:tc>
        <w:tc>
          <w:tcPr>
            <w:cnfStyle w:val="000010000000" w:firstRow="0" w:lastRow="0" w:firstColumn="0" w:lastColumn="0" w:oddVBand="1" w:evenVBand="0" w:oddHBand="0" w:evenHBand="0" w:firstRowFirstColumn="0" w:firstRowLastColumn="0" w:lastRowFirstColumn="0" w:lastRowLastColumn="0"/>
            <w:tcW w:w="1134" w:type="dxa"/>
          </w:tcPr>
          <w:p w14:paraId="0555C0AD" w14:textId="77777777" w:rsidR="00D22B13" w:rsidRPr="00160F2B" w:rsidRDefault="00D22B13" w:rsidP="00F569C7">
            <w:pPr>
              <w:spacing w:line="360" w:lineRule="auto"/>
              <w:jc w:val="center"/>
              <w:rPr>
                <w:sz w:val="17"/>
                <w:szCs w:val="17"/>
                <w:lang w:eastAsia="sl-SI"/>
              </w:rPr>
            </w:pPr>
            <w:r w:rsidRPr="00160F2B">
              <w:rPr>
                <w:sz w:val="17"/>
                <w:szCs w:val="17"/>
                <w:lang w:eastAsia="sl-SI"/>
              </w:rPr>
              <w:t>1.137</w:t>
            </w:r>
          </w:p>
        </w:tc>
        <w:tc>
          <w:tcPr>
            <w:tcW w:w="1276" w:type="dxa"/>
          </w:tcPr>
          <w:p w14:paraId="45CD6964" w14:textId="77777777" w:rsidR="00D22B13" w:rsidRPr="00160F2B"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sz w:val="17"/>
                <w:szCs w:val="17"/>
                <w:lang w:eastAsia="sl-SI"/>
              </w:rPr>
            </w:pPr>
            <w:r w:rsidRPr="00160F2B">
              <w:rPr>
                <w:sz w:val="17"/>
                <w:szCs w:val="17"/>
                <w:lang w:eastAsia="sl-SI"/>
              </w:rPr>
              <w:t>450</w:t>
            </w:r>
          </w:p>
        </w:tc>
        <w:tc>
          <w:tcPr>
            <w:cnfStyle w:val="000010000000" w:firstRow="0" w:lastRow="0" w:firstColumn="0" w:lastColumn="0" w:oddVBand="1" w:evenVBand="0" w:oddHBand="0" w:evenHBand="0" w:firstRowFirstColumn="0" w:firstRowLastColumn="0" w:lastRowFirstColumn="0" w:lastRowLastColumn="0"/>
            <w:tcW w:w="1417" w:type="dxa"/>
          </w:tcPr>
          <w:p w14:paraId="7450F22C" w14:textId="77777777" w:rsidR="00D22B13" w:rsidRPr="00160F2B" w:rsidRDefault="00D22B13" w:rsidP="00F569C7">
            <w:pPr>
              <w:spacing w:line="360" w:lineRule="auto"/>
              <w:jc w:val="center"/>
              <w:rPr>
                <w:sz w:val="17"/>
                <w:szCs w:val="17"/>
                <w:lang w:eastAsia="sl-SI"/>
              </w:rPr>
            </w:pPr>
            <w:r w:rsidRPr="00160F2B">
              <w:rPr>
                <w:sz w:val="17"/>
                <w:szCs w:val="17"/>
                <w:lang w:eastAsia="sl-SI"/>
              </w:rPr>
              <w:t>486</w:t>
            </w:r>
          </w:p>
        </w:tc>
        <w:tc>
          <w:tcPr>
            <w:tcW w:w="1418" w:type="dxa"/>
          </w:tcPr>
          <w:p w14:paraId="606781CF" w14:textId="77777777" w:rsidR="00D22B13" w:rsidRPr="00160F2B"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sz w:val="17"/>
                <w:szCs w:val="17"/>
                <w:lang w:eastAsia="sl-SI"/>
              </w:rPr>
            </w:pPr>
            <w:r w:rsidRPr="00160F2B">
              <w:rPr>
                <w:sz w:val="17"/>
                <w:szCs w:val="17"/>
                <w:lang w:eastAsia="sl-SI"/>
              </w:rPr>
              <w:t>298</w:t>
            </w:r>
          </w:p>
        </w:tc>
        <w:tc>
          <w:tcPr>
            <w:cnfStyle w:val="000010000000" w:firstRow="0" w:lastRow="0" w:firstColumn="0" w:lastColumn="0" w:oddVBand="1" w:evenVBand="0" w:oddHBand="0" w:evenHBand="0" w:firstRowFirstColumn="0" w:firstRowLastColumn="0" w:lastRowFirstColumn="0" w:lastRowLastColumn="0"/>
            <w:tcW w:w="1417" w:type="dxa"/>
          </w:tcPr>
          <w:p w14:paraId="7DEBDDE7" w14:textId="77777777" w:rsidR="00D22B13" w:rsidRPr="00160F2B" w:rsidRDefault="00D22B13" w:rsidP="00F569C7">
            <w:pPr>
              <w:spacing w:line="360" w:lineRule="auto"/>
              <w:jc w:val="center"/>
              <w:rPr>
                <w:sz w:val="17"/>
                <w:szCs w:val="17"/>
                <w:lang w:eastAsia="sl-SI"/>
              </w:rPr>
            </w:pPr>
            <w:r w:rsidRPr="00160F2B">
              <w:rPr>
                <w:sz w:val="17"/>
                <w:szCs w:val="17"/>
                <w:lang w:eastAsia="sl-SI"/>
              </w:rPr>
              <w:t>1.234</w:t>
            </w:r>
          </w:p>
        </w:tc>
        <w:tc>
          <w:tcPr>
            <w:tcW w:w="1701" w:type="dxa"/>
          </w:tcPr>
          <w:p w14:paraId="5CACE2D9" w14:textId="77777777" w:rsidR="00D22B13" w:rsidRPr="00160F2B"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sz w:val="17"/>
                <w:szCs w:val="17"/>
                <w:lang w:eastAsia="sl-SI"/>
              </w:rPr>
            </w:pPr>
            <w:r w:rsidRPr="00160F2B">
              <w:rPr>
                <w:sz w:val="17"/>
                <w:szCs w:val="17"/>
                <w:lang w:eastAsia="sl-SI"/>
              </w:rPr>
              <w:t>362/354</w:t>
            </w:r>
          </w:p>
        </w:tc>
      </w:tr>
      <w:tr w:rsidR="00F06E38" w:rsidRPr="00160F2B" w14:paraId="6F4D5B9E" w14:textId="77777777" w:rsidTr="00BB1C1D">
        <w:trPr>
          <w:trHeight w:val="330"/>
        </w:trPr>
        <w:tc>
          <w:tcPr>
            <w:cnfStyle w:val="001000000000" w:firstRow="0" w:lastRow="0" w:firstColumn="1" w:lastColumn="0" w:oddVBand="0" w:evenVBand="0" w:oddHBand="0" w:evenHBand="0" w:firstRowFirstColumn="0" w:firstRowLastColumn="0" w:lastRowFirstColumn="0" w:lastRowLastColumn="0"/>
            <w:tcW w:w="704" w:type="dxa"/>
            <w:noWrap/>
          </w:tcPr>
          <w:p w14:paraId="3DB11330" w14:textId="77777777" w:rsidR="00D22B13" w:rsidRPr="00A9101E" w:rsidRDefault="00D22B13" w:rsidP="00F569C7">
            <w:pPr>
              <w:spacing w:line="360" w:lineRule="auto"/>
              <w:jc w:val="center"/>
              <w:rPr>
                <w:b w:val="0"/>
                <w:bCs w:val="0"/>
                <w:color w:val="auto"/>
                <w:sz w:val="17"/>
                <w:szCs w:val="17"/>
                <w:lang w:eastAsia="sl-SI"/>
              </w:rPr>
            </w:pPr>
            <w:r w:rsidRPr="00A9101E">
              <w:rPr>
                <w:color w:val="auto"/>
                <w:sz w:val="17"/>
                <w:szCs w:val="17"/>
                <w:lang w:eastAsia="sl-SI"/>
              </w:rPr>
              <w:t>2021</w:t>
            </w:r>
          </w:p>
        </w:tc>
        <w:tc>
          <w:tcPr>
            <w:cnfStyle w:val="000010000000" w:firstRow="0" w:lastRow="0" w:firstColumn="0" w:lastColumn="0" w:oddVBand="1" w:evenVBand="0" w:oddHBand="0" w:evenHBand="0" w:firstRowFirstColumn="0" w:firstRowLastColumn="0" w:lastRowFirstColumn="0" w:lastRowLastColumn="0"/>
            <w:tcW w:w="1134" w:type="dxa"/>
          </w:tcPr>
          <w:p w14:paraId="4D39EF94" w14:textId="77777777" w:rsidR="00D22B13" w:rsidRPr="00C72904" w:rsidRDefault="00D22B13" w:rsidP="00F569C7">
            <w:pPr>
              <w:spacing w:line="360" w:lineRule="auto"/>
              <w:jc w:val="center"/>
              <w:rPr>
                <w:b/>
                <w:bCs/>
                <w:sz w:val="17"/>
                <w:szCs w:val="17"/>
                <w:lang w:eastAsia="sl-SI"/>
              </w:rPr>
            </w:pPr>
            <w:r w:rsidRPr="00C72904">
              <w:rPr>
                <w:b/>
                <w:bCs/>
                <w:sz w:val="17"/>
                <w:szCs w:val="17"/>
                <w:lang w:eastAsia="sl-SI"/>
              </w:rPr>
              <w:t>1.103</w:t>
            </w:r>
          </w:p>
        </w:tc>
        <w:tc>
          <w:tcPr>
            <w:tcW w:w="1276" w:type="dxa"/>
          </w:tcPr>
          <w:p w14:paraId="42A8E41F" w14:textId="77777777" w:rsidR="00D22B13" w:rsidRPr="00C72904"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7"/>
                <w:szCs w:val="17"/>
                <w:lang w:eastAsia="sl-SI"/>
              </w:rPr>
            </w:pPr>
            <w:r w:rsidRPr="00C72904">
              <w:rPr>
                <w:b/>
                <w:bCs/>
                <w:sz w:val="17"/>
                <w:szCs w:val="17"/>
                <w:lang w:eastAsia="sl-SI"/>
              </w:rPr>
              <w:t>493</w:t>
            </w:r>
          </w:p>
        </w:tc>
        <w:tc>
          <w:tcPr>
            <w:cnfStyle w:val="000010000000" w:firstRow="0" w:lastRow="0" w:firstColumn="0" w:lastColumn="0" w:oddVBand="1" w:evenVBand="0" w:oddHBand="0" w:evenHBand="0" w:firstRowFirstColumn="0" w:firstRowLastColumn="0" w:lastRowFirstColumn="0" w:lastRowLastColumn="0"/>
            <w:tcW w:w="1417" w:type="dxa"/>
          </w:tcPr>
          <w:p w14:paraId="64444D8E" w14:textId="77777777" w:rsidR="00D22B13" w:rsidRPr="00C72904" w:rsidRDefault="00D22B13" w:rsidP="00F569C7">
            <w:pPr>
              <w:spacing w:line="360" w:lineRule="auto"/>
              <w:jc w:val="center"/>
              <w:rPr>
                <w:b/>
                <w:bCs/>
                <w:sz w:val="17"/>
                <w:szCs w:val="17"/>
                <w:lang w:eastAsia="sl-SI"/>
              </w:rPr>
            </w:pPr>
            <w:r w:rsidRPr="00C72904">
              <w:rPr>
                <w:b/>
                <w:bCs/>
                <w:sz w:val="17"/>
                <w:szCs w:val="17"/>
                <w:lang w:eastAsia="sl-SI"/>
              </w:rPr>
              <w:t>872</w:t>
            </w:r>
          </w:p>
        </w:tc>
        <w:tc>
          <w:tcPr>
            <w:tcW w:w="1418" w:type="dxa"/>
          </w:tcPr>
          <w:p w14:paraId="2B6027B0" w14:textId="77777777" w:rsidR="00D22B13" w:rsidRPr="00C72904"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7"/>
                <w:szCs w:val="17"/>
                <w:lang w:eastAsia="sl-SI"/>
              </w:rPr>
            </w:pPr>
            <w:r w:rsidRPr="00C72904">
              <w:rPr>
                <w:b/>
                <w:bCs/>
                <w:sz w:val="17"/>
                <w:szCs w:val="17"/>
                <w:lang w:eastAsia="sl-SI"/>
              </w:rPr>
              <w:t>516</w:t>
            </w:r>
          </w:p>
        </w:tc>
        <w:tc>
          <w:tcPr>
            <w:cnfStyle w:val="000010000000" w:firstRow="0" w:lastRow="0" w:firstColumn="0" w:lastColumn="0" w:oddVBand="1" w:evenVBand="0" w:oddHBand="0" w:evenHBand="0" w:firstRowFirstColumn="0" w:firstRowLastColumn="0" w:lastRowFirstColumn="0" w:lastRowLastColumn="0"/>
            <w:tcW w:w="1417" w:type="dxa"/>
          </w:tcPr>
          <w:p w14:paraId="22DF6262" w14:textId="77777777" w:rsidR="00D22B13" w:rsidRPr="00C72904" w:rsidRDefault="00D22B13" w:rsidP="00F569C7">
            <w:pPr>
              <w:spacing w:line="360" w:lineRule="auto"/>
              <w:jc w:val="center"/>
              <w:rPr>
                <w:b/>
                <w:bCs/>
                <w:sz w:val="17"/>
                <w:szCs w:val="17"/>
                <w:lang w:eastAsia="sl-SI"/>
              </w:rPr>
            </w:pPr>
            <w:r w:rsidRPr="00C72904">
              <w:rPr>
                <w:b/>
                <w:bCs/>
                <w:sz w:val="17"/>
                <w:szCs w:val="17"/>
                <w:lang w:eastAsia="sl-SI"/>
              </w:rPr>
              <w:t>1.931</w:t>
            </w:r>
          </w:p>
        </w:tc>
        <w:tc>
          <w:tcPr>
            <w:tcW w:w="1701" w:type="dxa"/>
          </w:tcPr>
          <w:p w14:paraId="6ECDFC1A" w14:textId="77777777" w:rsidR="00D22B13" w:rsidRPr="00C72904" w:rsidRDefault="00D22B13"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7"/>
                <w:szCs w:val="17"/>
                <w:lang w:eastAsia="sl-SI"/>
              </w:rPr>
            </w:pPr>
            <w:r w:rsidRPr="00C72904">
              <w:rPr>
                <w:b/>
                <w:bCs/>
                <w:sz w:val="17"/>
                <w:szCs w:val="17"/>
                <w:lang w:eastAsia="sl-SI"/>
              </w:rPr>
              <w:t>434/801</w:t>
            </w:r>
          </w:p>
        </w:tc>
      </w:tr>
    </w:tbl>
    <w:p w14:paraId="45748047" w14:textId="77777777" w:rsidR="00B65A09" w:rsidRPr="00160F2B" w:rsidRDefault="00B65A09" w:rsidP="00B65A09"/>
    <w:p w14:paraId="519E1A96" w14:textId="344422C3" w:rsidR="00FC702A" w:rsidRDefault="00FC702A" w:rsidP="007A689C">
      <w:pPr>
        <w:tabs>
          <w:tab w:val="left" w:pos="-1049"/>
          <w:tab w:val="left" w:pos="-689"/>
          <w:tab w:val="left" w:pos="31"/>
          <w:tab w:val="left" w:pos="751"/>
          <w:tab w:val="left" w:pos="1471"/>
          <w:tab w:val="left" w:pos="2191"/>
          <w:tab w:val="left" w:pos="2911"/>
          <w:tab w:val="left" w:pos="3631"/>
          <w:tab w:val="center" w:pos="4153"/>
          <w:tab w:val="left" w:pos="4351"/>
          <w:tab w:val="left" w:pos="4531"/>
          <w:tab w:val="left" w:pos="5071"/>
          <w:tab w:val="left" w:pos="5791"/>
          <w:tab w:val="left" w:pos="6511"/>
          <w:tab w:val="left" w:pos="7231"/>
          <w:tab w:val="left" w:pos="7951"/>
          <w:tab w:val="right" w:pos="8306"/>
          <w:tab w:val="left" w:pos="8671"/>
          <w:tab w:val="left" w:pos="9391"/>
          <w:tab w:val="left" w:pos="10111"/>
          <w:tab w:val="left" w:pos="10831"/>
          <w:tab w:val="left" w:pos="11551"/>
        </w:tabs>
        <w:spacing w:line="276" w:lineRule="auto"/>
        <w:rPr>
          <w:iCs/>
        </w:rPr>
      </w:pPr>
      <w:r w:rsidRPr="00FC702A">
        <w:rPr>
          <w:iCs/>
        </w:rPr>
        <w:t xml:space="preserve">Iz preglednice je razvidno, da je leta 2021 urad </w:t>
      </w:r>
      <w:r w:rsidRPr="00FC702A">
        <w:rPr>
          <w:b/>
          <w:bCs/>
          <w:iCs/>
        </w:rPr>
        <w:t>odprl 1.103 zadeve</w:t>
      </w:r>
      <w:r w:rsidRPr="00FC702A">
        <w:rPr>
          <w:iCs/>
        </w:rPr>
        <w:t xml:space="preserve"> in v istem obdobju </w:t>
      </w:r>
      <w:r w:rsidRPr="00FC702A">
        <w:rPr>
          <w:b/>
          <w:bCs/>
          <w:iCs/>
        </w:rPr>
        <w:t>zaključil 1.931 zadev</w:t>
      </w:r>
      <w:r w:rsidRPr="00FC702A">
        <w:rPr>
          <w:iCs/>
        </w:rPr>
        <w:t>.</w:t>
      </w:r>
    </w:p>
    <w:p w14:paraId="157C1A4A" w14:textId="72696D96" w:rsidR="007A689C" w:rsidRPr="00160F2B" w:rsidRDefault="007A689C" w:rsidP="007A689C">
      <w:pPr>
        <w:tabs>
          <w:tab w:val="left" w:pos="-1049"/>
          <w:tab w:val="left" w:pos="-689"/>
          <w:tab w:val="left" w:pos="31"/>
          <w:tab w:val="left" w:pos="751"/>
          <w:tab w:val="left" w:pos="1471"/>
          <w:tab w:val="left" w:pos="2191"/>
          <w:tab w:val="left" w:pos="2911"/>
          <w:tab w:val="left" w:pos="3631"/>
          <w:tab w:val="center" w:pos="4153"/>
          <w:tab w:val="left" w:pos="4351"/>
          <w:tab w:val="left" w:pos="4531"/>
          <w:tab w:val="left" w:pos="5071"/>
          <w:tab w:val="left" w:pos="5791"/>
          <w:tab w:val="left" w:pos="6511"/>
          <w:tab w:val="left" w:pos="7231"/>
          <w:tab w:val="left" w:pos="7951"/>
          <w:tab w:val="right" w:pos="8306"/>
          <w:tab w:val="left" w:pos="8671"/>
          <w:tab w:val="left" w:pos="9391"/>
          <w:tab w:val="left" w:pos="10111"/>
          <w:tab w:val="left" w:pos="10831"/>
          <w:tab w:val="left" w:pos="11551"/>
        </w:tabs>
        <w:spacing w:line="276" w:lineRule="auto"/>
        <w:rPr>
          <w:bCs/>
          <w:iCs/>
        </w:rPr>
      </w:pPr>
      <w:r w:rsidRPr="00160F2B">
        <w:rPr>
          <w:bCs/>
          <w:iCs/>
        </w:rPr>
        <w:t xml:space="preserve">V letu 2021 </w:t>
      </w:r>
      <w:r w:rsidR="00BD02FB">
        <w:rPr>
          <w:bCs/>
          <w:iCs/>
        </w:rPr>
        <w:t>so bile</w:t>
      </w:r>
      <w:r w:rsidRPr="00160F2B">
        <w:rPr>
          <w:bCs/>
          <w:iCs/>
        </w:rPr>
        <w:t xml:space="preserve"> zadev</w:t>
      </w:r>
      <w:r w:rsidR="00BD02FB">
        <w:rPr>
          <w:bCs/>
          <w:iCs/>
        </w:rPr>
        <w:t>e</w:t>
      </w:r>
      <w:r w:rsidRPr="00160F2B">
        <w:rPr>
          <w:bCs/>
          <w:iCs/>
        </w:rPr>
        <w:t xml:space="preserve"> zaključen</w:t>
      </w:r>
      <w:r w:rsidR="00BD02FB">
        <w:rPr>
          <w:bCs/>
          <w:iCs/>
        </w:rPr>
        <w:t>e</w:t>
      </w:r>
      <w:r w:rsidRPr="00160F2B">
        <w:rPr>
          <w:bCs/>
          <w:iCs/>
        </w:rPr>
        <w:t xml:space="preserve"> na naslednje načine:</w:t>
      </w:r>
    </w:p>
    <w:p w14:paraId="55094364" w14:textId="56ED1CCD" w:rsidR="007A689C" w:rsidRPr="00160F2B" w:rsidRDefault="007A689C" w:rsidP="007A689C">
      <w:pPr>
        <w:pStyle w:val="Odstavekseznama"/>
        <w:ind w:left="851" w:hanging="284"/>
      </w:pPr>
      <w:r w:rsidRPr="00160F2B">
        <w:t xml:space="preserve">493 zadev </w:t>
      </w:r>
      <w:r w:rsidR="0047635C">
        <w:t>je bilo</w:t>
      </w:r>
      <w:r w:rsidRPr="00160F2B">
        <w:t xml:space="preserve"> v obliki </w:t>
      </w:r>
      <w:r w:rsidRPr="000E41FC">
        <w:rPr>
          <w:b/>
          <w:bCs/>
        </w:rPr>
        <w:t>434 pisnih obvestil</w:t>
      </w:r>
      <w:r w:rsidRPr="00160F2B">
        <w:t xml:space="preserve"> o sumljivih transakcijah odstop</w:t>
      </w:r>
      <w:r w:rsidR="0047635C">
        <w:t>ljeno</w:t>
      </w:r>
      <w:r w:rsidRPr="00160F2B">
        <w:t xml:space="preserve"> v nadaljnjo obravnavo UKP MNZ in v nekaterih primerih tudi državnemu tožilstvu in drugim pristojnim institucijam, saj </w:t>
      </w:r>
      <w:r w:rsidR="0047635C">
        <w:t>je bilo ugotovljeno</w:t>
      </w:r>
      <w:r w:rsidRPr="00160F2B">
        <w:t xml:space="preserve">, da pri teh zadevah obstajajo nekateri razlogi za sum storitve kaznivega dejanja pranja denarja ali financiranja terorizma, kar zajema </w:t>
      </w:r>
      <w:r w:rsidRPr="000E41FC">
        <w:rPr>
          <w:b/>
          <w:bCs/>
        </w:rPr>
        <w:t>25,53 %</w:t>
      </w:r>
      <w:r w:rsidRPr="00160F2B">
        <w:t xml:space="preserve"> vseh v letu 2021 zaključenih zadev;</w:t>
      </w:r>
    </w:p>
    <w:p w14:paraId="5F6B3EF6" w14:textId="4DB94336" w:rsidR="007A689C" w:rsidRPr="00160F2B" w:rsidRDefault="007A689C" w:rsidP="007A689C">
      <w:pPr>
        <w:pStyle w:val="Odstavekseznama"/>
        <w:ind w:left="851" w:hanging="284"/>
      </w:pPr>
      <w:r w:rsidRPr="00160F2B">
        <w:t xml:space="preserve">872 zadev </w:t>
      </w:r>
      <w:r w:rsidR="0047635C">
        <w:t>je bilo zaključenih</w:t>
      </w:r>
      <w:r w:rsidRPr="00160F2B">
        <w:t xml:space="preserve"> z </w:t>
      </w:r>
      <w:r w:rsidRPr="000E41FC">
        <w:rPr>
          <w:b/>
          <w:bCs/>
        </w:rPr>
        <w:t>801 pisno informacijo</w:t>
      </w:r>
      <w:r w:rsidRPr="00160F2B">
        <w:t xml:space="preserve">, saj </w:t>
      </w:r>
      <w:r w:rsidR="0047635C">
        <w:t>je bilo ugotovljeno</w:t>
      </w:r>
      <w:r w:rsidRPr="00160F2B">
        <w:t xml:space="preserve">, da pri njih obstajajo nekateri razlogi za sum storitve drugih kaznivih dejanj, navedenih v </w:t>
      </w:r>
      <w:r w:rsidR="00CE65AC">
        <w:t>102</w:t>
      </w:r>
      <w:r w:rsidRPr="00160F2B">
        <w:t>. členu ZPPDFT-</w:t>
      </w:r>
      <w:r w:rsidR="00CE65AC">
        <w:t>1</w:t>
      </w:r>
      <w:r w:rsidRPr="00160F2B">
        <w:t xml:space="preserve">, zato </w:t>
      </w:r>
      <w:r w:rsidR="0047635C">
        <w:t>so bile posredovane</w:t>
      </w:r>
      <w:r w:rsidRPr="00160F2B">
        <w:t xml:space="preserve"> pristojnim organom (policija, FURS …). Z informacijami </w:t>
      </w:r>
      <w:r w:rsidR="0047635C">
        <w:t>je bilo</w:t>
      </w:r>
      <w:r w:rsidRPr="00160F2B">
        <w:t xml:space="preserve"> tako v letu 2021 zaključ</w:t>
      </w:r>
      <w:r w:rsidR="0047635C">
        <w:t>enih</w:t>
      </w:r>
      <w:r w:rsidRPr="00160F2B">
        <w:t xml:space="preserve"> </w:t>
      </w:r>
      <w:r w:rsidRPr="000E41FC">
        <w:rPr>
          <w:b/>
          <w:bCs/>
        </w:rPr>
        <w:t>45,15 %</w:t>
      </w:r>
      <w:r w:rsidRPr="00160F2B">
        <w:t xml:space="preserve"> vseh v tem letu zaključenih zadev;</w:t>
      </w:r>
    </w:p>
    <w:p w14:paraId="305B4D9E" w14:textId="5F974529" w:rsidR="007A689C" w:rsidRPr="00160F2B" w:rsidRDefault="007A689C" w:rsidP="007A689C">
      <w:pPr>
        <w:pStyle w:val="Odstavekseznama"/>
        <w:ind w:left="851" w:hanging="284"/>
      </w:pPr>
      <w:r w:rsidRPr="008B796F">
        <w:rPr>
          <w:b/>
          <w:bCs/>
        </w:rPr>
        <w:lastRenderedPageBreak/>
        <w:t xml:space="preserve">516 zadev </w:t>
      </w:r>
      <w:r w:rsidR="0047635C" w:rsidRPr="008B796F">
        <w:t>je bilo</w:t>
      </w:r>
      <w:r w:rsidR="0047635C" w:rsidRPr="008B796F">
        <w:rPr>
          <w:b/>
          <w:bCs/>
        </w:rPr>
        <w:t xml:space="preserve"> zaključenih in arhiviran</w:t>
      </w:r>
      <w:r w:rsidR="008B796F">
        <w:rPr>
          <w:b/>
          <w:bCs/>
        </w:rPr>
        <w:t>ih</w:t>
      </w:r>
      <w:r w:rsidRPr="008B796F">
        <w:rPr>
          <w:b/>
          <w:bCs/>
        </w:rPr>
        <w:t xml:space="preserve"> v uradu</w:t>
      </w:r>
      <w:r w:rsidRPr="00160F2B">
        <w:t xml:space="preserve">, saj pri njih </w:t>
      </w:r>
      <w:r w:rsidR="0047635C">
        <w:t>niso bili ugotovljeni razlogi</w:t>
      </w:r>
      <w:r w:rsidRPr="00160F2B">
        <w:t xml:space="preserve"> za sum storitve kaznivega dejanja pranja denarja ali kakšnega drugega uradno pregonljivega kaznivega dejanja iz </w:t>
      </w:r>
      <w:r w:rsidR="00CE65AC">
        <w:t>102</w:t>
      </w:r>
      <w:r w:rsidRPr="00160F2B">
        <w:t>. členu ZPPDFT-</w:t>
      </w:r>
      <w:r w:rsidR="00CE65AC">
        <w:t>1</w:t>
      </w:r>
      <w:r w:rsidRPr="00160F2B">
        <w:t xml:space="preserve">, kar zajema </w:t>
      </w:r>
      <w:r w:rsidRPr="008B796F">
        <w:rPr>
          <w:b/>
          <w:bCs/>
        </w:rPr>
        <w:t>26,72 %</w:t>
      </w:r>
      <w:r w:rsidRPr="00160F2B">
        <w:t xml:space="preserve"> vseh v uradu zaključenih zadev v letu 2021;</w:t>
      </w:r>
    </w:p>
    <w:p w14:paraId="39BD6F9B" w14:textId="26F670E2" w:rsidR="007A689C" w:rsidRPr="00160F2B" w:rsidRDefault="007A689C" w:rsidP="007A689C">
      <w:pPr>
        <w:pStyle w:val="Odstavekseznama"/>
        <w:ind w:left="851" w:hanging="284"/>
      </w:pPr>
      <w:r w:rsidRPr="008B796F">
        <w:rPr>
          <w:b/>
          <w:bCs/>
        </w:rPr>
        <w:t>40 zadev</w:t>
      </w:r>
      <w:r w:rsidRPr="00160F2B">
        <w:t xml:space="preserve"> </w:t>
      </w:r>
      <w:r w:rsidR="0047635C">
        <w:t>je bilo zaključenih</w:t>
      </w:r>
      <w:r w:rsidR="0047635C" w:rsidRPr="00160F2B">
        <w:t xml:space="preserve"> </w:t>
      </w:r>
      <w:r w:rsidRPr="008B796F">
        <w:rPr>
          <w:b/>
          <w:bCs/>
        </w:rPr>
        <w:t>z odstopom</w:t>
      </w:r>
      <w:r w:rsidRPr="00160F2B">
        <w:t xml:space="preserve"> prijav pristojnemu organu v reševanje (policija, FURS…), kar zajema 2,07 % vseh v uradu zaključenih zadev v letu 2021;</w:t>
      </w:r>
    </w:p>
    <w:p w14:paraId="336F528B" w14:textId="6373D7DD" w:rsidR="007A689C" w:rsidRPr="00160F2B" w:rsidRDefault="007A689C" w:rsidP="007A689C">
      <w:pPr>
        <w:pStyle w:val="Odstavekseznama"/>
        <w:ind w:left="851" w:hanging="284"/>
      </w:pPr>
      <w:r w:rsidRPr="008B796F">
        <w:rPr>
          <w:b/>
          <w:bCs/>
        </w:rPr>
        <w:t>5 zadev</w:t>
      </w:r>
      <w:r w:rsidRPr="00160F2B">
        <w:t xml:space="preserve"> </w:t>
      </w:r>
      <w:r w:rsidR="0047635C">
        <w:t>je bilo zaključenih</w:t>
      </w:r>
      <w:r w:rsidRPr="00160F2B">
        <w:t xml:space="preserve"> </w:t>
      </w:r>
      <w:r w:rsidRPr="008B796F">
        <w:rPr>
          <w:b/>
          <w:bCs/>
        </w:rPr>
        <w:t>z ugotovitvenim sklepom</w:t>
      </w:r>
      <w:r w:rsidRPr="00160F2B">
        <w:t>, saj je bilo iz vsebine prejetih prijav razvidno, da gre za zadeve iz pristojnosti drugega organa, ki pa je z zadevo že seznanjen;</w:t>
      </w:r>
    </w:p>
    <w:p w14:paraId="7CF47E1B" w14:textId="5086F6EF" w:rsidR="009B1F97" w:rsidRPr="00160F2B" w:rsidRDefault="007A689C" w:rsidP="009B1F97">
      <w:pPr>
        <w:pStyle w:val="Odstavekseznama"/>
        <w:ind w:left="851" w:hanging="284"/>
      </w:pPr>
      <w:r w:rsidRPr="008B796F">
        <w:rPr>
          <w:b/>
          <w:bCs/>
        </w:rPr>
        <w:t>5 zadev</w:t>
      </w:r>
      <w:r w:rsidRPr="00160F2B">
        <w:t xml:space="preserve"> </w:t>
      </w:r>
      <w:r w:rsidR="0047635C">
        <w:t>je bilo zaključenih</w:t>
      </w:r>
      <w:r w:rsidR="0047635C" w:rsidRPr="00160F2B">
        <w:t xml:space="preserve"> </w:t>
      </w:r>
      <w:r w:rsidRPr="008B796F">
        <w:rPr>
          <w:b/>
          <w:bCs/>
        </w:rPr>
        <w:t>s spontano informacijo</w:t>
      </w:r>
      <w:r w:rsidRPr="00160F2B">
        <w:t xml:space="preserve"> tujim sorodnim finančno obveščevalnim enotam. </w:t>
      </w:r>
    </w:p>
    <w:p w14:paraId="146112EA" w14:textId="4D93339E" w:rsidR="009A349D" w:rsidRDefault="008A4A68" w:rsidP="009A349D">
      <w:r w:rsidRPr="008A4A68">
        <w:t>Vodstvo urada je v letu 2021 spremenilo način izvajanja operativnih analiz. Na podlagi tega je bilo na novo uvedeno zaključevanje zadev z odstopom prijav drugemu organu v reševanje (40 zadev), ugotovitvenim sklepom (5 zadev) in zaključevanje zadev s posredovanjem spontane informacije tujim sorodno finančno obveščevalnim enotam (5 zadev). Zadeve</w:t>
      </w:r>
      <w:r w:rsidR="009B1F97">
        <w:t>,</w:t>
      </w:r>
      <w:r w:rsidRPr="008A4A68">
        <w:t xml:space="preserve"> zaključene na navedene načine</w:t>
      </w:r>
      <w:r w:rsidR="009B1F97">
        <w:t>,</w:t>
      </w:r>
      <w:r w:rsidRPr="008A4A68">
        <w:t xml:space="preserve"> niso zajete v preglednico št. 5, saj se v preteklih letih tovrstnih načinov zaključevanja zadev urad ni posluževal.</w:t>
      </w:r>
    </w:p>
    <w:p w14:paraId="76096DFB" w14:textId="6C544D7A" w:rsidR="00D64E43" w:rsidRDefault="007A689C" w:rsidP="007A689C">
      <w:pPr>
        <w:tabs>
          <w:tab w:val="left" w:pos="-1049"/>
          <w:tab w:val="left" w:pos="-689"/>
          <w:tab w:val="left" w:pos="31"/>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 w:val="left" w:pos="9391"/>
          <w:tab w:val="left" w:pos="10111"/>
          <w:tab w:val="left" w:pos="10831"/>
          <w:tab w:val="left" w:pos="11551"/>
        </w:tabs>
        <w:spacing w:line="276" w:lineRule="auto"/>
        <w:ind w:right="-22"/>
      </w:pPr>
      <w:r w:rsidRPr="00424274">
        <w:t xml:space="preserve">V spodnjem grafu </w:t>
      </w:r>
      <w:r w:rsidR="00EC1A05">
        <w:t xml:space="preserve">so po </w:t>
      </w:r>
      <w:r w:rsidRPr="00424274">
        <w:t>letih prikaz</w:t>
      </w:r>
      <w:r w:rsidR="00EC1A05">
        <w:t>ani podatki</w:t>
      </w:r>
      <w:r w:rsidRPr="00424274">
        <w:t xml:space="preserve"> o številu prejetih zadev v razmerju do števila rešenih zadev, podanih obvestil o sumljivih transakcijah </w:t>
      </w:r>
      <w:r w:rsidRPr="00424274">
        <w:rPr>
          <w:i/>
          <w:iCs/>
        </w:rPr>
        <w:t xml:space="preserve">(glej točki 3.1.3 in 3.1.4 tega poročila) </w:t>
      </w:r>
      <w:r w:rsidRPr="00424274">
        <w:t xml:space="preserve">in informacij </w:t>
      </w:r>
      <w:r w:rsidRPr="00424274">
        <w:rPr>
          <w:i/>
          <w:iCs/>
        </w:rPr>
        <w:t xml:space="preserve">(glej točko 3.1.5 tega poročila) </w:t>
      </w:r>
      <w:r>
        <w:rPr>
          <w:iCs/>
        </w:rPr>
        <w:t>v obdobju 2011</w:t>
      </w:r>
      <w:r w:rsidRPr="00424274">
        <w:rPr>
          <w:iCs/>
        </w:rPr>
        <w:t>–202</w:t>
      </w:r>
      <w:r>
        <w:rPr>
          <w:iCs/>
        </w:rPr>
        <w:t>1</w:t>
      </w:r>
      <w:r w:rsidRPr="00424274">
        <w:t>.</w:t>
      </w:r>
    </w:p>
    <w:p w14:paraId="792D29FE" w14:textId="77777777" w:rsidR="009B1F97" w:rsidRDefault="009B1F97" w:rsidP="007A689C">
      <w:pPr>
        <w:tabs>
          <w:tab w:val="left" w:pos="-1049"/>
          <w:tab w:val="left" w:pos="-689"/>
          <w:tab w:val="left" w:pos="31"/>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 w:val="left" w:pos="9391"/>
          <w:tab w:val="left" w:pos="10111"/>
          <w:tab w:val="left" w:pos="10831"/>
          <w:tab w:val="left" w:pos="11551"/>
        </w:tabs>
        <w:spacing w:line="276" w:lineRule="auto"/>
        <w:ind w:right="-22"/>
      </w:pPr>
    </w:p>
    <w:p w14:paraId="216E64E9" w14:textId="33B5A5A7" w:rsidR="007A689C" w:rsidRPr="007A689C" w:rsidRDefault="007A689C" w:rsidP="007A689C">
      <w:pPr>
        <w:spacing w:line="276" w:lineRule="auto"/>
        <w:ind w:left="851" w:right="-22" w:hanging="851"/>
        <w:rPr>
          <w:b/>
          <w:bCs/>
          <w:i/>
          <w:iCs/>
          <w:sz w:val="18"/>
          <w:szCs w:val="18"/>
        </w:rPr>
      </w:pPr>
      <w:r w:rsidRPr="007A689C">
        <w:rPr>
          <w:b/>
          <w:bCs/>
          <w:i/>
          <w:iCs/>
          <w:sz w:val="18"/>
          <w:szCs w:val="18"/>
        </w:rPr>
        <w:t>Graf 3:</w:t>
      </w:r>
      <w:r w:rsidRPr="007A689C">
        <w:rPr>
          <w:b/>
          <w:bCs/>
          <w:i/>
          <w:iCs/>
          <w:sz w:val="18"/>
          <w:szCs w:val="18"/>
        </w:rPr>
        <w:tab/>
        <w:t>Prikaz števila vseh odprtih zadev in poslanih obvestil o sumljivih transakcijah in informacij v obdobju 2011–2021</w:t>
      </w:r>
    </w:p>
    <w:p w14:paraId="03411072" w14:textId="24E4C331" w:rsidR="00B65A09" w:rsidRDefault="007A689C" w:rsidP="00B65A09">
      <w:r>
        <w:rPr>
          <w:noProof/>
          <w:lang w:eastAsia="sl-SI"/>
        </w:rPr>
        <w:drawing>
          <wp:inline distT="0" distB="0" distL="0" distR="0" wp14:anchorId="7720FAB4" wp14:editId="065946FF">
            <wp:extent cx="5746750" cy="3608625"/>
            <wp:effectExtent l="0" t="0" r="6350" b="11430"/>
            <wp:docPr id="16" name="Grafikon 16" descr="Prikaz števila vseh odprtih zadev in poslanih obvestil o sumljivih transakcijah in informacij v obdobju 2011–2021 v obliki grafikona."/>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F5C885A" w14:textId="77777777" w:rsidR="00D64E43" w:rsidRDefault="00D64E43" w:rsidP="007A689C">
      <w:pPr>
        <w:spacing w:line="276" w:lineRule="auto"/>
      </w:pPr>
    </w:p>
    <w:p w14:paraId="61210A1B" w14:textId="77777777" w:rsidR="006B05F1" w:rsidRDefault="007A689C" w:rsidP="007A689C">
      <w:pPr>
        <w:spacing w:line="276" w:lineRule="auto"/>
      </w:pPr>
      <w:r w:rsidRPr="00424274">
        <w:t xml:space="preserve">Glede na podatke iz prejšnjih let se je </w:t>
      </w:r>
      <w:r w:rsidRPr="0019433A">
        <w:rPr>
          <w:b/>
          <w:bCs/>
        </w:rPr>
        <w:t>število prejetih prijav</w:t>
      </w:r>
      <w:r w:rsidRPr="00424274">
        <w:t xml:space="preserve"> oziroma na njihovi p</w:t>
      </w:r>
      <w:r>
        <w:t>odlagi odprtih zadev v letu 2021</w:t>
      </w:r>
      <w:r w:rsidRPr="00424274">
        <w:t xml:space="preserve"> glede na leto 20</w:t>
      </w:r>
      <w:r>
        <w:t>20</w:t>
      </w:r>
      <w:r w:rsidRPr="00424274">
        <w:t xml:space="preserve"> </w:t>
      </w:r>
      <w:r w:rsidRPr="0019433A">
        <w:rPr>
          <w:b/>
          <w:bCs/>
        </w:rPr>
        <w:t>zmanjšalo za 3 %</w:t>
      </w:r>
      <w:r w:rsidRPr="00424274">
        <w:t>, glede na povprečje zadnjih petih let pa</w:t>
      </w:r>
      <w:r>
        <w:t xml:space="preserve"> </w:t>
      </w:r>
      <w:r w:rsidRPr="0019433A">
        <w:rPr>
          <w:b/>
          <w:bCs/>
        </w:rPr>
        <w:t>povečalo za</w:t>
      </w:r>
      <w:r>
        <w:t xml:space="preserve"> </w:t>
      </w:r>
      <w:r w:rsidRPr="0019433A">
        <w:rPr>
          <w:b/>
          <w:bCs/>
        </w:rPr>
        <w:t>dobrih 26 %.</w:t>
      </w:r>
      <w:r w:rsidRPr="00424274">
        <w:t xml:space="preserve"> Povprečje števila prijav v obdobju 201</w:t>
      </w:r>
      <w:r>
        <w:t>7–</w:t>
      </w:r>
      <w:r w:rsidRPr="00424274">
        <w:t>202</w:t>
      </w:r>
      <w:r>
        <w:t>1</w:t>
      </w:r>
      <w:r w:rsidRPr="00424274">
        <w:t xml:space="preserve"> znaša </w:t>
      </w:r>
      <w:r>
        <w:t>930</w:t>
      </w:r>
      <w:r w:rsidRPr="00424274">
        <w:t xml:space="preserve"> zadev letno, kar je v primerjavi z letnim povprečjem števila prijav na prebivalca drugih držav </w:t>
      </w:r>
      <w:r w:rsidRPr="0019433A">
        <w:rPr>
          <w:b/>
          <w:bCs/>
        </w:rPr>
        <w:t>zelo visoko povprečje</w:t>
      </w:r>
      <w:r w:rsidRPr="00424274">
        <w:t xml:space="preserve">. </w:t>
      </w:r>
    </w:p>
    <w:p w14:paraId="3E75972E" w14:textId="40DD3A68" w:rsidR="007A689C" w:rsidRPr="00424274" w:rsidRDefault="007A689C" w:rsidP="007A689C">
      <w:pPr>
        <w:spacing w:line="276" w:lineRule="auto"/>
      </w:pPr>
      <w:r w:rsidRPr="00424274">
        <w:lastRenderedPageBreak/>
        <w:t xml:space="preserve">V nadaljevanju poročila </w:t>
      </w:r>
      <w:r w:rsidR="006B05F1">
        <w:t>so navedeni podatki</w:t>
      </w:r>
      <w:r w:rsidRPr="00424274">
        <w:t xml:space="preserve"> o zadevah, ki </w:t>
      </w:r>
      <w:r w:rsidR="006B05F1">
        <w:t>so bile</w:t>
      </w:r>
      <w:r w:rsidRPr="00424274">
        <w:t xml:space="preserve"> v obliki obvestil o ugotovljenih sumih storitve kaznivega dejanja pranja denarja ali kaznivega dejanja financiranja terorizma in informacij o drugih kaznivih dejanjih</w:t>
      </w:r>
      <w:r w:rsidR="006B05F1">
        <w:t>,</w:t>
      </w:r>
      <w:r w:rsidRPr="00424274">
        <w:t xml:space="preserve"> </w:t>
      </w:r>
      <w:r>
        <w:t>posla</w:t>
      </w:r>
      <w:r w:rsidR="006B05F1">
        <w:t>ne</w:t>
      </w:r>
      <w:r w:rsidRPr="00424274">
        <w:t xml:space="preserve"> v nadaljnjo obravnavo pristojnim organom.</w:t>
      </w:r>
      <w:r>
        <w:t xml:space="preserve"> </w:t>
      </w:r>
    </w:p>
    <w:p w14:paraId="23D5861F" w14:textId="77777777" w:rsidR="00B65A09" w:rsidRDefault="00B65A09" w:rsidP="00B65A09"/>
    <w:p w14:paraId="51871F03" w14:textId="4ED1DD7E" w:rsidR="00B65A09" w:rsidRDefault="00B65A09" w:rsidP="00B65A09">
      <w:pPr>
        <w:pStyle w:val="Naslov3"/>
      </w:pPr>
      <w:bookmarkStart w:id="14" w:name="_Toc119581686"/>
      <w:r>
        <w:t>Zadeve, poslane UKP MNZ in/ali državnemu tožilstvu zaradi suma storitve kaznivega dejanja pranja denarja po 245. členu KZ-1</w:t>
      </w:r>
      <w:bookmarkEnd w:id="14"/>
    </w:p>
    <w:p w14:paraId="47BDA86E" w14:textId="77777777" w:rsidR="00B65A09" w:rsidRDefault="00B65A09" w:rsidP="00B65A09"/>
    <w:p w14:paraId="6876301C" w14:textId="6C9B5B71" w:rsidR="00A023F7" w:rsidRPr="00A023F7" w:rsidRDefault="00A023F7" w:rsidP="00A023F7">
      <w:pPr>
        <w:spacing w:line="276" w:lineRule="auto"/>
        <w:ind w:right="-22"/>
        <w:rPr>
          <w:color w:val="000000" w:themeColor="text1"/>
        </w:rPr>
      </w:pPr>
      <w:r w:rsidRPr="00C92D06">
        <w:rPr>
          <w:color w:val="000000" w:themeColor="text1"/>
        </w:rPr>
        <w:t xml:space="preserve">Med zaključenimi zadevami </w:t>
      </w:r>
      <w:r w:rsidR="002C4978">
        <w:rPr>
          <w:color w:val="000000" w:themeColor="text1"/>
        </w:rPr>
        <w:t>so bile</w:t>
      </w:r>
      <w:r w:rsidRPr="00C92D06">
        <w:rPr>
          <w:color w:val="000000" w:themeColor="text1"/>
        </w:rPr>
        <w:t xml:space="preserve"> tiste zadeve, pri katerih je </w:t>
      </w:r>
      <w:r w:rsidR="002C4978">
        <w:rPr>
          <w:color w:val="000000" w:themeColor="text1"/>
        </w:rPr>
        <w:t xml:space="preserve">bilo </w:t>
      </w:r>
      <w:r w:rsidRPr="00C92D06">
        <w:rPr>
          <w:color w:val="000000" w:themeColor="text1"/>
        </w:rPr>
        <w:t>z dodatnim zbiranjem in analizo podatkov ugotov</w:t>
      </w:r>
      <w:r w:rsidR="002C4978">
        <w:rPr>
          <w:color w:val="000000" w:themeColor="text1"/>
        </w:rPr>
        <w:t>ljeno</w:t>
      </w:r>
      <w:r w:rsidRPr="00C92D06">
        <w:rPr>
          <w:color w:val="000000" w:themeColor="text1"/>
        </w:rPr>
        <w:t xml:space="preserve">, da obstajajo nekateri razlogi za sum storitve kaznivega dejanja pranja denarja, skupaj z dokumentacijo na podlagi </w:t>
      </w:r>
      <w:r w:rsidR="009A349D">
        <w:rPr>
          <w:color w:val="000000" w:themeColor="text1"/>
        </w:rPr>
        <w:t>101</w:t>
      </w:r>
      <w:r w:rsidRPr="00C92D06">
        <w:rPr>
          <w:color w:val="000000" w:themeColor="text1"/>
        </w:rPr>
        <w:t>. člena ZPPDFT-</w:t>
      </w:r>
      <w:r w:rsidR="009A349D">
        <w:rPr>
          <w:color w:val="000000" w:themeColor="text1"/>
        </w:rPr>
        <w:t>1</w:t>
      </w:r>
      <w:r w:rsidR="00FC702A">
        <w:rPr>
          <w:color w:val="000000" w:themeColor="text1"/>
        </w:rPr>
        <w:t>,</w:t>
      </w:r>
      <w:r w:rsidRPr="00C92D06">
        <w:rPr>
          <w:color w:val="000000" w:themeColor="text1"/>
        </w:rPr>
        <w:t xml:space="preserve"> odstop</w:t>
      </w:r>
      <w:r w:rsidR="002C4978">
        <w:rPr>
          <w:color w:val="000000" w:themeColor="text1"/>
        </w:rPr>
        <w:t>ljene</w:t>
      </w:r>
      <w:r w:rsidRPr="00C92D06">
        <w:rPr>
          <w:color w:val="000000" w:themeColor="text1"/>
        </w:rPr>
        <w:t xml:space="preserve"> v nadaljnjo obravnavo UKP MNZ, v nekaterih primerih pa tudi pristojnemu državnemu tožilstvu.</w:t>
      </w:r>
    </w:p>
    <w:p w14:paraId="0F114774" w14:textId="53D8B3A7" w:rsidR="00A023F7" w:rsidRPr="00A023F7" w:rsidRDefault="00A023F7" w:rsidP="00A023F7">
      <w:pPr>
        <w:tabs>
          <w:tab w:val="left" w:pos="-1049"/>
          <w:tab w:val="left" w:pos="-689"/>
          <w:tab w:val="left" w:pos="31"/>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 w:val="left" w:pos="9391"/>
          <w:tab w:val="left" w:pos="10111"/>
          <w:tab w:val="left" w:pos="10831"/>
          <w:tab w:val="left" w:pos="11551"/>
        </w:tabs>
        <w:spacing w:line="276" w:lineRule="auto"/>
        <w:ind w:right="-22"/>
        <w:rPr>
          <w:bCs/>
          <w:iCs/>
          <w:color w:val="FF0000"/>
        </w:rPr>
      </w:pPr>
      <w:r w:rsidRPr="00C92D06">
        <w:rPr>
          <w:bCs/>
          <w:iCs/>
          <w:color w:val="000000" w:themeColor="text1"/>
        </w:rPr>
        <w:t xml:space="preserve">Leta 2021 </w:t>
      </w:r>
      <w:r w:rsidR="008A7C39">
        <w:rPr>
          <w:bCs/>
          <w:iCs/>
          <w:color w:val="000000" w:themeColor="text1"/>
        </w:rPr>
        <w:t>so</w:t>
      </w:r>
      <w:r w:rsidRPr="00C92D06">
        <w:rPr>
          <w:bCs/>
          <w:iCs/>
          <w:color w:val="000000" w:themeColor="text1"/>
        </w:rPr>
        <w:t xml:space="preserve"> </w:t>
      </w:r>
      <w:r w:rsidR="008A7C39">
        <w:rPr>
          <w:bCs/>
          <w:iCs/>
          <w:color w:val="000000" w:themeColor="text1"/>
        </w:rPr>
        <w:t>bili</w:t>
      </w:r>
      <w:r w:rsidRPr="00C92D06">
        <w:rPr>
          <w:bCs/>
          <w:iCs/>
          <w:color w:val="000000" w:themeColor="text1"/>
        </w:rPr>
        <w:t xml:space="preserve"> </w:t>
      </w:r>
      <w:r w:rsidRPr="00B7640E">
        <w:rPr>
          <w:b/>
          <w:iCs/>
          <w:color w:val="000000" w:themeColor="text1"/>
        </w:rPr>
        <w:t xml:space="preserve">pri analiziranju 488 zadev </w:t>
      </w:r>
      <w:r w:rsidRPr="00B7640E">
        <w:rPr>
          <w:b/>
          <w:iCs/>
        </w:rPr>
        <w:t>ugotovl</w:t>
      </w:r>
      <w:r w:rsidR="008A7C39" w:rsidRPr="00B7640E">
        <w:rPr>
          <w:b/>
          <w:iCs/>
        </w:rPr>
        <w:t>jeni</w:t>
      </w:r>
      <w:r w:rsidRPr="00B7640E">
        <w:rPr>
          <w:b/>
          <w:iCs/>
        </w:rPr>
        <w:t xml:space="preserve"> razlog</w:t>
      </w:r>
      <w:r w:rsidR="008A7C39" w:rsidRPr="00B7640E">
        <w:rPr>
          <w:b/>
          <w:iCs/>
        </w:rPr>
        <w:t>i</w:t>
      </w:r>
      <w:r w:rsidRPr="00B7640E">
        <w:rPr>
          <w:b/>
          <w:iCs/>
        </w:rPr>
        <w:t xml:space="preserve"> za sum storitve kaznivega dejanja pranja denarja</w:t>
      </w:r>
      <w:r w:rsidRPr="00526689">
        <w:rPr>
          <w:bCs/>
          <w:iCs/>
        </w:rPr>
        <w:t xml:space="preserve">, </w:t>
      </w:r>
      <w:r w:rsidR="008A7C39">
        <w:rPr>
          <w:bCs/>
          <w:iCs/>
        </w:rPr>
        <w:t xml:space="preserve">zato so bile </w:t>
      </w:r>
      <w:r w:rsidR="00FC702A">
        <w:rPr>
          <w:bCs/>
          <w:iCs/>
        </w:rPr>
        <w:t xml:space="preserve">te zadeve </w:t>
      </w:r>
      <w:r w:rsidR="008A7C39">
        <w:rPr>
          <w:bCs/>
          <w:iCs/>
        </w:rPr>
        <w:t>v</w:t>
      </w:r>
      <w:r w:rsidRPr="00526689">
        <w:rPr>
          <w:bCs/>
          <w:iCs/>
        </w:rPr>
        <w:t xml:space="preserve"> obliki </w:t>
      </w:r>
      <w:r w:rsidRPr="00A86AF3">
        <w:rPr>
          <w:b/>
          <w:iCs/>
        </w:rPr>
        <w:t>429 pisnih obvestil</w:t>
      </w:r>
      <w:r w:rsidRPr="00526689">
        <w:rPr>
          <w:bCs/>
          <w:iCs/>
        </w:rPr>
        <w:t xml:space="preserve"> (obvestila vezana na sume kaznivega dejanja financiranja terorizma prikazujemo v točki 3.1.4) posla</w:t>
      </w:r>
      <w:r w:rsidR="008A7C39">
        <w:rPr>
          <w:bCs/>
          <w:iCs/>
        </w:rPr>
        <w:t>ne</w:t>
      </w:r>
      <w:r w:rsidRPr="00526689">
        <w:rPr>
          <w:bCs/>
          <w:iCs/>
        </w:rPr>
        <w:t xml:space="preserve"> na UKP MNZ in/ali na državno tožilstvo. Razlog, da je število zadev večje od števila poslanih obvestil je v tem, da so nekatera obvestila vsebovala več med seboj povezanih zadev. Poleg omenjenih obvestil o sumljivih transakcijah </w:t>
      </w:r>
      <w:r w:rsidR="008A7C39">
        <w:rPr>
          <w:bCs/>
          <w:iCs/>
        </w:rPr>
        <w:t>je bilo</w:t>
      </w:r>
      <w:r w:rsidRPr="00526689">
        <w:rPr>
          <w:bCs/>
          <w:iCs/>
        </w:rPr>
        <w:t xml:space="preserve"> leta 2021 na UKP MNZ in/ali državnemu tožilstvu posla</w:t>
      </w:r>
      <w:r w:rsidR="008A7C39">
        <w:rPr>
          <w:bCs/>
          <w:iCs/>
        </w:rPr>
        <w:t>no</w:t>
      </w:r>
      <w:r w:rsidRPr="00526689">
        <w:rPr>
          <w:bCs/>
          <w:iCs/>
        </w:rPr>
        <w:t xml:space="preserve"> tudi </w:t>
      </w:r>
      <w:r w:rsidRPr="00A86AF3">
        <w:rPr>
          <w:b/>
          <w:iCs/>
          <w:color w:val="000000" w:themeColor="text1"/>
        </w:rPr>
        <w:t>47</w:t>
      </w:r>
      <w:r w:rsidRPr="00A86AF3">
        <w:rPr>
          <w:b/>
          <w:iCs/>
          <w:color w:val="FF0000"/>
        </w:rPr>
        <w:t xml:space="preserve"> </w:t>
      </w:r>
      <w:r w:rsidRPr="00A86AF3">
        <w:rPr>
          <w:b/>
          <w:iCs/>
          <w:color w:val="000000" w:themeColor="text1"/>
        </w:rPr>
        <w:t>dopolnitev</w:t>
      </w:r>
      <w:r w:rsidRPr="005821F7">
        <w:rPr>
          <w:bCs/>
          <w:iCs/>
          <w:color w:val="000000" w:themeColor="text1"/>
        </w:rPr>
        <w:t xml:space="preserve"> že podanih obvestil o sumljivih transakcijah. </w:t>
      </w:r>
    </w:p>
    <w:p w14:paraId="654DC91E" w14:textId="18F9FFB1" w:rsidR="00A023F7" w:rsidRDefault="00A023F7" w:rsidP="005A0CAB">
      <w:pPr>
        <w:spacing w:line="276" w:lineRule="auto"/>
        <w:ind w:right="-22"/>
        <w:rPr>
          <w:color w:val="000000" w:themeColor="text1"/>
        </w:rPr>
      </w:pPr>
      <w:r w:rsidRPr="00C11365">
        <w:rPr>
          <w:color w:val="000000" w:themeColor="text1"/>
        </w:rPr>
        <w:t xml:space="preserve">V nadaljevanju </w:t>
      </w:r>
      <w:r w:rsidR="00B7640E">
        <w:rPr>
          <w:color w:val="000000" w:themeColor="text1"/>
        </w:rPr>
        <w:t>so v</w:t>
      </w:r>
      <w:r w:rsidRPr="00C11365">
        <w:rPr>
          <w:color w:val="000000" w:themeColor="text1"/>
        </w:rPr>
        <w:t xml:space="preserve"> preglednici 6 za leti 2020 in 2021 prikaz</w:t>
      </w:r>
      <w:r w:rsidR="00B7640E">
        <w:rPr>
          <w:color w:val="000000" w:themeColor="text1"/>
        </w:rPr>
        <w:t>ani</w:t>
      </w:r>
      <w:r w:rsidRPr="00C11365">
        <w:rPr>
          <w:color w:val="000000" w:themeColor="text1"/>
        </w:rPr>
        <w:t xml:space="preserve"> število obravnavanih domačih in tujih fizičnih in pravnih oseb ter kumulativn</w:t>
      </w:r>
      <w:r w:rsidR="00B7640E">
        <w:rPr>
          <w:color w:val="000000" w:themeColor="text1"/>
        </w:rPr>
        <w:t>i</w:t>
      </w:r>
      <w:r w:rsidRPr="00C11365">
        <w:rPr>
          <w:color w:val="000000" w:themeColor="text1"/>
        </w:rPr>
        <w:t xml:space="preserve"> znesk</w:t>
      </w:r>
      <w:r w:rsidR="00B7640E">
        <w:rPr>
          <w:color w:val="000000" w:themeColor="text1"/>
        </w:rPr>
        <w:t>i</w:t>
      </w:r>
      <w:r w:rsidRPr="00C11365">
        <w:rPr>
          <w:color w:val="000000" w:themeColor="text1"/>
        </w:rPr>
        <w:t xml:space="preserve"> izvršenih transakcij, pri katerih </w:t>
      </w:r>
      <w:r w:rsidR="00B7640E">
        <w:rPr>
          <w:color w:val="000000" w:themeColor="text1"/>
        </w:rPr>
        <w:t>so bili ugotovljeni</w:t>
      </w:r>
      <w:r w:rsidRPr="00C11365">
        <w:rPr>
          <w:color w:val="000000" w:themeColor="text1"/>
        </w:rPr>
        <w:t xml:space="preserve"> razlog</w:t>
      </w:r>
      <w:r w:rsidR="00B7640E">
        <w:rPr>
          <w:color w:val="000000" w:themeColor="text1"/>
        </w:rPr>
        <w:t>i</w:t>
      </w:r>
      <w:r w:rsidRPr="00C11365">
        <w:rPr>
          <w:color w:val="000000" w:themeColor="text1"/>
        </w:rPr>
        <w:t xml:space="preserve"> za sum storitve kaznivega dejanja pranja denarja.</w:t>
      </w:r>
    </w:p>
    <w:p w14:paraId="57B33FC8" w14:textId="77777777" w:rsidR="00A023F7" w:rsidRPr="00A023F7" w:rsidRDefault="00A023F7" w:rsidP="005A0CAB">
      <w:pPr>
        <w:spacing w:line="276" w:lineRule="auto"/>
        <w:ind w:right="-22"/>
        <w:rPr>
          <w:color w:val="000000" w:themeColor="text1"/>
        </w:rPr>
      </w:pPr>
    </w:p>
    <w:p w14:paraId="74297F87" w14:textId="77777777" w:rsidR="00A023F7" w:rsidRPr="00A023F7" w:rsidRDefault="00A023F7" w:rsidP="00A023F7">
      <w:pPr>
        <w:spacing w:line="276" w:lineRule="auto"/>
        <w:ind w:left="1418" w:right="-22" w:hanging="1418"/>
        <w:rPr>
          <w:b/>
          <w:bCs/>
          <w:i/>
          <w:iCs/>
          <w:sz w:val="18"/>
          <w:szCs w:val="18"/>
        </w:rPr>
      </w:pPr>
      <w:r w:rsidRPr="00A023F7">
        <w:rPr>
          <w:b/>
          <w:bCs/>
          <w:i/>
          <w:iCs/>
          <w:sz w:val="18"/>
          <w:szCs w:val="18"/>
        </w:rPr>
        <w:t xml:space="preserve">Preglednica 6: </w:t>
      </w:r>
      <w:r w:rsidRPr="00A023F7">
        <w:rPr>
          <w:b/>
          <w:bCs/>
          <w:i/>
          <w:iCs/>
          <w:sz w:val="18"/>
          <w:szCs w:val="18"/>
        </w:rPr>
        <w:tab/>
        <w:t>Struktura udeleženih oseb v zadevah, ki so bile leta 2020 in 2021 poslane UKP MNZ in/ali državnemu tožilstvu zaradi sumov pranja denarja</w:t>
      </w:r>
    </w:p>
    <w:tbl>
      <w:tblPr>
        <w:tblStyle w:val="Tabelatemnamrea5poudarek5"/>
        <w:tblW w:w="7011" w:type="dxa"/>
        <w:tblLook w:val="02A0" w:firstRow="1" w:lastRow="0" w:firstColumn="1" w:lastColumn="0" w:noHBand="1" w:noVBand="0"/>
      </w:tblPr>
      <w:tblGrid>
        <w:gridCol w:w="3080"/>
        <w:gridCol w:w="1974"/>
        <w:gridCol w:w="1957"/>
      </w:tblGrid>
      <w:tr w:rsidR="00A9101E" w:rsidRPr="00A9101E" w14:paraId="62E35EB6" w14:textId="77777777" w:rsidTr="00897CFA">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080" w:type="dxa"/>
            <w:noWrap/>
          </w:tcPr>
          <w:p w14:paraId="43067F2A" w14:textId="77777777" w:rsidR="00A023F7" w:rsidRPr="00A9101E" w:rsidRDefault="00A023F7" w:rsidP="00F569C7">
            <w:pPr>
              <w:spacing w:line="360" w:lineRule="auto"/>
              <w:jc w:val="left"/>
              <w:rPr>
                <w:b w:val="0"/>
                <w:bCs w:val="0"/>
                <w:color w:val="auto"/>
                <w:lang w:eastAsia="sl-SI"/>
              </w:rPr>
            </w:pPr>
            <w:r w:rsidRPr="00A9101E">
              <w:rPr>
                <w:color w:val="auto"/>
                <w:lang w:eastAsia="sl-SI"/>
              </w:rPr>
              <w:t>VRSTA PODATKA</w:t>
            </w:r>
          </w:p>
        </w:tc>
        <w:tc>
          <w:tcPr>
            <w:cnfStyle w:val="000010000000" w:firstRow="0" w:lastRow="0" w:firstColumn="0" w:lastColumn="0" w:oddVBand="1" w:evenVBand="0" w:oddHBand="0" w:evenHBand="0" w:firstRowFirstColumn="0" w:firstRowLastColumn="0" w:lastRowFirstColumn="0" w:lastRowLastColumn="0"/>
            <w:tcW w:w="1974" w:type="dxa"/>
          </w:tcPr>
          <w:p w14:paraId="6B49398F" w14:textId="77777777" w:rsidR="00A023F7" w:rsidRPr="00A9101E" w:rsidRDefault="00A023F7" w:rsidP="00F569C7">
            <w:pPr>
              <w:spacing w:line="360" w:lineRule="auto"/>
              <w:jc w:val="center"/>
              <w:rPr>
                <w:b w:val="0"/>
                <w:bCs w:val="0"/>
                <w:color w:val="auto"/>
                <w:lang w:eastAsia="sl-SI"/>
              </w:rPr>
            </w:pPr>
            <w:r w:rsidRPr="00A9101E">
              <w:rPr>
                <w:color w:val="auto"/>
                <w:lang w:eastAsia="sl-SI"/>
              </w:rPr>
              <w:t>2020</w:t>
            </w:r>
          </w:p>
        </w:tc>
        <w:tc>
          <w:tcPr>
            <w:tcW w:w="1957" w:type="dxa"/>
          </w:tcPr>
          <w:p w14:paraId="733211D7" w14:textId="77777777" w:rsidR="00A023F7" w:rsidRPr="00A9101E" w:rsidRDefault="00A023F7" w:rsidP="00F569C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auto"/>
                <w:lang w:eastAsia="sl-SI"/>
              </w:rPr>
            </w:pPr>
            <w:r w:rsidRPr="00A9101E">
              <w:rPr>
                <w:color w:val="auto"/>
                <w:lang w:eastAsia="sl-SI"/>
              </w:rPr>
              <w:t>2021</w:t>
            </w:r>
          </w:p>
        </w:tc>
      </w:tr>
      <w:tr w:rsidR="00A023F7" w:rsidRPr="00424274" w14:paraId="4F1F14ED" w14:textId="77777777" w:rsidTr="00897CFA">
        <w:trPr>
          <w:trHeight w:val="345"/>
        </w:trPr>
        <w:tc>
          <w:tcPr>
            <w:cnfStyle w:val="001000000000" w:firstRow="0" w:lastRow="0" w:firstColumn="1" w:lastColumn="0" w:oddVBand="0" w:evenVBand="0" w:oddHBand="0" w:evenHBand="0" w:firstRowFirstColumn="0" w:firstRowLastColumn="0" w:lastRowFirstColumn="0" w:lastRowLastColumn="0"/>
            <w:tcW w:w="3080" w:type="dxa"/>
            <w:noWrap/>
          </w:tcPr>
          <w:p w14:paraId="47B564D4" w14:textId="77777777" w:rsidR="00A023F7" w:rsidRPr="00A9101E" w:rsidRDefault="00A023F7" w:rsidP="00F569C7">
            <w:pPr>
              <w:spacing w:line="360" w:lineRule="auto"/>
              <w:jc w:val="left"/>
              <w:rPr>
                <w:color w:val="auto"/>
                <w:lang w:eastAsia="sl-SI"/>
              </w:rPr>
            </w:pPr>
            <w:r w:rsidRPr="00A9101E">
              <w:rPr>
                <w:color w:val="auto"/>
                <w:lang w:eastAsia="sl-SI"/>
              </w:rPr>
              <w:t>Št. domačih fizičnih oseb</w:t>
            </w:r>
          </w:p>
        </w:tc>
        <w:tc>
          <w:tcPr>
            <w:cnfStyle w:val="000010000000" w:firstRow="0" w:lastRow="0" w:firstColumn="0" w:lastColumn="0" w:oddVBand="1" w:evenVBand="0" w:oddHBand="0" w:evenHBand="0" w:firstRowFirstColumn="0" w:firstRowLastColumn="0" w:lastRowFirstColumn="0" w:lastRowLastColumn="0"/>
            <w:tcW w:w="1974" w:type="dxa"/>
          </w:tcPr>
          <w:p w14:paraId="14E9E465" w14:textId="77777777" w:rsidR="00A023F7" w:rsidRPr="00424274" w:rsidRDefault="00A023F7" w:rsidP="00F569C7">
            <w:pPr>
              <w:spacing w:line="360" w:lineRule="auto"/>
              <w:jc w:val="center"/>
              <w:rPr>
                <w:lang w:eastAsia="sl-SI"/>
              </w:rPr>
            </w:pPr>
            <w:r w:rsidRPr="00424274">
              <w:rPr>
                <w:lang w:eastAsia="sl-SI"/>
              </w:rPr>
              <w:t>255</w:t>
            </w:r>
          </w:p>
        </w:tc>
        <w:tc>
          <w:tcPr>
            <w:tcW w:w="1957" w:type="dxa"/>
          </w:tcPr>
          <w:p w14:paraId="6BEBC630" w14:textId="77777777" w:rsidR="00A023F7" w:rsidRPr="00DD7F3A" w:rsidRDefault="00A023F7" w:rsidP="00F569C7">
            <w:pPr>
              <w:spacing w:line="360" w:lineRule="auto"/>
              <w:jc w:val="center"/>
              <w:cnfStyle w:val="000000000000" w:firstRow="0" w:lastRow="0" w:firstColumn="0" w:lastColumn="0" w:oddVBand="0" w:evenVBand="0" w:oddHBand="0" w:evenHBand="0" w:firstRowFirstColumn="0" w:firstRowLastColumn="0" w:lastRowFirstColumn="0" w:lastRowLastColumn="0"/>
              <w:rPr>
                <w:color w:val="FF0000"/>
                <w:lang w:eastAsia="sl-SI"/>
              </w:rPr>
            </w:pPr>
            <w:r w:rsidRPr="00405564">
              <w:rPr>
                <w:color w:val="000000" w:themeColor="text1"/>
                <w:lang w:eastAsia="sl-SI"/>
              </w:rPr>
              <w:t>289</w:t>
            </w:r>
          </w:p>
        </w:tc>
      </w:tr>
      <w:tr w:rsidR="00A023F7" w:rsidRPr="00424274" w14:paraId="31259191" w14:textId="77777777" w:rsidTr="00897CFA">
        <w:trPr>
          <w:trHeight w:val="330"/>
        </w:trPr>
        <w:tc>
          <w:tcPr>
            <w:cnfStyle w:val="001000000000" w:firstRow="0" w:lastRow="0" w:firstColumn="1" w:lastColumn="0" w:oddVBand="0" w:evenVBand="0" w:oddHBand="0" w:evenHBand="0" w:firstRowFirstColumn="0" w:firstRowLastColumn="0" w:lastRowFirstColumn="0" w:lastRowLastColumn="0"/>
            <w:tcW w:w="3080" w:type="dxa"/>
            <w:noWrap/>
          </w:tcPr>
          <w:p w14:paraId="76729ABE" w14:textId="77777777" w:rsidR="00A023F7" w:rsidRPr="00A9101E" w:rsidRDefault="00A023F7" w:rsidP="00F569C7">
            <w:pPr>
              <w:spacing w:line="360" w:lineRule="auto"/>
              <w:jc w:val="left"/>
              <w:rPr>
                <w:color w:val="auto"/>
                <w:lang w:eastAsia="sl-SI"/>
              </w:rPr>
            </w:pPr>
            <w:r w:rsidRPr="00A9101E">
              <w:rPr>
                <w:color w:val="auto"/>
                <w:lang w:eastAsia="sl-SI"/>
              </w:rPr>
              <w:t>Št. tujih fizičnih oseb</w:t>
            </w:r>
          </w:p>
        </w:tc>
        <w:tc>
          <w:tcPr>
            <w:cnfStyle w:val="000010000000" w:firstRow="0" w:lastRow="0" w:firstColumn="0" w:lastColumn="0" w:oddVBand="1" w:evenVBand="0" w:oddHBand="0" w:evenHBand="0" w:firstRowFirstColumn="0" w:firstRowLastColumn="0" w:lastRowFirstColumn="0" w:lastRowLastColumn="0"/>
            <w:tcW w:w="1974" w:type="dxa"/>
          </w:tcPr>
          <w:p w14:paraId="25A75247" w14:textId="77777777" w:rsidR="00A023F7" w:rsidRPr="00897CFA" w:rsidRDefault="00A023F7" w:rsidP="00F569C7">
            <w:pPr>
              <w:spacing w:line="360" w:lineRule="auto"/>
              <w:jc w:val="center"/>
              <w:rPr>
                <w:color w:val="000000" w:themeColor="text1"/>
                <w:lang w:eastAsia="sl-SI"/>
              </w:rPr>
            </w:pPr>
            <w:r w:rsidRPr="00897CFA">
              <w:rPr>
                <w:color w:val="000000" w:themeColor="text1"/>
                <w:lang w:eastAsia="sl-SI"/>
              </w:rPr>
              <w:t>410</w:t>
            </w:r>
          </w:p>
        </w:tc>
        <w:tc>
          <w:tcPr>
            <w:tcW w:w="1957" w:type="dxa"/>
          </w:tcPr>
          <w:p w14:paraId="1F0C2CF6" w14:textId="77777777" w:rsidR="00A023F7" w:rsidRPr="00DD7F3A" w:rsidRDefault="00A023F7" w:rsidP="00F569C7">
            <w:pPr>
              <w:spacing w:line="360" w:lineRule="auto"/>
              <w:jc w:val="center"/>
              <w:cnfStyle w:val="000000000000" w:firstRow="0" w:lastRow="0" w:firstColumn="0" w:lastColumn="0" w:oddVBand="0" w:evenVBand="0" w:oddHBand="0" w:evenHBand="0" w:firstRowFirstColumn="0" w:firstRowLastColumn="0" w:lastRowFirstColumn="0" w:lastRowLastColumn="0"/>
              <w:rPr>
                <w:color w:val="FF0000"/>
                <w:lang w:eastAsia="sl-SI"/>
              </w:rPr>
            </w:pPr>
            <w:r w:rsidRPr="00405564">
              <w:rPr>
                <w:color w:val="000000" w:themeColor="text1"/>
                <w:lang w:eastAsia="sl-SI"/>
              </w:rPr>
              <w:t>222</w:t>
            </w:r>
          </w:p>
        </w:tc>
      </w:tr>
      <w:tr w:rsidR="00A023F7" w:rsidRPr="00424274" w14:paraId="443C334A" w14:textId="77777777" w:rsidTr="00897CFA">
        <w:trPr>
          <w:trHeight w:val="330"/>
        </w:trPr>
        <w:tc>
          <w:tcPr>
            <w:cnfStyle w:val="001000000000" w:firstRow="0" w:lastRow="0" w:firstColumn="1" w:lastColumn="0" w:oddVBand="0" w:evenVBand="0" w:oddHBand="0" w:evenHBand="0" w:firstRowFirstColumn="0" w:firstRowLastColumn="0" w:lastRowFirstColumn="0" w:lastRowLastColumn="0"/>
            <w:tcW w:w="3080" w:type="dxa"/>
            <w:noWrap/>
          </w:tcPr>
          <w:p w14:paraId="094E23FF" w14:textId="77777777" w:rsidR="00A023F7" w:rsidRPr="00A9101E" w:rsidRDefault="00A023F7" w:rsidP="00F569C7">
            <w:pPr>
              <w:spacing w:line="360" w:lineRule="auto"/>
              <w:jc w:val="left"/>
              <w:rPr>
                <w:color w:val="auto"/>
                <w:lang w:eastAsia="sl-SI"/>
              </w:rPr>
            </w:pPr>
            <w:r w:rsidRPr="00A9101E">
              <w:rPr>
                <w:color w:val="auto"/>
                <w:lang w:eastAsia="sl-SI"/>
              </w:rPr>
              <w:t>Št. domačih pravnih oseb</w:t>
            </w:r>
          </w:p>
        </w:tc>
        <w:tc>
          <w:tcPr>
            <w:cnfStyle w:val="000010000000" w:firstRow="0" w:lastRow="0" w:firstColumn="0" w:lastColumn="0" w:oddVBand="1" w:evenVBand="0" w:oddHBand="0" w:evenHBand="0" w:firstRowFirstColumn="0" w:firstRowLastColumn="0" w:lastRowFirstColumn="0" w:lastRowLastColumn="0"/>
            <w:tcW w:w="1974" w:type="dxa"/>
          </w:tcPr>
          <w:p w14:paraId="15C7A995" w14:textId="77777777" w:rsidR="00A023F7" w:rsidRPr="00897CFA" w:rsidRDefault="00A023F7" w:rsidP="00F569C7">
            <w:pPr>
              <w:spacing w:line="360" w:lineRule="auto"/>
              <w:jc w:val="center"/>
              <w:rPr>
                <w:color w:val="000000" w:themeColor="text1"/>
                <w:lang w:eastAsia="sl-SI"/>
              </w:rPr>
            </w:pPr>
            <w:r w:rsidRPr="00897CFA">
              <w:rPr>
                <w:color w:val="000000" w:themeColor="text1"/>
                <w:lang w:eastAsia="sl-SI"/>
              </w:rPr>
              <w:t>262</w:t>
            </w:r>
          </w:p>
        </w:tc>
        <w:tc>
          <w:tcPr>
            <w:tcW w:w="1957" w:type="dxa"/>
          </w:tcPr>
          <w:p w14:paraId="27C17898" w14:textId="77777777" w:rsidR="00A023F7" w:rsidRPr="00DD7F3A" w:rsidRDefault="00A023F7" w:rsidP="00F569C7">
            <w:pPr>
              <w:spacing w:line="360" w:lineRule="auto"/>
              <w:jc w:val="center"/>
              <w:cnfStyle w:val="000000000000" w:firstRow="0" w:lastRow="0" w:firstColumn="0" w:lastColumn="0" w:oddVBand="0" w:evenVBand="0" w:oddHBand="0" w:evenHBand="0" w:firstRowFirstColumn="0" w:firstRowLastColumn="0" w:lastRowFirstColumn="0" w:lastRowLastColumn="0"/>
              <w:rPr>
                <w:color w:val="FF0000"/>
                <w:lang w:eastAsia="sl-SI"/>
              </w:rPr>
            </w:pPr>
            <w:r w:rsidRPr="00405564">
              <w:rPr>
                <w:color w:val="000000" w:themeColor="text1"/>
                <w:lang w:eastAsia="sl-SI"/>
              </w:rPr>
              <w:t>231</w:t>
            </w:r>
          </w:p>
        </w:tc>
      </w:tr>
      <w:tr w:rsidR="00A023F7" w:rsidRPr="00424274" w14:paraId="23732589" w14:textId="77777777" w:rsidTr="00897CFA">
        <w:trPr>
          <w:trHeight w:val="330"/>
        </w:trPr>
        <w:tc>
          <w:tcPr>
            <w:cnfStyle w:val="001000000000" w:firstRow="0" w:lastRow="0" w:firstColumn="1" w:lastColumn="0" w:oddVBand="0" w:evenVBand="0" w:oddHBand="0" w:evenHBand="0" w:firstRowFirstColumn="0" w:firstRowLastColumn="0" w:lastRowFirstColumn="0" w:lastRowLastColumn="0"/>
            <w:tcW w:w="3080" w:type="dxa"/>
            <w:noWrap/>
          </w:tcPr>
          <w:p w14:paraId="54887014" w14:textId="77777777" w:rsidR="00A023F7" w:rsidRPr="00A9101E" w:rsidRDefault="00A023F7" w:rsidP="00F569C7">
            <w:pPr>
              <w:spacing w:line="360" w:lineRule="auto"/>
              <w:jc w:val="left"/>
              <w:rPr>
                <w:color w:val="auto"/>
                <w:lang w:eastAsia="sl-SI"/>
              </w:rPr>
            </w:pPr>
            <w:r w:rsidRPr="00A9101E">
              <w:rPr>
                <w:color w:val="auto"/>
                <w:lang w:eastAsia="sl-SI"/>
              </w:rPr>
              <w:t>Št. tujih pravnih oseb</w:t>
            </w:r>
          </w:p>
        </w:tc>
        <w:tc>
          <w:tcPr>
            <w:cnfStyle w:val="000010000000" w:firstRow="0" w:lastRow="0" w:firstColumn="0" w:lastColumn="0" w:oddVBand="1" w:evenVBand="0" w:oddHBand="0" w:evenHBand="0" w:firstRowFirstColumn="0" w:firstRowLastColumn="0" w:lastRowFirstColumn="0" w:lastRowLastColumn="0"/>
            <w:tcW w:w="1974" w:type="dxa"/>
          </w:tcPr>
          <w:p w14:paraId="11409313" w14:textId="77777777" w:rsidR="00A023F7" w:rsidRPr="00897CFA" w:rsidRDefault="00A023F7" w:rsidP="00F569C7">
            <w:pPr>
              <w:spacing w:line="360" w:lineRule="auto"/>
              <w:jc w:val="center"/>
              <w:rPr>
                <w:color w:val="000000" w:themeColor="text1"/>
                <w:lang w:eastAsia="sl-SI"/>
              </w:rPr>
            </w:pPr>
            <w:r w:rsidRPr="00897CFA">
              <w:rPr>
                <w:color w:val="000000" w:themeColor="text1"/>
                <w:lang w:eastAsia="sl-SI"/>
              </w:rPr>
              <w:t>195</w:t>
            </w:r>
          </w:p>
        </w:tc>
        <w:tc>
          <w:tcPr>
            <w:tcW w:w="1957" w:type="dxa"/>
          </w:tcPr>
          <w:p w14:paraId="7556F147" w14:textId="77777777" w:rsidR="00A023F7" w:rsidRPr="00DD7F3A" w:rsidRDefault="00A023F7" w:rsidP="00F569C7">
            <w:pPr>
              <w:spacing w:line="360" w:lineRule="auto"/>
              <w:jc w:val="center"/>
              <w:cnfStyle w:val="000000000000" w:firstRow="0" w:lastRow="0" w:firstColumn="0" w:lastColumn="0" w:oddVBand="0" w:evenVBand="0" w:oddHBand="0" w:evenHBand="0" w:firstRowFirstColumn="0" w:firstRowLastColumn="0" w:lastRowFirstColumn="0" w:lastRowLastColumn="0"/>
              <w:rPr>
                <w:color w:val="FF0000"/>
                <w:lang w:eastAsia="sl-SI"/>
              </w:rPr>
            </w:pPr>
            <w:r w:rsidRPr="00405564">
              <w:rPr>
                <w:color w:val="000000" w:themeColor="text1"/>
                <w:lang w:eastAsia="sl-SI"/>
              </w:rPr>
              <w:t>156</w:t>
            </w:r>
          </w:p>
        </w:tc>
      </w:tr>
      <w:tr w:rsidR="00A023F7" w:rsidRPr="00424274" w14:paraId="01EDD0D6" w14:textId="77777777" w:rsidTr="00897CFA">
        <w:trPr>
          <w:trHeight w:val="330"/>
        </w:trPr>
        <w:tc>
          <w:tcPr>
            <w:cnfStyle w:val="001000000000" w:firstRow="0" w:lastRow="0" w:firstColumn="1" w:lastColumn="0" w:oddVBand="0" w:evenVBand="0" w:oddHBand="0" w:evenHBand="0" w:firstRowFirstColumn="0" w:firstRowLastColumn="0" w:lastRowFirstColumn="0" w:lastRowLastColumn="0"/>
            <w:tcW w:w="3080" w:type="dxa"/>
            <w:noWrap/>
          </w:tcPr>
          <w:p w14:paraId="1373AC40" w14:textId="77777777" w:rsidR="00A023F7" w:rsidRPr="00A9101E" w:rsidRDefault="00A023F7" w:rsidP="00F569C7">
            <w:pPr>
              <w:spacing w:line="360" w:lineRule="auto"/>
              <w:jc w:val="left"/>
              <w:rPr>
                <w:b w:val="0"/>
                <w:bCs w:val="0"/>
                <w:color w:val="auto"/>
                <w:lang w:eastAsia="sl-SI"/>
              </w:rPr>
            </w:pPr>
            <w:r w:rsidRPr="00A9101E">
              <w:rPr>
                <w:color w:val="auto"/>
                <w:lang w:eastAsia="sl-SI"/>
              </w:rPr>
              <w:t>VALUTA</w:t>
            </w:r>
          </w:p>
        </w:tc>
        <w:tc>
          <w:tcPr>
            <w:cnfStyle w:val="000010000000" w:firstRow="0" w:lastRow="0" w:firstColumn="0" w:lastColumn="0" w:oddVBand="1" w:evenVBand="0" w:oddHBand="0" w:evenHBand="0" w:firstRowFirstColumn="0" w:firstRowLastColumn="0" w:lastRowFirstColumn="0" w:lastRowLastColumn="0"/>
            <w:tcW w:w="1974" w:type="dxa"/>
          </w:tcPr>
          <w:p w14:paraId="57A3BE8F" w14:textId="77777777" w:rsidR="00A023F7" w:rsidRPr="00A9101E" w:rsidRDefault="00A023F7" w:rsidP="00F569C7">
            <w:pPr>
              <w:spacing w:line="360" w:lineRule="auto"/>
              <w:jc w:val="center"/>
              <w:rPr>
                <w:color w:val="000000" w:themeColor="text1"/>
                <w:lang w:eastAsia="sl-SI"/>
              </w:rPr>
            </w:pPr>
            <w:r w:rsidRPr="00A9101E">
              <w:rPr>
                <w:color w:val="000000" w:themeColor="text1"/>
                <w:lang w:eastAsia="sl-SI"/>
              </w:rPr>
              <w:t>ZNESEK</w:t>
            </w:r>
          </w:p>
        </w:tc>
        <w:tc>
          <w:tcPr>
            <w:tcW w:w="1957" w:type="dxa"/>
          </w:tcPr>
          <w:p w14:paraId="3FD24D57" w14:textId="77777777" w:rsidR="00A023F7" w:rsidRPr="00A9101E" w:rsidRDefault="00A023F7" w:rsidP="00F569C7">
            <w:pPr>
              <w:spacing w:line="360" w:lineRule="auto"/>
              <w:jc w:val="center"/>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ZNESEK</w:t>
            </w:r>
          </w:p>
        </w:tc>
      </w:tr>
      <w:tr w:rsidR="00A023F7" w:rsidRPr="00424274" w14:paraId="5E8737DF" w14:textId="77777777" w:rsidTr="00897CFA">
        <w:trPr>
          <w:trHeight w:val="330"/>
        </w:trPr>
        <w:tc>
          <w:tcPr>
            <w:cnfStyle w:val="001000000000" w:firstRow="0" w:lastRow="0" w:firstColumn="1" w:lastColumn="0" w:oddVBand="0" w:evenVBand="0" w:oddHBand="0" w:evenHBand="0" w:firstRowFirstColumn="0" w:firstRowLastColumn="0" w:lastRowFirstColumn="0" w:lastRowLastColumn="0"/>
            <w:tcW w:w="3080" w:type="dxa"/>
            <w:noWrap/>
          </w:tcPr>
          <w:p w14:paraId="1B714722" w14:textId="77777777" w:rsidR="00A023F7" w:rsidRPr="00A9101E" w:rsidRDefault="00A023F7" w:rsidP="00F569C7">
            <w:pPr>
              <w:spacing w:line="360" w:lineRule="auto"/>
              <w:jc w:val="left"/>
              <w:rPr>
                <w:color w:val="auto"/>
                <w:lang w:eastAsia="sl-SI"/>
              </w:rPr>
            </w:pPr>
            <w:r w:rsidRPr="00A9101E">
              <w:rPr>
                <w:color w:val="auto"/>
                <w:lang w:eastAsia="sl-SI"/>
              </w:rPr>
              <w:t>EUR</w:t>
            </w:r>
          </w:p>
        </w:tc>
        <w:tc>
          <w:tcPr>
            <w:cnfStyle w:val="000010000000" w:firstRow="0" w:lastRow="0" w:firstColumn="0" w:lastColumn="0" w:oddVBand="1" w:evenVBand="0" w:oddHBand="0" w:evenHBand="0" w:firstRowFirstColumn="0" w:firstRowLastColumn="0" w:lastRowFirstColumn="0" w:lastRowLastColumn="0"/>
            <w:tcW w:w="1974" w:type="dxa"/>
          </w:tcPr>
          <w:p w14:paraId="63C2AF54" w14:textId="77777777" w:rsidR="00A023F7" w:rsidRPr="00CB301F" w:rsidRDefault="00A023F7" w:rsidP="00F569C7">
            <w:pPr>
              <w:spacing w:line="360" w:lineRule="auto"/>
              <w:jc w:val="center"/>
              <w:rPr>
                <w:b/>
                <w:bCs/>
                <w:color w:val="000000" w:themeColor="text1"/>
                <w:lang w:eastAsia="sl-SI"/>
              </w:rPr>
            </w:pPr>
            <w:r w:rsidRPr="00CB301F">
              <w:rPr>
                <w:b/>
                <w:bCs/>
                <w:color w:val="000000" w:themeColor="text1"/>
                <w:lang w:eastAsia="sl-SI"/>
              </w:rPr>
              <w:t>505.903.011</w:t>
            </w:r>
          </w:p>
        </w:tc>
        <w:tc>
          <w:tcPr>
            <w:tcW w:w="1957" w:type="dxa"/>
          </w:tcPr>
          <w:p w14:paraId="3ECD2167" w14:textId="77777777" w:rsidR="00A023F7" w:rsidRPr="00CB301F" w:rsidRDefault="00A023F7"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color w:val="FF0000"/>
              </w:rPr>
            </w:pPr>
            <w:r w:rsidRPr="00CB301F">
              <w:rPr>
                <w:b/>
                <w:bCs/>
                <w:color w:val="000000" w:themeColor="text1"/>
              </w:rPr>
              <w:t>775.137.495</w:t>
            </w:r>
          </w:p>
        </w:tc>
      </w:tr>
      <w:tr w:rsidR="00A023F7" w:rsidRPr="00424274" w14:paraId="5AA7B1BB" w14:textId="77777777" w:rsidTr="00897CFA">
        <w:trPr>
          <w:trHeight w:val="330"/>
        </w:trPr>
        <w:tc>
          <w:tcPr>
            <w:cnfStyle w:val="001000000000" w:firstRow="0" w:lastRow="0" w:firstColumn="1" w:lastColumn="0" w:oddVBand="0" w:evenVBand="0" w:oddHBand="0" w:evenHBand="0" w:firstRowFirstColumn="0" w:firstRowLastColumn="0" w:lastRowFirstColumn="0" w:lastRowLastColumn="0"/>
            <w:tcW w:w="3080" w:type="dxa"/>
            <w:noWrap/>
          </w:tcPr>
          <w:p w14:paraId="04773C7C" w14:textId="77777777" w:rsidR="00A023F7" w:rsidRPr="00A9101E" w:rsidRDefault="00A023F7" w:rsidP="00F569C7">
            <w:pPr>
              <w:spacing w:line="360" w:lineRule="auto"/>
              <w:jc w:val="left"/>
              <w:rPr>
                <w:color w:val="auto"/>
                <w:lang w:eastAsia="sl-SI"/>
              </w:rPr>
            </w:pPr>
            <w:r w:rsidRPr="00A9101E">
              <w:rPr>
                <w:color w:val="auto"/>
                <w:lang w:eastAsia="sl-SI"/>
              </w:rPr>
              <w:t>USD</w:t>
            </w:r>
          </w:p>
        </w:tc>
        <w:tc>
          <w:tcPr>
            <w:cnfStyle w:val="000010000000" w:firstRow="0" w:lastRow="0" w:firstColumn="0" w:lastColumn="0" w:oddVBand="1" w:evenVBand="0" w:oddHBand="0" w:evenHBand="0" w:firstRowFirstColumn="0" w:firstRowLastColumn="0" w:lastRowFirstColumn="0" w:lastRowLastColumn="0"/>
            <w:tcW w:w="1974" w:type="dxa"/>
          </w:tcPr>
          <w:p w14:paraId="6D5805AF" w14:textId="77777777" w:rsidR="00A023F7" w:rsidRPr="00CB301F" w:rsidRDefault="00A023F7" w:rsidP="00F569C7">
            <w:pPr>
              <w:spacing w:line="360" w:lineRule="auto"/>
              <w:jc w:val="center"/>
              <w:rPr>
                <w:b/>
                <w:bCs/>
                <w:color w:val="000000" w:themeColor="text1"/>
                <w:lang w:eastAsia="sl-SI"/>
              </w:rPr>
            </w:pPr>
            <w:r w:rsidRPr="00CB301F">
              <w:rPr>
                <w:b/>
                <w:bCs/>
                <w:color w:val="000000" w:themeColor="text1"/>
                <w:lang w:eastAsia="sl-SI"/>
              </w:rPr>
              <w:t>2.083.530</w:t>
            </w:r>
          </w:p>
        </w:tc>
        <w:tc>
          <w:tcPr>
            <w:tcW w:w="1957" w:type="dxa"/>
          </w:tcPr>
          <w:p w14:paraId="64DF03F5" w14:textId="77777777" w:rsidR="00A023F7" w:rsidRPr="00CB301F" w:rsidRDefault="00A023F7"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sidRPr="00CB301F">
              <w:rPr>
                <w:b/>
                <w:bCs/>
                <w:color w:val="000000" w:themeColor="text1"/>
              </w:rPr>
              <w:t>2.069.513</w:t>
            </w:r>
          </w:p>
        </w:tc>
      </w:tr>
    </w:tbl>
    <w:p w14:paraId="0A93A82F" w14:textId="77777777" w:rsidR="00B65A09" w:rsidRDefault="00B65A09" w:rsidP="00B65A09"/>
    <w:p w14:paraId="75E78EB4" w14:textId="51ADB1DA" w:rsidR="00A023F7" w:rsidRPr="00424274" w:rsidRDefault="00A023F7" w:rsidP="00A023F7">
      <w:pPr>
        <w:tabs>
          <w:tab w:val="left" w:pos="-1049"/>
          <w:tab w:val="left" w:pos="-689"/>
          <w:tab w:val="left" w:pos="31"/>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 w:val="left" w:pos="9391"/>
          <w:tab w:val="left" w:pos="10111"/>
          <w:tab w:val="left" w:pos="10831"/>
          <w:tab w:val="left" w:pos="11551"/>
        </w:tabs>
        <w:snapToGrid w:val="0"/>
        <w:spacing w:line="276" w:lineRule="auto"/>
        <w:ind w:right="-22"/>
      </w:pPr>
      <w:r w:rsidRPr="008A262A">
        <w:rPr>
          <w:color w:val="000000" w:themeColor="text1"/>
        </w:rPr>
        <w:t xml:space="preserve">Iz podatkov v preglednici je razvidno, da </w:t>
      </w:r>
      <w:r w:rsidR="00B7640E">
        <w:rPr>
          <w:color w:val="000000" w:themeColor="text1"/>
        </w:rPr>
        <w:t xml:space="preserve">je </w:t>
      </w:r>
      <w:r w:rsidR="00FC702A">
        <w:rPr>
          <w:color w:val="000000" w:themeColor="text1"/>
        </w:rPr>
        <w:t>urad</w:t>
      </w:r>
      <w:r w:rsidRPr="008A262A">
        <w:rPr>
          <w:color w:val="000000" w:themeColor="text1"/>
        </w:rPr>
        <w:t xml:space="preserve"> v obvestilih o sumljivih transakcijah zaradi razlogov za sum storitve kaznivega dejanja pranja denarja v letu 2021 </w:t>
      </w:r>
      <w:r w:rsidRPr="00B7640E">
        <w:rPr>
          <w:b/>
          <w:bCs/>
          <w:color w:val="000000" w:themeColor="text1"/>
        </w:rPr>
        <w:t>obravnav</w:t>
      </w:r>
      <w:r w:rsidR="00B7640E" w:rsidRPr="00B7640E">
        <w:rPr>
          <w:b/>
          <w:bCs/>
          <w:color w:val="000000" w:themeColor="text1"/>
        </w:rPr>
        <w:t>a</w:t>
      </w:r>
      <w:r w:rsidR="00FC702A">
        <w:rPr>
          <w:b/>
          <w:bCs/>
          <w:color w:val="000000" w:themeColor="text1"/>
        </w:rPr>
        <w:t>l</w:t>
      </w:r>
      <w:r w:rsidRPr="00B7640E">
        <w:rPr>
          <w:b/>
          <w:bCs/>
          <w:color w:val="000000" w:themeColor="text1"/>
        </w:rPr>
        <w:t xml:space="preserve"> 520 domačih fizičnih in pravnih oseb ter 378 tujih fizičnih in pravnih oseb.</w:t>
      </w:r>
      <w:r w:rsidRPr="008A262A">
        <w:rPr>
          <w:color w:val="000000" w:themeColor="text1"/>
        </w:rPr>
        <w:t xml:space="preserve"> </w:t>
      </w:r>
      <w:r w:rsidRPr="00424274">
        <w:t xml:space="preserve">Glede na prejšnje leto </w:t>
      </w:r>
      <w:r w:rsidR="00B7640E">
        <w:t>je bilo</w:t>
      </w:r>
      <w:r w:rsidRPr="00424274">
        <w:t xml:space="preserve"> sk</w:t>
      </w:r>
      <w:r>
        <w:t>upno obravnava</w:t>
      </w:r>
      <w:r w:rsidR="00B7640E">
        <w:t>no</w:t>
      </w:r>
      <w:r>
        <w:t xml:space="preserve"> slabih 20 </w:t>
      </w:r>
      <w:r w:rsidRPr="00424274">
        <w:t xml:space="preserve">% </w:t>
      </w:r>
      <w:r>
        <w:t>manj</w:t>
      </w:r>
      <w:r w:rsidRPr="00424274">
        <w:t xml:space="preserve"> oseb, pri čemer se je povprečno število oseb na obvestilo zmanjšalo z</w:t>
      </w:r>
      <w:r>
        <w:t xml:space="preserve"> 2,49</w:t>
      </w:r>
      <w:r w:rsidRPr="00424274">
        <w:t xml:space="preserve"> oseb</w:t>
      </w:r>
      <w:r>
        <w:t>e</w:t>
      </w:r>
      <w:r w:rsidRPr="00424274">
        <w:t xml:space="preserve"> na 2,</w:t>
      </w:r>
      <w:r>
        <w:t>07</w:t>
      </w:r>
      <w:r w:rsidRPr="00424274">
        <w:t xml:space="preserve"> oseb</w:t>
      </w:r>
      <w:r>
        <w:t>e</w:t>
      </w:r>
      <w:r w:rsidRPr="00424274">
        <w:t xml:space="preserve"> na </w:t>
      </w:r>
      <w:r w:rsidRPr="00C2455B">
        <w:t xml:space="preserve">obvestilo. Trend povečevanja obravnavanih tujih oseb, ki se je lani ustalil, se je v letu 2021 </w:t>
      </w:r>
      <w:r w:rsidR="006E5CB3" w:rsidRPr="00C2455B">
        <w:t>zmanjšal</w:t>
      </w:r>
      <w:r w:rsidRPr="00C2455B">
        <w:t xml:space="preserve"> </w:t>
      </w:r>
      <w:r w:rsidR="00B7640E" w:rsidRPr="00C2455B">
        <w:t>s</w:t>
      </w:r>
      <w:r w:rsidRPr="00C2455B">
        <w:t xml:space="preserve"> 54% na 42%. Med</w:t>
      </w:r>
      <w:r w:rsidRPr="00424274">
        <w:t xml:space="preserve"> tujimi osebami podobno kot prejšnje leto prevladujejo osebe iz Italije, ki </w:t>
      </w:r>
      <w:r>
        <w:t>zajemajo</w:t>
      </w:r>
      <w:r w:rsidRPr="00424274">
        <w:t xml:space="preserve"> </w:t>
      </w:r>
      <w:r>
        <w:t>12</w:t>
      </w:r>
      <w:r w:rsidRPr="00424274">
        <w:t xml:space="preserve">% delež vseh tujcev, medtem ko osebe iz Hrvaške, Bosne in Hercegovine, Srbije ter Rusije skupaj </w:t>
      </w:r>
      <w:r>
        <w:t>obsegajo</w:t>
      </w:r>
      <w:r w:rsidRPr="00424274">
        <w:t xml:space="preserve"> </w:t>
      </w:r>
      <w:r>
        <w:t>13</w:t>
      </w:r>
      <w:r w:rsidRPr="00424274">
        <w:t>% delež vseh obravnavanih tujcev.</w:t>
      </w:r>
    </w:p>
    <w:p w14:paraId="456896BB" w14:textId="271A1D28" w:rsidR="00B65A09" w:rsidRDefault="00A023F7" w:rsidP="008A4A68">
      <w:pPr>
        <w:spacing w:line="276" w:lineRule="auto"/>
        <w:rPr>
          <w:b/>
          <w:bCs/>
        </w:rPr>
      </w:pPr>
      <w:r w:rsidRPr="00424274">
        <w:t xml:space="preserve">Znesek denarja, </w:t>
      </w:r>
      <w:r w:rsidR="00B7640E">
        <w:t>v zvezi s katerim</w:t>
      </w:r>
      <w:r w:rsidRPr="00424274">
        <w:t xml:space="preserve"> </w:t>
      </w:r>
      <w:r w:rsidR="00B7640E">
        <w:t>so bili ugotovljeni</w:t>
      </w:r>
      <w:r w:rsidRPr="00424274">
        <w:t xml:space="preserve"> razlog</w:t>
      </w:r>
      <w:r w:rsidR="00B7640E">
        <w:t>i</w:t>
      </w:r>
      <w:r w:rsidRPr="00424274">
        <w:t xml:space="preserve"> za sum storitve k</w:t>
      </w:r>
      <w:r>
        <w:t>aznivega dejanja, se je v letu 2021</w:t>
      </w:r>
      <w:r w:rsidRPr="00424274">
        <w:t xml:space="preserve"> glede na prejšnje leto</w:t>
      </w:r>
      <w:r>
        <w:t xml:space="preserve"> malenkostno povečal, in sicer znesek v valuti evro za dobro tretjino,</w:t>
      </w:r>
      <w:r w:rsidRPr="00424274">
        <w:t xml:space="preserve"> medtem ko je znesek v valuti ameriški dolar</w:t>
      </w:r>
      <w:r>
        <w:t xml:space="preserve"> praktično ostal na enaki vrednosti.</w:t>
      </w:r>
      <w:r w:rsidRPr="00424274">
        <w:t xml:space="preserve"> </w:t>
      </w:r>
      <w:r w:rsidRPr="00B7640E">
        <w:rPr>
          <w:b/>
          <w:bCs/>
        </w:rPr>
        <w:t xml:space="preserve">Povprečno </w:t>
      </w:r>
      <w:r w:rsidRPr="00B7640E">
        <w:rPr>
          <w:b/>
          <w:bCs/>
        </w:rPr>
        <w:lastRenderedPageBreak/>
        <w:t xml:space="preserve">obravnavani znesek na zadevo se je povečal na okoli </w:t>
      </w:r>
      <w:r w:rsidRPr="00B7640E">
        <w:rPr>
          <w:b/>
          <w:bCs/>
          <w:color w:val="000000"/>
          <w:lang w:eastAsia="sl-SI"/>
        </w:rPr>
        <w:t xml:space="preserve">1.786.000 EUR </w:t>
      </w:r>
      <w:r w:rsidRPr="00B7640E">
        <w:rPr>
          <w:b/>
          <w:bCs/>
        </w:rPr>
        <w:t>na zadevo, kar pomeni 35% zvišanje glede na prejšnje leto.</w:t>
      </w:r>
    </w:p>
    <w:p w14:paraId="58F82DCB" w14:textId="77777777" w:rsidR="008A4A68" w:rsidRPr="008A4A68" w:rsidRDefault="008A4A68" w:rsidP="008A4A68">
      <w:pPr>
        <w:spacing w:line="276" w:lineRule="auto"/>
        <w:rPr>
          <w:b/>
          <w:bCs/>
        </w:rPr>
      </w:pPr>
    </w:p>
    <w:p w14:paraId="586B6198" w14:textId="4BA59D95" w:rsidR="00B65A09" w:rsidRDefault="00B65A09" w:rsidP="00B65A09">
      <w:pPr>
        <w:pStyle w:val="Naslov3"/>
      </w:pPr>
      <w:bookmarkStart w:id="15" w:name="_Toc119581687"/>
      <w:r>
        <w:t>Zadeve, poslane UKP MNZ in/ali državnemu tožilstvu zaradi suma storitve kaznivega dejanja financiranja terorizma po 109. členu KZ-1</w:t>
      </w:r>
      <w:bookmarkEnd w:id="15"/>
    </w:p>
    <w:p w14:paraId="2A8BE002" w14:textId="77777777" w:rsidR="00B65A09" w:rsidRDefault="00B65A09" w:rsidP="00B65A09"/>
    <w:p w14:paraId="3C5A57CC" w14:textId="12968296" w:rsidR="00601090" w:rsidRPr="00AC7644" w:rsidRDefault="00601090" w:rsidP="00AC7644">
      <w:pPr>
        <w:spacing w:line="276" w:lineRule="auto"/>
        <w:ind w:right="-22"/>
      </w:pPr>
      <w:r w:rsidRPr="00C92D06">
        <w:rPr>
          <w:color w:val="000000" w:themeColor="text1"/>
        </w:rPr>
        <w:t xml:space="preserve">Urad je v letu 2021 prejel tudi </w:t>
      </w:r>
      <w:r w:rsidRPr="00601090">
        <w:rPr>
          <w:b/>
          <w:bCs/>
          <w:color w:val="000000" w:themeColor="text1"/>
        </w:rPr>
        <w:t>28 prijav</w:t>
      </w:r>
      <w:r w:rsidRPr="00C92D06">
        <w:rPr>
          <w:color w:val="000000" w:themeColor="text1"/>
        </w:rPr>
        <w:t xml:space="preserve">, v katerih so prijavitelji ugotovili transakcije, ki bi lahko bile </w:t>
      </w:r>
      <w:r w:rsidRPr="00601090">
        <w:rPr>
          <w:b/>
          <w:bCs/>
          <w:color w:val="000000" w:themeColor="text1"/>
        </w:rPr>
        <w:t>povezane s financiranjem terorizma</w:t>
      </w:r>
      <w:r w:rsidRPr="00C92D06">
        <w:rPr>
          <w:color w:val="000000" w:themeColor="text1"/>
        </w:rPr>
        <w:t xml:space="preserve">. </w:t>
      </w:r>
      <w:r w:rsidRPr="00424274">
        <w:t xml:space="preserve">Skoraj vse te prijave </w:t>
      </w:r>
      <w:r>
        <w:t xml:space="preserve">so bile prejete </w:t>
      </w:r>
      <w:r w:rsidRPr="00424274">
        <w:t xml:space="preserve">od zavezancev, medtem ko je </w:t>
      </w:r>
      <w:r>
        <w:t>tri prijave</w:t>
      </w:r>
      <w:r w:rsidRPr="00424274">
        <w:t xml:space="preserve"> </w:t>
      </w:r>
      <w:r>
        <w:t>poslala UKP MNZ, dve</w:t>
      </w:r>
      <w:r w:rsidRPr="00424274">
        <w:t xml:space="preserve"> SOVA, eno pa je odprl </w:t>
      </w:r>
      <w:r>
        <w:t>urad</w:t>
      </w:r>
      <w:r w:rsidRPr="00424274">
        <w:t xml:space="preserve"> na podlagi drugih podatkov. </w:t>
      </w:r>
    </w:p>
    <w:p w14:paraId="0092818B" w14:textId="157EE9D3" w:rsidR="00B65A09" w:rsidRDefault="004F7A5F" w:rsidP="00AC7644">
      <w:pPr>
        <w:spacing w:line="276" w:lineRule="auto"/>
        <w:ind w:right="-22"/>
        <w:rPr>
          <w:bCs/>
          <w:iCs/>
          <w:color w:val="FF0000"/>
        </w:rPr>
      </w:pPr>
      <w:r>
        <w:rPr>
          <w:bCs/>
          <w:iCs/>
        </w:rPr>
        <w:t>Pri analiziranju</w:t>
      </w:r>
      <w:r w:rsidR="00AC7644">
        <w:rPr>
          <w:bCs/>
          <w:iCs/>
        </w:rPr>
        <w:t xml:space="preserve"> </w:t>
      </w:r>
      <w:r w:rsidR="00EA29F2">
        <w:rPr>
          <w:bCs/>
          <w:iCs/>
        </w:rPr>
        <w:t>5</w:t>
      </w:r>
      <w:r w:rsidR="00AC7644" w:rsidRPr="00424274">
        <w:rPr>
          <w:bCs/>
          <w:iCs/>
        </w:rPr>
        <w:t xml:space="preserve"> zadev </w:t>
      </w:r>
      <w:r>
        <w:rPr>
          <w:bCs/>
          <w:iCs/>
        </w:rPr>
        <w:t>so bili ugotovljeni</w:t>
      </w:r>
      <w:r w:rsidR="00AC7644" w:rsidRPr="00424274">
        <w:rPr>
          <w:bCs/>
          <w:iCs/>
        </w:rPr>
        <w:t xml:space="preserve"> razlog</w:t>
      </w:r>
      <w:r w:rsidR="002D316E">
        <w:rPr>
          <w:bCs/>
          <w:iCs/>
        </w:rPr>
        <w:t>i</w:t>
      </w:r>
      <w:r w:rsidR="00AC7644" w:rsidRPr="00424274">
        <w:rPr>
          <w:bCs/>
          <w:iCs/>
        </w:rPr>
        <w:t xml:space="preserve"> za sum storitve kaznivega dejanja financiranja terorizma po 109. členu KZ-1</w:t>
      </w:r>
      <w:r>
        <w:rPr>
          <w:bCs/>
          <w:iCs/>
        </w:rPr>
        <w:t>, zato so bili</w:t>
      </w:r>
      <w:r w:rsidR="00AC7644" w:rsidRPr="00424274">
        <w:rPr>
          <w:bCs/>
          <w:iCs/>
        </w:rPr>
        <w:t xml:space="preserve"> v obliki </w:t>
      </w:r>
      <w:r w:rsidR="00EA29F2" w:rsidRPr="00EA29F2">
        <w:rPr>
          <w:b/>
          <w:iCs/>
        </w:rPr>
        <w:t>5</w:t>
      </w:r>
      <w:r w:rsidR="00AC7644" w:rsidRPr="00EA29F2">
        <w:rPr>
          <w:b/>
          <w:iCs/>
        </w:rPr>
        <w:t xml:space="preserve"> obvestil</w:t>
      </w:r>
      <w:r w:rsidR="00AC7644" w:rsidRPr="00424274">
        <w:rPr>
          <w:bCs/>
          <w:iCs/>
        </w:rPr>
        <w:t xml:space="preserve"> </w:t>
      </w:r>
      <w:r w:rsidR="00AC7644">
        <w:rPr>
          <w:bCs/>
          <w:iCs/>
        </w:rPr>
        <w:t>posla</w:t>
      </w:r>
      <w:r>
        <w:rPr>
          <w:bCs/>
          <w:iCs/>
        </w:rPr>
        <w:t>ni</w:t>
      </w:r>
      <w:r w:rsidR="00AC7644" w:rsidRPr="00424274">
        <w:rPr>
          <w:bCs/>
          <w:iCs/>
        </w:rPr>
        <w:t xml:space="preserve"> pristojnim organom. V teh obvestilih </w:t>
      </w:r>
      <w:r>
        <w:rPr>
          <w:bCs/>
          <w:iCs/>
        </w:rPr>
        <w:t xml:space="preserve">je bilo obravnavanih </w:t>
      </w:r>
      <w:r w:rsidR="00AC7644">
        <w:rPr>
          <w:bCs/>
          <w:iCs/>
        </w:rPr>
        <w:t>15</w:t>
      </w:r>
      <w:r w:rsidR="00AC7644" w:rsidRPr="00A26BD3">
        <w:rPr>
          <w:bCs/>
          <w:iCs/>
          <w:color w:val="FF0000"/>
        </w:rPr>
        <w:t xml:space="preserve"> </w:t>
      </w:r>
      <w:r w:rsidR="00AC7644" w:rsidRPr="00A44684">
        <w:rPr>
          <w:bCs/>
          <w:iCs/>
          <w:color w:val="000000" w:themeColor="text1"/>
        </w:rPr>
        <w:t>oseb, od katerih je bilo 10 tujih.</w:t>
      </w:r>
    </w:p>
    <w:p w14:paraId="19B4EE8C" w14:textId="77777777" w:rsidR="00AC7644" w:rsidRPr="00AC7644" w:rsidRDefault="00AC7644" w:rsidP="00AC7644">
      <w:pPr>
        <w:spacing w:line="276" w:lineRule="auto"/>
        <w:ind w:right="-22"/>
        <w:rPr>
          <w:bCs/>
          <w:iCs/>
          <w:color w:val="FF0000"/>
        </w:rPr>
      </w:pPr>
    </w:p>
    <w:p w14:paraId="0F805877" w14:textId="1EAA363A" w:rsidR="00B65A09" w:rsidRPr="00AC7644" w:rsidRDefault="00B65A09" w:rsidP="00AC7644">
      <w:pPr>
        <w:spacing w:line="276" w:lineRule="auto"/>
        <w:ind w:left="1418" w:right="-22" w:hanging="1418"/>
        <w:rPr>
          <w:b/>
          <w:bCs/>
          <w:i/>
          <w:iCs/>
          <w:sz w:val="18"/>
          <w:szCs w:val="18"/>
        </w:rPr>
      </w:pPr>
      <w:r w:rsidRPr="00AC7644">
        <w:rPr>
          <w:b/>
          <w:bCs/>
          <w:i/>
          <w:iCs/>
          <w:sz w:val="18"/>
          <w:szCs w:val="18"/>
        </w:rPr>
        <w:t xml:space="preserve">Preglednica 7: </w:t>
      </w:r>
      <w:r w:rsidRPr="00AC7644">
        <w:rPr>
          <w:b/>
          <w:bCs/>
          <w:i/>
          <w:iCs/>
          <w:sz w:val="18"/>
          <w:szCs w:val="18"/>
        </w:rPr>
        <w:tab/>
        <w:t>Struktura udeleženih oseb v zadevah, ki so bile leta 20</w:t>
      </w:r>
      <w:r w:rsidR="00AC7644" w:rsidRPr="00AC7644">
        <w:rPr>
          <w:b/>
          <w:bCs/>
          <w:i/>
          <w:iCs/>
          <w:sz w:val="18"/>
          <w:szCs w:val="18"/>
        </w:rPr>
        <w:t>20</w:t>
      </w:r>
      <w:r w:rsidRPr="00AC7644">
        <w:rPr>
          <w:b/>
          <w:bCs/>
          <w:i/>
          <w:iCs/>
          <w:sz w:val="18"/>
          <w:szCs w:val="18"/>
        </w:rPr>
        <w:t xml:space="preserve"> in 202</w:t>
      </w:r>
      <w:r w:rsidR="00AC7644" w:rsidRPr="00AC7644">
        <w:rPr>
          <w:b/>
          <w:bCs/>
          <w:i/>
          <w:iCs/>
          <w:sz w:val="18"/>
          <w:szCs w:val="18"/>
        </w:rPr>
        <w:t>1</w:t>
      </w:r>
      <w:r w:rsidRPr="00AC7644">
        <w:rPr>
          <w:b/>
          <w:bCs/>
          <w:i/>
          <w:iCs/>
          <w:sz w:val="18"/>
          <w:szCs w:val="18"/>
        </w:rPr>
        <w:t xml:space="preserve"> poslane UKP MNZ in/ali državnemu tožilstvu zaradi razlogov za sum financiranja terorizma</w:t>
      </w:r>
    </w:p>
    <w:tbl>
      <w:tblPr>
        <w:tblStyle w:val="Tabelatemnamrea5poudarek5"/>
        <w:tblW w:w="7933" w:type="dxa"/>
        <w:tblLook w:val="02A0" w:firstRow="1" w:lastRow="0" w:firstColumn="1" w:lastColumn="0" w:noHBand="1" w:noVBand="0"/>
      </w:tblPr>
      <w:tblGrid>
        <w:gridCol w:w="3080"/>
        <w:gridCol w:w="2018"/>
        <w:gridCol w:w="2835"/>
      </w:tblGrid>
      <w:tr w:rsidR="00A9101E" w:rsidRPr="00A9101E" w14:paraId="2685ADB3" w14:textId="77777777" w:rsidTr="00CB301F">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080" w:type="dxa"/>
            <w:noWrap/>
          </w:tcPr>
          <w:p w14:paraId="5E95F69C" w14:textId="77777777" w:rsidR="00AC7644" w:rsidRPr="00A9101E" w:rsidRDefault="00AC7644" w:rsidP="00F569C7">
            <w:pPr>
              <w:spacing w:line="360" w:lineRule="auto"/>
              <w:jc w:val="left"/>
              <w:rPr>
                <w:b w:val="0"/>
                <w:bCs w:val="0"/>
                <w:color w:val="auto"/>
                <w:lang w:eastAsia="sl-SI"/>
              </w:rPr>
            </w:pPr>
            <w:r w:rsidRPr="00A9101E">
              <w:rPr>
                <w:color w:val="auto"/>
                <w:lang w:eastAsia="sl-SI"/>
              </w:rPr>
              <w:t>VRSTA PODATKA</w:t>
            </w:r>
          </w:p>
        </w:tc>
        <w:tc>
          <w:tcPr>
            <w:cnfStyle w:val="000010000000" w:firstRow="0" w:lastRow="0" w:firstColumn="0" w:lastColumn="0" w:oddVBand="1" w:evenVBand="0" w:oddHBand="0" w:evenHBand="0" w:firstRowFirstColumn="0" w:firstRowLastColumn="0" w:lastRowFirstColumn="0" w:lastRowLastColumn="0"/>
            <w:tcW w:w="2018" w:type="dxa"/>
          </w:tcPr>
          <w:p w14:paraId="3A22B343" w14:textId="77777777" w:rsidR="00AC7644" w:rsidRPr="00A9101E" w:rsidRDefault="00AC7644" w:rsidP="00F569C7">
            <w:pPr>
              <w:spacing w:line="360" w:lineRule="auto"/>
              <w:jc w:val="center"/>
              <w:rPr>
                <w:b w:val="0"/>
                <w:bCs w:val="0"/>
                <w:color w:val="auto"/>
                <w:lang w:eastAsia="sl-SI"/>
              </w:rPr>
            </w:pPr>
            <w:r w:rsidRPr="00A9101E">
              <w:rPr>
                <w:color w:val="auto"/>
                <w:lang w:eastAsia="sl-SI"/>
              </w:rPr>
              <w:t>2020</w:t>
            </w:r>
          </w:p>
        </w:tc>
        <w:tc>
          <w:tcPr>
            <w:tcW w:w="2835" w:type="dxa"/>
          </w:tcPr>
          <w:p w14:paraId="6043DD17" w14:textId="77777777" w:rsidR="00AC7644" w:rsidRPr="00A9101E" w:rsidRDefault="00AC7644" w:rsidP="00F569C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auto"/>
                <w:lang w:eastAsia="sl-SI"/>
              </w:rPr>
            </w:pPr>
            <w:r w:rsidRPr="00A9101E">
              <w:rPr>
                <w:color w:val="auto"/>
                <w:lang w:eastAsia="sl-SI"/>
              </w:rPr>
              <w:t>2021</w:t>
            </w:r>
          </w:p>
        </w:tc>
      </w:tr>
      <w:tr w:rsidR="00A9101E" w:rsidRPr="00A9101E" w14:paraId="391D542E" w14:textId="77777777" w:rsidTr="00CB301F">
        <w:trPr>
          <w:trHeight w:val="345"/>
        </w:trPr>
        <w:tc>
          <w:tcPr>
            <w:cnfStyle w:val="001000000000" w:firstRow="0" w:lastRow="0" w:firstColumn="1" w:lastColumn="0" w:oddVBand="0" w:evenVBand="0" w:oddHBand="0" w:evenHBand="0" w:firstRowFirstColumn="0" w:firstRowLastColumn="0" w:lastRowFirstColumn="0" w:lastRowLastColumn="0"/>
            <w:tcW w:w="3080" w:type="dxa"/>
            <w:noWrap/>
          </w:tcPr>
          <w:p w14:paraId="7165668B" w14:textId="77777777" w:rsidR="00AC7644" w:rsidRPr="00A9101E" w:rsidRDefault="00AC7644" w:rsidP="00F569C7">
            <w:pPr>
              <w:spacing w:line="360" w:lineRule="auto"/>
              <w:jc w:val="left"/>
              <w:rPr>
                <w:color w:val="auto"/>
                <w:lang w:eastAsia="sl-SI"/>
              </w:rPr>
            </w:pPr>
            <w:r w:rsidRPr="00A9101E">
              <w:rPr>
                <w:color w:val="auto"/>
                <w:lang w:eastAsia="sl-SI"/>
              </w:rPr>
              <w:t>Št. domačih fizičnih oseb</w:t>
            </w:r>
          </w:p>
        </w:tc>
        <w:tc>
          <w:tcPr>
            <w:cnfStyle w:val="000010000000" w:firstRow="0" w:lastRow="0" w:firstColumn="0" w:lastColumn="0" w:oddVBand="1" w:evenVBand="0" w:oddHBand="0" w:evenHBand="0" w:firstRowFirstColumn="0" w:firstRowLastColumn="0" w:lastRowFirstColumn="0" w:lastRowLastColumn="0"/>
            <w:tcW w:w="2018" w:type="dxa"/>
          </w:tcPr>
          <w:p w14:paraId="5A1BDD61" w14:textId="77777777" w:rsidR="00AC7644" w:rsidRPr="00A9101E" w:rsidRDefault="00AC7644" w:rsidP="00F569C7">
            <w:pPr>
              <w:spacing w:line="360" w:lineRule="auto"/>
              <w:jc w:val="center"/>
              <w:rPr>
                <w:lang w:eastAsia="sl-SI"/>
              </w:rPr>
            </w:pPr>
            <w:r w:rsidRPr="00A9101E">
              <w:rPr>
                <w:lang w:eastAsia="sl-SI"/>
              </w:rPr>
              <w:t>15</w:t>
            </w:r>
          </w:p>
        </w:tc>
        <w:tc>
          <w:tcPr>
            <w:tcW w:w="2835" w:type="dxa"/>
          </w:tcPr>
          <w:p w14:paraId="7A08A7E1" w14:textId="77777777" w:rsidR="00AC7644" w:rsidRPr="00A9101E" w:rsidRDefault="00AC7644" w:rsidP="00F569C7">
            <w:pPr>
              <w:spacing w:line="360" w:lineRule="auto"/>
              <w:jc w:val="center"/>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3</w:t>
            </w:r>
          </w:p>
        </w:tc>
      </w:tr>
      <w:tr w:rsidR="00A9101E" w:rsidRPr="00A9101E" w14:paraId="6F93F12A" w14:textId="77777777" w:rsidTr="00CB301F">
        <w:trPr>
          <w:trHeight w:val="330"/>
        </w:trPr>
        <w:tc>
          <w:tcPr>
            <w:cnfStyle w:val="001000000000" w:firstRow="0" w:lastRow="0" w:firstColumn="1" w:lastColumn="0" w:oddVBand="0" w:evenVBand="0" w:oddHBand="0" w:evenHBand="0" w:firstRowFirstColumn="0" w:firstRowLastColumn="0" w:lastRowFirstColumn="0" w:lastRowLastColumn="0"/>
            <w:tcW w:w="3080" w:type="dxa"/>
            <w:noWrap/>
          </w:tcPr>
          <w:p w14:paraId="353342DA" w14:textId="77777777" w:rsidR="00AC7644" w:rsidRPr="00A9101E" w:rsidRDefault="00AC7644" w:rsidP="00F569C7">
            <w:pPr>
              <w:spacing w:line="360" w:lineRule="auto"/>
              <w:jc w:val="left"/>
              <w:rPr>
                <w:color w:val="auto"/>
                <w:lang w:eastAsia="sl-SI"/>
              </w:rPr>
            </w:pPr>
            <w:r w:rsidRPr="00A9101E">
              <w:rPr>
                <w:color w:val="auto"/>
                <w:lang w:eastAsia="sl-SI"/>
              </w:rPr>
              <w:t>Št. tujih fizičnih oseb</w:t>
            </w:r>
          </w:p>
        </w:tc>
        <w:tc>
          <w:tcPr>
            <w:cnfStyle w:val="000010000000" w:firstRow="0" w:lastRow="0" w:firstColumn="0" w:lastColumn="0" w:oddVBand="1" w:evenVBand="0" w:oddHBand="0" w:evenHBand="0" w:firstRowFirstColumn="0" w:firstRowLastColumn="0" w:lastRowFirstColumn="0" w:lastRowLastColumn="0"/>
            <w:tcW w:w="2018" w:type="dxa"/>
          </w:tcPr>
          <w:p w14:paraId="0A986C61" w14:textId="77777777" w:rsidR="00AC7644" w:rsidRPr="00A9101E" w:rsidRDefault="00AC7644" w:rsidP="00F569C7">
            <w:pPr>
              <w:spacing w:line="360" w:lineRule="auto"/>
              <w:jc w:val="center"/>
              <w:rPr>
                <w:lang w:eastAsia="sl-SI"/>
              </w:rPr>
            </w:pPr>
            <w:r w:rsidRPr="00A9101E">
              <w:rPr>
                <w:lang w:eastAsia="sl-SI"/>
              </w:rPr>
              <w:t>11</w:t>
            </w:r>
          </w:p>
        </w:tc>
        <w:tc>
          <w:tcPr>
            <w:tcW w:w="2835" w:type="dxa"/>
          </w:tcPr>
          <w:p w14:paraId="14828E26" w14:textId="77777777" w:rsidR="00AC7644" w:rsidRPr="00A9101E" w:rsidRDefault="00AC7644" w:rsidP="00F569C7">
            <w:pPr>
              <w:spacing w:line="360" w:lineRule="auto"/>
              <w:jc w:val="center"/>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10</w:t>
            </w:r>
          </w:p>
        </w:tc>
      </w:tr>
      <w:tr w:rsidR="00A9101E" w:rsidRPr="00A9101E" w14:paraId="7EB343B4" w14:textId="77777777" w:rsidTr="00CB301F">
        <w:trPr>
          <w:trHeight w:val="330"/>
        </w:trPr>
        <w:tc>
          <w:tcPr>
            <w:cnfStyle w:val="001000000000" w:firstRow="0" w:lastRow="0" w:firstColumn="1" w:lastColumn="0" w:oddVBand="0" w:evenVBand="0" w:oddHBand="0" w:evenHBand="0" w:firstRowFirstColumn="0" w:firstRowLastColumn="0" w:lastRowFirstColumn="0" w:lastRowLastColumn="0"/>
            <w:tcW w:w="3080" w:type="dxa"/>
            <w:noWrap/>
          </w:tcPr>
          <w:p w14:paraId="1997BC4A" w14:textId="77777777" w:rsidR="00AC7644" w:rsidRPr="00A9101E" w:rsidRDefault="00AC7644" w:rsidP="00F569C7">
            <w:pPr>
              <w:spacing w:line="360" w:lineRule="auto"/>
              <w:jc w:val="left"/>
              <w:rPr>
                <w:color w:val="auto"/>
                <w:lang w:eastAsia="sl-SI"/>
              </w:rPr>
            </w:pPr>
            <w:r w:rsidRPr="00A9101E">
              <w:rPr>
                <w:color w:val="auto"/>
                <w:lang w:eastAsia="sl-SI"/>
              </w:rPr>
              <w:t>Št. domačih pravnih oseb</w:t>
            </w:r>
          </w:p>
        </w:tc>
        <w:tc>
          <w:tcPr>
            <w:cnfStyle w:val="000010000000" w:firstRow="0" w:lastRow="0" w:firstColumn="0" w:lastColumn="0" w:oddVBand="1" w:evenVBand="0" w:oddHBand="0" w:evenHBand="0" w:firstRowFirstColumn="0" w:firstRowLastColumn="0" w:lastRowFirstColumn="0" w:lastRowLastColumn="0"/>
            <w:tcW w:w="2018" w:type="dxa"/>
          </w:tcPr>
          <w:p w14:paraId="6D1F293D" w14:textId="77777777" w:rsidR="00AC7644" w:rsidRPr="00A9101E" w:rsidRDefault="00AC7644" w:rsidP="00F569C7">
            <w:pPr>
              <w:spacing w:line="360" w:lineRule="auto"/>
              <w:jc w:val="center"/>
              <w:rPr>
                <w:lang w:eastAsia="sl-SI"/>
              </w:rPr>
            </w:pPr>
            <w:r w:rsidRPr="00A9101E">
              <w:rPr>
                <w:lang w:eastAsia="sl-SI"/>
              </w:rPr>
              <w:t>8</w:t>
            </w:r>
          </w:p>
        </w:tc>
        <w:tc>
          <w:tcPr>
            <w:tcW w:w="2835" w:type="dxa"/>
          </w:tcPr>
          <w:p w14:paraId="5F7DF881" w14:textId="77777777" w:rsidR="00AC7644" w:rsidRPr="00A9101E" w:rsidRDefault="00AC7644" w:rsidP="00F569C7">
            <w:pPr>
              <w:spacing w:line="360" w:lineRule="auto"/>
              <w:jc w:val="center"/>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2</w:t>
            </w:r>
          </w:p>
        </w:tc>
      </w:tr>
      <w:tr w:rsidR="00A9101E" w:rsidRPr="00A9101E" w14:paraId="160EA0AD" w14:textId="77777777" w:rsidTr="00CB301F">
        <w:trPr>
          <w:trHeight w:val="330"/>
        </w:trPr>
        <w:tc>
          <w:tcPr>
            <w:cnfStyle w:val="001000000000" w:firstRow="0" w:lastRow="0" w:firstColumn="1" w:lastColumn="0" w:oddVBand="0" w:evenVBand="0" w:oddHBand="0" w:evenHBand="0" w:firstRowFirstColumn="0" w:firstRowLastColumn="0" w:lastRowFirstColumn="0" w:lastRowLastColumn="0"/>
            <w:tcW w:w="3080" w:type="dxa"/>
            <w:noWrap/>
          </w:tcPr>
          <w:p w14:paraId="3E393E3C" w14:textId="77777777" w:rsidR="00AC7644" w:rsidRPr="00A9101E" w:rsidRDefault="00AC7644" w:rsidP="00F569C7">
            <w:pPr>
              <w:spacing w:line="360" w:lineRule="auto"/>
              <w:jc w:val="left"/>
              <w:rPr>
                <w:color w:val="auto"/>
                <w:lang w:eastAsia="sl-SI"/>
              </w:rPr>
            </w:pPr>
            <w:r w:rsidRPr="00A9101E">
              <w:rPr>
                <w:color w:val="auto"/>
                <w:lang w:eastAsia="sl-SI"/>
              </w:rPr>
              <w:t>Št. tujih pravnih oseb</w:t>
            </w:r>
          </w:p>
        </w:tc>
        <w:tc>
          <w:tcPr>
            <w:cnfStyle w:val="000010000000" w:firstRow="0" w:lastRow="0" w:firstColumn="0" w:lastColumn="0" w:oddVBand="1" w:evenVBand="0" w:oddHBand="0" w:evenHBand="0" w:firstRowFirstColumn="0" w:firstRowLastColumn="0" w:lastRowFirstColumn="0" w:lastRowLastColumn="0"/>
            <w:tcW w:w="2018" w:type="dxa"/>
          </w:tcPr>
          <w:p w14:paraId="351568BA" w14:textId="77777777" w:rsidR="00AC7644" w:rsidRPr="00A9101E" w:rsidRDefault="00AC7644" w:rsidP="00F569C7">
            <w:pPr>
              <w:spacing w:line="360" w:lineRule="auto"/>
              <w:jc w:val="center"/>
              <w:rPr>
                <w:lang w:eastAsia="sl-SI"/>
              </w:rPr>
            </w:pPr>
            <w:r w:rsidRPr="00A9101E">
              <w:rPr>
                <w:lang w:eastAsia="sl-SI"/>
              </w:rPr>
              <w:t>5</w:t>
            </w:r>
          </w:p>
        </w:tc>
        <w:tc>
          <w:tcPr>
            <w:tcW w:w="2835" w:type="dxa"/>
          </w:tcPr>
          <w:p w14:paraId="115F74C0" w14:textId="77777777" w:rsidR="00AC7644" w:rsidRPr="00A9101E" w:rsidRDefault="00AC7644" w:rsidP="00F569C7">
            <w:pPr>
              <w:spacing w:line="360" w:lineRule="auto"/>
              <w:jc w:val="center"/>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0</w:t>
            </w:r>
          </w:p>
        </w:tc>
      </w:tr>
      <w:tr w:rsidR="00A9101E" w:rsidRPr="00A9101E" w14:paraId="68ABB405" w14:textId="77777777" w:rsidTr="00CB301F">
        <w:trPr>
          <w:trHeight w:val="330"/>
        </w:trPr>
        <w:tc>
          <w:tcPr>
            <w:cnfStyle w:val="001000000000" w:firstRow="0" w:lastRow="0" w:firstColumn="1" w:lastColumn="0" w:oddVBand="0" w:evenVBand="0" w:oddHBand="0" w:evenHBand="0" w:firstRowFirstColumn="0" w:firstRowLastColumn="0" w:lastRowFirstColumn="0" w:lastRowLastColumn="0"/>
            <w:tcW w:w="3080" w:type="dxa"/>
            <w:noWrap/>
          </w:tcPr>
          <w:p w14:paraId="4A36C5CB" w14:textId="77777777" w:rsidR="00AC7644" w:rsidRPr="00A9101E" w:rsidRDefault="00AC7644" w:rsidP="00F569C7">
            <w:pPr>
              <w:spacing w:line="360" w:lineRule="auto"/>
              <w:jc w:val="left"/>
              <w:rPr>
                <w:b w:val="0"/>
                <w:bCs w:val="0"/>
                <w:color w:val="auto"/>
                <w:lang w:eastAsia="sl-SI"/>
              </w:rPr>
            </w:pPr>
            <w:r w:rsidRPr="00A9101E">
              <w:rPr>
                <w:color w:val="auto"/>
                <w:lang w:eastAsia="sl-SI"/>
              </w:rPr>
              <w:t>VALUTA</w:t>
            </w:r>
          </w:p>
        </w:tc>
        <w:tc>
          <w:tcPr>
            <w:cnfStyle w:val="000010000000" w:firstRow="0" w:lastRow="0" w:firstColumn="0" w:lastColumn="0" w:oddVBand="1" w:evenVBand="0" w:oddHBand="0" w:evenHBand="0" w:firstRowFirstColumn="0" w:firstRowLastColumn="0" w:lastRowFirstColumn="0" w:lastRowLastColumn="0"/>
            <w:tcW w:w="2018" w:type="dxa"/>
          </w:tcPr>
          <w:p w14:paraId="324ED862" w14:textId="77777777" w:rsidR="00AC7644" w:rsidRPr="00A9101E" w:rsidRDefault="00AC7644" w:rsidP="00F569C7">
            <w:pPr>
              <w:spacing w:line="360" w:lineRule="auto"/>
              <w:jc w:val="center"/>
              <w:rPr>
                <w:lang w:eastAsia="sl-SI"/>
              </w:rPr>
            </w:pPr>
            <w:r w:rsidRPr="00A9101E">
              <w:rPr>
                <w:lang w:eastAsia="sl-SI"/>
              </w:rPr>
              <w:t>ZNESEK</w:t>
            </w:r>
          </w:p>
        </w:tc>
        <w:tc>
          <w:tcPr>
            <w:tcW w:w="2835" w:type="dxa"/>
          </w:tcPr>
          <w:p w14:paraId="15D00710" w14:textId="77777777" w:rsidR="00AC7644" w:rsidRPr="00A9101E" w:rsidRDefault="00AC7644" w:rsidP="00F569C7">
            <w:pPr>
              <w:spacing w:line="360" w:lineRule="auto"/>
              <w:jc w:val="center"/>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ZNESEK</w:t>
            </w:r>
          </w:p>
        </w:tc>
      </w:tr>
      <w:tr w:rsidR="00A9101E" w:rsidRPr="00A9101E" w14:paraId="31BFE09A" w14:textId="77777777" w:rsidTr="00CB301F">
        <w:trPr>
          <w:trHeight w:val="330"/>
        </w:trPr>
        <w:tc>
          <w:tcPr>
            <w:cnfStyle w:val="001000000000" w:firstRow="0" w:lastRow="0" w:firstColumn="1" w:lastColumn="0" w:oddVBand="0" w:evenVBand="0" w:oddHBand="0" w:evenHBand="0" w:firstRowFirstColumn="0" w:firstRowLastColumn="0" w:lastRowFirstColumn="0" w:lastRowLastColumn="0"/>
            <w:tcW w:w="3080" w:type="dxa"/>
            <w:noWrap/>
          </w:tcPr>
          <w:p w14:paraId="1E262166" w14:textId="77777777" w:rsidR="00AC7644" w:rsidRPr="00A9101E" w:rsidRDefault="00AC7644" w:rsidP="00F569C7">
            <w:pPr>
              <w:spacing w:line="360" w:lineRule="auto"/>
              <w:jc w:val="left"/>
              <w:rPr>
                <w:color w:val="auto"/>
                <w:lang w:eastAsia="sl-SI"/>
              </w:rPr>
            </w:pPr>
            <w:r w:rsidRPr="00A9101E">
              <w:rPr>
                <w:color w:val="auto"/>
                <w:lang w:eastAsia="sl-SI"/>
              </w:rPr>
              <w:t>EUR / USD</w:t>
            </w:r>
          </w:p>
        </w:tc>
        <w:tc>
          <w:tcPr>
            <w:cnfStyle w:val="000010000000" w:firstRow="0" w:lastRow="0" w:firstColumn="0" w:lastColumn="0" w:oddVBand="1" w:evenVBand="0" w:oddHBand="0" w:evenHBand="0" w:firstRowFirstColumn="0" w:firstRowLastColumn="0" w:lastRowFirstColumn="0" w:lastRowLastColumn="0"/>
            <w:tcW w:w="2018" w:type="dxa"/>
          </w:tcPr>
          <w:p w14:paraId="37DC0A04" w14:textId="77777777" w:rsidR="00AC7644" w:rsidRPr="00A9101E" w:rsidRDefault="00AC7644" w:rsidP="00F569C7">
            <w:pPr>
              <w:spacing w:line="360" w:lineRule="auto"/>
              <w:jc w:val="right"/>
              <w:rPr>
                <w:b/>
                <w:bCs/>
              </w:rPr>
            </w:pPr>
            <w:r w:rsidRPr="00A9101E">
              <w:rPr>
                <w:b/>
                <w:bCs/>
              </w:rPr>
              <w:t>2.462.001 EUR</w:t>
            </w:r>
          </w:p>
        </w:tc>
        <w:tc>
          <w:tcPr>
            <w:tcW w:w="2835" w:type="dxa"/>
          </w:tcPr>
          <w:p w14:paraId="0F790BA1" w14:textId="77777777" w:rsidR="00AC7644" w:rsidRPr="00A9101E" w:rsidRDefault="00AC7644" w:rsidP="00F569C7">
            <w:pPr>
              <w:spacing w:line="360" w:lineRule="auto"/>
              <w:jc w:val="right"/>
              <w:cnfStyle w:val="000000000000" w:firstRow="0" w:lastRow="0" w:firstColumn="0" w:lastColumn="0" w:oddVBand="0" w:evenVBand="0" w:oddHBand="0" w:evenHBand="0" w:firstRowFirstColumn="0" w:firstRowLastColumn="0" w:lastRowFirstColumn="0" w:lastRowLastColumn="0"/>
              <w:rPr>
                <w:b/>
                <w:bCs/>
              </w:rPr>
            </w:pPr>
            <w:r w:rsidRPr="00A9101E">
              <w:rPr>
                <w:b/>
                <w:bCs/>
              </w:rPr>
              <w:t>560.715 EUR / 113.988 USD</w:t>
            </w:r>
          </w:p>
        </w:tc>
      </w:tr>
    </w:tbl>
    <w:p w14:paraId="6F45E183" w14:textId="77777777" w:rsidR="00B65A09" w:rsidRDefault="00B65A09" w:rsidP="00B65A09"/>
    <w:p w14:paraId="17BD8D7D" w14:textId="32F9D75B" w:rsidR="00AC7644" w:rsidRPr="00AC7644" w:rsidRDefault="00AC7644" w:rsidP="00AC7644">
      <w:pPr>
        <w:spacing w:line="276" w:lineRule="auto"/>
        <w:ind w:right="-22"/>
        <w:rPr>
          <w:color w:val="000000" w:themeColor="text1"/>
        </w:rPr>
      </w:pPr>
      <w:r w:rsidRPr="00424274">
        <w:t xml:space="preserve">V zvezi </w:t>
      </w:r>
      <w:r>
        <w:t>z</w:t>
      </w:r>
      <w:r w:rsidRPr="00424274">
        <w:t xml:space="preserve"> zadevami, ki se nanašajo na sume storitve kaznivega dejanja financiranja terorizma po 109. členu KZ-1, se prijave s tega področja</w:t>
      </w:r>
      <w:r>
        <w:t xml:space="preserve"> načeloma</w:t>
      </w:r>
      <w:r w:rsidRPr="00424274">
        <w:t xml:space="preserve"> iz leta v leto povečujejo, saj </w:t>
      </w:r>
      <w:r w:rsidR="00E90ADA">
        <w:t>je bilo</w:t>
      </w:r>
      <w:r w:rsidRPr="00424274">
        <w:t xml:space="preserve"> na primer še v letu 2015 preje</w:t>
      </w:r>
      <w:r w:rsidR="00E90ADA">
        <w:t>tih</w:t>
      </w:r>
      <w:r w:rsidRPr="00424274">
        <w:t xml:space="preserve"> samo pet prijav</w:t>
      </w:r>
      <w:r>
        <w:t>,</w:t>
      </w:r>
      <w:r w:rsidRPr="00424274">
        <w:t xml:space="preserve"> povezanih s su</w:t>
      </w:r>
      <w:r>
        <w:t>mi financiranja terorizma. Od 28</w:t>
      </w:r>
      <w:r w:rsidRPr="00424274">
        <w:t xml:space="preserve"> prejetih prijav</w:t>
      </w:r>
      <w:r w:rsidR="00E90ADA">
        <w:t xml:space="preserve"> v letu 2021</w:t>
      </w:r>
      <w:r>
        <w:t>,</w:t>
      </w:r>
      <w:r w:rsidRPr="00424274">
        <w:t xml:space="preserve"> povezanih s financiranjem terorizma</w:t>
      </w:r>
      <w:r>
        <w:t>,</w:t>
      </w:r>
      <w:r w:rsidRPr="00424274">
        <w:t xml:space="preserve"> jih </w:t>
      </w:r>
      <w:r w:rsidR="00E90ADA">
        <w:t xml:space="preserve">je bilo </w:t>
      </w:r>
      <w:r>
        <w:t>dobrih 78</w:t>
      </w:r>
      <w:r w:rsidRPr="00424274">
        <w:t xml:space="preserve"> % preje</w:t>
      </w:r>
      <w:r w:rsidR="00E90ADA">
        <w:t>tih</w:t>
      </w:r>
      <w:r w:rsidRPr="00424274">
        <w:t xml:space="preserve"> </w:t>
      </w:r>
      <w:r>
        <w:t>od</w:t>
      </w:r>
      <w:r w:rsidRPr="00424274">
        <w:t xml:space="preserve"> zavezancev. </w:t>
      </w:r>
      <w:r w:rsidRPr="00FC7843">
        <w:rPr>
          <w:color w:val="000000" w:themeColor="text1"/>
        </w:rPr>
        <w:t xml:space="preserve">Iz zgornje preglednice pa izhaja, </w:t>
      </w:r>
      <w:r w:rsidR="00E90ADA">
        <w:rPr>
          <w:color w:val="000000" w:themeColor="text1"/>
        </w:rPr>
        <w:t>da je bilo</w:t>
      </w:r>
      <w:r w:rsidRPr="00FC7843">
        <w:rPr>
          <w:color w:val="000000" w:themeColor="text1"/>
        </w:rPr>
        <w:t xml:space="preserve"> v letu 2021 obravnava</w:t>
      </w:r>
      <w:r w:rsidR="00E90ADA">
        <w:rPr>
          <w:color w:val="000000" w:themeColor="text1"/>
        </w:rPr>
        <w:t>nih</w:t>
      </w:r>
      <w:r w:rsidRPr="00FC7843">
        <w:rPr>
          <w:color w:val="000000" w:themeColor="text1"/>
        </w:rPr>
        <w:t xml:space="preserve"> za več kot polovico manj oseb kot v letu 2020, pri čemer </w:t>
      </w:r>
      <w:r w:rsidR="00E90ADA">
        <w:rPr>
          <w:color w:val="000000" w:themeColor="text1"/>
        </w:rPr>
        <w:t>so bili</w:t>
      </w:r>
      <w:r w:rsidRPr="00FC7843">
        <w:rPr>
          <w:color w:val="000000" w:themeColor="text1"/>
        </w:rPr>
        <w:t xml:space="preserve"> leta 2021 ugotovl</w:t>
      </w:r>
      <w:r w:rsidR="00E90ADA">
        <w:rPr>
          <w:color w:val="000000" w:themeColor="text1"/>
        </w:rPr>
        <w:t>jeni</w:t>
      </w:r>
      <w:r w:rsidRPr="00FC7843">
        <w:rPr>
          <w:color w:val="000000" w:themeColor="text1"/>
        </w:rPr>
        <w:t xml:space="preserve"> razlog</w:t>
      </w:r>
      <w:r w:rsidR="00E90ADA">
        <w:rPr>
          <w:color w:val="000000" w:themeColor="text1"/>
        </w:rPr>
        <w:t>i</w:t>
      </w:r>
      <w:r w:rsidRPr="00FC7843">
        <w:rPr>
          <w:color w:val="000000" w:themeColor="text1"/>
        </w:rPr>
        <w:t xml:space="preserve"> za sum storitve kaznivega dejanja financiranja terorizma v samo 5 zadevah, medtem ko je bilo leta 2020 takih zadev 12.</w:t>
      </w:r>
    </w:p>
    <w:p w14:paraId="5DE9A51D" w14:textId="727A0615" w:rsidR="00AC7644" w:rsidRPr="00424274" w:rsidRDefault="00AC7644" w:rsidP="00AC7644">
      <w:pPr>
        <w:spacing w:line="276" w:lineRule="auto"/>
        <w:ind w:right="-22"/>
      </w:pPr>
      <w:r w:rsidRPr="00AD4836">
        <w:t xml:space="preserve">V zvezi s preprečevanjem financiranja terorizma </w:t>
      </w:r>
      <w:r w:rsidR="00464527" w:rsidRPr="00AD4836">
        <w:t>se</w:t>
      </w:r>
      <w:r w:rsidRPr="00AD4836">
        <w:t xml:space="preserve"> za vse osebe, v zvezi s katerimi</w:t>
      </w:r>
      <w:r w:rsidR="00677B84" w:rsidRPr="00AD4836">
        <w:t xml:space="preserve"> se </w:t>
      </w:r>
      <w:r w:rsidR="001C0152" w:rsidRPr="00AD4836">
        <w:t>odpre zadeva</w:t>
      </w:r>
      <w:r w:rsidR="00677B84" w:rsidRPr="00AD4836">
        <w:t xml:space="preserve">, </w:t>
      </w:r>
      <w:r w:rsidR="001C0152" w:rsidRPr="00AD4836">
        <w:t>(</w:t>
      </w:r>
      <w:r w:rsidRPr="00AD4836">
        <w:t xml:space="preserve">ne glede na to, </w:t>
      </w:r>
      <w:r w:rsidR="001C0152" w:rsidRPr="00AD4836">
        <w:t>ali je bil razlog prijave sum pranja denarja ali sum financiranja terorizma),</w:t>
      </w:r>
      <w:r w:rsidRPr="00AD4836">
        <w:t xml:space="preserve"> izvaja tudi sprotne redne preglede seznama oseb in </w:t>
      </w:r>
      <w:r w:rsidRPr="00322542">
        <w:t>organizacij s seznama E</w:t>
      </w:r>
      <w:r w:rsidR="00322542" w:rsidRPr="00322542">
        <w:t>U in OZN</w:t>
      </w:r>
      <w:r w:rsidRPr="00322542">
        <w:t>, zoper katere na podlagi direktiv EU in resolucij Združenih narodov veljajo določene finančne sankcije (Consolidated List of Persons, Groups, Entities subject to EU Financial Sanctions). Z uvedbo novega sistema poročanja sumljivih transakcij se ti pregledi opravljajo takoj ob prejemu prijave.</w:t>
      </w:r>
      <w:r w:rsidRPr="00424274">
        <w:t xml:space="preserve"> Pri teh pregledih</w:t>
      </w:r>
      <w:r>
        <w:t xml:space="preserve"> v letu 2021</w:t>
      </w:r>
      <w:r w:rsidRPr="00424274">
        <w:t xml:space="preserve"> </w:t>
      </w:r>
      <w:r w:rsidR="001B64CE">
        <w:t>ni bilo ugotovljeno</w:t>
      </w:r>
      <w:r w:rsidRPr="00424274">
        <w:t>, da bi katera od oseb s tega seznama opravila</w:t>
      </w:r>
      <w:r>
        <w:t xml:space="preserve"> finančne transakcije</w:t>
      </w:r>
      <w:r w:rsidRPr="00424274">
        <w:t xml:space="preserve"> ali bi bila povezana s finančnimi transakcijami v Sloveniji.</w:t>
      </w:r>
    </w:p>
    <w:p w14:paraId="030473CF" w14:textId="77777777" w:rsidR="00B65A09" w:rsidRDefault="00B65A09" w:rsidP="00B65A09"/>
    <w:p w14:paraId="5CDB8AFD" w14:textId="47B17312" w:rsidR="00B65A09" w:rsidRDefault="00B65A09" w:rsidP="00B65A09">
      <w:pPr>
        <w:pStyle w:val="Naslov3"/>
      </w:pPr>
      <w:bookmarkStart w:id="16" w:name="_Toc119581688"/>
      <w:r>
        <w:lastRenderedPageBreak/>
        <w:t>Zadeve, poslane UKP MNZ in drugim pristojnim državnim organom zaradi suma storitve drugih kaznivih dejanj</w:t>
      </w:r>
      <w:r w:rsidR="00BD2614">
        <w:rPr>
          <w:rStyle w:val="Sprotnaopomba-sklic"/>
        </w:rPr>
        <w:footnoteReference w:id="10"/>
      </w:r>
      <w:bookmarkEnd w:id="16"/>
    </w:p>
    <w:p w14:paraId="6D6FEDFE" w14:textId="77777777" w:rsidR="00B65A09" w:rsidRDefault="00B65A09" w:rsidP="00B65A09"/>
    <w:p w14:paraId="5A3A470A" w14:textId="5F35C767" w:rsidR="00AC7644" w:rsidRPr="00201EB0" w:rsidRDefault="00AC7644" w:rsidP="00AC7644">
      <w:pPr>
        <w:spacing w:line="276" w:lineRule="auto"/>
        <w:ind w:right="-22"/>
        <w:rPr>
          <w:bCs/>
          <w:color w:val="000000" w:themeColor="text1"/>
        </w:rPr>
      </w:pPr>
      <w:r w:rsidRPr="00C92D06">
        <w:rPr>
          <w:color w:val="000000" w:themeColor="text1"/>
        </w:rPr>
        <w:t>Leta 2021 je urad na podlagi 1</w:t>
      </w:r>
      <w:r w:rsidR="00CE65AC">
        <w:rPr>
          <w:color w:val="000000" w:themeColor="text1"/>
        </w:rPr>
        <w:t>02</w:t>
      </w:r>
      <w:r w:rsidRPr="00C92D06">
        <w:rPr>
          <w:color w:val="000000" w:themeColor="text1"/>
        </w:rPr>
        <w:t>. člena ZPPDFT-</w:t>
      </w:r>
      <w:r w:rsidR="00CE65AC">
        <w:rPr>
          <w:color w:val="000000" w:themeColor="text1"/>
        </w:rPr>
        <w:t>1</w:t>
      </w:r>
      <w:r w:rsidRPr="00C92D06">
        <w:rPr>
          <w:color w:val="000000" w:themeColor="text1"/>
        </w:rPr>
        <w:t xml:space="preserve"> v 872 zadevah, pri katerih so bili ugotovljeni razlogi za sum storitve drugih kaznivih dejanj, poslal pristojnim organom </w:t>
      </w:r>
      <w:r w:rsidRPr="00EA29F2">
        <w:rPr>
          <w:b/>
          <w:bCs/>
          <w:color w:val="000000" w:themeColor="text1"/>
        </w:rPr>
        <w:t>801 pisno informacijo</w:t>
      </w:r>
      <w:r w:rsidRPr="00C92D06">
        <w:rPr>
          <w:i/>
          <w:iCs/>
          <w:color w:val="000000" w:themeColor="text1"/>
        </w:rPr>
        <w:t>.</w:t>
      </w:r>
      <w:r w:rsidRPr="00556A64">
        <w:rPr>
          <w:b/>
          <w:bCs/>
          <w:i/>
          <w:iCs/>
          <w:color w:val="00B050"/>
        </w:rPr>
        <w:t xml:space="preserve"> </w:t>
      </w:r>
      <w:r w:rsidRPr="00201EB0">
        <w:rPr>
          <w:bCs/>
          <w:color w:val="000000" w:themeColor="text1"/>
        </w:rPr>
        <w:t xml:space="preserve">Glede na vrsto ugotovljenih kaznivih dejanj </w:t>
      </w:r>
      <w:r w:rsidR="00D4302B">
        <w:rPr>
          <w:bCs/>
          <w:color w:val="000000" w:themeColor="text1"/>
        </w:rPr>
        <w:t>so bile informacije poslane</w:t>
      </w:r>
      <w:r w:rsidRPr="00201EB0">
        <w:rPr>
          <w:bCs/>
          <w:color w:val="000000" w:themeColor="text1"/>
        </w:rPr>
        <w:t xml:space="preserve"> naslednjim pristojnim državnim organom:</w:t>
      </w:r>
    </w:p>
    <w:p w14:paraId="08C4242D" w14:textId="567EE145" w:rsidR="00AC7644" w:rsidRPr="00AC7644" w:rsidRDefault="00AC7644" w:rsidP="00AC7644">
      <w:pPr>
        <w:pStyle w:val="Odstavekseznama"/>
        <w:tabs>
          <w:tab w:val="left" w:pos="4536"/>
        </w:tabs>
        <w:ind w:left="851" w:hanging="284"/>
      </w:pPr>
      <w:r w:rsidRPr="00AC7644">
        <w:t>FUR</w:t>
      </w:r>
      <w:r w:rsidR="008A4A68">
        <w:t>S</w:t>
      </w:r>
      <w:r>
        <w:tab/>
      </w:r>
      <w:r w:rsidRPr="00AC7644">
        <w:t>(447 informaciji v 406 izdelkih)</w:t>
      </w:r>
    </w:p>
    <w:p w14:paraId="67AC8825" w14:textId="5BE90FAA" w:rsidR="00AC7644" w:rsidRPr="00AC7644" w:rsidRDefault="00AC7644" w:rsidP="00AC7644">
      <w:pPr>
        <w:pStyle w:val="Odstavekseznama"/>
        <w:tabs>
          <w:tab w:val="left" w:pos="4536"/>
        </w:tabs>
        <w:ind w:left="851" w:hanging="284"/>
      </w:pPr>
      <w:r w:rsidRPr="00AC7644">
        <w:t>MNZ</w:t>
      </w:r>
      <w:r w:rsidRPr="00AC7644">
        <w:tab/>
        <w:t>(196 informacij v 186 izdelkih)</w:t>
      </w:r>
    </w:p>
    <w:p w14:paraId="60EFDD50" w14:textId="6AECE6E7" w:rsidR="00AC7644" w:rsidRPr="00AC7644" w:rsidRDefault="00AC7644" w:rsidP="00AC7644">
      <w:pPr>
        <w:pStyle w:val="Odstavekseznama"/>
        <w:tabs>
          <w:tab w:val="left" w:pos="4536"/>
        </w:tabs>
        <w:ind w:left="851" w:hanging="284"/>
      </w:pPr>
      <w:r w:rsidRPr="00AC7644">
        <w:t>MNZ, FURS</w:t>
      </w:r>
      <w:r>
        <w:tab/>
      </w:r>
      <w:r w:rsidRPr="00AC7644">
        <w:t>(188 informacij v 171 izdelkih)</w:t>
      </w:r>
    </w:p>
    <w:p w14:paraId="6D0A3926" w14:textId="65180668" w:rsidR="00AC7644" w:rsidRPr="00AC7644" w:rsidRDefault="00AC7644" w:rsidP="00AC7644">
      <w:pPr>
        <w:pStyle w:val="Odstavekseznama"/>
        <w:tabs>
          <w:tab w:val="left" w:pos="4536"/>
        </w:tabs>
        <w:ind w:left="851" w:hanging="284"/>
      </w:pPr>
      <w:r w:rsidRPr="00AC7644">
        <w:t>MNZ, SOVA FURS</w:t>
      </w:r>
      <w:r>
        <w:tab/>
      </w:r>
      <w:r w:rsidRPr="00AC7644">
        <w:t>(22 informacij v 19 izdelkih)</w:t>
      </w:r>
    </w:p>
    <w:p w14:paraId="3C3F6702" w14:textId="206FE2BC" w:rsidR="00AC7644" w:rsidRPr="00AC7644" w:rsidRDefault="00AC7644" w:rsidP="00AC7644">
      <w:pPr>
        <w:pStyle w:val="Odstavekseznama"/>
        <w:tabs>
          <w:tab w:val="left" w:pos="4536"/>
        </w:tabs>
        <w:ind w:left="851" w:hanging="284"/>
      </w:pPr>
      <w:r w:rsidRPr="00AC7644">
        <w:t>MNZ, SOVA</w:t>
      </w:r>
      <w:r>
        <w:tab/>
      </w:r>
      <w:r w:rsidRPr="00AC7644">
        <w:t>(16 informacij v 16 izdelkih)</w:t>
      </w:r>
    </w:p>
    <w:p w14:paraId="675F8979" w14:textId="447920F6" w:rsidR="00AC7644" w:rsidRPr="00AC7644" w:rsidRDefault="00AC7644" w:rsidP="00AC7644">
      <w:pPr>
        <w:pStyle w:val="Odstavekseznama"/>
        <w:tabs>
          <w:tab w:val="left" w:pos="4536"/>
        </w:tabs>
        <w:ind w:left="851" w:hanging="284"/>
      </w:pPr>
      <w:r w:rsidRPr="00AC7644">
        <w:t>FURS, ATVP</w:t>
      </w:r>
      <w:r>
        <w:tab/>
      </w:r>
      <w:r w:rsidRPr="00AC7644">
        <w:t>(1 informacija v 1 izdelku)</w:t>
      </w:r>
    </w:p>
    <w:p w14:paraId="5729C750" w14:textId="4A5CCC57" w:rsidR="00AC7644" w:rsidRPr="00AC7644" w:rsidRDefault="00AC7644" w:rsidP="00AC7644">
      <w:pPr>
        <w:pStyle w:val="Odstavekseznama"/>
        <w:tabs>
          <w:tab w:val="left" w:pos="4536"/>
        </w:tabs>
        <w:ind w:left="851" w:hanging="284"/>
      </w:pPr>
      <w:r w:rsidRPr="00AC7644">
        <w:t>MNZ, MORS</w:t>
      </w:r>
      <w:r>
        <w:tab/>
      </w:r>
      <w:r w:rsidRPr="00AC7644">
        <w:t>(1 informacija v 1 izdelku)</w:t>
      </w:r>
    </w:p>
    <w:p w14:paraId="78D03887" w14:textId="4600CE9F" w:rsidR="00AC7644" w:rsidRPr="00AC7644" w:rsidRDefault="00AC7644" w:rsidP="00AC7644">
      <w:pPr>
        <w:pStyle w:val="Odstavekseznama"/>
        <w:tabs>
          <w:tab w:val="left" w:pos="4536"/>
        </w:tabs>
        <w:ind w:left="851" w:hanging="284"/>
      </w:pPr>
      <w:r w:rsidRPr="00AC7644">
        <w:t>MNZ, FURS, SDT, SOVA, MZZ, MORS</w:t>
      </w:r>
      <w:r>
        <w:tab/>
      </w:r>
      <w:r w:rsidRPr="00AC7644">
        <w:t>(1 informaciji v 1 izdelku)</w:t>
      </w:r>
    </w:p>
    <w:p w14:paraId="207DD0E1" w14:textId="47A0D250" w:rsidR="008A4A68" w:rsidRDefault="008A4A68" w:rsidP="009754F7">
      <w:pPr>
        <w:spacing w:line="276" w:lineRule="auto"/>
        <w:ind w:right="-22"/>
        <w:rPr>
          <w:color w:val="000000" w:themeColor="text1"/>
        </w:rPr>
      </w:pPr>
      <w:r w:rsidRPr="008A4A68">
        <w:rPr>
          <w:color w:val="000000" w:themeColor="text1"/>
        </w:rPr>
        <w:t xml:space="preserve">Struktura transakcij in udeleženih oseb v zadevah v letu 2021 v primerjavi z letom 2020 </w:t>
      </w:r>
      <w:r w:rsidR="00EA29F2">
        <w:rPr>
          <w:color w:val="000000" w:themeColor="text1"/>
        </w:rPr>
        <w:t xml:space="preserve">sta </w:t>
      </w:r>
      <w:r w:rsidRPr="008A4A68">
        <w:rPr>
          <w:color w:val="000000" w:themeColor="text1"/>
        </w:rPr>
        <w:t>razvid</w:t>
      </w:r>
      <w:r w:rsidR="00EA29F2">
        <w:rPr>
          <w:color w:val="000000" w:themeColor="text1"/>
        </w:rPr>
        <w:t>na</w:t>
      </w:r>
      <w:r w:rsidRPr="008A4A68">
        <w:rPr>
          <w:color w:val="000000" w:themeColor="text1"/>
        </w:rPr>
        <w:t xml:space="preserve"> v spodnji tabeli.</w:t>
      </w:r>
    </w:p>
    <w:p w14:paraId="7FB1308F" w14:textId="77777777" w:rsidR="009754F7" w:rsidRPr="009754F7" w:rsidRDefault="009754F7" w:rsidP="009754F7">
      <w:pPr>
        <w:spacing w:line="276" w:lineRule="auto"/>
        <w:ind w:right="-22"/>
        <w:rPr>
          <w:color w:val="000000" w:themeColor="text1"/>
        </w:rPr>
      </w:pPr>
    </w:p>
    <w:p w14:paraId="19776ABB" w14:textId="77777777" w:rsidR="00AC7644" w:rsidRPr="00AC7644" w:rsidRDefault="00AC7644" w:rsidP="00AC7644">
      <w:pPr>
        <w:spacing w:line="276" w:lineRule="auto"/>
        <w:ind w:left="1418" w:right="-22" w:hanging="1418"/>
        <w:rPr>
          <w:b/>
          <w:bCs/>
          <w:i/>
          <w:iCs/>
          <w:sz w:val="18"/>
          <w:szCs w:val="18"/>
        </w:rPr>
      </w:pPr>
      <w:r w:rsidRPr="00AC7644">
        <w:rPr>
          <w:b/>
          <w:bCs/>
          <w:i/>
          <w:iCs/>
          <w:sz w:val="18"/>
          <w:szCs w:val="18"/>
        </w:rPr>
        <w:t>Preglednica 8:</w:t>
      </w:r>
      <w:r w:rsidRPr="00AC7644">
        <w:rPr>
          <w:b/>
          <w:bCs/>
          <w:i/>
          <w:iCs/>
          <w:sz w:val="18"/>
          <w:szCs w:val="18"/>
        </w:rPr>
        <w:tab/>
        <w:t>Struktura transakcij in udeleženih oseb v zadevah, ki so bile v letih 2020 in 2021 poslane pristojnim organom zaradi suma storitve drugih kaznivih dejanj</w:t>
      </w:r>
    </w:p>
    <w:tbl>
      <w:tblPr>
        <w:tblStyle w:val="Tabelatemnamrea5poudarek5"/>
        <w:tblW w:w="5920" w:type="dxa"/>
        <w:tblLook w:val="02A0" w:firstRow="1" w:lastRow="0" w:firstColumn="1" w:lastColumn="0" w:noHBand="1" w:noVBand="0"/>
      </w:tblPr>
      <w:tblGrid>
        <w:gridCol w:w="3080"/>
        <w:gridCol w:w="1420"/>
        <w:gridCol w:w="1420"/>
      </w:tblGrid>
      <w:tr w:rsidR="00C922B4" w:rsidRPr="00424274" w14:paraId="5B43F5BC" w14:textId="77777777" w:rsidTr="00CB301F">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080" w:type="dxa"/>
          </w:tcPr>
          <w:p w14:paraId="737A81DA" w14:textId="77777777" w:rsidR="00C922B4" w:rsidRPr="00A9101E" w:rsidRDefault="00C922B4" w:rsidP="00F569C7">
            <w:pPr>
              <w:spacing w:line="360" w:lineRule="auto"/>
              <w:jc w:val="left"/>
              <w:rPr>
                <w:b w:val="0"/>
                <w:bCs w:val="0"/>
                <w:color w:val="auto"/>
                <w:lang w:eastAsia="sl-SI"/>
              </w:rPr>
            </w:pPr>
            <w:r w:rsidRPr="00A9101E">
              <w:rPr>
                <w:color w:val="auto"/>
                <w:lang w:eastAsia="sl-SI"/>
              </w:rPr>
              <w:t>VRSTA PODATKA</w:t>
            </w:r>
          </w:p>
        </w:tc>
        <w:tc>
          <w:tcPr>
            <w:cnfStyle w:val="000010000000" w:firstRow="0" w:lastRow="0" w:firstColumn="0" w:lastColumn="0" w:oddVBand="1" w:evenVBand="0" w:oddHBand="0" w:evenHBand="0" w:firstRowFirstColumn="0" w:firstRowLastColumn="0" w:lastRowFirstColumn="0" w:lastRowLastColumn="0"/>
            <w:tcW w:w="1420" w:type="dxa"/>
          </w:tcPr>
          <w:p w14:paraId="3DD48926" w14:textId="77777777" w:rsidR="00C922B4" w:rsidRPr="00A9101E" w:rsidRDefault="00C922B4" w:rsidP="00F569C7">
            <w:pPr>
              <w:spacing w:line="360" w:lineRule="auto"/>
              <w:jc w:val="center"/>
              <w:rPr>
                <w:b w:val="0"/>
                <w:bCs w:val="0"/>
                <w:color w:val="auto"/>
                <w:lang w:eastAsia="sl-SI"/>
              </w:rPr>
            </w:pPr>
            <w:r w:rsidRPr="00A9101E">
              <w:rPr>
                <w:color w:val="auto"/>
                <w:lang w:eastAsia="sl-SI"/>
              </w:rPr>
              <w:t>2020</w:t>
            </w:r>
          </w:p>
        </w:tc>
        <w:tc>
          <w:tcPr>
            <w:tcW w:w="1420" w:type="dxa"/>
          </w:tcPr>
          <w:p w14:paraId="1D9E4183" w14:textId="77777777" w:rsidR="00C922B4" w:rsidRPr="00A9101E" w:rsidRDefault="00C922B4" w:rsidP="00F569C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auto"/>
                <w:lang w:eastAsia="sl-SI"/>
              </w:rPr>
            </w:pPr>
            <w:r w:rsidRPr="00A9101E">
              <w:rPr>
                <w:color w:val="auto"/>
                <w:lang w:eastAsia="sl-SI"/>
              </w:rPr>
              <w:t>2021</w:t>
            </w:r>
          </w:p>
        </w:tc>
      </w:tr>
      <w:tr w:rsidR="00C922B4" w:rsidRPr="00424274" w14:paraId="209AFEA9" w14:textId="77777777" w:rsidTr="00CB301F">
        <w:trPr>
          <w:trHeight w:val="345"/>
        </w:trPr>
        <w:tc>
          <w:tcPr>
            <w:cnfStyle w:val="001000000000" w:firstRow="0" w:lastRow="0" w:firstColumn="1" w:lastColumn="0" w:oddVBand="0" w:evenVBand="0" w:oddHBand="0" w:evenHBand="0" w:firstRowFirstColumn="0" w:firstRowLastColumn="0" w:lastRowFirstColumn="0" w:lastRowLastColumn="0"/>
            <w:tcW w:w="3080" w:type="dxa"/>
          </w:tcPr>
          <w:p w14:paraId="59372182" w14:textId="77777777" w:rsidR="00C922B4" w:rsidRPr="00A9101E" w:rsidRDefault="00C922B4" w:rsidP="00F569C7">
            <w:pPr>
              <w:spacing w:line="360" w:lineRule="auto"/>
              <w:jc w:val="left"/>
              <w:rPr>
                <w:color w:val="auto"/>
                <w:lang w:eastAsia="sl-SI"/>
              </w:rPr>
            </w:pPr>
            <w:r w:rsidRPr="00A9101E">
              <w:rPr>
                <w:color w:val="auto"/>
                <w:lang w:eastAsia="sl-SI"/>
              </w:rPr>
              <w:t>Št. domačih fizičnih oseb</w:t>
            </w:r>
          </w:p>
        </w:tc>
        <w:tc>
          <w:tcPr>
            <w:cnfStyle w:val="000010000000" w:firstRow="0" w:lastRow="0" w:firstColumn="0" w:lastColumn="0" w:oddVBand="1" w:evenVBand="0" w:oddHBand="0" w:evenHBand="0" w:firstRowFirstColumn="0" w:firstRowLastColumn="0" w:lastRowFirstColumn="0" w:lastRowLastColumn="0"/>
            <w:tcW w:w="1420" w:type="dxa"/>
          </w:tcPr>
          <w:p w14:paraId="330D6DDD" w14:textId="77777777" w:rsidR="00C922B4" w:rsidRPr="00A9101E" w:rsidRDefault="00C922B4" w:rsidP="00F569C7">
            <w:pPr>
              <w:spacing w:line="360" w:lineRule="auto"/>
              <w:jc w:val="center"/>
              <w:rPr>
                <w:lang w:eastAsia="sl-SI"/>
              </w:rPr>
            </w:pPr>
            <w:r w:rsidRPr="00A9101E">
              <w:rPr>
                <w:lang w:eastAsia="sl-SI"/>
              </w:rPr>
              <w:t>418</w:t>
            </w:r>
          </w:p>
        </w:tc>
        <w:tc>
          <w:tcPr>
            <w:tcW w:w="1420" w:type="dxa"/>
          </w:tcPr>
          <w:p w14:paraId="253C97DF" w14:textId="77777777" w:rsidR="00C922B4" w:rsidRPr="00A9101E" w:rsidRDefault="00C922B4" w:rsidP="00F569C7">
            <w:pPr>
              <w:spacing w:line="360" w:lineRule="auto"/>
              <w:jc w:val="center"/>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358</w:t>
            </w:r>
          </w:p>
        </w:tc>
      </w:tr>
      <w:tr w:rsidR="00C922B4" w:rsidRPr="00424274" w14:paraId="08BB14F4" w14:textId="77777777" w:rsidTr="00CB301F">
        <w:trPr>
          <w:trHeight w:val="330"/>
        </w:trPr>
        <w:tc>
          <w:tcPr>
            <w:cnfStyle w:val="001000000000" w:firstRow="0" w:lastRow="0" w:firstColumn="1" w:lastColumn="0" w:oddVBand="0" w:evenVBand="0" w:oddHBand="0" w:evenHBand="0" w:firstRowFirstColumn="0" w:firstRowLastColumn="0" w:lastRowFirstColumn="0" w:lastRowLastColumn="0"/>
            <w:tcW w:w="3080" w:type="dxa"/>
          </w:tcPr>
          <w:p w14:paraId="75285928" w14:textId="77777777" w:rsidR="00C922B4" w:rsidRPr="00A9101E" w:rsidRDefault="00C922B4" w:rsidP="00F569C7">
            <w:pPr>
              <w:spacing w:line="360" w:lineRule="auto"/>
              <w:jc w:val="left"/>
              <w:rPr>
                <w:color w:val="auto"/>
                <w:lang w:eastAsia="sl-SI"/>
              </w:rPr>
            </w:pPr>
            <w:r w:rsidRPr="00A9101E">
              <w:rPr>
                <w:color w:val="auto"/>
                <w:lang w:eastAsia="sl-SI"/>
              </w:rPr>
              <w:t>Št. tujih fizičnih oseb</w:t>
            </w:r>
          </w:p>
        </w:tc>
        <w:tc>
          <w:tcPr>
            <w:cnfStyle w:val="000010000000" w:firstRow="0" w:lastRow="0" w:firstColumn="0" w:lastColumn="0" w:oddVBand="1" w:evenVBand="0" w:oddHBand="0" w:evenHBand="0" w:firstRowFirstColumn="0" w:firstRowLastColumn="0" w:lastRowFirstColumn="0" w:lastRowLastColumn="0"/>
            <w:tcW w:w="1420" w:type="dxa"/>
          </w:tcPr>
          <w:p w14:paraId="27F1437A" w14:textId="77777777" w:rsidR="00C922B4" w:rsidRPr="00A9101E" w:rsidRDefault="00C922B4" w:rsidP="00F569C7">
            <w:pPr>
              <w:spacing w:line="360" w:lineRule="auto"/>
              <w:jc w:val="center"/>
              <w:rPr>
                <w:lang w:eastAsia="sl-SI"/>
              </w:rPr>
            </w:pPr>
            <w:r w:rsidRPr="00A9101E">
              <w:rPr>
                <w:lang w:eastAsia="sl-SI"/>
              </w:rPr>
              <w:t>329</w:t>
            </w:r>
          </w:p>
        </w:tc>
        <w:tc>
          <w:tcPr>
            <w:tcW w:w="1420" w:type="dxa"/>
          </w:tcPr>
          <w:p w14:paraId="6DB6612E" w14:textId="77777777" w:rsidR="00C922B4" w:rsidRPr="00A9101E" w:rsidRDefault="00C922B4" w:rsidP="00F569C7">
            <w:pPr>
              <w:spacing w:line="360" w:lineRule="auto"/>
              <w:jc w:val="center"/>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224</w:t>
            </w:r>
          </w:p>
        </w:tc>
      </w:tr>
      <w:tr w:rsidR="00C922B4" w:rsidRPr="00424274" w14:paraId="39E73A4F" w14:textId="77777777" w:rsidTr="00CB301F">
        <w:trPr>
          <w:trHeight w:val="330"/>
        </w:trPr>
        <w:tc>
          <w:tcPr>
            <w:cnfStyle w:val="001000000000" w:firstRow="0" w:lastRow="0" w:firstColumn="1" w:lastColumn="0" w:oddVBand="0" w:evenVBand="0" w:oddHBand="0" w:evenHBand="0" w:firstRowFirstColumn="0" w:firstRowLastColumn="0" w:lastRowFirstColumn="0" w:lastRowLastColumn="0"/>
            <w:tcW w:w="3080" w:type="dxa"/>
          </w:tcPr>
          <w:p w14:paraId="0C1F9635" w14:textId="77777777" w:rsidR="00C922B4" w:rsidRPr="00A9101E" w:rsidRDefault="00C922B4" w:rsidP="00F569C7">
            <w:pPr>
              <w:spacing w:line="360" w:lineRule="auto"/>
              <w:jc w:val="left"/>
              <w:rPr>
                <w:color w:val="auto"/>
                <w:lang w:eastAsia="sl-SI"/>
              </w:rPr>
            </w:pPr>
            <w:r w:rsidRPr="00A9101E">
              <w:rPr>
                <w:color w:val="auto"/>
                <w:lang w:eastAsia="sl-SI"/>
              </w:rPr>
              <w:t>Št. domačih pravnih oseb</w:t>
            </w:r>
          </w:p>
        </w:tc>
        <w:tc>
          <w:tcPr>
            <w:cnfStyle w:val="000010000000" w:firstRow="0" w:lastRow="0" w:firstColumn="0" w:lastColumn="0" w:oddVBand="1" w:evenVBand="0" w:oddHBand="0" w:evenHBand="0" w:firstRowFirstColumn="0" w:firstRowLastColumn="0" w:lastRowFirstColumn="0" w:lastRowLastColumn="0"/>
            <w:tcW w:w="1420" w:type="dxa"/>
          </w:tcPr>
          <w:p w14:paraId="32D22042" w14:textId="77777777" w:rsidR="00C922B4" w:rsidRPr="00A9101E" w:rsidRDefault="00C922B4" w:rsidP="00F569C7">
            <w:pPr>
              <w:spacing w:line="360" w:lineRule="auto"/>
              <w:jc w:val="center"/>
              <w:rPr>
                <w:lang w:eastAsia="sl-SI"/>
              </w:rPr>
            </w:pPr>
            <w:r w:rsidRPr="00A9101E">
              <w:rPr>
                <w:lang w:eastAsia="sl-SI"/>
              </w:rPr>
              <w:t>459</w:t>
            </w:r>
          </w:p>
        </w:tc>
        <w:tc>
          <w:tcPr>
            <w:tcW w:w="1420" w:type="dxa"/>
          </w:tcPr>
          <w:p w14:paraId="422C55E0" w14:textId="77777777" w:rsidR="00C922B4" w:rsidRPr="00A9101E" w:rsidRDefault="00C922B4" w:rsidP="00F569C7">
            <w:pPr>
              <w:spacing w:line="360" w:lineRule="auto"/>
              <w:jc w:val="center"/>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116</w:t>
            </w:r>
          </w:p>
        </w:tc>
      </w:tr>
      <w:tr w:rsidR="00C922B4" w:rsidRPr="00424274" w14:paraId="10105728" w14:textId="77777777" w:rsidTr="00CB301F">
        <w:trPr>
          <w:trHeight w:val="330"/>
        </w:trPr>
        <w:tc>
          <w:tcPr>
            <w:cnfStyle w:val="001000000000" w:firstRow="0" w:lastRow="0" w:firstColumn="1" w:lastColumn="0" w:oddVBand="0" w:evenVBand="0" w:oddHBand="0" w:evenHBand="0" w:firstRowFirstColumn="0" w:firstRowLastColumn="0" w:lastRowFirstColumn="0" w:lastRowLastColumn="0"/>
            <w:tcW w:w="3080" w:type="dxa"/>
          </w:tcPr>
          <w:p w14:paraId="76B4AA8F" w14:textId="77777777" w:rsidR="00C922B4" w:rsidRPr="00A9101E" w:rsidRDefault="00C922B4" w:rsidP="00F569C7">
            <w:pPr>
              <w:spacing w:line="360" w:lineRule="auto"/>
              <w:jc w:val="left"/>
              <w:rPr>
                <w:color w:val="auto"/>
                <w:lang w:eastAsia="sl-SI"/>
              </w:rPr>
            </w:pPr>
            <w:r w:rsidRPr="00A9101E">
              <w:rPr>
                <w:color w:val="auto"/>
                <w:lang w:eastAsia="sl-SI"/>
              </w:rPr>
              <w:t>Št. tujih pravnih oseb</w:t>
            </w:r>
          </w:p>
        </w:tc>
        <w:tc>
          <w:tcPr>
            <w:cnfStyle w:val="000010000000" w:firstRow="0" w:lastRow="0" w:firstColumn="0" w:lastColumn="0" w:oddVBand="1" w:evenVBand="0" w:oddHBand="0" w:evenHBand="0" w:firstRowFirstColumn="0" w:firstRowLastColumn="0" w:lastRowFirstColumn="0" w:lastRowLastColumn="0"/>
            <w:tcW w:w="1420" w:type="dxa"/>
          </w:tcPr>
          <w:p w14:paraId="0C002331" w14:textId="77777777" w:rsidR="00C922B4" w:rsidRPr="00A9101E" w:rsidRDefault="00C922B4" w:rsidP="00F569C7">
            <w:pPr>
              <w:spacing w:line="360" w:lineRule="auto"/>
              <w:jc w:val="center"/>
              <w:rPr>
                <w:lang w:eastAsia="sl-SI"/>
              </w:rPr>
            </w:pPr>
            <w:r w:rsidRPr="00A9101E">
              <w:rPr>
                <w:lang w:eastAsia="sl-SI"/>
              </w:rPr>
              <w:t>56</w:t>
            </w:r>
          </w:p>
        </w:tc>
        <w:tc>
          <w:tcPr>
            <w:tcW w:w="1420" w:type="dxa"/>
          </w:tcPr>
          <w:p w14:paraId="7C52D05C" w14:textId="77777777" w:rsidR="00C922B4" w:rsidRPr="00A9101E" w:rsidRDefault="00C922B4" w:rsidP="00F569C7">
            <w:pPr>
              <w:spacing w:line="360" w:lineRule="auto"/>
              <w:jc w:val="center"/>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79</w:t>
            </w:r>
          </w:p>
        </w:tc>
      </w:tr>
      <w:tr w:rsidR="00C922B4" w:rsidRPr="00424274" w14:paraId="0199B78E" w14:textId="77777777" w:rsidTr="00CB301F">
        <w:trPr>
          <w:trHeight w:val="330"/>
        </w:trPr>
        <w:tc>
          <w:tcPr>
            <w:cnfStyle w:val="001000000000" w:firstRow="0" w:lastRow="0" w:firstColumn="1" w:lastColumn="0" w:oddVBand="0" w:evenVBand="0" w:oddHBand="0" w:evenHBand="0" w:firstRowFirstColumn="0" w:firstRowLastColumn="0" w:lastRowFirstColumn="0" w:lastRowLastColumn="0"/>
            <w:tcW w:w="3080" w:type="dxa"/>
          </w:tcPr>
          <w:p w14:paraId="5DEC4537" w14:textId="77777777" w:rsidR="00C922B4" w:rsidRPr="00A9101E" w:rsidRDefault="00C922B4" w:rsidP="00F569C7">
            <w:pPr>
              <w:spacing w:line="360" w:lineRule="auto"/>
              <w:jc w:val="left"/>
              <w:rPr>
                <w:color w:val="auto"/>
                <w:lang w:eastAsia="sl-SI"/>
              </w:rPr>
            </w:pPr>
            <w:r w:rsidRPr="00A9101E">
              <w:rPr>
                <w:color w:val="auto"/>
                <w:lang w:eastAsia="sl-SI"/>
              </w:rPr>
              <w:t>VALUTA</w:t>
            </w:r>
          </w:p>
        </w:tc>
        <w:tc>
          <w:tcPr>
            <w:cnfStyle w:val="000010000000" w:firstRow="0" w:lastRow="0" w:firstColumn="0" w:lastColumn="0" w:oddVBand="1" w:evenVBand="0" w:oddHBand="0" w:evenHBand="0" w:firstRowFirstColumn="0" w:firstRowLastColumn="0" w:lastRowFirstColumn="0" w:lastRowLastColumn="0"/>
            <w:tcW w:w="1420" w:type="dxa"/>
          </w:tcPr>
          <w:p w14:paraId="4C2824D9" w14:textId="77777777" w:rsidR="00C922B4" w:rsidRPr="00A9101E" w:rsidRDefault="00C922B4" w:rsidP="00F569C7">
            <w:pPr>
              <w:spacing w:line="360" w:lineRule="auto"/>
              <w:jc w:val="center"/>
              <w:rPr>
                <w:lang w:eastAsia="sl-SI"/>
              </w:rPr>
            </w:pPr>
            <w:r w:rsidRPr="00A9101E">
              <w:rPr>
                <w:lang w:eastAsia="sl-SI"/>
              </w:rPr>
              <w:t>ZNESEK</w:t>
            </w:r>
          </w:p>
        </w:tc>
        <w:tc>
          <w:tcPr>
            <w:tcW w:w="1420" w:type="dxa"/>
          </w:tcPr>
          <w:p w14:paraId="3B1A78D1" w14:textId="77777777" w:rsidR="00C922B4" w:rsidRPr="00A9101E" w:rsidRDefault="00C922B4" w:rsidP="00F569C7">
            <w:pPr>
              <w:spacing w:line="360" w:lineRule="auto"/>
              <w:jc w:val="center"/>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ZNESEK</w:t>
            </w:r>
          </w:p>
        </w:tc>
      </w:tr>
      <w:tr w:rsidR="00C922B4" w:rsidRPr="00424274" w14:paraId="507101C0" w14:textId="77777777" w:rsidTr="00CB301F">
        <w:trPr>
          <w:trHeight w:val="330"/>
        </w:trPr>
        <w:tc>
          <w:tcPr>
            <w:cnfStyle w:val="001000000000" w:firstRow="0" w:lastRow="0" w:firstColumn="1" w:lastColumn="0" w:oddVBand="0" w:evenVBand="0" w:oddHBand="0" w:evenHBand="0" w:firstRowFirstColumn="0" w:firstRowLastColumn="0" w:lastRowFirstColumn="0" w:lastRowLastColumn="0"/>
            <w:tcW w:w="3080" w:type="dxa"/>
          </w:tcPr>
          <w:p w14:paraId="01237CF6" w14:textId="77777777" w:rsidR="00C922B4" w:rsidRPr="00A9101E" w:rsidRDefault="00C922B4" w:rsidP="00F569C7">
            <w:pPr>
              <w:spacing w:line="360" w:lineRule="auto"/>
              <w:jc w:val="left"/>
              <w:rPr>
                <w:color w:val="auto"/>
                <w:lang w:eastAsia="sl-SI"/>
              </w:rPr>
            </w:pPr>
            <w:r w:rsidRPr="00A9101E">
              <w:rPr>
                <w:color w:val="auto"/>
                <w:lang w:eastAsia="sl-SI"/>
              </w:rPr>
              <w:t>EUR</w:t>
            </w:r>
          </w:p>
        </w:tc>
        <w:tc>
          <w:tcPr>
            <w:cnfStyle w:val="000010000000" w:firstRow="0" w:lastRow="0" w:firstColumn="0" w:lastColumn="0" w:oddVBand="1" w:evenVBand="0" w:oddHBand="0" w:evenHBand="0" w:firstRowFirstColumn="0" w:firstRowLastColumn="0" w:lastRowFirstColumn="0" w:lastRowLastColumn="0"/>
            <w:tcW w:w="1420" w:type="dxa"/>
          </w:tcPr>
          <w:p w14:paraId="497D8996" w14:textId="77777777" w:rsidR="00C922B4" w:rsidRPr="00A9101E" w:rsidRDefault="00C922B4" w:rsidP="00F569C7">
            <w:pPr>
              <w:spacing w:line="360" w:lineRule="auto"/>
              <w:jc w:val="right"/>
              <w:rPr>
                <w:b/>
                <w:bCs/>
                <w:lang w:eastAsia="sl-SI"/>
              </w:rPr>
            </w:pPr>
            <w:r w:rsidRPr="00A9101E">
              <w:rPr>
                <w:b/>
                <w:bCs/>
                <w:lang w:eastAsia="sl-SI"/>
              </w:rPr>
              <w:t>380.186.326</w:t>
            </w:r>
          </w:p>
        </w:tc>
        <w:tc>
          <w:tcPr>
            <w:tcW w:w="1420" w:type="dxa"/>
          </w:tcPr>
          <w:p w14:paraId="701428E0" w14:textId="77777777" w:rsidR="00C922B4" w:rsidRPr="00A9101E" w:rsidRDefault="00C922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b/>
                <w:bCs/>
                <w:lang w:eastAsia="sl-SI"/>
              </w:rPr>
            </w:pPr>
            <w:r w:rsidRPr="00A9101E">
              <w:rPr>
                <w:b/>
                <w:bCs/>
                <w:lang w:eastAsia="sl-SI"/>
              </w:rPr>
              <w:t>391.100.640</w:t>
            </w:r>
          </w:p>
        </w:tc>
      </w:tr>
      <w:tr w:rsidR="00C922B4" w:rsidRPr="00424274" w14:paraId="71F58576" w14:textId="77777777" w:rsidTr="00CB301F">
        <w:trPr>
          <w:trHeight w:val="330"/>
        </w:trPr>
        <w:tc>
          <w:tcPr>
            <w:cnfStyle w:val="001000000000" w:firstRow="0" w:lastRow="0" w:firstColumn="1" w:lastColumn="0" w:oddVBand="0" w:evenVBand="0" w:oddHBand="0" w:evenHBand="0" w:firstRowFirstColumn="0" w:firstRowLastColumn="0" w:lastRowFirstColumn="0" w:lastRowLastColumn="0"/>
            <w:tcW w:w="3080" w:type="dxa"/>
          </w:tcPr>
          <w:p w14:paraId="1A5CFDA4" w14:textId="77777777" w:rsidR="00C922B4" w:rsidRPr="00A9101E" w:rsidRDefault="00C922B4" w:rsidP="00F569C7">
            <w:pPr>
              <w:spacing w:line="360" w:lineRule="auto"/>
              <w:jc w:val="left"/>
              <w:rPr>
                <w:color w:val="auto"/>
                <w:lang w:eastAsia="sl-SI"/>
              </w:rPr>
            </w:pPr>
            <w:r w:rsidRPr="00A9101E">
              <w:rPr>
                <w:color w:val="auto"/>
                <w:lang w:eastAsia="sl-SI"/>
              </w:rPr>
              <w:t>USD</w:t>
            </w:r>
          </w:p>
        </w:tc>
        <w:tc>
          <w:tcPr>
            <w:cnfStyle w:val="000010000000" w:firstRow="0" w:lastRow="0" w:firstColumn="0" w:lastColumn="0" w:oddVBand="1" w:evenVBand="0" w:oddHBand="0" w:evenHBand="0" w:firstRowFirstColumn="0" w:firstRowLastColumn="0" w:lastRowFirstColumn="0" w:lastRowLastColumn="0"/>
            <w:tcW w:w="1420" w:type="dxa"/>
          </w:tcPr>
          <w:p w14:paraId="7C7B3CB7" w14:textId="77777777" w:rsidR="00C922B4" w:rsidRPr="00A9101E" w:rsidRDefault="00C922B4" w:rsidP="00F569C7">
            <w:pPr>
              <w:spacing w:line="360" w:lineRule="auto"/>
              <w:jc w:val="right"/>
              <w:rPr>
                <w:b/>
                <w:bCs/>
                <w:lang w:eastAsia="sl-SI"/>
              </w:rPr>
            </w:pPr>
            <w:r w:rsidRPr="00A9101E">
              <w:rPr>
                <w:b/>
                <w:bCs/>
                <w:lang w:eastAsia="sl-SI"/>
              </w:rPr>
              <w:t>8.503.146</w:t>
            </w:r>
          </w:p>
        </w:tc>
        <w:tc>
          <w:tcPr>
            <w:tcW w:w="1420" w:type="dxa"/>
          </w:tcPr>
          <w:p w14:paraId="1ED524E7" w14:textId="77777777" w:rsidR="00C922B4" w:rsidRPr="00A9101E" w:rsidRDefault="00C922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b/>
                <w:bCs/>
                <w:lang w:eastAsia="sl-SI"/>
              </w:rPr>
            </w:pPr>
            <w:r w:rsidRPr="00A9101E">
              <w:rPr>
                <w:b/>
                <w:bCs/>
                <w:lang w:eastAsia="sl-SI"/>
              </w:rPr>
              <w:t>3.956.505</w:t>
            </w:r>
          </w:p>
        </w:tc>
      </w:tr>
    </w:tbl>
    <w:p w14:paraId="0C3E8680" w14:textId="77777777" w:rsidR="00B65A09" w:rsidRDefault="00B65A09" w:rsidP="00B65A09"/>
    <w:p w14:paraId="73E4F58F" w14:textId="66CA9FF4" w:rsidR="00C922B4" w:rsidRPr="00424274" w:rsidRDefault="00C922B4" w:rsidP="00C922B4">
      <w:pPr>
        <w:pStyle w:val="Telobesedila"/>
        <w:spacing w:line="276" w:lineRule="auto"/>
        <w:ind w:right="-22"/>
        <w:rPr>
          <w:rFonts w:ascii="Arial" w:hAnsi="Arial"/>
          <w:sz w:val="20"/>
        </w:rPr>
      </w:pPr>
      <w:r w:rsidRPr="00C92D06">
        <w:rPr>
          <w:rFonts w:ascii="Arial" w:hAnsi="Arial"/>
          <w:color w:val="000000" w:themeColor="text1"/>
          <w:sz w:val="20"/>
        </w:rPr>
        <w:t xml:space="preserve">Iz medletne primerjave števila udeleženih oseb, v zvezi s katerimi so bili podani razlogi za sum storitve zgoraj navedenih kaznivih dejanj, </w:t>
      </w:r>
      <w:r w:rsidR="00DF76DE">
        <w:rPr>
          <w:rFonts w:ascii="Arial" w:hAnsi="Arial"/>
          <w:color w:val="000000" w:themeColor="text1"/>
          <w:sz w:val="20"/>
        </w:rPr>
        <w:t>izhaja</w:t>
      </w:r>
      <w:r w:rsidRPr="00C92D06">
        <w:rPr>
          <w:rFonts w:ascii="Arial" w:hAnsi="Arial"/>
          <w:color w:val="000000" w:themeColor="text1"/>
          <w:sz w:val="20"/>
        </w:rPr>
        <w:t xml:space="preserve">, </w:t>
      </w:r>
      <w:r w:rsidRPr="00424274">
        <w:rPr>
          <w:rFonts w:ascii="Arial" w:hAnsi="Arial"/>
          <w:sz w:val="20"/>
        </w:rPr>
        <w:t>da se je glede na prejšnje leto š</w:t>
      </w:r>
      <w:r>
        <w:rPr>
          <w:rFonts w:ascii="Arial" w:hAnsi="Arial"/>
          <w:sz w:val="20"/>
        </w:rPr>
        <w:t>tevilo obravnavanih oseb zmanjšalo za slabih 40%</w:t>
      </w:r>
      <w:r w:rsidRPr="00424274">
        <w:rPr>
          <w:rFonts w:ascii="Arial" w:hAnsi="Arial"/>
          <w:sz w:val="20"/>
        </w:rPr>
        <w:t xml:space="preserve">, medtem ko je struktura obravnavanih oseb glede na državljanstvo in status ostala na približno enaki ravni. </w:t>
      </w:r>
      <w:r w:rsidR="00AF19B6">
        <w:rPr>
          <w:rFonts w:ascii="Arial" w:hAnsi="Arial"/>
          <w:sz w:val="20"/>
        </w:rPr>
        <w:t xml:space="preserve">Poleg zmanjšanja </w:t>
      </w:r>
      <w:r w:rsidRPr="00AF19B6">
        <w:rPr>
          <w:rFonts w:ascii="Arial" w:hAnsi="Arial"/>
          <w:sz w:val="20"/>
        </w:rPr>
        <w:t xml:space="preserve">števila obravnavanih oseb se je </w:t>
      </w:r>
      <w:r w:rsidR="00AF19B6" w:rsidRPr="00AF19B6">
        <w:rPr>
          <w:rFonts w:ascii="Arial" w:hAnsi="Arial"/>
          <w:sz w:val="20"/>
        </w:rPr>
        <w:t xml:space="preserve">zmanjšalo tudi </w:t>
      </w:r>
      <w:r w:rsidRPr="00AF19B6">
        <w:rPr>
          <w:rFonts w:ascii="Arial" w:hAnsi="Arial"/>
          <w:sz w:val="20"/>
        </w:rPr>
        <w:t>povprečno število oseb na izdelek, in sicer s 3,6 osebe na 1 obravnavano osebo na izdelek. Skupni</w:t>
      </w:r>
      <w:r w:rsidRPr="00424274">
        <w:rPr>
          <w:rFonts w:ascii="Arial" w:hAnsi="Arial"/>
          <w:sz w:val="20"/>
        </w:rPr>
        <w:t xml:space="preserve"> znesek je </w:t>
      </w:r>
      <w:r>
        <w:rPr>
          <w:rFonts w:ascii="Arial" w:hAnsi="Arial"/>
          <w:sz w:val="20"/>
        </w:rPr>
        <w:t>minimalno narasel</w:t>
      </w:r>
      <w:r w:rsidRPr="00424274">
        <w:rPr>
          <w:rFonts w:ascii="Arial" w:hAnsi="Arial"/>
          <w:sz w:val="20"/>
        </w:rPr>
        <w:t>, pri čemer pa se je povprečni znesek po izdelku</w:t>
      </w:r>
      <w:r>
        <w:rPr>
          <w:rFonts w:ascii="Arial" w:hAnsi="Arial"/>
          <w:sz w:val="20"/>
        </w:rPr>
        <w:t xml:space="preserve"> </w:t>
      </w:r>
      <w:r w:rsidRPr="00424274">
        <w:rPr>
          <w:rFonts w:ascii="Arial" w:hAnsi="Arial"/>
          <w:sz w:val="20"/>
        </w:rPr>
        <w:t>znižal</w:t>
      </w:r>
      <w:r>
        <w:rPr>
          <w:rFonts w:ascii="Arial" w:hAnsi="Arial"/>
          <w:sz w:val="20"/>
        </w:rPr>
        <w:t xml:space="preserve"> kar</w:t>
      </w:r>
      <w:r w:rsidRPr="00424274">
        <w:rPr>
          <w:rFonts w:ascii="Arial" w:hAnsi="Arial"/>
          <w:sz w:val="20"/>
        </w:rPr>
        <w:t xml:space="preserve"> za </w:t>
      </w:r>
      <w:r>
        <w:rPr>
          <w:rFonts w:ascii="Arial" w:hAnsi="Arial"/>
          <w:sz w:val="20"/>
        </w:rPr>
        <w:t>dobrih 5</w:t>
      </w:r>
      <w:r w:rsidRPr="00424274">
        <w:rPr>
          <w:rFonts w:ascii="Arial" w:hAnsi="Arial"/>
          <w:sz w:val="20"/>
        </w:rPr>
        <w:t xml:space="preserve">0%. </w:t>
      </w:r>
    </w:p>
    <w:p w14:paraId="2E6DF68D" w14:textId="77777777" w:rsidR="00154D55" w:rsidRDefault="00154D55" w:rsidP="00B65A09"/>
    <w:p w14:paraId="4937253C" w14:textId="2171D6B6" w:rsidR="00B65A09" w:rsidRDefault="00B65A09" w:rsidP="00B65A09">
      <w:pPr>
        <w:pStyle w:val="Naslov3"/>
      </w:pPr>
      <w:bookmarkStart w:id="17" w:name="_Toc119581689"/>
      <w:r>
        <w:t>Analiza informacij</w:t>
      </w:r>
      <w:bookmarkEnd w:id="17"/>
    </w:p>
    <w:p w14:paraId="639C47A9" w14:textId="77777777" w:rsidR="00B65A09" w:rsidRDefault="00B65A09" w:rsidP="00B65A09"/>
    <w:p w14:paraId="571DFC10" w14:textId="3D57CBC5" w:rsidR="00C44A62" w:rsidRDefault="00C44A62" w:rsidP="00BF3224">
      <w:pPr>
        <w:pStyle w:val="Telobesedila"/>
        <w:spacing w:line="276" w:lineRule="auto"/>
        <w:ind w:right="-22"/>
        <w:rPr>
          <w:rFonts w:ascii="Arial" w:hAnsi="Arial"/>
          <w:sz w:val="20"/>
        </w:rPr>
      </w:pPr>
      <w:r w:rsidRPr="00BF3224">
        <w:rPr>
          <w:rFonts w:ascii="Arial" w:hAnsi="Arial"/>
          <w:sz w:val="20"/>
        </w:rPr>
        <w:t>Informacije o razlogih za sum storitve drugih kaznivih dejanj, ki niso pranje denarja</w:t>
      </w:r>
      <w:r w:rsidR="00BF3224" w:rsidRPr="00BF3224">
        <w:rPr>
          <w:rFonts w:ascii="Arial" w:hAnsi="Arial"/>
          <w:sz w:val="20"/>
        </w:rPr>
        <w:t xml:space="preserve"> ali financiranje terorizma</w:t>
      </w:r>
      <w:r w:rsidRPr="00BF3224">
        <w:rPr>
          <w:rFonts w:ascii="Arial" w:hAnsi="Arial"/>
          <w:sz w:val="20"/>
        </w:rPr>
        <w:t xml:space="preserve">, predstavljajo pomemben delež v izdelkih </w:t>
      </w:r>
      <w:r w:rsidR="007B1A45">
        <w:rPr>
          <w:rFonts w:ascii="Arial" w:hAnsi="Arial"/>
          <w:sz w:val="20"/>
        </w:rPr>
        <w:t>u</w:t>
      </w:r>
      <w:r w:rsidRPr="00BF3224">
        <w:rPr>
          <w:rFonts w:ascii="Arial" w:hAnsi="Arial"/>
          <w:sz w:val="20"/>
        </w:rPr>
        <w:t xml:space="preserve">rada, zato </w:t>
      </w:r>
      <w:r w:rsidR="00BF3224" w:rsidRPr="00BF3224">
        <w:rPr>
          <w:rFonts w:ascii="Arial" w:hAnsi="Arial"/>
          <w:sz w:val="20"/>
        </w:rPr>
        <w:t>je bila v letu 2021 pripravljena</w:t>
      </w:r>
      <w:r w:rsidRPr="00BF3224">
        <w:rPr>
          <w:rFonts w:ascii="Arial" w:hAnsi="Arial"/>
          <w:sz w:val="20"/>
        </w:rPr>
        <w:t xml:space="preserve"> tudi </w:t>
      </w:r>
      <w:r w:rsidRPr="00BF3224">
        <w:rPr>
          <w:rFonts w:ascii="Arial" w:hAnsi="Arial"/>
          <w:sz w:val="20"/>
        </w:rPr>
        <w:lastRenderedPageBreak/>
        <w:t>analiz</w:t>
      </w:r>
      <w:r w:rsidR="00BF3224" w:rsidRPr="00BF3224">
        <w:rPr>
          <w:rFonts w:ascii="Arial" w:hAnsi="Arial"/>
          <w:sz w:val="20"/>
        </w:rPr>
        <w:t>a</w:t>
      </w:r>
      <w:r w:rsidRPr="00BF3224">
        <w:rPr>
          <w:rFonts w:ascii="Arial" w:hAnsi="Arial"/>
          <w:sz w:val="20"/>
        </w:rPr>
        <w:t xml:space="preserve"> poslanih pisnih informacij. </w:t>
      </w:r>
      <w:r w:rsidR="00BF3224">
        <w:rPr>
          <w:rFonts w:ascii="Arial" w:hAnsi="Arial"/>
          <w:sz w:val="20"/>
        </w:rPr>
        <w:t>Iz analize izhaja</w:t>
      </w:r>
      <w:r w:rsidR="00BF3224" w:rsidRPr="00BF3224">
        <w:rPr>
          <w:rFonts w:ascii="Arial" w:hAnsi="Arial"/>
          <w:sz w:val="20"/>
        </w:rPr>
        <w:t>, da obstajajo</w:t>
      </w:r>
      <w:r w:rsidRPr="00BF3224">
        <w:rPr>
          <w:rFonts w:ascii="Arial" w:hAnsi="Arial"/>
          <w:sz w:val="20"/>
        </w:rPr>
        <w:t xml:space="preserve"> nekatere </w:t>
      </w:r>
      <w:r w:rsidRPr="00C17642">
        <w:rPr>
          <w:rFonts w:ascii="Arial" w:hAnsi="Arial"/>
          <w:b/>
          <w:bCs/>
          <w:sz w:val="20"/>
        </w:rPr>
        <w:t>skupne značilnosti</w:t>
      </w:r>
      <w:r w:rsidRPr="00BF3224">
        <w:rPr>
          <w:rFonts w:ascii="Arial" w:hAnsi="Arial"/>
          <w:sz w:val="20"/>
        </w:rPr>
        <w:t xml:space="preserve">, ki se pojavljajo v več informacijah in predstavljajo neobičajno ravnanje obravnavanih pravnih ali fizičnih oseb, ki bi lahko bilo povezano </w:t>
      </w:r>
      <w:r w:rsidR="00BF3224">
        <w:rPr>
          <w:rFonts w:ascii="Arial" w:hAnsi="Arial"/>
          <w:sz w:val="20"/>
        </w:rPr>
        <w:t>z drugimi</w:t>
      </w:r>
      <w:r w:rsidRPr="00BF3224">
        <w:rPr>
          <w:rFonts w:ascii="Arial" w:hAnsi="Arial"/>
          <w:sz w:val="20"/>
        </w:rPr>
        <w:t xml:space="preserve"> kaznivimi dejanji, zaradi katerih se </w:t>
      </w:r>
      <w:r w:rsidR="00BF3224">
        <w:rPr>
          <w:rFonts w:ascii="Arial" w:hAnsi="Arial"/>
          <w:sz w:val="20"/>
        </w:rPr>
        <w:t>posreduje</w:t>
      </w:r>
      <w:r w:rsidRPr="00BF3224">
        <w:rPr>
          <w:rFonts w:ascii="Arial" w:hAnsi="Arial"/>
          <w:sz w:val="20"/>
        </w:rPr>
        <w:t xml:space="preserve"> informacije pristojnim organom (FURS, Policija). Najbolj pogost</w:t>
      </w:r>
      <w:r w:rsidR="00B4616A">
        <w:rPr>
          <w:rFonts w:ascii="Arial" w:hAnsi="Arial"/>
          <w:sz w:val="20"/>
        </w:rPr>
        <w:t>e</w:t>
      </w:r>
      <w:r w:rsidRPr="00BF3224">
        <w:rPr>
          <w:rFonts w:ascii="Arial" w:hAnsi="Arial"/>
          <w:sz w:val="20"/>
        </w:rPr>
        <w:t xml:space="preserve"> skupne značilnosti</w:t>
      </w:r>
      <w:r w:rsidR="00B4616A">
        <w:rPr>
          <w:rFonts w:ascii="Arial" w:hAnsi="Arial"/>
          <w:sz w:val="20"/>
        </w:rPr>
        <w:t>, ki so bile ugotovljene,</w:t>
      </w:r>
      <w:r w:rsidRPr="00BF3224">
        <w:rPr>
          <w:rFonts w:ascii="Arial" w:hAnsi="Arial"/>
          <w:sz w:val="20"/>
        </w:rPr>
        <w:t xml:space="preserve"> so naslednje:</w:t>
      </w:r>
    </w:p>
    <w:p w14:paraId="570099B1" w14:textId="77777777" w:rsidR="00BF3224" w:rsidRPr="00BF3224" w:rsidRDefault="00BF3224" w:rsidP="00BF3224">
      <w:pPr>
        <w:pStyle w:val="Telobesedila"/>
        <w:spacing w:line="276" w:lineRule="auto"/>
        <w:ind w:right="-22"/>
        <w:rPr>
          <w:rFonts w:ascii="Arial" w:hAnsi="Arial"/>
          <w:sz w:val="20"/>
        </w:rPr>
      </w:pPr>
    </w:p>
    <w:p w14:paraId="345BE414" w14:textId="77777777" w:rsidR="00C44A62" w:rsidRPr="00C44A62" w:rsidRDefault="00C44A62" w:rsidP="00C44A62">
      <w:pPr>
        <w:pStyle w:val="Odstavekseznama"/>
        <w:tabs>
          <w:tab w:val="left" w:pos="4536"/>
        </w:tabs>
        <w:ind w:left="851" w:hanging="284"/>
      </w:pPr>
      <w:r w:rsidRPr="00C44A62">
        <w:t>neprijavljeni dohodki oz. prihodki iz neregistriranih dejavnosti,</w:t>
      </w:r>
    </w:p>
    <w:p w14:paraId="4449AD2E" w14:textId="77777777" w:rsidR="00C44A62" w:rsidRPr="00C44A62" w:rsidRDefault="00C44A62" w:rsidP="00C44A62">
      <w:pPr>
        <w:pStyle w:val="Odstavekseznama"/>
        <w:tabs>
          <w:tab w:val="left" w:pos="4536"/>
        </w:tabs>
        <w:ind w:left="851" w:hanging="284"/>
      </w:pPr>
      <w:r w:rsidRPr="00C44A62">
        <w:t>gotovinski dvigi iz računa družbe,</w:t>
      </w:r>
    </w:p>
    <w:p w14:paraId="5985965A" w14:textId="77777777" w:rsidR="00C44A62" w:rsidRPr="00C44A62" w:rsidRDefault="00C44A62" w:rsidP="00C44A62">
      <w:pPr>
        <w:pStyle w:val="Odstavekseznama"/>
        <w:tabs>
          <w:tab w:val="left" w:pos="4536"/>
        </w:tabs>
        <w:ind w:left="851" w:hanging="284"/>
      </w:pPr>
      <w:r w:rsidRPr="00C44A62">
        <w:t>goljufije oz. poskusi goljufij ter zlorabe,</w:t>
      </w:r>
    </w:p>
    <w:p w14:paraId="74E5CFF6" w14:textId="77777777" w:rsidR="00C44A62" w:rsidRPr="00C44A62" w:rsidRDefault="00C44A62" w:rsidP="00C44A62">
      <w:pPr>
        <w:pStyle w:val="Odstavekseznama"/>
        <w:tabs>
          <w:tab w:val="left" w:pos="4536"/>
        </w:tabs>
        <w:ind w:left="851" w:hanging="284"/>
      </w:pPr>
      <w:r w:rsidRPr="00C44A62">
        <w:t>mednarodni davčni vrtiljaki oz. uporaba kanalskih podjetij,</w:t>
      </w:r>
    </w:p>
    <w:p w14:paraId="2F680555" w14:textId="77777777" w:rsidR="00C44A62" w:rsidRPr="00C44A62" w:rsidRDefault="00C44A62" w:rsidP="00C44A62">
      <w:pPr>
        <w:pStyle w:val="Odstavekseznama"/>
        <w:tabs>
          <w:tab w:val="left" w:pos="4536"/>
        </w:tabs>
        <w:ind w:left="851" w:hanging="284"/>
      </w:pPr>
      <w:r w:rsidRPr="00C44A62">
        <w:t>odlivi sredstev na račune fizičnih oseb, katerim sledijo dvigi gotovine,</w:t>
      </w:r>
    </w:p>
    <w:p w14:paraId="44A1562F" w14:textId="77777777" w:rsidR="00C44A62" w:rsidRPr="00C44A62" w:rsidRDefault="00C44A62" w:rsidP="00C44A62">
      <w:pPr>
        <w:pStyle w:val="Odstavekseznama"/>
        <w:tabs>
          <w:tab w:val="left" w:pos="4536"/>
        </w:tabs>
        <w:ind w:left="851" w:hanging="284"/>
      </w:pPr>
      <w:r w:rsidRPr="00C44A62">
        <w:t>kroženje sredstev,</w:t>
      </w:r>
    </w:p>
    <w:p w14:paraId="7C742DC6" w14:textId="5D8BF2EF" w:rsidR="00C44A62" w:rsidRPr="00C44A62" w:rsidRDefault="00C44A62" w:rsidP="00C44A62">
      <w:pPr>
        <w:pStyle w:val="Odstavekseznama"/>
        <w:tabs>
          <w:tab w:val="left" w:pos="4536"/>
        </w:tabs>
        <w:ind w:left="851" w:hanging="284"/>
      </w:pPr>
      <w:r>
        <w:t>izogibanje plačevanj</w:t>
      </w:r>
      <w:r w:rsidR="001B2CF5">
        <w:t>u</w:t>
      </w:r>
      <w:r>
        <w:t xml:space="preserve"> obveznosti,</w:t>
      </w:r>
    </w:p>
    <w:p w14:paraId="100D09EE" w14:textId="5CF3920A" w:rsidR="00C44A62" w:rsidRPr="00C44A62" w:rsidRDefault="00C44A62" w:rsidP="00C44A62">
      <w:pPr>
        <w:pStyle w:val="Odstavekseznama"/>
        <w:tabs>
          <w:tab w:val="left" w:pos="4536"/>
        </w:tabs>
        <w:ind w:left="851" w:hanging="284"/>
      </w:pPr>
      <w:r>
        <w:t>transakcije</w:t>
      </w:r>
      <w:r w:rsidR="001B2CF5">
        <w:t>,</w:t>
      </w:r>
      <w:r>
        <w:t xml:space="preserve"> povezane s prepovedanim prehodom meje ali ozemlja države,</w:t>
      </w:r>
    </w:p>
    <w:p w14:paraId="5F42B2D2" w14:textId="77777777" w:rsidR="00C44A62" w:rsidRPr="00C44A62" w:rsidRDefault="00C44A62" w:rsidP="00C44A62">
      <w:pPr>
        <w:pStyle w:val="Odstavekseznama"/>
        <w:tabs>
          <w:tab w:val="left" w:pos="4536"/>
        </w:tabs>
        <w:ind w:left="851" w:hanging="284"/>
      </w:pPr>
      <w:r w:rsidRPr="00C44A62">
        <w:t>kršitev omejevalnih ukrepov.</w:t>
      </w:r>
    </w:p>
    <w:p w14:paraId="72509F0C" w14:textId="77777777" w:rsidR="00C44A62" w:rsidRDefault="00C44A62" w:rsidP="00B65A09">
      <w:pPr>
        <w:rPr>
          <w:color w:val="000000" w:themeColor="text1"/>
        </w:rPr>
      </w:pPr>
    </w:p>
    <w:p w14:paraId="7600DAC8" w14:textId="25C988B5" w:rsidR="00B65A09" w:rsidRDefault="00C44A62" w:rsidP="00C44A62">
      <w:pPr>
        <w:pStyle w:val="Naslov4"/>
      </w:pPr>
      <w:bookmarkStart w:id="18" w:name="_Toc119581690"/>
      <w:r w:rsidRPr="00C44A62">
        <w:t xml:space="preserve">Neprijavljeni prihodki </w:t>
      </w:r>
      <w:r w:rsidR="0080483A">
        <w:t>in</w:t>
      </w:r>
      <w:r w:rsidRPr="00C44A62">
        <w:t xml:space="preserve"> prihodki iz neregistriranih dejavnost</w:t>
      </w:r>
      <w:bookmarkEnd w:id="18"/>
    </w:p>
    <w:p w14:paraId="55E84814" w14:textId="77777777" w:rsidR="00C44A62" w:rsidRPr="00C44A62" w:rsidRDefault="00C44A62" w:rsidP="00C44A62"/>
    <w:p w14:paraId="1DAD108C" w14:textId="765CFEE4" w:rsidR="00C44A62" w:rsidRPr="00D6351D" w:rsidRDefault="00C44A62" w:rsidP="00D6351D">
      <w:pPr>
        <w:tabs>
          <w:tab w:val="left" w:pos="-1049"/>
          <w:tab w:val="left" w:pos="-689"/>
          <w:tab w:val="left" w:pos="0"/>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s>
        <w:spacing w:line="276" w:lineRule="auto"/>
        <w:rPr>
          <w:bCs/>
          <w:iCs/>
          <w:color w:val="000000" w:themeColor="text1"/>
        </w:rPr>
      </w:pPr>
      <w:r w:rsidRPr="00D6351D">
        <w:rPr>
          <w:bCs/>
          <w:iCs/>
          <w:color w:val="000000" w:themeColor="text1"/>
        </w:rPr>
        <w:t xml:space="preserve">Neprijavljeni prihodki </w:t>
      </w:r>
      <w:r w:rsidR="0080483A">
        <w:rPr>
          <w:bCs/>
          <w:iCs/>
          <w:color w:val="000000" w:themeColor="text1"/>
        </w:rPr>
        <w:t>in</w:t>
      </w:r>
      <w:r w:rsidRPr="00D6351D">
        <w:rPr>
          <w:bCs/>
          <w:iCs/>
          <w:color w:val="000000" w:themeColor="text1"/>
        </w:rPr>
        <w:t xml:space="preserve"> prihodki iz neregistriranih dejavnost se običajno zaznajo v informacijah, kjer se iz analize prometa na računih fizičnih in pravnih oseb ugotovi nesorazmerje med prihodki (premoženjem), ki jih te osebe prijavijo pristojnim organom (FURS) in dejanskim prometom na njihovih računih. Razliko med tema kategorijama lahko predstavljajo neprijavljeni prihodki, ki lahko vsebujejo tudi elemente kaznivega dejanja davčne zatajitve. V teh primerih je iz prometa na računih fizičnih in pravnih oseb razvidno bistveno odstopanje od običajnega prometa, kot je viden na računih drugih fizičnih ali pravnih oseb. Pogosta zaznana oblika neprijavljenih prihodkov je tudi poslovanje na nerezidenčnih računih tujih pravnih ali fizičnih oseb v RS, kjer se s tem poslovanjem najverjetneje prikrijejo dejanski prihodki pred pristojnimi organi v državah, kjer je pravna oseba registrirana ali katere rezident je fizična oseba.</w:t>
      </w:r>
    </w:p>
    <w:p w14:paraId="78003F52" w14:textId="7E08548A" w:rsidR="00C44A62" w:rsidRPr="00D6351D" w:rsidRDefault="00C44A62" w:rsidP="00D6351D">
      <w:pPr>
        <w:tabs>
          <w:tab w:val="left" w:pos="-1049"/>
          <w:tab w:val="left" w:pos="-689"/>
          <w:tab w:val="left" w:pos="0"/>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s>
        <w:spacing w:line="276" w:lineRule="auto"/>
        <w:rPr>
          <w:bCs/>
          <w:iCs/>
          <w:color w:val="000000" w:themeColor="text1"/>
        </w:rPr>
      </w:pPr>
      <w:r w:rsidRPr="00D6351D">
        <w:rPr>
          <w:bCs/>
          <w:iCs/>
          <w:color w:val="000000" w:themeColor="text1"/>
        </w:rPr>
        <w:t xml:space="preserve">V obravnavanih primerih informacij, kjer je prišlo do gotovinskih dvigov iz računa družbe, je bila po oceni </w:t>
      </w:r>
      <w:r w:rsidR="00EA29F2">
        <w:rPr>
          <w:bCs/>
          <w:iCs/>
          <w:color w:val="000000" w:themeColor="text1"/>
        </w:rPr>
        <w:t>u</w:t>
      </w:r>
      <w:r w:rsidR="00D6351D">
        <w:rPr>
          <w:bCs/>
          <w:iCs/>
          <w:color w:val="000000" w:themeColor="text1"/>
        </w:rPr>
        <w:t xml:space="preserve">rada </w:t>
      </w:r>
      <w:r w:rsidRPr="00D6351D">
        <w:rPr>
          <w:bCs/>
          <w:iCs/>
          <w:color w:val="000000" w:themeColor="text1"/>
        </w:rPr>
        <w:t xml:space="preserve">prisotna tudi uporaba slamnatih družb oziroma družb tipa »missing trader«, ki so lahko ustanovljene tudi za izvrševanje spornih transakcij, največkrat povezanih s kaznivimi dejanji davčne zatajitve ter zlorabe položaja ali zaupanja pri gospodarski dejavnosti. </w:t>
      </w:r>
    </w:p>
    <w:p w14:paraId="335E434E" w14:textId="77777777" w:rsidR="00C44A62" w:rsidRPr="00D6351D" w:rsidRDefault="00C44A62" w:rsidP="00D6351D">
      <w:pPr>
        <w:tabs>
          <w:tab w:val="left" w:pos="-1049"/>
          <w:tab w:val="left" w:pos="-689"/>
          <w:tab w:val="left" w:pos="0"/>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s>
        <w:spacing w:line="276" w:lineRule="auto"/>
        <w:rPr>
          <w:bCs/>
          <w:iCs/>
          <w:color w:val="000000" w:themeColor="text1"/>
        </w:rPr>
      </w:pPr>
    </w:p>
    <w:p w14:paraId="7AE957BC" w14:textId="10879548" w:rsidR="00C44A62" w:rsidRDefault="00C44A62" w:rsidP="00C44A62">
      <w:pPr>
        <w:pStyle w:val="Naslov4"/>
      </w:pPr>
      <w:bookmarkStart w:id="19" w:name="_Toc119581691"/>
      <w:r w:rsidRPr="00C44A62">
        <w:t xml:space="preserve">Goljufije </w:t>
      </w:r>
      <w:r w:rsidR="0080483A">
        <w:t>in</w:t>
      </w:r>
      <w:r w:rsidRPr="00C44A62">
        <w:t xml:space="preserve"> poskusi goljufij in zlorabe</w:t>
      </w:r>
      <w:bookmarkEnd w:id="19"/>
    </w:p>
    <w:p w14:paraId="74ADA22A" w14:textId="77777777" w:rsidR="00C44A62" w:rsidRPr="00C44A62" w:rsidRDefault="00C44A62" w:rsidP="00C44A62"/>
    <w:p w14:paraId="64D7BEA8" w14:textId="33EB1005" w:rsidR="00C44A62" w:rsidRPr="00D6351D" w:rsidRDefault="00C44A62" w:rsidP="00D6351D">
      <w:pPr>
        <w:tabs>
          <w:tab w:val="left" w:pos="-1049"/>
          <w:tab w:val="left" w:pos="-689"/>
          <w:tab w:val="left" w:pos="0"/>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s>
        <w:spacing w:line="276" w:lineRule="auto"/>
        <w:rPr>
          <w:bCs/>
          <w:iCs/>
          <w:color w:val="000000" w:themeColor="text1"/>
        </w:rPr>
      </w:pPr>
      <w:r w:rsidRPr="00D6351D">
        <w:rPr>
          <w:bCs/>
          <w:iCs/>
          <w:color w:val="000000" w:themeColor="text1"/>
        </w:rPr>
        <w:t xml:space="preserve">Goljufije </w:t>
      </w:r>
      <w:r w:rsidR="0080483A">
        <w:rPr>
          <w:bCs/>
          <w:iCs/>
          <w:color w:val="000000" w:themeColor="text1"/>
        </w:rPr>
        <w:t>in</w:t>
      </w:r>
      <w:r w:rsidRPr="00D6351D">
        <w:rPr>
          <w:bCs/>
          <w:iCs/>
          <w:color w:val="000000" w:themeColor="text1"/>
        </w:rPr>
        <w:t xml:space="preserve"> poskusi goljufij in zlorabe se izvršujejo na izredno različne načine. Pogosti so primeri goljufij</w:t>
      </w:r>
      <w:r w:rsidR="00F4018C">
        <w:rPr>
          <w:bCs/>
          <w:iCs/>
          <w:color w:val="000000" w:themeColor="text1"/>
        </w:rPr>
        <w:t>,</w:t>
      </w:r>
      <w:r w:rsidRPr="00D6351D">
        <w:rPr>
          <w:bCs/>
          <w:iCs/>
          <w:color w:val="000000" w:themeColor="text1"/>
        </w:rPr>
        <w:t xml:space="preserve"> povezani z napadi na informacijske sisteme družb in pošiljanjem lažnih elektronskih sporočil (direktorske goljufije, BEC goljufije), sledijo primeri goljufij</w:t>
      </w:r>
      <w:r w:rsidR="00F4018C">
        <w:rPr>
          <w:bCs/>
          <w:iCs/>
          <w:color w:val="000000" w:themeColor="text1"/>
        </w:rPr>
        <w:t>,</w:t>
      </w:r>
      <w:r w:rsidRPr="00D6351D">
        <w:rPr>
          <w:bCs/>
          <w:iCs/>
          <w:color w:val="000000" w:themeColor="text1"/>
        </w:rPr>
        <w:t xml:space="preserve"> povezani z lažno prodajo blaga in storitev, redkeje pa primeri tako imenovanih »nigerijskih goljufij« in primeri organiziranja denarnih verig in nedovoljenih iger na srečo. Zaznani so bili tudi primeri fizičnih oseb, ki na finančnih institucijah predložijo v unovčitev čeke ali menice, tudi iz tujine, ki nimajo kritja in za katere se pri nadaljnjem preverjanju izkaže, da so ponarejeni. V zadnjem času so pogost</w:t>
      </w:r>
      <w:r w:rsidR="00F4018C">
        <w:rPr>
          <w:bCs/>
          <w:iCs/>
          <w:color w:val="000000" w:themeColor="text1"/>
        </w:rPr>
        <w:t>i</w:t>
      </w:r>
      <w:r w:rsidRPr="00D6351D">
        <w:rPr>
          <w:bCs/>
          <w:iCs/>
          <w:color w:val="000000" w:themeColor="text1"/>
        </w:rPr>
        <w:t xml:space="preserve"> tudi primeri tako imenovanih »ljubezenskih goljufij«, kjer storilci preko elektronskih sporočil ali socialnih omrežij zvedejo oškodovance, da jim ti neupravičeno nakažejo sredstva.  </w:t>
      </w:r>
    </w:p>
    <w:p w14:paraId="7E6F69FC" w14:textId="77777777" w:rsidR="00C44A62" w:rsidRPr="00C44A62" w:rsidRDefault="00C44A62" w:rsidP="00C44A62">
      <w:pPr>
        <w:rPr>
          <w:color w:val="000000" w:themeColor="text1"/>
        </w:rPr>
      </w:pPr>
    </w:p>
    <w:p w14:paraId="43BA1A82" w14:textId="0FD97CEC" w:rsidR="00C44A62" w:rsidRDefault="00C44A62" w:rsidP="00C44A62">
      <w:pPr>
        <w:pStyle w:val="Naslov4"/>
      </w:pPr>
      <w:bookmarkStart w:id="20" w:name="_Toc119581692"/>
      <w:r w:rsidRPr="00C44A62">
        <w:lastRenderedPageBreak/>
        <w:t xml:space="preserve">Mednarodni davčni vrtiljaki </w:t>
      </w:r>
      <w:r w:rsidR="0080483A">
        <w:t>in</w:t>
      </w:r>
      <w:r w:rsidRPr="00C44A62">
        <w:t xml:space="preserve"> uporaba kanalskih družb</w:t>
      </w:r>
      <w:bookmarkEnd w:id="20"/>
    </w:p>
    <w:p w14:paraId="19605B4E" w14:textId="77777777" w:rsidR="00C44A62" w:rsidRPr="00C44A62" w:rsidRDefault="00C44A62" w:rsidP="00C44A62"/>
    <w:p w14:paraId="5597C125" w14:textId="2BBF0071" w:rsidR="00C44A62" w:rsidRPr="00D6351D" w:rsidRDefault="00C44A62" w:rsidP="00D6351D">
      <w:pPr>
        <w:tabs>
          <w:tab w:val="left" w:pos="-1049"/>
          <w:tab w:val="left" w:pos="-689"/>
          <w:tab w:val="left" w:pos="0"/>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s>
        <w:spacing w:line="276" w:lineRule="auto"/>
        <w:rPr>
          <w:bCs/>
          <w:iCs/>
          <w:color w:val="000000" w:themeColor="text1"/>
        </w:rPr>
      </w:pPr>
      <w:r w:rsidRPr="00D6351D">
        <w:rPr>
          <w:bCs/>
          <w:iCs/>
          <w:color w:val="000000" w:themeColor="text1"/>
        </w:rPr>
        <w:t xml:space="preserve">Mednarodni davčni vrtiljaki </w:t>
      </w:r>
      <w:r w:rsidR="0080483A">
        <w:rPr>
          <w:bCs/>
          <w:iCs/>
          <w:color w:val="000000" w:themeColor="text1"/>
        </w:rPr>
        <w:t>in</w:t>
      </w:r>
      <w:r w:rsidRPr="00D6351D">
        <w:rPr>
          <w:bCs/>
          <w:iCs/>
          <w:color w:val="000000" w:themeColor="text1"/>
        </w:rPr>
        <w:t xml:space="preserve"> uporaba kanalskih družb </w:t>
      </w:r>
      <w:r w:rsidR="00EA29F2">
        <w:rPr>
          <w:bCs/>
          <w:iCs/>
          <w:color w:val="000000" w:themeColor="text1"/>
        </w:rPr>
        <w:t>se pojavljajo</w:t>
      </w:r>
      <w:r w:rsidRPr="00D6351D">
        <w:rPr>
          <w:bCs/>
          <w:iCs/>
          <w:color w:val="000000" w:themeColor="text1"/>
        </w:rPr>
        <w:t xml:space="preserve"> v informacijah, kjer </w:t>
      </w:r>
      <w:r w:rsidR="00EA29F2">
        <w:rPr>
          <w:bCs/>
          <w:iCs/>
          <w:color w:val="000000" w:themeColor="text1"/>
        </w:rPr>
        <w:t>se zazna</w:t>
      </w:r>
      <w:r w:rsidRPr="00D6351D">
        <w:rPr>
          <w:bCs/>
          <w:iCs/>
          <w:color w:val="000000" w:themeColor="text1"/>
        </w:rPr>
        <w:t xml:space="preserve">, da se preko slovenskega računa domače ali tuje družbe izvaja kroženje sredstev iz tujine v Slovenijo in nazaj v tujino. Pogosto </w:t>
      </w:r>
      <w:r w:rsidR="00EA29F2">
        <w:rPr>
          <w:bCs/>
          <w:iCs/>
          <w:color w:val="000000" w:themeColor="text1"/>
        </w:rPr>
        <w:t>so zaznani</w:t>
      </w:r>
      <w:r w:rsidRPr="00D6351D">
        <w:rPr>
          <w:bCs/>
          <w:iCs/>
          <w:color w:val="000000" w:themeColor="text1"/>
        </w:rPr>
        <w:t xml:space="preserve"> predvsem priliv</w:t>
      </w:r>
      <w:r w:rsidR="00EA29F2">
        <w:rPr>
          <w:bCs/>
          <w:iCs/>
          <w:color w:val="000000" w:themeColor="text1"/>
        </w:rPr>
        <w:t>i</w:t>
      </w:r>
      <w:r w:rsidRPr="00D6351D">
        <w:rPr>
          <w:bCs/>
          <w:iCs/>
          <w:color w:val="000000" w:themeColor="text1"/>
        </w:rPr>
        <w:t xml:space="preserve"> sredstev iz sosednjih držav, katerim sledijo odlivi sredstev nazaj ali v druge države EU. Ocenjuje</w:t>
      </w:r>
      <w:r w:rsidR="00EA29F2">
        <w:rPr>
          <w:bCs/>
          <w:iCs/>
          <w:color w:val="000000" w:themeColor="text1"/>
        </w:rPr>
        <w:t xml:space="preserve"> se</w:t>
      </w:r>
      <w:r w:rsidRPr="00D6351D">
        <w:rPr>
          <w:bCs/>
          <w:iCs/>
          <w:color w:val="000000" w:themeColor="text1"/>
        </w:rPr>
        <w:t>, da se v teh primerih lahko izvajajo aktivnosti prenosov sredstev, ki so povezane z mednarodnimi davčnimi vrtiljaki, pri čemer so domače in tuje družbe, ki so vpletene v te aktivnosti, praviloma družbe tipa »kanalska družba«.</w:t>
      </w:r>
    </w:p>
    <w:p w14:paraId="6BD111B0" w14:textId="77777777" w:rsidR="00C44A62" w:rsidRPr="00D6351D" w:rsidRDefault="00C44A62" w:rsidP="00D6351D">
      <w:pPr>
        <w:pStyle w:val="Telobesedila"/>
        <w:spacing w:line="276" w:lineRule="auto"/>
        <w:ind w:right="-22"/>
        <w:rPr>
          <w:rFonts w:ascii="Arial" w:hAnsi="Arial"/>
          <w:sz w:val="20"/>
        </w:rPr>
      </w:pPr>
    </w:p>
    <w:p w14:paraId="39D99311" w14:textId="37D3ACA7" w:rsidR="00C44A62" w:rsidRDefault="00C44A62" w:rsidP="00C44A62">
      <w:pPr>
        <w:pStyle w:val="Naslov4"/>
      </w:pPr>
      <w:bookmarkStart w:id="21" w:name="_Toc119581693"/>
      <w:r w:rsidRPr="00C44A62">
        <w:t>Odlivi sredstev na osebne račune</w:t>
      </w:r>
      <w:bookmarkEnd w:id="21"/>
    </w:p>
    <w:p w14:paraId="4E935683" w14:textId="77777777" w:rsidR="00C44A62" w:rsidRPr="00C44A62" w:rsidRDefault="00C44A62" w:rsidP="00C44A62"/>
    <w:p w14:paraId="6AEBB8DB" w14:textId="161F28D8" w:rsidR="00C44A62" w:rsidRPr="00D6351D" w:rsidRDefault="00C44A62" w:rsidP="00D6351D">
      <w:pPr>
        <w:tabs>
          <w:tab w:val="left" w:pos="-1049"/>
          <w:tab w:val="left" w:pos="-689"/>
          <w:tab w:val="left" w:pos="0"/>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s>
        <w:spacing w:line="276" w:lineRule="auto"/>
        <w:rPr>
          <w:bCs/>
          <w:iCs/>
          <w:color w:val="000000" w:themeColor="text1"/>
        </w:rPr>
      </w:pPr>
      <w:r w:rsidRPr="00D6351D">
        <w:rPr>
          <w:bCs/>
          <w:iCs/>
          <w:color w:val="000000" w:themeColor="text1"/>
        </w:rPr>
        <w:t xml:space="preserve">Odlivi sredstev na osebne račune, katerim sledijo dvigi gotovine so običajno zaznani v informacijah, ko se iz računa družbe vršijo odlivi na račune fizičnih oseb, od koder se ta sredstva praviloma dvignejo v gotovini. Pri teh transakcijah ni jasna njihova ekonomska in pravna podlaga in bi tovrstne transakcije lahko bile povezane tudi z oškodovanjem družbe ali neupravičenim zmanjšanjem davčne osnove družbe. </w:t>
      </w:r>
    </w:p>
    <w:p w14:paraId="446EA4BC" w14:textId="77777777" w:rsidR="00C44A62" w:rsidRPr="00C44A62" w:rsidRDefault="00C44A62" w:rsidP="00C44A62">
      <w:pPr>
        <w:rPr>
          <w:color w:val="000000" w:themeColor="text1"/>
        </w:rPr>
      </w:pPr>
    </w:p>
    <w:p w14:paraId="701FA6E9" w14:textId="4EA089EB" w:rsidR="00C44A62" w:rsidRDefault="00C44A62" w:rsidP="00C44A62">
      <w:pPr>
        <w:pStyle w:val="Naslov4"/>
      </w:pPr>
      <w:bookmarkStart w:id="22" w:name="_Toc119581694"/>
      <w:r w:rsidRPr="00C44A62">
        <w:t>Kroženje sredstev</w:t>
      </w:r>
      <w:bookmarkEnd w:id="22"/>
    </w:p>
    <w:p w14:paraId="7FD7D54F" w14:textId="77777777" w:rsidR="00C44A62" w:rsidRPr="00C44A62" w:rsidRDefault="00C44A62" w:rsidP="00C44A62"/>
    <w:p w14:paraId="557CA623" w14:textId="006929A3" w:rsidR="00C44A62" w:rsidRPr="00D6351D" w:rsidRDefault="00C44A62" w:rsidP="00D6351D">
      <w:pPr>
        <w:tabs>
          <w:tab w:val="left" w:pos="-1049"/>
          <w:tab w:val="left" w:pos="-689"/>
          <w:tab w:val="left" w:pos="0"/>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s>
        <w:spacing w:line="276" w:lineRule="auto"/>
        <w:rPr>
          <w:bCs/>
          <w:iCs/>
          <w:color w:val="000000" w:themeColor="text1"/>
        </w:rPr>
      </w:pPr>
      <w:r w:rsidRPr="00D6351D">
        <w:rPr>
          <w:bCs/>
          <w:iCs/>
          <w:color w:val="000000" w:themeColor="text1"/>
        </w:rPr>
        <w:t>Kroženje sredstev, kot skupna značilnost</w:t>
      </w:r>
      <w:r w:rsidR="0080483A">
        <w:rPr>
          <w:bCs/>
          <w:iCs/>
          <w:color w:val="000000" w:themeColor="text1"/>
        </w:rPr>
        <w:t>,</w:t>
      </w:r>
      <w:r w:rsidRPr="00D6351D">
        <w:rPr>
          <w:bCs/>
          <w:iCs/>
          <w:color w:val="000000" w:themeColor="text1"/>
        </w:rPr>
        <w:t xml:space="preserve"> predstavlja primere informacij, </w:t>
      </w:r>
      <w:r w:rsidR="0080483A">
        <w:rPr>
          <w:bCs/>
          <w:iCs/>
          <w:color w:val="000000" w:themeColor="text1"/>
        </w:rPr>
        <w:t>ko</w:t>
      </w:r>
      <w:r w:rsidRPr="00D6351D">
        <w:rPr>
          <w:bCs/>
          <w:iCs/>
          <w:color w:val="000000" w:themeColor="text1"/>
        </w:rPr>
        <w:t xml:space="preserve"> se med računi pravnih in fizičnih oseb izvršujejo transakcije kroženja sredstev, kjer se lahko ena in ista sredstva obrača med različnimi</w:t>
      </w:r>
      <w:r w:rsidR="0075740D">
        <w:rPr>
          <w:bCs/>
          <w:iCs/>
          <w:color w:val="000000" w:themeColor="text1"/>
        </w:rPr>
        <w:t xml:space="preserve"> ali </w:t>
      </w:r>
      <w:r w:rsidRPr="00D6351D">
        <w:rPr>
          <w:bCs/>
          <w:iCs/>
          <w:color w:val="000000" w:themeColor="text1"/>
        </w:rPr>
        <w:t>istimi</w:t>
      </w:r>
      <w:r w:rsidR="0075740D">
        <w:rPr>
          <w:bCs/>
          <w:iCs/>
          <w:color w:val="000000" w:themeColor="text1"/>
        </w:rPr>
        <w:t>,</w:t>
      </w:r>
      <w:r w:rsidRPr="00D6351D">
        <w:rPr>
          <w:bCs/>
          <w:iCs/>
          <w:color w:val="000000" w:themeColor="text1"/>
        </w:rPr>
        <w:t xml:space="preserve"> večinoma povezanimi pravnimi in fizičnimi osebami. V primerih tovrstnih transakcij kroženja sredstev </w:t>
      </w:r>
      <w:r w:rsidR="0080483A">
        <w:rPr>
          <w:bCs/>
          <w:iCs/>
          <w:color w:val="000000" w:themeColor="text1"/>
        </w:rPr>
        <w:t>ni ugotovljen</w:t>
      </w:r>
      <w:r w:rsidRPr="00D6351D">
        <w:rPr>
          <w:bCs/>
          <w:iCs/>
          <w:color w:val="000000" w:themeColor="text1"/>
        </w:rPr>
        <w:t xml:space="preserve"> noben ekonomsk</w:t>
      </w:r>
      <w:r w:rsidR="0080483A">
        <w:rPr>
          <w:bCs/>
          <w:iCs/>
          <w:color w:val="000000" w:themeColor="text1"/>
        </w:rPr>
        <w:t>i</w:t>
      </w:r>
      <w:r w:rsidRPr="00D6351D">
        <w:rPr>
          <w:bCs/>
          <w:iCs/>
          <w:color w:val="000000" w:themeColor="text1"/>
        </w:rPr>
        <w:t xml:space="preserve"> smis</w:t>
      </w:r>
      <w:r w:rsidR="0080483A">
        <w:rPr>
          <w:bCs/>
          <w:iCs/>
          <w:color w:val="000000" w:themeColor="text1"/>
        </w:rPr>
        <w:t>e</w:t>
      </w:r>
      <w:r w:rsidRPr="00D6351D">
        <w:rPr>
          <w:bCs/>
          <w:iCs/>
          <w:color w:val="000000" w:themeColor="text1"/>
        </w:rPr>
        <w:t>l za izvrševanje teh transakcij, lahko</w:t>
      </w:r>
      <w:r w:rsidR="0080483A">
        <w:rPr>
          <w:bCs/>
          <w:iCs/>
          <w:color w:val="000000" w:themeColor="text1"/>
        </w:rPr>
        <w:t xml:space="preserve"> pa gre</w:t>
      </w:r>
      <w:r w:rsidRPr="00D6351D">
        <w:rPr>
          <w:bCs/>
          <w:iCs/>
          <w:color w:val="000000" w:themeColor="text1"/>
        </w:rPr>
        <w:t xml:space="preserve"> za fiktivno ustvarjanje obveznosti</w:t>
      </w:r>
      <w:r w:rsidR="00731EF6">
        <w:rPr>
          <w:bCs/>
          <w:iCs/>
          <w:color w:val="000000" w:themeColor="text1"/>
        </w:rPr>
        <w:t xml:space="preserve"> oziroma </w:t>
      </w:r>
      <w:r w:rsidRPr="00D6351D">
        <w:rPr>
          <w:bCs/>
          <w:iCs/>
          <w:color w:val="000000" w:themeColor="text1"/>
        </w:rPr>
        <w:t xml:space="preserve">terjatev do družb ali umetno prikazovanje večjega prometa družb, kot je dejanski. V ozadju transakcij kroženja sredstev so lahko tudi pripravljalna dejanja za morebitne goljufije ali kakšna druga kazniva dejanja. </w:t>
      </w:r>
    </w:p>
    <w:p w14:paraId="09533481" w14:textId="63B297F6" w:rsidR="00C44A62" w:rsidRPr="00D6351D" w:rsidRDefault="00C44A62" w:rsidP="00D6351D">
      <w:pPr>
        <w:tabs>
          <w:tab w:val="left" w:pos="-1049"/>
          <w:tab w:val="left" w:pos="-689"/>
          <w:tab w:val="left" w:pos="0"/>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s>
        <w:spacing w:line="276" w:lineRule="auto"/>
        <w:rPr>
          <w:bCs/>
          <w:iCs/>
          <w:color w:val="000000" w:themeColor="text1"/>
        </w:rPr>
      </w:pPr>
      <w:r w:rsidRPr="00D6351D">
        <w:rPr>
          <w:bCs/>
          <w:iCs/>
          <w:color w:val="000000" w:themeColor="text1"/>
        </w:rPr>
        <w:t xml:space="preserve"> </w:t>
      </w:r>
    </w:p>
    <w:p w14:paraId="5811F614" w14:textId="3FDAE73A" w:rsidR="00C44A62" w:rsidRDefault="00C44A62" w:rsidP="00C44A62">
      <w:pPr>
        <w:pStyle w:val="Naslov4"/>
      </w:pPr>
      <w:bookmarkStart w:id="23" w:name="_Toc119581695"/>
      <w:r w:rsidRPr="00C44A62">
        <w:t>Izogibanje plačevanja obveznosti</w:t>
      </w:r>
      <w:bookmarkEnd w:id="23"/>
    </w:p>
    <w:p w14:paraId="20498068" w14:textId="77777777" w:rsidR="00C44A62" w:rsidRPr="00D6351D" w:rsidRDefault="00C44A62" w:rsidP="00D6351D">
      <w:pPr>
        <w:tabs>
          <w:tab w:val="left" w:pos="-1049"/>
          <w:tab w:val="left" w:pos="-689"/>
          <w:tab w:val="left" w:pos="0"/>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s>
        <w:spacing w:line="276" w:lineRule="auto"/>
        <w:rPr>
          <w:bCs/>
          <w:iCs/>
          <w:color w:val="000000" w:themeColor="text1"/>
        </w:rPr>
      </w:pPr>
    </w:p>
    <w:p w14:paraId="441A4677" w14:textId="360489F6" w:rsidR="00C44A62" w:rsidRPr="00D6351D" w:rsidRDefault="00C44A62" w:rsidP="00D6351D">
      <w:pPr>
        <w:tabs>
          <w:tab w:val="left" w:pos="-1049"/>
          <w:tab w:val="left" w:pos="-689"/>
          <w:tab w:val="left" w:pos="0"/>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s>
        <w:spacing w:line="276" w:lineRule="auto"/>
        <w:rPr>
          <w:bCs/>
          <w:iCs/>
          <w:color w:val="000000" w:themeColor="text1"/>
        </w:rPr>
      </w:pPr>
      <w:r w:rsidRPr="00D6351D">
        <w:rPr>
          <w:bCs/>
          <w:iCs/>
          <w:color w:val="000000" w:themeColor="text1"/>
        </w:rPr>
        <w:t>Izogibanje plačevanja obveznosti je skupna značilnost, ki je običajno ugotovljena v primerih, ko osebe, ki so bodisi lastniki ali zaposleni v dejavni in poslujoči družb</w:t>
      </w:r>
      <w:r w:rsidR="00610E75">
        <w:rPr>
          <w:bCs/>
          <w:iCs/>
          <w:color w:val="000000" w:themeColor="text1"/>
        </w:rPr>
        <w:t>i</w:t>
      </w:r>
      <w:r w:rsidRPr="00D6351D">
        <w:rPr>
          <w:bCs/>
          <w:iCs/>
          <w:color w:val="000000" w:themeColor="text1"/>
        </w:rPr>
        <w:t>, del sredstev, ki najverjetneje izvira iz poslovanja družb</w:t>
      </w:r>
      <w:r w:rsidR="0011580A">
        <w:rPr>
          <w:bCs/>
          <w:iCs/>
          <w:color w:val="000000" w:themeColor="text1"/>
        </w:rPr>
        <w:t>,</w:t>
      </w:r>
      <w:r w:rsidRPr="00D6351D">
        <w:rPr>
          <w:bCs/>
          <w:iCs/>
          <w:color w:val="000000" w:themeColor="text1"/>
        </w:rPr>
        <w:t xml:space="preserve"> preusmerijo na svoj osebni račun ali na račun povezane fizične osebe, namesto na račun poslujoče družbe. Prav tako se to dogaja v primerih, ko pravne ali fizične osebe, ki imajo blokirane račune, svoje tekoče poslovanje izvajajo na računih povezanih pravnih ali fizičnih oseb (tudi mladoletnih). Razlogov za to je lahko več, najpogostejša sta po oceni prikrivanje prometa pred pristojnimi institucijami (FURS) ali blokada računov in izvršbe, </w:t>
      </w:r>
      <w:r w:rsidR="0011580A">
        <w:rPr>
          <w:bCs/>
          <w:iCs/>
          <w:color w:val="000000" w:themeColor="text1"/>
        </w:rPr>
        <w:t>ki jim</w:t>
      </w:r>
      <w:r w:rsidRPr="00D6351D">
        <w:rPr>
          <w:bCs/>
          <w:iCs/>
          <w:color w:val="000000" w:themeColor="text1"/>
        </w:rPr>
        <w:t xml:space="preserve"> posledično sledi prenos prometa oz</w:t>
      </w:r>
      <w:r w:rsidR="0011580A">
        <w:rPr>
          <w:bCs/>
          <w:iCs/>
          <w:color w:val="000000" w:themeColor="text1"/>
        </w:rPr>
        <w:t>iroma</w:t>
      </w:r>
      <w:r w:rsidRPr="00D6351D">
        <w:rPr>
          <w:bCs/>
          <w:iCs/>
          <w:color w:val="000000" w:themeColor="text1"/>
        </w:rPr>
        <w:t xml:space="preserve"> poslovanja na druge račune. </w:t>
      </w:r>
    </w:p>
    <w:p w14:paraId="3301756A" w14:textId="4BA0D48F" w:rsidR="00C44A62" w:rsidRDefault="00C44A62" w:rsidP="00C44A62">
      <w:pPr>
        <w:rPr>
          <w:color w:val="000000" w:themeColor="text1"/>
        </w:rPr>
      </w:pPr>
    </w:p>
    <w:p w14:paraId="74076077" w14:textId="77777777" w:rsidR="009754F7" w:rsidRPr="00C44A62" w:rsidRDefault="009754F7" w:rsidP="00C44A62">
      <w:pPr>
        <w:rPr>
          <w:color w:val="000000" w:themeColor="text1"/>
        </w:rPr>
      </w:pPr>
    </w:p>
    <w:p w14:paraId="3F0E1DF8" w14:textId="3ECFD492" w:rsidR="00C44A62" w:rsidRDefault="00C44A62" w:rsidP="00C44A62">
      <w:pPr>
        <w:pStyle w:val="Naslov4"/>
      </w:pPr>
      <w:bookmarkStart w:id="24" w:name="_Toc119581696"/>
      <w:r w:rsidRPr="00C44A62">
        <w:t>Transakcije, povezane s prepovedanim prehodom meje ali ozemlja države</w:t>
      </w:r>
      <w:bookmarkEnd w:id="24"/>
    </w:p>
    <w:p w14:paraId="461AC71F" w14:textId="77777777" w:rsidR="00C44A62" w:rsidRPr="00C44A62" w:rsidRDefault="00C44A62" w:rsidP="00C44A62"/>
    <w:p w14:paraId="1BA08BA9" w14:textId="2D816BC0" w:rsidR="00C44A62" w:rsidRPr="00D6351D" w:rsidRDefault="00C44A62" w:rsidP="00D6351D">
      <w:pPr>
        <w:tabs>
          <w:tab w:val="left" w:pos="-1049"/>
          <w:tab w:val="left" w:pos="-689"/>
          <w:tab w:val="left" w:pos="0"/>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s>
        <w:spacing w:line="276" w:lineRule="auto"/>
        <w:rPr>
          <w:bCs/>
          <w:iCs/>
          <w:color w:val="000000" w:themeColor="text1"/>
        </w:rPr>
      </w:pPr>
      <w:r w:rsidRPr="00D6351D">
        <w:rPr>
          <w:bCs/>
          <w:iCs/>
          <w:color w:val="000000" w:themeColor="text1"/>
        </w:rPr>
        <w:t xml:space="preserve">Transakcije, povezane s prepovedanim prehodom meje ali ozemlja države, je skupna značilnost, kjer iz primerov transakcij fizičnih ali pravnih oseb </w:t>
      </w:r>
      <w:r w:rsidR="00610E75">
        <w:rPr>
          <w:bCs/>
          <w:iCs/>
          <w:color w:val="000000" w:themeColor="text1"/>
        </w:rPr>
        <w:t>izhaja</w:t>
      </w:r>
      <w:r w:rsidRPr="00D6351D">
        <w:rPr>
          <w:bCs/>
          <w:iCs/>
          <w:color w:val="000000" w:themeColor="text1"/>
        </w:rPr>
        <w:t xml:space="preserve">, da bi le te lahko bile povezane s plačevanjem organizacije in izvedbe prepovedanih prehodov meje ali ozemlja države. V teh primerih se pogosto zazna izvrševanje transakcij preko sistemom za prenos sredstev, redkeje pa na bančnih računih. </w:t>
      </w:r>
    </w:p>
    <w:p w14:paraId="5CB335FA" w14:textId="77777777" w:rsidR="00C44A62" w:rsidRPr="00C44A62" w:rsidRDefault="00C44A62" w:rsidP="00C44A62">
      <w:pPr>
        <w:rPr>
          <w:color w:val="000000" w:themeColor="text1"/>
        </w:rPr>
      </w:pPr>
    </w:p>
    <w:p w14:paraId="791AA0B1" w14:textId="0C55C130" w:rsidR="00C44A62" w:rsidRDefault="00C44A62" w:rsidP="00C44A62">
      <w:pPr>
        <w:pStyle w:val="Naslov4"/>
      </w:pPr>
      <w:bookmarkStart w:id="25" w:name="_Toc119581697"/>
      <w:r w:rsidRPr="00C44A62">
        <w:t>Kršitev omejevalnih ukrepov</w:t>
      </w:r>
      <w:bookmarkEnd w:id="25"/>
    </w:p>
    <w:p w14:paraId="50E10882" w14:textId="77777777" w:rsidR="00C44A62" w:rsidRPr="00C44A62" w:rsidRDefault="00C44A62" w:rsidP="00C44A62"/>
    <w:p w14:paraId="0D939F63" w14:textId="075D99DD" w:rsidR="00C44A62" w:rsidRPr="00D6351D" w:rsidRDefault="00C44A62" w:rsidP="00D6351D">
      <w:pPr>
        <w:pStyle w:val="Telobesedila"/>
        <w:spacing w:line="276" w:lineRule="auto"/>
        <w:ind w:right="-22"/>
        <w:rPr>
          <w:rFonts w:ascii="Arial" w:hAnsi="Arial"/>
          <w:sz w:val="20"/>
        </w:rPr>
      </w:pPr>
      <w:r w:rsidRPr="00D6351D">
        <w:rPr>
          <w:rFonts w:ascii="Arial" w:hAnsi="Arial"/>
          <w:sz w:val="20"/>
        </w:rPr>
        <w:t xml:space="preserve">Kršitev omejevalnih ukrepov je skupna značilnost v informacijah, kjer </w:t>
      </w:r>
      <w:r w:rsidR="0042479C">
        <w:rPr>
          <w:rFonts w:ascii="Arial" w:hAnsi="Arial"/>
          <w:sz w:val="20"/>
        </w:rPr>
        <w:t>so zaznane</w:t>
      </w:r>
      <w:r w:rsidRPr="00D6351D">
        <w:rPr>
          <w:rFonts w:ascii="Arial" w:hAnsi="Arial"/>
          <w:sz w:val="20"/>
        </w:rPr>
        <w:t xml:space="preserve"> transakcije, povezane z državami ali subjekti</w:t>
      </w:r>
      <w:r w:rsidR="0042479C">
        <w:rPr>
          <w:rFonts w:ascii="Arial" w:hAnsi="Arial"/>
          <w:sz w:val="20"/>
        </w:rPr>
        <w:t>,</w:t>
      </w:r>
      <w:r w:rsidRPr="00D6351D">
        <w:rPr>
          <w:rFonts w:ascii="Arial" w:hAnsi="Arial"/>
          <w:sz w:val="20"/>
        </w:rPr>
        <w:t xml:space="preserve"> zoper katere veljajo mednarodne gospodarske sankcije ali omejevalni ukrepi</w:t>
      </w:r>
      <w:r w:rsidR="0042479C">
        <w:rPr>
          <w:rFonts w:ascii="Arial" w:hAnsi="Arial"/>
          <w:sz w:val="20"/>
        </w:rPr>
        <w:t>,</w:t>
      </w:r>
      <w:r w:rsidRPr="00D6351D">
        <w:rPr>
          <w:rFonts w:ascii="Arial" w:hAnsi="Arial"/>
          <w:sz w:val="20"/>
        </w:rPr>
        <w:t xml:space="preserve"> ali z državami, preko katerih bi se lahko zaobšlo poslovanje z državami ali subjekti, zoper katere veljajo mednarodne gospodarske sankcije ali omejevalne ukrepi. Z omejevalnimi ukrepi želi mednarodna skupnost na miren način doseči, da države ali drugi subjekti, ki ogrožajo mednarodni mir ali varnost, s tem prenehajo. Najpogosteje se kot gospodarske sankcije uporabljajo finančne sankcije, embargo oziroma prepoved prodaje in nakupa orožja in drug</w:t>
      </w:r>
      <w:r w:rsidR="0042479C">
        <w:rPr>
          <w:rFonts w:ascii="Arial" w:hAnsi="Arial"/>
          <w:sz w:val="20"/>
        </w:rPr>
        <w:t>e</w:t>
      </w:r>
      <w:r w:rsidRPr="00D6351D">
        <w:rPr>
          <w:rFonts w:ascii="Arial" w:hAnsi="Arial"/>
          <w:sz w:val="20"/>
        </w:rPr>
        <w:t xml:space="preserve"> oprem</w:t>
      </w:r>
      <w:r w:rsidR="0042479C">
        <w:rPr>
          <w:rFonts w:ascii="Arial" w:hAnsi="Arial"/>
          <w:sz w:val="20"/>
        </w:rPr>
        <w:t>e</w:t>
      </w:r>
      <w:r w:rsidRPr="00D6351D">
        <w:rPr>
          <w:rFonts w:ascii="Arial" w:hAnsi="Arial"/>
          <w:sz w:val="20"/>
        </w:rPr>
        <w:t xml:space="preserve"> ter »potovalni« embargo. S temi ukrepi se prepreči ali močno oteži gospodarsko sodelovanje in poslovanje z državami in subjekti, zoper katere veljajo omejevalni ukrepi.   </w:t>
      </w:r>
    </w:p>
    <w:p w14:paraId="0025C85F" w14:textId="77777777" w:rsidR="00B65A09" w:rsidRDefault="00B65A09" w:rsidP="00B65A09"/>
    <w:p w14:paraId="44849211" w14:textId="49A7A3B8" w:rsidR="00B65A09" w:rsidRDefault="00B65A09" w:rsidP="00B65A09">
      <w:pPr>
        <w:pStyle w:val="Naslov3"/>
      </w:pPr>
      <w:bookmarkStart w:id="26" w:name="_Toc119581698"/>
      <w:r>
        <w:t>Analiza informacij, poslanih Finančni upravi RS (FURS)</w:t>
      </w:r>
      <w:bookmarkEnd w:id="26"/>
    </w:p>
    <w:p w14:paraId="2CE480CD" w14:textId="77777777" w:rsidR="00B65A09" w:rsidRDefault="00B65A09" w:rsidP="00B65A09"/>
    <w:p w14:paraId="58157B5B" w14:textId="4B2A4021" w:rsidR="00D6351D" w:rsidRPr="00D6351D" w:rsidRDefault="00B25898" w:rsidP="00D6351D">
      <w:pPr>
        <w:tabs>
          <w:tab w:val="left" w:pos="-1049"/>
          <w:tab w:val="left" w:pos="-689"/>
          <w:tab w:val="left" w:pos="0"/>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s>
        <w:spacing w:line="276" w:lineRule="auto"/>
        <w:rPr>
          <w:bCs/>
          <w:iCs/>
          <w:color w:val="000000" w:themeColor="text1"/>
        </w:rPr>
      </w:pPr>
      <w:r w:rsidRPr="00D6351D">
        <w:rPr>
          <w:bCs/>
          <w:iCs/>
          <w:color w:val="000000" w:themeColor="text1"/>
        </w:rPr>
        <w:t xml:space="preserve">Urad v primerih, ko na podlagi zbranih podatkov presodi, da so v zvezi z neko transakcijo, sredstvi ali osebo podani razlogi za sum storitve kaznivega dejanja davčne zatajitve po 249. členu KZ-1, o tem v skladu s </w:t>
      </w:r>
      <w:r w:rsidR="0045290E" w:rsidRPr="00D6351D">
        <w:rPr>
          <w:bCs/>
          <w:iCs/>
          <w:color w:val="000000" w:themeColor="text1"/>
        </w:rPr>
        <w:t>102</w:t>
      </w:r>
      <w:r w:rsidRPr="00D6351D">
        <w:rPr>
          <w:bCs/>
          <w:iCs/>
          <w:color w:val="000000" w:themeColor="text1"/>
        </w:rPr>
        <w:t>. členom ZPPDFT-</w:t>
      </w:r>
      <w:r w:rsidR="0045290E" w:rsidRPr="00D6351D">
        <w:rPr>
          <w:bCs/>
          <w:iCs/>
          <w:color w:val="000000" w:themeColor="text1"/>
        </w:rPr>
        <w:t>1</w:t>
      </w:r>
      <w:r w:rsidRPr="00D6351D">
        <w:rPr>
          <w:bCs/>
          <w:iCs/>
          <w:color w:val="000000" w:themeColor="text1"/>
        </w:rPr>
        <w:t xml:space="preserve"> pošlje pisno informacijo FURS in policiji.</w:t>
      </w:r>
    </w:p>
    <w:p w14:paraId="13587633" w14:textId="18ADFF5B" w:rsidR="00B25898" w:rsidRPr="00D6351D" w:rsidRDefault="005623AC" w:rsidP="00D6351D">
      <w:pPr>
        <w:tabs>
          <w:tab w:val="left" w:pos="-1049"/>
          <w:tab w:val="left" w:pos="-689"/>
          <w:tab w:val="left" w:pos="0"/>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s>
        <w:spacing w:line="276" w:lineRule="auto"/>
        <w:rPr>
          <w:bCs/>
          <w:iCs/>
          <w:color w:val="000000" w:themeColor="text1"/>
        </w:rPr>
      </w:pPr>
      <w:r>
        <w:rPr>
          <w:bCs/>
          <w:iCs/>
          <w:color w:val="000000" w:themeColor="text1"/>
        </w:rPr>
        <w:t>U</w:t>
      </w:r>
      <w:r w:rsidR="00B25898" w:rsidRPr="00D6351D">
        <w:rPr>
          <w:bCs/>
          <w:iCs/>
          <w:color w:val="000000" w:themeColor="text1"/>
        </w:rPr>
        <w:t>rad</w:t>
      </w:r>
      <w:r>
        <w:rPr>
          <w:bCs/>
          <w:iCs/>
          <w:color w:val="000000" w:themeColor="text1"/>
        </w:rPr>
        <w:t xml:space="preserve"> je</w:t>
      </w:r>
      <w:r w:rsidR="00B25898" w:rsidRPr="00D6351D">
        <w:rPr>
          <w:bCs/>
          <w:iCs/>
          <w:color w:val="000000" w:themeColor="text1"/>
        </w:rPr>
        <w:t xml:space="preserve"> v letu 2021 v zvezi z ugotovljenimi sumi storitve kaznivega dejanja davčne zatajitve po 249. členu KZ-1 oziroma storitve uradno pregonljivih kaznivih dejanj s področja davčne zakonodaje FURS poslal </w:t>
      </w:r>
      <w:r w:rsidR="00B25898" w:rsidRPr="004266BB">
        <w:rPr>
          <w:b/>
          <w:iCs/>
          <w:color w:val="000000" w:themeColor="text1"/>
        </w:rPr>
        <w:t>598 pisnih informacij</w:t>
      </w:r>
      <w:r w:rsidR="00B25898" w:rsidRPr="00D6351D">
        <w:rPr>
          <w:bCs/>
          <w:iCs/>
          <w:color w:val="000000" w:themeColor="text1"/>
        </w:rPr>
        <w:t>. Informacije urada so se, podobno kot v preteklih letih, nanašale na ugotovljene sume zatajitve davčnih obveznosti fizičnih in pravnih oseb, in sicer tako na področju posrednih kot tudi neposrednih davkov.</w:t>
      </w:r>
    </w:p>
    <w:p w14:paraId="025B1BC9" w14:textId="741A7860" w:rsidR="00B25898" w:rsidRPr="00D6351D" w:rsidRDefault="00B25898" w:rsidP="00D6351D">
      <w:pPr>
        <w:tabs>
          <w:tab w:val="left" w:pos="-1049"/>
          <w:tab w:val="left" w:pos="-689"/>
          <w:tab w:val="left" w:pos="0"/>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s>
        <w:spacing w:line="276" w:lineRule="auto"/>
        <w:rPr>
          <w:bCs/>
          <w:iCs/>
          <w:color w:val="000000" w:themeColor="text1"/>
        </w:rPr>
      </w:pPr>
      <w:r w:rsidRPr="00D6351D">
        <w:rPr>
          <w:bCs/>
          <w:iCs/>
          <w:color w:val="000000" w:themeColor="text1"/>
        </w:rPr>
        <w:t xml:space="preserve">V zadevah, ki so bile povezane s sumi davčne zatajitve pri fizičnih osebah, so se ugotovitve največkrat nanašale na sume zatajitve dohodninskih obveznosti, prikritih izplačil dobičkov, utaj kapitalskih dobičkov, v več zadevah pa </w:t>
      </w:r>
      <w:r w:rsidR="005623AC">
        <w:rPr>
          <w:bCs/>
          <w:iCs/>
          <w:color w:val="000000" w:themeColor="text1"/>
        </w:rPr>
        <w:t>je bil ugotovljen</w:t>
      </w:r>
      <w:r w:rsidRPr="00D6351D">
        <w:rPr>
          <w:bCs/>
          <w:iCs/>
          <w:color w:val="000000" w:themeColor="text1"/>
        </w:rPr>
        <w:t xml:space="preserve"> razkorak med premoženjem davčnega zavezanca in prijavljenimi dohodki davčni upravi. </w:t>
      </w:r>
    </w:p>
    <w:p w14:paraId="175CAAC9" w14:textId="1DA3EE87" w:rsidR="00B25898" w:rsidRPr="00D6351D" w:rsidRDefault="00B25898" w:rsidP="00D6351D">
      <w:pPr>
        <w:tabs>
          <w:tab w:val="left" w:pos="-1049"/>
          <w:tab w:val="left" w:pos="-689"/>
          <w:tab w:val="left" w:pos="0"/>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s>
        <w:spacing w:line="276" w:lineRule="auto"/>
        <w:rPr>
          <w:bCs/>
          <w:iCs/>
          <w:color w:val="000000" w:themeColor="text1"/>
        </w:rPr>
      </w:pPr>
      <w:r w:rsidRPr="00D6351D">
        <w:rPr>
          <w:bCs/>
          <w:iCs/>
          <w:color w:val="000000" w:themeColor="text1"/>
        </w:rPr>
        <w:t xml:space="preserve">Že v preteklih letih se je urad, ki deluje kot posrednik med finančnim sistemom in organi pregona, izkazal kot izredno uspešen in učinkovit pri odkrivanju različnih oblik davčnih utaj in davčnih goljufij. </w:t>
      </w:r>
      <w:r w:rsidR="000370F8">
        <w:rPr>
          <w:bCs/>
          <w:iCs/>
          <w:color w:val="000000" w:themeColor="text1"/>
        </w:rPr>
        <w:t>Tudi letos</w:t>
      </w:r>
      <w:r w:rsidRPr="00D6351D">
        <w:rPr>
          <w:bCs/>
          <w:iCs/>
          <w:color w:val="000000" w:themeColor="text1"/>
        </w:rPr>
        <w:t xml:space="preserve"> se je FURS na informacije </w:t>
      </w:r>
      <w:r w:rsidR="000370F8">
        <w:rPr>
          <w:bCs/>
          <w:iCs/>
          <w:color w:val="000000" w:themeColor="text1"/>
        </w:rPr>
        <w:t xml:space="preserve">urada </w:t>
      </w:r>
      <w:r w:rsidRPr="00D6351D">
        <w:rPr>
          <w:bCs/>
          <w:iCs/>
          <w:color w:val="000000" w:themeColor="text1"/>
        </w:rPr>
        <w:t>odzval hitro in učinkovito. V zvezi z osebami</w:t>
      </w:r>
      <w:r w:rsidR="004266BB">
        <w:rPr>
          <w:bCs/>
          <w:iCs/>
          <w:color w:val="000000" w:themeColor="text1"/>
        </w:rPr>
        <w:t>, ki so bile zaznane v</w:t>
      </w:r>
      <w:r w:rsidRPr="00D6351D">
        <w:rPr>
          <w:bCs/>
          <w:iCs/>
          <w:color w:val="000000" w:themeColor="text1"/>
        </w:rPr>
        <w:t xml:space="preserve"> informacij</w:t>
      </w:r>
      <w:r w:rsidR="004266BB">
        <w:rPr>
          <w:bCs/>
          <w:iCs/>
          <w:color w:val="000000" w:themeColor="text1"/>
        </w:rPr>
        <w:t>ah</w:t>
      </w:r>
      <w:r w:rsidRPr="00D6351D">
        <w:rPr>
          <w:bCs/>
          <w:iCs/>
          <w:color w:val="000000" w:themeColor="text1"/>
        </w:rPr>
        <w:t xml:space="preserve"> urada v letu 2021</w:t>
      </w:r>
      <w:r w:rsidR="004266BB">
        <w:rPr>
          <w:bCs/>
          <w:iCs/>
          <w:color w:val="000000" w:themeColor="text1"/>
        </w:rPr>
        <w:t>,</w:t>
      </w:r>
      <w:r w:rsidRPr="00D6351D">
        <w:rPr>
          <w:bCs/>
          <w:iCs/>
          <w:color w:val="000000" w:themeColor="text1"/>
        </w:rPr>
        <w:t xml:space="preserve"> je FURS v delu zadev že uvedel določene ukrepe in postopke, preostali del zadev pa uvrstil v </w:t>
      </w:r>
      <w:r w:rsidR="000370F8">
        <w:rPr>
          <w:bCs/>
          <w:iCs/>
          <w:color w:val="000000" w:themeColor="text1"/>
        </w:rPr>
        <w:t xml:space="preserve">prihodnje </w:t>
      </w:r>
      <w:r w:rsidRPr="00D6351D">
        <w:rPr>
          <w:bCs/>
          <w:iCs/>
          <w:color w:val="000000" w:themeColor="text1"/>
        </w:rPr>
        <w:t>letne načrte. Ugotovitve in izveden</w:t>
      </w:r>
      <w:r w:rsidR="000370F8">
        <w:rPr>
          <w:bCs/>
          <w:iCs/>
          <w:color w:val="000000" w:themeColor="text1"/>
        </w:rPr>
        <w:t>i</w:t>
      </w:r>
      <w:r w:rsidRPr="00D6351D">
        <w:rPr>
          <w:bCs/>
          <w:iCs/>
          <w:color w:val="000000" w:themeColor="text1"/>
        </w:rPr>
        <w:t xml:space="preserve"> ukrep</w:t>
      </w:r>
      <w:r w:rsidR="000370F8">
        <w:rPr>
          <w:bCs/>
          <w:iCs/>
          <w:color w:val="000000" w:themeColor="text1"/>
        </w:rPr>
        <w:t>i</w:t>
      </w:r>
      <w:r w:rsidRPr="00D6351D">
        <w:rPr>
          <w:bCs/>
          <w:iCs/>
          <w:color w:val="000000" w:themeColor="text1"/>
        </w:rPr>
        <w:t xml:space="preserve"> </w:t>
      </w:r>
      <w:r w:rsidR="000370F8">
        <w:rPr>
          <w:bCs/>
          <w:iCs/>
          <w:color w:val="000000" w:themeColor="text1"/>
        </w:rPr>
        <w:t xml:space="preserve">FURS so opisani </w:t>
      </w:r>
      <w:r w:rsidRPr="00D6351D">
        <w:rPr>
          <w:bCs/>
          <w:iCs/>
          <w:color w:val="000000" w:themeColor="text1"/>
        </w:rPr>
        <w:t xml:space="preserve">v nadaljevanju.  </w:t>
      </w:r>
    </w:p>
    <w:p w14:paraId="6F8D363B" w14:textId="1486CC74" w:rsidR="00B25898" w:rsidRPr="00D6351D" w:rsidRDefault="00B25898" w:rsidP="00D6351D">
      <w:pPr>
        <w:tabs>
          <w:tab w:val="left" w:pos="-1049"/>
          <w:tab w:val="left" w:pos="-689"/>
          <w:tab w:val="left" w:pos="0"/>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s>
        <w:spacing w:line="276" w:lineRule="auto"/>
        <w:rPr>
          <w:bCs/>
          <w:iCs/>
          <w:color w:val="000000" w:themeColor="text1"/>
        </w:rPr>
      </w:pPr>
      <w:r w:rsidRPr="00D6351D">
        <w:rPr>
          <w:bCs/>
          <w:iCs/>
          <w:color w:val="000000" w:themeColor="text1"/>
        </w:rPr>
        <w:t xml:space="preserve">Urad od FURS enkrat letno prejme povratno informacijo o ugotovitvah in izvedenih ukrepih v zvezi z osebami, ki jih je navajal v svojih izdelkih. Iz te povratne informacije izhaja, da so bile </w:t>
      </w:r>
      <w:r w:rsidRPr="002866FD">
        <w:rPr>
          <w:b/>
          <w:iCs/>
          <w:color w:val="000000" w:themeColor="text1"/>
        </w:rPr>
        <w:t>v zvezi s 109 fizičnimi in pravnimi osebami, ki se pojavljajo v izdelkih urada, ugotovljene številne nepravilnosti, zaradi katerih je FURS izvedel več ukrepov</w:t>
      </w:r>
      <w:r w:rsidRPr="00D6351D">
        <w:rPr>
          <w:bCs/>
          <w:iCs/>
          <w:color w:val="000000" w:themeColor="text1"/>
        </w:rPr>
        <w:t>, in sicer:</w:t>
      </w:r>
    </w:p>
    <w:p w14:paraId="17667A22" w14:textId="77777777" w:rsidR="00B25898" w:rsidRPr="00B25898" w:rsidRDefault="00B25898" w:rsidP="00B25898">
      <w:pPr>
        <w:pStyle w:val="Odstavekseznama"/>
        <w:tabs>
          <w:tab w:val="left" w:pos="4536"/>
        </w:tabs>
        <w:ind w:left="851" w:hanging="284"/>
      </w:pPr>
      <w:r w:rsidRPr="00B25898">
        <w:t>v 10 primerih so bile na policijo podane kazenske ovadbe,</w:t>
      </w:r>
    </w:p>
    <w:p w14:paraId="51683834" w14:textId="77777777" w:rsidR="00B25898" w:rsidRPr="00B25898" w:rsidRDefault="00B25898" w:rsidP="00B25898">
      <w:pPr>
        <w:pStyle w:val="Odstavekseznama"/>
        <w:tabs>
          <w:tab w:val="left" w:pos="4536"/>
        </w:tabs>
        <w:ind w:left="851" w:hanging="284"/>
      </w:pPr>
      <w:r w:rsidRPr="00B25898">
        <w:t>v 129 primerih so bili izdani in vročeni prekrškovni akti po Zakonu o davčnem postopku, Zakonu o finančni upravi ali Zakonu o davku na dodano vrednost in izrečene globe v skupni višini 563.300 EUR,</w:t>
      </w:r>
    </w:p>
    <w:p w14:paraId="6E5E91F3" w14:textId="6A229649" w:rsidR="0045290E" w:rsidRDefault="00B25898" w:rsidP="0045290E">
      <w:pPr>
        <w:pStyle w:val="Odstavekseznama"/>
        <w:tabs>
          <w:tab w:val="left" w:pos="4536"/>
        </w:tabs>
        <w:ind w:left="851" w:hanging="284"/>
      </w:pPr>
      <w:r w:rsidRPr="00B25898">
        <w:t>v 22 primerih so bile naknadno obračunane davčne obveznosti (predvsem iz naslova DDPO, DDV, dohodnine).</w:t>
      </w:r>
    </w:p>
    <w:p w14:paraId="1BFD16AA" w14:textId="3F6974D9" w:rsidR="00B25898" w:rsidRPr="00D6351D" w:rsidRDefault="00B25898" w:rsidP="00D6351D">
      <w:pPr>
        <w:tabs>
          <w:tab w:val="left" w:pos="-1049"/>
          <w:tab w:val="left" w:pos="-689"/>
          <w:tab w:val="left" w:pos="0"/>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s>
        <w:spacing w:line="276" w:lineRule="auto"/>
        <w:rPr>
          <w:bCs/>
          <w:iCs/>
          <w:color w:val="000000" w:themeColor="text1"/>
        </w:rPr>
      </w:pPr>
      <w:r w:rsidRPr="00D6351D">
        <w:rPr>
          <w:bCs/>
          <w:iCs/>
          <w:color w:val="000000" w:themeColor="text1"/>
        </w:rPr>
        <w:t xml:space="preserve">Naknadno ugotovljene in obračunane davčne obveznosti so v letu 2021 znašale 3.125.616,14 EUR, in sicer je šlo za neposredne finančne učinke. </w:t>
      </w:r>
    </w:p>
    <w:p w14:paraId="671FEEA5" w14:textId="16B7751A" w:rsidR="00B65A09" w:rsidRPr="00D6351D" w:rsidRDefault="00B25898" w:rsidP="00D6351D">
      <w:pPr>
        <w:tabs>
          <w:tab w:val="left" w:pos="-1049"/>
          <w:tab w:val="left" w:pos="-689"/>
          <w:tab w:val="left" w:pos="0"/>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s>
        <w:spacing w:line="276" w:lineRule="auto"/>
        <w:rPr>
          <w:bCs/>
          <w:iCs/>
          <w:color w:val="000000" w:themeColor="text1"/>
        </w:rPr>
      </w:pPr>
      <w:r w:rsidRPr="00D6351D">
        <w:rPr>
          <w:bCs/>
          <w:iCs/>
          <w:color w:val="000000" w:themeColor="text1"/>
        </w:rPr>
        <w:lastRenderedPageBreak/>
        <w:t xml:space="preserve">Iz zgoraj opisanega izhaja, da ima urad poleg temeljne vloge odkrivanja in preprečevanja kaznivega dejanja pranja denarja pomembno vlogo tudi pri odkrivanju in preprečevanju drugih kaznivih dejanj, med drugim tudi davčnih zatajitev. Sodelovanje urada s FURS </w:t>
      </w:r>
      <w:r w:rsidR="0025768C">
        <w:rPr>
          <w:bCs/>
          <w:iCs/>
          <w:color w:val="000000" w:themeColor="text1"/>
        </w:rPr>
        <w:t>se ocenjuje</w:t>
      </w:r>
      <w:r w:rsidR="008F5012">
        <w:rPr>
          <w:bCs/>
          <w:iCs/>
          <w:color w:val="000000" w:themeColor="text1"/>
        </w:rPr>
        <w:t xml:space="preserve"> </w:t>
      </w:r>
      <w:r w:rsidRPr="00D6351D">
        <w:rPr>
          <w:bCs/>
          <w:iCs/>
          <w:color w:val="000000" w:themeColor="text1"/>
        </w:rPr>
        <w:t>kot zgledno in učinkovito.</w:t>
      </w:r>
    </w:p>
    <w:p w14:paraId="04C34BCD" w14:textId="129C106D" w:rsidR="00B25898" w:rsidRPr="00B25898" w:rsidRDefault="00B25898" w:rsidP="00B25898">
      <w:pPr>
        <w:tabs>
          <w:tab w:val="left" w:pos="-1049"/>
          <w:tab w:val="left" w:pos="-689"/>
          <w:tab w:val="left" w:pos="31"/>
          <w:tab w:val="left" w:pos="751"/>
          <w:tab w:val="left" w:pos="1471"/>
          <w:tab w:val="left" w:pos="2191"/>
          <w:tab w:val="left" w:pos="2911"/>
          <w:tab w:val="left" w:pos="3631"/>
          <w:tab w:val="center" w:pos="4153"/>
          <w:tab w:val="left" w:pos="4351"/>
          <w:tab w:val="left" w:pos="4531"/>
          <w:tab w:val="left" w:pos="5071"/>
          <w:tab w:val="left" w:pos="5791"/>
          <w:tab w:val="left" w:pos="6511"/>
          <w:tab w:val="left" w:pos="7231"/>
          <w:tab w:val="left" w:pos="7951"/>
          <w:tab w:val="right" w:pos="8306"/>
          <w:tab w:val="left" w:pos="8671"/>
          <w:tab w:val="left" w:pos="9391"/>
          <w:tab w:val="left" w:pos="10111"/>
          <w:tab w:val="left" w:pos="10831"/>
          <w:tab w:val="left" w:pos="11551"/>
        </w:tabs>
        <w:snapToGrid w:val="0"/>
        <w:spacing w:line="276" w:lineRule="auto"/>
        <w:rPr>
          <w:bCs/>
          <w:iCs/>
        </w:rPr>
      </w:pPr>
    </w:p>
    <w:p w14:paraId="4F130F66" w14:textId="09710EC4" w:rsidR="00B65A09" w:rsidRDefault="00B65A09" w:rsidP="00B65A09">
      <w:pPr>
        <w:pStyle w:val="Naslov3"/>
      </w:pPr>
      <w:bookmarkStart w:id="27" w:name="_Toc119581699"/>
      <w:r>
        <w:t>Izvajanje pooblastila za začasno ustavitev izvršitve transakcij</w:t>
      </w:r>
      <w:bookmarkEnd w:id="27"/>
      <w:r>
        <w:t xml:space="preserve"> </w:t>
      </w:r>
    </w:p>
    <w:p w14:paraId="2942A5A1" w14:textId="77777777" w:rsidR="00B65A09" w:rsidRDefault="00B65A09" w:rsidP="00B65A09"/>
    <w:p w14:paraId="422F43B8" w14:textId="0DA15EBD" w:rsidR="007F6EEF" w:rsidRPr="00D6351D" w:rsidRDefault="007F6EEF" w:rsidP="00D6351D">
      <w:pPr>
        <w:tabs>
          <w:tab w:val="left" w:pos="-1049"/>
          <w:tab w:val="left" w:pos="-689"/>
          <w:tab w:val="left" w:pos="0"/>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s>
        <w:spacing w:line="276" w:lineRule="auto"/>
        <w:rPr>
          <w:bCs/>
          <w:iCs/>
          <w:color w:val="000000" w:themeColor="text1"/>
        </w:rPr>
      </w:pPr>
      <w:r w:rsidRPr="00D6351D">
        <w:rPr>
          <w:bCs/>
          <w:iCs/>
          <w:color w:val="000000" w:themeColor="text1"/>
        </w:rPr>
        <w:t>Z</w:t>
      </w:r>
      <w:r w:rsidR="0045290E" w:rsidRPr="00D6351D">
        <w:rPr>
          <w:bCs/>
          <w:iCs/>
          <w:color w:val="000000" w:themeColor="text1"/>
        </w:rPr>
        <w:t>PPDFT-1</w:t>
      </w:r>
      <w:r w:rsidRPr="00D6351D">
        <w:rPr>
          <w:bCs/>
          <w:iCs/>
          <w:color w:val="000000" w:themeColor="text1"/>
        </w:rPr>
        <w:t xml:space="preserve"> v </w:t>
      </w:r>
      <w:r w:rsidR="0045290E" w:rsidRPr="00D6351D">
        <w:rPr>
          <w:bCs/>
          <w:iCs/>
          <w:color w:val="000000" w:themeColor="text1"/>
        </w:rPr>
        <w:t>96</w:t>
      </w:r>
      <w:r w:rsidRPr="00D6351D">
        <w:rPr>
          <w:bCs/>
          <w:iCs/>
          <w:color w:val="000000" w:themeColor="text1"/>
        </w:rPr>
        <w:t xml:space="preserve">. členu določa, da lahko urad, če oceni, da je podan utemeljen sum storitve kaznivega dejanja pranja denarja, odredi začasno ustavitev izvršitve transakcije, vendar največ za 3 delovne dni. Urad je navedeno pooblastilo v letu 2021 uporabil </w:t>
      </w:r>
      <w:r w:rsidRPr="002866FD">
        <w:rPr>
          <w:b/>
          <w:iCs/>
          <w:color w:val="000000" w:themeColor="text1"/>
        </w:rPr>
        <w:t>v 3 zadevah, ko je v breme 3 bančnih računov ustavil transakcije v skupnem znesku 496.125,61 EUR in 179.982,00 USD</w:t>
      </w:r>
      <w:r w:rsidRPr="00D6351D">
        <w:rPr>
          <w:bCs/>
          <w:iCs/>
          <w:color w:val="000000" w:themeColor="text1"/>
        </w:rPr>
        <w:t xml:space="preserve">. Odredbe o ustavitvi so se nanašale na tri bančne račune v Sloveniji, katerih imetnice </w:t>
      </w:r>
      <w:r w:rsidR="008F5012">
        <w:rPr>
          <w:bCs/>
          <w:iCs/>
          <w:color w:val="000000" w:themeColor="text1"/>
        </w:rPr>
        <w:t>sta bili</w:t>
      </w:r>
      <w:r w:rsidRPr="00D6351D">
        <w:rPr>
          <w:bCs/>
          <w:iCs/>
          <w:color w:val="000000" w:themeColor="text1"/>
        </w:rPr>
        <w:t xml:space="preserve"> dve domači fizični osebi in ena domača pravna oseba. V delu teh primerov je tožilstvo pred potekom začasne ustavitve transakcije predlagalo začasno prepoved razpolaganja z vsemi sredstvi na računih, sodišča pa so na predlog tožilstva izdala odredbe o začasnem zavarovanju sredstev na računu.</w:t>
      </w:r>
    </w:p>
    <w:p w14:paraId="28642BB7" w14:textId="77777777" w:rsidR="00B65A09" w:rsidRDefault="00B65A09" w:rsidP="00B65A09"/>
    <w:p w14:paraId="25EDDBBB" w14:textId="4135CE12" w:rsidR="00B65A09" w:rsidRDefault="00B65A09" w:rsidP="00B65A09">
      <w:pPr>
        <w:pStyle w:val="Naslov3"/>
      </w:pPr>
      <w:bookmarkStart w:id="28" w:name="_Toc119581700"/>
      <w:r>
        <w:t>Vrednost začasno zavarovanega premoženja v zadevah s področja pranja denarja</w:t>
      </w:r>
      <w:bookmarkEnd w:id="28"/>
    </w:p>
    <w:p w14:paraId="31135D04" w14:textId="77777777" w:rsidR="00B65A09" w:rsidRDefault="00B65A09" w:rsidP="00B65A09"/>
    <w:p w14:paraId="66D88D0C" w14:textId="7B01FA0D" w:rsidR="00004AD1" w:rsidRPr="00D6351D" w:rsidRDefault="00004AD1" w:rsidP="00D6351D">
      <w:pPr>
        <w:tabs>
          <w:tab w:val="left" w:pos="-1049"/>
          <w:tab w:val="left" w:pos="-689"/>
          <w:tab w:val="left" w:pos="0"/>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s>
        <w:spacing w:line="276" w:lineRule="auto"/>
        <w:rPr>
          <w:bCs/>
          <w:iCs/>
          <w:color w:val="000000" w:themeColor="text1"/>
        </w:rPr>
      </w:pPr>
      <w:r w:rsidRPr="00D6351D">
        <w:rPr>
          <w:bCs/>
          <w:iCs/>
          <w:color w:val="000000" w:themeColor="text1"/>
        </w:rPr>
        <w:t xml:space="preserve">V letu 2021 sodišča v nobeni novi zadevi, v kateri se obravnava kaznivo dejanje pranja denarja, </w:t>
      </w:r>
      <w:r w:rsidR="006E61B7" w:rsidRPr="00D6351D">
        <w:rPr>
          <w:bCs/>
          <w:iCs/>
          <w:color w:val="000000" w:themeColor="text1"/>
        </w:rPr>
        <w:t xml:space="preserve">niso </w:t>
      </w:r>
      <w:r w:rsidRPr="00D6351D">
        <w:rPr>
          <w:bCs/>
          <w:iCs/>
          <w:color w:val="000000" w:themeColor="text1"/>
        </w:rPr>
        <w:t xml:space="preserve">začasno zavarovala premoženje, ampak so zgolj v že obstoječih postopkih podaljšala obdobje zavarovanja. </w:t>
      </w:r>
    </w:p>
    <w:p w14:paraId="1CA7F801" w14:textId="525CD1DE" w:rsidR="00004AD1" w:rsidRPr="00D6351D" w:rsidRDefault="00004AD1" w:rsidP="00D6351D">
      <w:pPr>
        <w:tabs>
          <w:tab w:val="left" w:pos="-1049"/>
          <w:tab w:val="left" w:pos="-689"/>
          <w:tab w:val="left" w:pos="0"/>
          <w:tab w:val="left" w:pos="751"/>
          <w:tab w:val="left" w:pos="1471"/>
          <w:tab w:val="left" w:pos="2191"/>
          <w:tab w:val="left" w:pos="2911"/>
          <w:tab w:val="left" w:pos="3631"/>
          <w:tab w:val="left" w:pos="4351"/>
          <w:tab w:val="left" w:pos="4531"/>
          <w:tab w:val="left" w:pos="5071"/>
          <w:tab w:val="left" w:pos="5791"/>
          <w:tab w:val="left" w:pos="6511"/>
          <w:tab w:val="left" w:pos="7231"/>
          <w:tab w:val="left" w:pos="7951"/>
          <w:tab w:val="left" w:pos="8671"/>
        </w:tabs>
        <w:spacing w:line="276" w:lineRule="auto"/>
        <w:rPr>
          <w:bCs/>
          <w:iCs/>
          <w:color w:val="000000" w:themeColor="text1"/>
        </w:rPr>
      </w:pPr>
      <w:r w:rsidRPr="00D6351D">
        <w:rPr>
          <w:bCs/>
          <w:iCs/>
          <w:color w:val="000000" w:themeColor="text1"/>
        </w:rPr>
        <w:t xml:space="preserve">V nadaljevanju </w:t>
      </w:r>
      <w:r w:rsidR="008F5012">
        <w:rPr>
          <w:bCs/>
          <w:iCs/>
          <w:color w:val="000000" w:themeColor="text1"/>
        </w:rPr>
        <w:t xml:space="preserve">je </w:t>
      </w:r>
      <w:r w:rsidRPr="00D6351D">
        <w:rPr>
          <w:bCs/>
          <w:iCs/>
          <w:color w:val="000000" w:themeColor="text1"/>
        </w:rPr>
        <w:t xml:space="preserve">v preglednici 9 </w:t>
      </w:r>
      <w:r w:rsidR="008F5012">
        <w:rPr>
          <w:bCs/>
          <w:iCs/>
          <w:color w:val="000000" w:themeColor="text1"/>
        </w:rPr>
        <w:t>prikazana</w:t>
      </w:r>
      <w:r w:rsidRPr="00D6351D">
        <w:rPr>
          <w:bCs/>
          <w:iCs/>
          <w:color w:val="000000" w:themeColor="text1"/>
        </w:rPr>
        <w:t xml:space="preserve"> vrednost premoženja, ki je bilo v 13 zadevah zavarovano z odredbami sodišč na dan 31. 12. 2021 in se je nanašalo na 13 domačih fizičnih oseb, eno domačo pravno osebo ter štiri tuje fizične osebe in tri tuje pravne osebe.</w:t>
      </w:r>
    </w:p>
    <w:p w14:paraId="72E1EE64" w14:textId="77777777" w:rsidR="00004AD1" w:rsidRPr="00D46CC6" w:rsidRDefault="00004AD1" w:rsidP="005A0CAB">
      <w:pPr>
        <w:spacing w:line="276" w:lineRule="auto"/>
        <w:ind w:right="-22"/>
        <w:rPr>
          <w:color w:val="FF0000"/>
        </w:rPr>
      </w:pPr>
    </w:p>
    <w:p w14:paraId="60835CBA" w14:textId="77777777" w:rsidR="00004AD1" w:rsidRPr="00004AD1" w:rsidRDefault="00004AD1" w:rsidP="00004AD1">
      <w:pPr>
        <w:spacing w:line="276" w:lineRule="auto"/>
        <w:ind w:left="1418" w:right="-22" w:hanging="1418"/>
        <w:rPr>
          <w:b/>
          <w:bCs/>
          <w:i/>
          <w:iCs/>
          <w:sz w:val="18"/>
          <w:szCs w:val="18"/>
        </w:rPr>
      </w:pPr>
      <w:r w:rsidRPr="00004AD1">
        <w:rPr>
          <w:b/>
          <w:bCs/>
          <w:i/>
          <w:iCs/>
          <w:sz w:val="18"/>
          <w:szCs w:val="18"/>
        </w:rPr>
        <w:t xml:space="preserve">Preglednica 9: </w:t>
      </w:r>
      <w:r w:rsidRPr="00004AD1">
        <w:rPr>
          <w:b/>
          <w:bCs/>
          <w:i/>
          <w:iCs/>
          <w:sz w:val="18"/>
          <w:szCs w:val="18"/>
        </w:rPr>
        <w:tab/>
        <w:t>Pregled začasno zaseženega premoženja v Sloveniji in tujini na dan 31. 12. 2021, po valutah in vrsti premoženja</w:t>
      </w:r>
    </w:p>
    <w:tbl>
      <w:tblPr>
        <w:tblStyle w:val="Tabelatemnamrea5poudarek5"/>
        <w:tblW w:w="8070" w:type="dxa"/>
        <w:tblLook w:val="04A0" w:firstRow="1" w:lastRow="0" w:firstColumn="1" w:lastColumn="0" w:noHBand="0" w:noVBand="1"/>
      </w:tblPr>
      <w:tblGrid>
        <w:gridCol w:w="4576"/>
        <w:gridCol w:w="2218"/>
        <w:gridCol w:w="1276"/>
      </w:tblGrid>
      <w:tr w:rsidR="00A9101E" w:rsidRPr="00A9101E" w14:paraId="2E4591B7" w14:textId="77777777" w:rsidTr="00CB301F">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576" w:type="dxa"/>
            <w:noWrap/>
            <w:hideMark/>
          </w:tcPr>
          <w:p w14:paraId="6D70C92E" w14:textId="77777777" w:rsidR="00004AD1" w:rsidRPr="00A9101E" w:rsidRDefault="00004AD1" w:rsidP="00F569C7">
            <w:pPr>
              <w:spacing w:line="360" w:lineRule="auto"/>
              <w:jc w:val="left"/>
              <w:rPr>
                <w:color w:val="auto"/>
                <w:lang w:eastAsia="sl-SI"/>
              </w:rPr>
            </w:pPr>
            <w:r w:rsidRPr="00A9101E">
              <w:rPr>
                <w:color w:val="auto"/>
                <w:lang w:eastAsia="sl-SI"/>
              </w:rPr>
              <w:t>VRSTA ZASEŽENEGA PREMOŽENJA</w:t>
            </w:r>
          </w:p>
        </w:tc>
        <w:tc>
          <w:tcPr>
            <w:tcW w:w="2218" w:type="dxa"/>
            <w:noWrap/>
            <w:hideMark/>
          </w:tcPr>
          <w:p w14:paraId="1AE2D7EF" w14:textId="77777777" w:rsidR="00004AD1" w:rsidRPr="00A9101E" w:rsidRDefault="00004AD1" w:rsidP="00F569C7">
            <w:pPr>
              <w:spacing w:line="360" w:lineRule="auto"/>
              <w:jc w:val="right"/>
              <w:cnfStyle w:val="100000000000" w:firstRow="1" w:lastRow="0" w:firstColumn="0" w:lastColumn="0" w:oddVBand="0" w:evenVBand="0" w:oddHBand="0" w:evenHBand="0" w:firstRowFirstColumn="0" w:firstRowLastColumn="0" w:lastRowFirstColumn="0" w:lastRowLastColumn="0"/>
              <w:rPr>
                <w:b w:val="0"/>
                <w:bCs w:val="0"/>
                <w:color w:val="auto"/>
                <w:lang w:eastAsia="sl-SI"/>
              </w:rPr>
            </w:pPr>
            <w:r w:rsidRPr="00A9101E">
              <w:rPr>
                <w:color w:val="auto"/>
                <w:lang w:eastAsia="sl-SI"/>
              </w:rPr>
              <w:t>ZNESEK</w:t>
            </w:r>
          </w:p>
        </w:tc>
        <w:tc>
          <w:tcPr>
            <w:tcW w:w="1276" w:type="dxa"/>
            <w:noWrap/>
            <w:hideMark/>
          </w:tcPr>
          <w:p w14:paraId="0B82A6CC" w14:textId="77777777" w:rsidR="00004AD1" w:rsidRPr="00A9101E" w:rsidRDefault="00004AD1" w:rsidP="00F569C7">
            <w:pPr>
              <w:spacing w:line="360" w:lineRule="auto"/>
              <w:jc w:val="left"/>
              <w:cnfStyle w:val="100000000000" w:firstRow="1" w:lastRow="0" w:firstColumn="0" w:lastColumn="0" w:oddVBand="0" w:evenVBand="0" w:oddHBand="0" w:evenHBand="0" w:firstRowFirstColumn="0" w:firstRowLastColumn="0" w:lastRowFirstColumn="0" w:lastRowLastColumn="0"/>
              <w:rPr>
                <w:b w:val="0"/>
                <w:bCs w:val="0"/>
                <w:color w:val="auto"/>
                <w:lang w:eastAsia="sl-SI"/>
              </w:rPr>
            </w:pPr>
            <w:r w:rsidRPr="00A9101E">
              <w:rPr>
                <w:color w:val="auto"/>
                <w:lang w:eastAsia="sl-SI"/>
              </w:rPr>
              <w:t>VALUTA</w:t>
            </w:r>
          </w:p>
        </w:tc>
      </w:tr>
      <w:tr w:rsidR="00A9101E" w:rsidRPr="00A9101E" w14:paraId="0D8E1DF0" w14:textId="77777777" w:rsidTr="00CB301F">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576" w:type="dxa"/>
            <w:noWrap/>
            <w:hideMark/>
          </w:tcPr>
          <w:p w14:paraId="3DF3D666" w14:textId="77777777" w:rsidR="00004AD1" w:rsidRPr="00A9101E" w:rsidRDefault="00004AD1" w:rsidP="00F569C7">
            <w:pPr>
              <w:spacing w:line="360" w:lineRule="auto"/>
              <w:jc w:val="left"/>
              <w:rPr>
                <w:color w:val="auto"/>
                <w:lang w:eastAsia="sl-SI"/>
              </w:rPr>
            </w:pPr>
            <w:r w:rsidRPr="00A9101E">
              <w:rPr>
                <w:color w:val="auto"/>
                <w:lang w:eastAsia="sl-SI"/>
              </w:rPr>
              <w:t>Nepremičnine</w:t>
            </w:r>
          </w:p>
        </w:tc>
        <w:tc>
          <w:tcPr>
            <w:tcW w:w="2218" w:type="dxa"/>
            <w:noWrap/>
            <w:hideMark/>
          </w:tcPr>
          <w:p w14:paraId="4E74D461" w14:textId="77777777" w:rsidR="00004AD1" w:rsidRPr="00A9101E" w:rsidRDefault="00004AD1" w:rsidP="00F569C7">
            <w:pPr>
              <w:spacing w:line="360" w:lineRule="auto"/>
              <w:jc w:val="righ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280.004</w:t>
            </w:r>
          </w:p>
        </w:tc>
        <w:tc>
          <w:tcPr>
            <w:tcW w:w="1276" w:type="dxa"/>
            <w:noWrap/>
            <w:hideMark/>
          </w:tcPr>
          <w:p w14:paraId="73047875" w14:textId="77777777" w:rsidR="00004AD1" w:rsidRPr="00A9101E" w:rsidRDefault="00004AD1" w:rsidP="00F569C7">
            <w:pPr>
              <w:spacing w:line="360" w:lineRule="auto"/>
              <w:jc w:val="lef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EUR</w:t>
            </w:r>
          </w:p>
        </w:tc>
      </w:tr>
      <w:tr w:rsidR="00A9101E" w:rsidRPr="00A9101E" w14:paraId="5AFF5538" w14:textId="77777777" w:rsidTr="00CB301F">
        <w:trPr>
          <w:trHeight w:val="249"/>
        </w:trPr>
        <w:tc>
          <w:tcPr>
            <w:cnfStyle w:val="001000000000" w:firstRow="0" w:lastRow="0" w:firstColumn="1" w:lastColumn="0" w:oddVBand="0" w:evenVBand="0" w:oddHBand="0" w:evenHBand="0" w:firstRowFirstColumn="0" w:firstRowLastColumn="0" w:lastRowFirstColumn="0" w:lastRowLastColumn="0"/>
            <w:tcW w:w="4576" w:type="dxa"/>
            <w:noWrap/>
          </w:tcPr>
          <w:p w14:paraId="201F365D" w14:textId="77777777" w:rsidR="00004AD1" w:rsidRPr="00A9101E" w:rsidRDefault="00004AD1" w:rsidP="00F569C7">
            <w:pPr>
              <w:spacing w:line="360" w:lineRule="auto"/>
              <w:jc w:val="left"/>
              <w:rPr>
                <w:color w:val="auto"/>
                <w:lang w:eastAsia="sl-SI"/>
              </w:rPr>
            </w:pPr>
            <w:r w:rsidRPr="00A9101E">
              <w:rPr>
                <w:color w:val="auto"/>
                <w:lang w:eastAsia="sl-SI"/>
              </w:rPr>
              <w:t>Virtualne valute</w:t>
            </w:r>
          </w:p>
        </w:tc>
        <w:tc>
          <w:tcPr>
            <w:tcW w:w="2218" w:type="dxa"/>
            <w:noWrap/>
          </w:tcPr>
          <w:p w14:paraId="68754DC6" w14:textId="77777777" w:rsidR="00004AD1" w:rsidRPr="00A9101E" w:rsidRDefault="00004AD1" w:rsidP="00F569C7">
            <w:pPr>
              <w:spacing w:line="360" w:lineRule="auto"/>
              <w:jc w:val="righ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12,0995</w:t>
            </w:r>
          </w:p>
        </w:tc>
        <w:tc>
          <w:tcPr>
            <w:tcW w:w="1276" w:type="dxa"/>
            <w:noWrap/>
          </w:tcPr>
          <w:p w14:paraId="77358369" w14:textId="77777777" w:rsidR="00004AD1" w:rsidRPr="00A9101E" w:rsidRDefault="00004AD1" w:rsidP="00F569C7">
            <w:pPr>
              <w:spacing w:line="360" w:lineRule="auto"/>
              <w:jc w:val="lef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BTC</w:t>
            </w:r>
          </w:p>
        </w:tc>
      </w:tr>
      <w:tr w:rsidR="00A9101E" w:rsidRPr="00A9101E" w14:paraId="3AA531A9" w14:textId="77777777" w:rsidTr="00CB301F">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576" w:type="dxa"/>
            <w:noWrap/>
            <w:hideMark/>
          </w:tcPr>
          <w:p w14:paraId="10752BC6" w14:textId="77777777" w:rsidR="00004AD1" w:rsidRPr="00A9101E" w:rsidRDefault="00004AD1" w:rsidP="00F569C7">
            <w:pPr>
              <w:spacing w:line="360" w:lineRule="auto"/>
              <w:jc w:val="left"/>
              <w:rPr>
                <w:color w:val="auto"/>
                <w:lang w:eastAsia="sl-SI"/>
              </w:rPr>
            </w:pPr>
            <w:r w:rsidRPr="00A9101E">
              <w:rPr>
                <w:color w:val="auto"/>
                <w:lang w:eastAsia="sl-SI"/>
              </w:rPr>
              <w:t>Poslovni deleži</w:t>
            </w:r>
          </w:p>
        </w:tc>
        <w:tc>
          <w:tcPr>
            <w:tcW w:w="2218" w:type="dxa"/>
            <w:noWrap/>
            <w:hideMark/>
          </w:tcPr>
          <w:p w14:paraId="7A1D0A04" w14:textId="77777777" w:rsidR="00004AD1" w:rsidRPr="00A9101E" w:rsidRDefault="00004AD1" w:rsidP="00F569C7">
            <w:pPr>
              <w:spacing w:line="360" w:lineRule="auto"/>
              <w:jc w:val="righ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29.000.000</w:t>
            </w:r>
          </w:p>
        </w:tc>
        <w:tc>
          <w:tcPr>
            <w:tcW w:w="1276" w:type="dxa"/>
            <w:noWrap/>
            <w:hideMark/>
          </w:tcPr>
          <w:p w14:paraId="47163968" w14:textId="77777777" w:rsidR="00004AD1" w:rsidRPr="00A9101E" w:rsidRDefault="00004AD1" w:rsidP="00F569C7">
            <w:pPr>
              <w:spacing w:line="360" w:lineRule="auto"/>
              <w:jc w:val="lef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EUR</w:t>
            </w:r>
          </w:p>
        </w:tc>
      </w:tr>
      <w:tr w:rsidR="00A9101E" w:rsidRPr="00A9101E" w14:paraId="3F986F95" w14:textId="77777777" w:rsidTr="00CB301F">
        <w:trPr>
          <w:trHeight w:val="249"/>
        </w:trPr>
        <w:tc>
          <w:tcPr>
            <w:cnfStyle w:val="001000000000" w:firstRow="0" w:lastRow="0" w:firstColumn="1" w:lastColumn="0" w:oddVBand="0" w:evenVBand="0" w:oddHBand="0" w:evenHBand="0" w:firstRowFirstColumn="0" w:firstRowLastColumn="0" w:lastRowFirstColumn="0" w:lastRowLastColumn="0"/>
            <w:tcW w:w="4576" w:type="dxa"/>
            <w:noWrap/>
            <w:hideMark/>
          </w:tcPr>
          <w:p w14:paraId="6E6EE2EE" w14:textId="77777777" w:rsidR="00004AD1" w:rsidRPr="00A9101E" w:rsidRDefault="00004AD1" w:rsidP="00F569C7">
            <w:pPr>
              <w:spacing w:line="360" w:lineRule="auto"/>
              <w:jc w:val="left"/>
              <w:rPr>
                <w:color w:val="auto"/>
                <w:lang w:eastAsia="sl-SI"/>
              </w:rPr>
            </w:pPr>
            <w:r w:rsidRPr="00A9101E">
              <w:rPr>
                <w:color w:val="auto"/>
                <w:lang w:eastAsia="sl-SI"/>
              </w:rPr>
              <w:t>Denarna sredstva (bančni računi, gotovina)</w:t>
            </w:r>
          </w:p>
        </w:tc>
        <w:tc>
          <w:tcPr>
            <w:tcW w:w="2218" w:type="dxa"/>
            <w:noWrap/>
            <w:hideMark/>
          </w:tcPr>
          <w:p w14:paraId="2F04A9B1" w14:textId="77777777" w:rsidR="00004AD1" w:rsidRPr="00A9101E" w:rsidRDefault="00004AD1" w:rsidP="00F569C7">
            <w:pPr>
              <w:spacing w:line="360" w:lineRule="auto"/>
              <w:jc w:val="righ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35.866.664</w:t>
            </w:r>
          </w:p>
        </w:tc>
        <w:tc>
          <w:tcPr>
            <w:tcW w:w="1276" w:type="dxa"/>
            <w:noWrap/>
            <w:hideMark/>
          </w:tcPr>
          <w:p w14:paraId="60EEAE0F" w14:textId="77777777" w:rsidR="00004AD1" w:rsidRPr="00A9101E" w:rsidRDefault="00004AD1" w:rsidP="00F569C7">
            <w:pPr>
              <w:spacing w:line="360" w:lineRule="auto"/>
              <w:jc w:val="lef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EUR</w:t>
            </w:r>
          </w:p>
        </w:tc>
      </w:tr>
      <w:tr w:rsidR="00A9101E" w:rsidRPr="00A9101E" w14:paraId="7A9E6838" w14:textId="77777777" w:rsidTr="00CB301F">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4576" w:type="dxa"/>
            <w:noWrap/>
            <w:hideMark/>
          </w:tcPr>
          <w:p w14:paraId="55FD83D0" w14:textId="77777777" w:rsidR="00004AD1" w:rsidRPr="00A9101E" w:rsidRDefault="00004AD1" w:rsidP="00F569C7">
            <w:pPr>
              <w:spacing w:line="360" w:lineRule="auto"/>
              <w:jc w:val="left"/>
              <w:rPr>
                <w:color w:val="auto"/>
                <w:lang w:eastAsia="sl-SI"/>
              </w:rPr>
            </w:pPr>
            <w:r w:rsidRPr="00A9101E">
              <w:rPr>
                <w:color w:val="auto"/>
                <w:lang w:eastAsia="sl-SI"/>
              </w:rPr>
              <w:t>Blagovne znamke</w:t>
            </w:r>
          </w:p>
        </w:tc>
        <w:tc>
          <w:tcPr>
            <w:tcW w:w="2218" w:type="dxa"/>
            <w:noWrap/>
            <w:hideMark/>
          </w:tcPr>
          <w:p w14:paraId="79B6B6D9" w14:textId="77777777" w:rsidR="00004AD1" w:rsidRPr="00A9101E" w:rsidRDefault="00004AD1" w:rsidP="00F569C7">
            <w:pPr>
              <w:spacing w:line="360" w:lineRule="auto"/>
              <w:jc w:val="righ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94.500.000</w:t>
            </w:r>
          </w:p>
        </w:tc>
        <w:tc>
          <w:tcPr>
            <w:tcW w:w="1276" w:type="dxa"/>
            <w:noWrap/>
            <w:hideMark/>
          </w:tcPr>
          <w:p w14:paraId="71919F6F" w14:textId="77777777" w:rsidR="00004AD1" w:rsidRPr="00A9101E" w:rsidRDefault="00004AD1" w:rsidP="00F569C7">
            <w:pPr>
              <w:spacing w:line="360" w:lineRule="auto"/>
              <w:jc w:val="lef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EUR</w:t>
            </w:r>
          </w:p>
        </w:tc>
      </w:tr>
      <w:tr w:rsidR="00A9101E" w:rsidRPr="00A9101E" w14:paraId="730F8670" w14:textId="77777777" w:rsidTr="00CB301F">
        <w:trPr>
          <w:trHeight w:val="249"/>
        </w:trPr>
        <w:tc>
          <w:tcPr>
            <w:cnfStyle w:val="001000000000" w:firstRow="0" w:lastRow="0" w:firstColumn="1" w:lastColumn="0" w:oddVBand="0" w:evenVBand="0" w:oddHBand="0" w:evenHBand="0" w:firstRowFirstColumn="0" w:firstRowLastColumn="0" w:lastRowFirstColumn="0" w:lastRowLastColumn="0"/>
            <w:tcW w:w="4576" w:type="dxa"/>
            <w:noWrap/>
            <w:hideMark/>
          </w:tcPr>
          <w:p w14:paraId="2A113923" w14:textId="77777777" w:rsidR="00004AD1" w:rsidRPr="00A9101E" w:rsidRDefault="00004AD1" w:rsidP="00F569C7">
            <w:pPr>
              <w:spacing w:line="360" w:lineRule="auto"/>
              <w:jc w:val="left"/>
              <w:rPr>
                <w:b w:val="0"/>
                <w:bCs w:val="0"/>
                <w:color w:val="auto"/>
                <w:lang w:eastAsia="sl-SI"/>
              </w:rPr>
            </w:pPr>
            <w:r w:rsidRPr="00A9101E">
              <w:rPr>
                <w:color w:val="auto"/>
                <w:lang w:eastAsia="sl-SI"/>
              </w:rPr>
              <w:t>SKUPAJ</w:t>
            </w:r>
          </w:p>
        </w:tc>
        <w:tc>
          <w:tcPr>
            <w:tcW w:w="2218" w:type="dxa"/>
            <w:noWrap/>
            <w:hideMark/>
          </w:tcPr>
          <w:p w14:paraId="71C9B2E0" w14:textId="77777777" w:rsidR="00004AD1" w:rsidRPr="00A9101E" w:rsidRDefault="00004AD1" w:rsidP="00F569C7">
            <w:pPr>
              <w:spacing w:line="360" w:lineRule="auto"/>
              <w:jc w:val="right"/>
              <w:cnfStyle w:val="000000000000" w:firstRow="0" w:lastRow="0" w:firstColumn="0" w:lastColumn="0" w:oddVBand="0" w:evenVBand="0" w:oddHBand="0" w:evenHBand="0" w:firstRowFirstColumn="0" w:firstRowLastColumn="0" w:lastRowFirstColumn="0" w:lastRowLastColumn="0"/>
              <w:rPr>
                <w:b/>
                <w:bCs/>
                <w:lang w:eastAsia="sl-SI"/>
              </w:rPr>
            </w:pPr>
            <w:r w:rsidRPr="00A9101E">
              <w:rPr>
                <w:b/>
                <w:bCs/>
                <w:lang w:eastAsia="sl-SI"/>
              </w:rPr>
              <w:t>159.646.668 / 12,0995</w:t>
            </w:r>
          </w:p>
        </w:tc>
        <w:tc>
          <w:tcPr>
            <w:tcW w:w="1276" w:type="dxa"/>
            <w:noWrap/>
            <w:hideMark/>
          </w:tcPr>
          <w:p w14:paraId="61E0404C" w14:textId="77777777" w:rsidR="00004AD1" w:rsidRPr="00A9101E" w:rsidRDefault="00004AD1" w:rsidP="00F569C7">
            <w:pPr>
              <w:spacing w:line="360" w:lineRule="auto"/>
              <w:jc w:val="left"/>
              <w:cnfStyle w:val="000000000000" w:firstRow="0" w:lastRow="0" w:firstColumn="0" w:lastColumn="0" w:oddVBand="0" w:evenVBand="0" w:oddHBand="0" w:evenHBand="0" w:firstRowFirstColumn="0" w:firstRowLastColumn="0" w:lastRowFirstColumn="0" w:lastRowLastColumn="0"/>
              <w:rPr>
                <w:b/>
                <w:bCs/>
                <w:lang w:eastAsia="sl-SI"/>
              </w:rPr>
            </w:pPr>
            <w:r w:rsidRPr="00A9101E">
              <w:rPr>
                <w:b/>
                <w:bCs/>
                <w:lang w:eastAsia="sl-SI"/>
              </w:rPr>
              <w:t>EUR / BTC</w:t>
            </w:r>
          </w:p>
        </w:tc>
      </w:tr>
    </w:tbl>
    <w:p w14:paraId="75803B29" w14:textId="77777777" w:rsidR="00B65A09" w:rsidRDefault="00B65A09" w:rsidP="00B65A09"/>
    <w:p w14:paraId="0275600F" w14:textId="3D6C59CA" w:rsidR="00004AD1" w:rsidRPr="00424274" w:rsidRDefault="00004AD1" w:rsidP="00004AD1">
      <w:pPr>
        <w:spacing w:line="276" w:lineRule="auto"/>
      </w:pPr>
      <w:r w:rsidRPr="00B035D0">
        <w:t xml:space="preserve">Iz preglednice je razvidno, da je konec leta 2021 znašal </w:t>
      </w:r>
      <w:r w:rsidRPr="002866FD">
        <w:rPr>
          <w:b/>
          <w:bCs/>
        </w:rPr>
        <w:t xml:space="preserve">znesek začasno zavarovanega premoženja </w:t>
      </w:r>
      <w:r w:rsidRPr="002866FD">
        <w:rPr>
          <w:b/>
          <w:lang w:eastAsia="sl-SI"/>
        </w:rPr>
        <w:t>159.646.668 EUR in 12,0995 BTC</w:t>
      </w:r>
      <w:r w:rsidRPr="002866FD">
        <w:t>.</w:t>
      </w:r>
      <w:r w:rsidRPr="00B035D0">
        <w:t xml:space="preserve"> Daleč največji del tega premoženja se nanaša na začasno</w:t>
      </w:r>
      <w:r w:rsidRPr="00424274">
        <w:t xml:space="preserve"> zavarovanje premoženja v </w:t>
      </w:r>
      <w:r>
        <w:t xml:space="preserve">zvezi z razpolaganjem z blagovnimi znamkami, nato sledijo  </w:t>
      </w:r>
      <w:r w:rsidRPr="00424274">
        <w:t>denarna sredstva na bančnih računih ali v obliki gotovine</w:t>
      </w:r>
      <w:r>
        <w:t>, virtualne valute, zavarovanje poslovnega deleža v tuji</w:t>
      </w:r>
      <w:r w:rsidRPr="00424274">
        <w:t xml:space="preserve"> družb</w:t>
      </w:r>
      <w:r>
        <w:t xml:space="preserve">i ter začasno zavarovanje nepremičnin. </w:t>
      </w:r>
      <w:r w:rsidR="007D6837">
        <w:t>V primerjavi s</w:t>
      </w:r>
      <w:r w:rsidRPr="00424274">
        <w:t xml:space="preserve"> stanje</w:t>
      </w:r>
      <w:r w:rsidR="007D6837">
        <w:t>m</w:t>
      </w:r>
      <w:r w:rsidRPr="00424274">
        <w:t xml:space="preserve"> začasno zaseženega premoženja na dan 31. 12. </w:t>
      </w:r>
      <w:r>
        <w:t>2020</w:t>
      </w:r>
      <w:r w:rsidRPr="00424274">
        <w:t xml:space="preserve"> </w:t>
      </w:r>
      <w:r w:rsidR="007D6837">
        <w:t>je bilo ugotovljeno</w:t>
      </w:r>
      <w:r w:rsidRPr="00424274">
        <w:t xml:space="preserve">, da se začasni zasegi </w:t>
      </w:r>
      <w:r w:rsidR="007D6837">
        <w:t xml:space="preserve">v letu 2021 </w:t>
      </w:r>
      <w:r w:rsidRPr="00424274">
        <w:t xml:space="preserve">nanašajo na nekaj </w:t>
      </w:r>
      <w:r>
        <w:t>manj</w:t>
      </w:r>
      <w:r w:rsidRPr="00424274">
        <w:t xml:space="preserve"> zadev,</w:t>
      </w:r>
      <w:r>
        <w:t xml:space="preserve"> saj je v</w:t>
      </w:r>
      <w:r w:rsidR="007D6837">
        <w:t xml:space="preserve"> tem</w:t>
      </w:r>
      <w:r>
        <w:t xml:space="preserve"> letu določenemu premoženju prenehalo zavarovanje,</w:t>
      </w:r>
      <w:r w:rsidRPr="00424274">
        <w:t xml:space="preserve"> pri čemer pa </w:t>
      </w:r>
      <w:r>
        <w:t xml:space="preserve">se </w:t>
      </w:r>
      <w:r w:rsidRPr="00424274">
        <w:t>je skup</w:t>
      </w:r>
      <w:r>
        <w:t>ni</w:t>
      </w:r>
      <w:r w:rsidRPr="00424274">
        <w:t xml:space="preserve"> znesek</w:t>
      </w:r>
      <w:r>
        <w:t xml:space="preserve"> zavarovanega premoženja zvišal predvsem zaradi zavarovanja blagovnih znamk</w:t>
      </w:r>
      <w:r w:rsidRPr="00424274">
        <w:t>.</w:t>
      </w:r>
      <w:r>
        <w:t xml:space="preserve"> </w:t>
      </w:r>
    </w:p>
    <w:p w14:paraId="5C9E4AC3" w14:textId="37A29585" w:rsidR="00004AD1" w:rsidRPr="00424274" w:rsidRDefault="003A5C93" w:rsidP="00004AD1">
      <w:pPr>
        <w:spacing w:line="276" w:lineRule="auto"/>
      </w:pPr>
      <w:r w:rsidRPr="00B035D0">
        <w:lastRenderedPageBreak/>
        <w:t>V razpredelnici navedena vrednost</w:t>
      </w:r>
      <w:r w:rsidR="00004AD1" w:rsidRPr="00B035D0">
        <w:t xml:space="preserve"> začasno zavarovanega premoženja</w:t>
      </w:r>
      <w:r w:rsidRPr="00B035D0">
        <w:t xml:space="preserve"> </w:t>
      </w:r>
      <w:r w:rsidR="00B035D0">
        <w:t xml:space="preserve">sicer </w:t>
      </w:r>
      <w:r w:rsidRPr="00B035D0">
        <w:t xml:space="preserve">ne </w:t>
      </w:r>
      <w:r w:rsidR="00D849F0" w:rsidRPr="00B035D0">
        <w:t>ustreza dejanski vrednosti začasno zavarovanega premoženja</w:t>
      </w:r>
      <w:r w:rsidR="00004AD1" w:rsidRPr="00B035D0">
        <w:t>. V nekaterih primerih se namreč odredbe sodišč o začasnem</w:t>
      </w:r>
      <w:r w:rsidR="00004AD1" w:rsidRPr="00424274">
        <w:t xml:space="preserve"> zavarovanju nanašajo tudi na nepremičnine, vrednostne papirje, poslovne deleže, katerih vrednost niha. Hkrati tožilstva in sodišča določajo znesek začasnega zavarovanja na podlagi zneska protipravno pridobljene premoženjske koristi iz predhodnega kaznivega dejanja, ki pa je lahko precej višja</w:t>
      </w:r>
      <w:r w:rsidR="00004AD1">
        <w:t>,</w:t>
      </w:r>
      <w:r w:rsidR="00004AD1" w:rsidRPr="00424274">
        <w:t xml:space="preserve"> kot je dejanska vrednost premičnega in nepremičnega premoženja, na kater</w:t>
      </w:r>
      <w:r w:rsidR="00004AD1">
        <w:t>o</w:t>
      </w:r>
      <w:r w:rsidR="00004AD1" w:rsidRPr="00424274">
        <w:t xml:space="preserve"> se ukrep nanaša</w:t>
      </w:r>
      <w:r w:rsidR="00004AD1">
        <w:t>,</w:t>
      </w:r>
      <w:r w:rsidR="00004AD1" w:rsidRPr="00424274">
        <w:t xml:space="preserve"> ali pa celo nižja od dejanske vrednosti začasno zavarovanega premoženja. Iz podatkov o začasnem zavarovanju</w:t>
      </w:r>
      <w:r w:rsidR="00004AD1">
        <w:t>, prejetih od sodišč v letu 2021,</w:t>
      </w:r>
      <w:r w:rsidR="00480533">
        <w:t xml:space="preserve"> prav tako</w:t>
      </w:r>
      <w:r w:rsidR="00004AD1" w:rsidRPr="00424274">
        <w:t xml:space="preserve"> </w:t>
      </w:r>
      <w:r w:rsidR="00255371">
        <w:t>izhaja</w:t>
      </w:r>
      <w:r w:rsidR="00004AD1" w:rsidRPr="00424274">
        <w:t>, da sodišča pri zavarovanju na nepremičninah v večini primerov sploh niso navedla zneska zavarovanja.</w:t>
      </w:r>
    </w:p>
    <w:p w14:paraId="3FA71041" w14:textId="69243069" w:rsidR="00004AD1" w:rsidRPr="00424274" w:rsidRDefault="00004AD1" w:rsidP="00004AD1">
      <w:r w:rsidRPr="00424274">
        <w:t>Iz celoletne primerjave zneskov, ki so bili začasno zavarovani kadar</w:t>
      </w:r>
      <w:r>
        <w:t xml:space="preserve"> koli v letu 2020</w:t>
      </w:r>
      <w:r w:rsidRPr="00424274">
        <w:t xml:space="preserve"> oziroma 202</w:t>
      </w:r>
      <w:r>
        <w:t>1,</w:t>
      </w:r>
      <w:r w:rsidRPr="00424274">
        <w:t xml:space="preserve"> </w:t>
      </w:r>
      <w:r w:rsidR="00F87246">
        <w:t>je razvidno</w:t>
      </w:r>
      <w:r>
        <w:t>, da je bilo v letu 2020</w:t>
      </w:r>
      <w:r w:rsidRPr="00424274">
        <w:t xml:space="preserve"> v </w:t>
      </w:r>
      <w:r>
        <w:t>17</w:t>
      </w:r>
      <w:r w:rsidRPr="00424274">
        <w:t xml:space="preserve"> zadevah </w:t>
      </w:r>
      <w:r>
        <w:t xml:space="preserve">premoženje zavarovano v skupni višini </w:t>
      </w:r>
      <w:r w:rsidRPr="00424274">
        <w:t xml:space="preserve">okoli </w:t>
      </w:r>
      <w:r w:rsidRPr="007F3AD4">
        <w:t xml:space="preserve">33.961.118 EUR </w:t>
      </w:r>
      <w:r>
        <w:t>in v letu 2021 v 13</w:t>
      </w:r>
      <w:r w:rsidRPr="00424274">
        <w:t xml:space="preserve"> zadevah premoženje v skupni višini </w:t>
      </w:r>
      <w:r w:rsidRPr="000D6BC1">
        <w:rPr>
          <w:bCs/>
          <w:color w:val="000000"/>
          <w:lang w:eastAsia="sl-SI"/>
        </w:rPr>
        <w:t>159.646.668</w:t>
      </w:r>
      <w:r w:rsidRPr="007F3AD4">
        <w:rPr>
          <w:bCs/>
          <w:color w:val="000000"/>
          <w:lang w:eastAsia="sl-SI"/>
        </w:rPr>
        <w:t xml:space="preserve"> EUR</w:t>
      </w:r>
      <w:r w:rsidRPr="00424274">
        <w:rPr>
          <w:bCs/>
          <w:color w:val="000000"/>
          <w:lang w:eastAsia="sl-SI"/>
        </w:rPr>
        <w:t>.</w:t>
      </w:r>
    </w:p>
    <w:p w14:paraId="192DDAA8" w14:textId="77777777" w:rsidR="00B65A09" w:rsidRDefault="00B65A09" w:rsidP="00B65A09"/>
    <w:p w14:paraId="0F2A19A1" w14:textId="4C590D60" w:rsidR="00B65A09" w:rsidRPr="007C5B9C" w:rsidRDefault="00B65A09" w:rsidP="00B65A09">
      <w:pPr>
        <w:pStyle w:val="Naslov3"/>
      </w:pPr>
      <w:bookmarkStart w:id="29" w:name="_Toc119581701"/>
      <w:r w:rsidRPr="007C5B9C">
        <w:t>Vrednost odvzetega premoženja v zadevah s področja pranja denarja</w:t>
      </w:r>
      <w:bookmarkEnd w:id="29"/>
    </w:p>
    <w:p w14:paraId="5D25EA9C" w14:textId="77777777" w:rsidR="00B65A09" w:rsidRDefault="00B65A09" w:rsidP="00B65A09"/>
    <w:p w14:paraId="342F7A35" w14:textId="667B0854" w:rsidR="006F551F" w:rsidRPr="00424274" w:rsidRDefault="006F551F" w:rsidP="006F551F">
      <w:pPr>
        <w:spacing w:line="276" w:lineRule="auto"/>
      </w:pPr>
      <w:r w:rsidRPr="00C92D06">
        <w:rPr>
          <w:color w:val="000000" w:themeColor="text1"/>
        </w:rPr>
        <w:t>Sodišča so v letu 2021 v treh pravnomočnih sodbah zaradi storitve kaznivega dejanja pranja denarja po 245. členu KZ-1 odredila poleg zapornih kazni tudi odvzem in vrnitev premoženja</w:t>
      </w:r>
      <w:r w:rsidRPr="00424274">
        <w:t xml:space="preserve">, ki izvira iz kaznivih dejanj, ter hkrati izrekla tudi stranske denarne kazni. </w:t>
      </w:r>
      <w:r w:rsidR="008A5F39">
        <w:t>V tem poglavju so navedeni</w:t>
      </w:r>
      <w:r w:rsidRPr="00424274">
        <w:t xml:space="preserve"> le podatk</w:t>
      </w:r>
      <w:r w:rsidR="008A5F39">
        <w:t>i</w:t>
      </w:r>
      <w:r w:rsidRPr="00424274">
        <w:t xml:space="preserve"> o finančnih učinkih sodb, medtem ko </w:t>
      </w:r>
      <w:r w:rsidR="007101F9">
        <w:t xml:space="preserve">so </w:t>
      </w:r>
      <w:r>
        <w:t>pre</w:t>
      </w:r>
      <w:r w:rsidRPr="00424274">
        <w:t>ostal</w:t>
      </w:r>
      <w:r w:rsidR="007101F9">
        <w:t>i</w:t>
      </w:r>
      <w:r w:rsidRPr="00424274">
        <w:t xml:space="preserve"> podatk</w:t>
      </w:r>
      <w:r w:rsidR="007101F9">
        <w:t>i</w:t>
      </w:r>
      <w:r w:rsidRPr="00424274">
        <w:t xml:space="preserve"> iz pravnomočnih sodb predstavlj</w:t>
      </w:r>
      <w:r w:rsidR="007101F9">
        <w:t>eni</w:t>
      </w:r>
      <w:r w:rsidRPr="00424274">
        <w:t xml:space="preserve"> v poglavju 4.1.5.</w:t>
      </w:r>
    </w:p>
    <w:p w14:paraId="109DDB7C" w14:textId="6DF30B30" w:rsidR="006F551F" w:rsidRPr="00424274" w:rsidRDefault="006F551F" w:rsidP="006F551F">
      <w:r w:rsidRPr="00424274">
        <w:t xml:space="preserve">S sodbami, izrečenimi v letu </w:t>
      </w:r>
      <w:r>
        <w:t>2021,</w:t>
      </w:r>
      <w:r w:rsidRPr="00424274">
        <w:t xml:space="preserve"> je bilo </w:t>
      </w:r>
      <w:r w:rsidRPr="00610BC1">
        <w:rPr>
          <w:b/>
          <w:bCs/>
          <w:lang w:eastAsia="sl-SI"/>
        </w:rPr>
        <w:t xml:space="preserve">odrejeno vračilo 232.660 EUR, hkrati pa so bile izrečene tudi stranske denarne kazni </w:t>
      </w:r>
      <w:r w:rsidRPr="00610BC1">
        <w:rPr>
          <w:b/>
          <w:bCs/>
        </w:rPr>
        <w:t>v skupni višini 4.900</w:t>
      </w:r>
      <w:r w:rsidRPr="00610BC1">
        <w:rPr>
          <w:b/>
          <w:bCs/>
          <w:lang w:eastAsia="sl-SI"/>
        </w:rPr>
        <w:t xml:space="preserve"> </w:t>
      </w:r>
      <w:r w:rsidRPr="00610BC1">
        <w:rPr>
          <w:b/>
          <w:bCs/>
        </w:rPr>
        <w:t>EUR</w:t>
      </w:r>
      <w:r w:rsidRPr="00424274">
        <w:t>.</w:t>
      </w:r>
    </w:p>
    <w:p w14:paraId="17776E37" w14:textId="47219236" w:rsidR="006F551F" w:rsidRPr="00424274" w:rsidRDefault="006F551F" w:rsidP="006F551F">
      <w:pPr>
        <w:rPr>
          <w:lang w:eastAsia="sl-SI"/>
        </w:rPr>
      </w:pPr>
      <w:r w:rsidRPr="00424274">
        <w:t>Skup</w:t>
      </w:r>
      <w:r>
        <w:t>no so sodišča do konca leta 2021</w:t>
      </w:r>
      <w:r w:rsidRPr="00424274">
        <w:t xml:space="preserve"> v vseh pravnomočnih obsodilnih sodbah zaradi storitve kaznivega dejanja pranja denarja, skupaj z zadevami, ki se niso končale s pravnomočno sodbo, vendar pa je bilo v njih premoženje odvzeto na podlagi 498</w:t>
      </w:r>
      <w:r>
        <w:t>.</w:t>
      </w:r>
      <w:r w:rsidRPr="00424274">
        <w:t xml:space="preserve">a člena ZKP, odvzela </w:t>
      </w:r>
      <w:r w:rsidRPr="00424274">
        <w:rPr>
          <w:color w:val="000000"/>
          <w:lang w:eastAsia="sl-SI"/>
        </w:rPr>
        <w:t xml:space="preserve">5.482.321 </w:t>
      </w:r>
      <w:r w:rsidRPr="00424274">
        <w:rPr>
          <w:lang w:eastAsia="sl-SI"/>
        </w:rPr>
        <w:t>EUR, odredila vrnitev 32.</w:t>
      </w:r>
      <w:r>
        <w:rPr>
          <w:lang w:eastAsia="sl-SI"/>
        </w:rPr>
        <w:t>185.782</w:t>
      </w:r>
      <w:r w:rsidRPr="00424274">
        <w:rPr>
          <w:lang w:eastAsia="sl-SI"/>
        </w:rPr>
        <w:t xml:space="preserve"> EUR protipravno pridobljene koristi in izrekla za 1.</w:t>
      </w:r>
      <w:r>
        <w:rPr>
          <w:lang w:eastAsia="sl-SI"/>
        </w:rPr>
        <w:t>319</w:t>
      </w:r>
      <w:r w:rsidRPr="00424274">
        <w:rPr>
          <w:lang w:eastAsia="sl-SI"/>
        </w:rPr>
        <w:t>.</w:t>
      </w:r>
      <w:r>
        <w:rPr>
          <w:lang w:eastAsia="sl-SI"/>
        </w:rPr>
        <w:t>129</w:t>
      </w:r>
      <w:r w:rsidRPr="00424274">
        <w:rPr>
          <w:lang w:eastAsia="sl-SI"/>
        </w:rPr>
        <w:t xml:space="preserve"> EUR stranskih denarnih kazni. </w:t>
      </w:r>
    </w:p>
    <w:p w14:paraId="5BCBEAE7" w14:textId="799BD87E" w:rsidR="006F551F" w:rsidRPr="00424274" w:rsidRDefault="006F551F" w:rsidP="006F551F">
      <w:pPr>
        <w:spacing w:line="276" w:lineRule="auto"/>
      </w:pPr>
      <w:r w:rsidRPr="00424274">
        <w:t xml:space="preserve">Kljub zadovoljivemu skupnemu številu sodb </w:t>
      </w:r>
      <w:r>
        <w:t>in</w:t>
      </w:r>
      <w:r w:rsidRPr="00424274">
        <w:t xml:space="preserve"> odvzetih sredstev </w:t>
      </w:r>
      <w:r w:rsidR="00BC33C8">
        <w:t>urad opaža</w:t>
      </w:r>
      <w:r w:rsidRPr="00424274">
        <w:t xml:space="preserve"> </w:t>
      </w:r>
      <w:r w:rsidRPr="00610BC1">
        <w:rPr>
          <w:b/>
          <w:bCs/>
        </w:rPr>
        <w:t>precejšen razkorak med višino začasno zaseženih sredstev na letni ravni ter zneskom odvzetega premoženja.</w:t>
      </w:r>
      <w:r w:rsidRPr="00424274">
        <w:t xml:space="preserve"> Hkrati </w:t>
      </w:r>
      <w:r w:rsidR="00BC33C8">
        <w:t>ugotavlja tudi</w:t>
      </w:r>
      <w:r w:rsidRPr="00424274">
        <w:t xml:space="preserve">, da v nekaterih sodbah ni izrekov o odvzemu sredstev, </w:t>
      </w:r>
      <w:r>
        <w:t>čeprav</w:t>
      </w:r>
      <w:r w:rsidRPr="00424274">
        <w:t xml:space="preserve"> so bile v teh zadevah izdane odredbe o začasnem zavarovanju sredstev.</w:t>
      </w:r>
    </w:p>
    <w:p w14:paraId="7E4D6F51" w14:textId="77777777" w:rsidR="00B65A09" w:rsidRDefault="00B65A09" w:rsidP="00B65A09"/>
    <w:p w14:paraId="7BB466BD" w14:textId="293FBAB1" w:rsidR="00B65A09" w:rsidRDefault="00B65A09" w:rsidP="00B65A09">
      <w:pPr>
        <w:pStyle w:val="Naslov3"/>
      </w:pPr>
      <w:bookmarkStart w:id="30" w:name="_Toc119581702"/>
      <w:r>
        <w:t>Tipologija sumljivih transakcij</w:t>
      </w:r>
      <w:bookmarkEnd w:id="30"/>
    </w:p>
    <w:p w14:paraId="52D66BA7" w14:textId="77777777" w:rsidR="00B65A09" w:rsidRDefault="00B65A09" w:rsidP="00B65A09"/>
    <w:p w14:paraId="2B306859" w14:textId="22C36606" w:rsidR="0045290E" w:rsidRPr="00F156D5" w:rsidRDefault="0045290E" w:rsidP="00F156D5">
      <w:pPr>
        <w:spacing w:line="276" w:lineRule="auto"/>
      </w:pPr>
      <w:r w:rsidRPr="00E6495A">
        <w:t>Na podlagi opravljene analize obvestil o sumljivih transakcijah (zadev), ki so</w:t>
      </w:r>
      <w:r w:rsidR="001B442C">
        <w:t xml:space="preserve"> bile posredovane</w:t>
      </w:r>
      <w:r w:rsidRPr="00E6495A">
        <w:t xml:space="preserve"> pristojnim organom (policija/tožilstvo)</w:t>
      </w:r>
      <w:r w:rsidR="00610BC1">
        <w:t>,</w:t>
      </w:r>
      <w:r w:rsidRPr="00E6495A">
        <w:t xml:space="preserve"> </w:t>
      </w:r>
      <w:r w:rsidR="001B442C">
        <w:t>je bilo ugotovljeno</w:t>
      </w:r>
      <w:r w:rsidRPr="00E6495A">
        <w:t xml:space="preserve">, da se tipologija obravnavanih sumljivih transakcij v primerjavi s prejšnjim letom ni bistveno spremenila. Med pojavnimi oblikami in tehnikami pranja denarja so bile pri večini obravnavanih zadev še vedno uporabljene nekatere klasične tehnike, ki so značilne za prvo (»placement«) in drugo (»layering«) fazo pranja denarja, v nekaterih primerih pa so bile uporabljene vse tri faze pranja denarja. </w:t>
      </w:r>
    </w:p>
    <w:p w14:paraId="0237C377" w14:textId="7B1FE7D5" w:rsidR="00B65A09" w:rsidRPr="00E6495A" w:rsidRDefault="0045290E" w:rsidP="00E6495A">
      <w:pPr>
        <w:spacing w:line="276" w:lineRule="auto"/>
      </w:pPr>
      <w:r w:rsidRPr="00E6495A">
        <w:t xml:space="preserve">O določeni </w:t>
      </w:r>
      <w:r w:rsidRPr="00E6495A">
        <w:rPr>
          <w:b/>
          <w:bCs/>
        </w:rPr>
        <w:t xml:space="preserve">tipologiji </w:t>
      </w:r>
      <w:r w:rsidRPr="00E6495A">
        <w:t xml:space="preserve">pranja denarja govorimo takrat, ko zaznamo </w:t>
      </w:r>
      <w:r w:rsidRPr="007F7E93">
        <w:rPr>
          <w:b/>
          <w:bCs/>
        </w:rPr>
        <w:t>vzorec ali serijo podobnih postopkov (metod) prikrivanja nezakonitega izvora denarja ali drugega premoženja</w:t>
      </w:r>
      <w:r w:rsidRPr="00E6495A">
        <w:t xml:space="preserve">, ki vključujejo naslednje </w:t>
      </w:r>
      <w:r w:rsidRPr="00552405">
        <w:t>osnovne elemente tipologije:</w:t>
      </w:r>
    </w:p>
    <w:p w14:paraId="0A496883" w14:textId="77777777" w:rsidR="0045290E" w:rsidRPr="0045290E" w:rsidRDefault="0045290E" w:rsidP="0045290E">
      <w:pPr>
        <w:pStyle w:val="Odstavekseznama"/>
        <w:tabs>
          <w:tab w:val="left" w:pos="4536"/>
        </w:tabs>
        <w:ind w:left="851" w:hanging="284"/>
      </w:pPr>
      <w:r w:rsidRPr="0045290E">
        <w:rPr>
          <w:b/>
          <w:bCs/>
        </w:rPr>
        <w:t xml:space="preserve">mehanizem pranja denarja </w:t>
      </w:r>
      <w:r w:rsidRPr="007F7E93">
        <w:t>predstavlja okolje oziroma sistem, kjer se delno ali v celoti izvajajo aktivnosti pranja denarja</w:t>
      </w:r>
      <w:r w:rsidRPr="0045290E">
        <w:t xml:space="preserve"> in ga predstavljajo predvsem naslednje kategorije: finančne institucije (banke, hranilnice, borzno posredniške družbe, leasing hiše), notarji, odvetniki, fizične osebe, pravne osebe (domače in tuje družbe, slamnate in off-shore družbe, samostojni </w:t>
      </w:r>
      <w:r w:rsidRPr="0045290E">
        <w:lastRenderedPageBreak/>
        <w:t>podjetniki, društva), sistemi za prenos denarja (Western Union, MoneyGram), trgovina s plemenitimi kovinami, igralnice in casinoji, menjalne platforme za virtualne valute, ipd.;</w:t>
      </w:r>
    </w:p>
    <w:p w14:paraId="3D3B2037" w14:textId="77777777" w:rsidR="0045290E" w:rsidRPr="0045290E" w:rsidRDefault="0045290E" w:rsidP="0045290E">
      <w:pPr>
        <w:pStyle w:val="Odstavekseznama"/>
        <w:tabs>
          <w:tab w:val="left" w:pos="4536"/>
        </w:tabs>
        <w:ind w:left="851" w:hanging="284"/>
      </w:pPr>
      <w:r w:rsidRPr="0045290E">
        <w:rPr>
          <w:b/>
          <w:bCs/>
        </w:rPr>
        <w:t xml:space="preserve">tehnika pranja denarja </w:t>
      </w:r>
      <w:r w:rsidRPr="007F7E93">
        <w:t>je način izvajanja aktivnosti pranja denarja</w:t>
      </w:r>
      <w:r w:rsidRPr="0045290E">
        <w:t>, ki jo predstavljajo predvsem naslednje kategorije: dvigi gotovine, pologi gotovine, elektronski prenosi sredstev med računi (»wire transfers«), uporaba sistemov za prenos sredstev, prenosi sredstev med državami, prenosi gotovine preko državne meje, menjava valut, drobljenje zneskov, prikrivanje preko tretjih oseb, uporaba računov v tujini, ipd.;</w:t>
      </w:r>
    </w:p>
    <w:p w14:paraId="204FA16B" w14:textId="0124B757" w:rsidR="0045290E" w:rsidRPr="0045290E" w:rsidRDefault="0045290E" w:rsidP="0045290E">
      <w:pPr>
        <w:pStyle w:val="Odstavekseznama"/>
        <w:tabs>
          <w:tab w:val="left" w:pos="4536"/>
        </w:tabs>
        <w:ind w:left="851" w:hanging="284"/>
      </w:pPr>
      <w:r w:rsidRPr="0045290E">
        <w:rPr>
          <w:b/>
          <w:bCs/>
        </w:rPr>
        <w:t xml:space="preserve">instrument pranja denarja </w:t>
      </w:r>
      <w:r w:rsidRPr="007F7E93">
        <w:t>je nosilec vrednosti, ki se uporablja za aktivnosti pranja denarja in ga predstavljajo p</w:t>
      </w:r>
      <w:r w:rsidRPr="0045290E">
        <w:t>redvsem naslednje kategorije: denar (gotovina in ostale oblike), čeki, menice, vrednostni papirji, naložbeno zlato ali plemenite kovine, nepremičnine, vozila in plovila, podjetja, virtualne valute, i</w:t>
      </w:r>
      <w:r w:rsidR="00552405">
        <w:t>t</w:t>
      </w:r>
      <w:r w:rsidRPr="0045290E">
        <w:t>d.</w:t>
      </w:r>
    </w:p>
    <w:p w14:paraId="357EAD29" w14:textId="77777777" w:rsidR="00C52229" w:rsidRDefault="00C52229" w:rsidP="00F156D5">
      <w:pPr>
        <w:spacing w:line="276" w:lineRule="auto"/>
        <w:rPr>
          <w:color w:val="000000" w:themeColor="text1"/>
        </w:rPr>
      </w:pPr>
    </w:p>
    <w:p w14:paraId="56661C31" w14:textId="17691606" w:rsidR="00E6495A" w:rsidRPr="00F156D5" w:rsidRDefault="00E6495A" w:rsidP="00F156D5">
      <w:pPr>
        <w:spacing w:line="276" w:lineRule="auto"/>
      </w:pPr>
      <w:r w:rsidRPr="00F156D5">
        <w:t>Za razumevanje predstavljenih tipologij pranja denarja ter z njimi povezanih osnovnih elementov je potrebno poudariti, da se lahko v posamezni zadevi pojavlja več osnovnih elementov tipologije, zato seštevek le</w:t>
      </w:r>
      <w:r w:rsidR="007C5B9C">
        <w:t>-</w:t>
      </w:r>
      <w:r w:rsidRPr="00F156D5">
        <w:t xml:space="preserve">teh ne predstavlja tudi skupnega števila zadev, saj je v posamezni zadevi lahko ugotovljenih več osnovnih elementov tipologije. Glede na prisotnost posameznih osnovnih elementov tipologij pranja denarja v letu 2021, </w:t>
      </w:r>
      <w:r w:rsidR="00ED07DC">
        <w:t>je bilo ugotovljeno</w:t>
      </w:r>
      <w:r w:rsidRPr="00F156D5">
        <w:t xml:space="preserve"> naslednje:  </w:t>
      </w:r>
    </w:p>
    <w:p w14:paraId="2654747F" w14:textId="77777777" w:rsidR="00E6495A" w:rsidRDefault="00E6495A" w:rsidP="00E6495A">
      <w:pPr>
        <w:widowControl w:val="0"/>
        <w:spacing w:after="0" w:line="240" w:lineRule="auto"/>
        <w:rPr>
          <w:rFonts w:eastAsia="Arial" w:cs="Arial"/>
          <w:i/>
        </w:rPr>
      </w:pPr>
    </w:p>
    <w:p w14:paraId="294A9B41" w14:textId="6D84F81B" w:rsidR="00F156D5" w:rsidRDefault="00F156D5" w:rsidP="00F156D5">
      <w:pPr>
        <w:widowControl w:val="0"/>
        <w:spacing w:after="0" w:line="240" w:lineRule="auto"/>
        <w:rPr>
          <w:rFonts w:eastAsia="Arial" w:cs="Arial"/>
        </w:rPr>
      </w:pPr>
      <w:r>
        <w:rPr>
          <w:rFonts w:eastAsia="Arial" w:cs="Arial"/>
        </w:rPr>
        <w:t xml:space="preserve">Najbolj pogosto uporabljeni </w:t>
      </w:r>
      <w:r w:rsidRPr="00491AF8">
        <w:rPr>
          <w:rFonts w:eastAsia="Arial" w:cs="Arial"/>
          <w:b/>
          <w:iCs/>
        </w:rPr>
        <w:t>mehanizmi pranja denarja</w:t>
      </w:r>
      <w:r>
        <w:rPr>
          <w:rFonts w:eastAsia="Arial" w:cs="Arial"/>
        </w:rPr>
        <w:t xml:space="preserve">  v letu </w:t>
      </w:r>
      <w:r w:rsidRPr="00CF6742">
        <w:rPr>
          <w:rFonts w:eastAsia="Arial" w:cs="Arial"/>
        </w:rPr>
        <w:t>20</w:t>
      </w:r>
      <w:r>
        <w:rPr>
          <w:rFonts w:eastAsia="Arial" w:cs="Arial"/>
        </w:rPr>
        <w:t>21</w:t>
      </w:r>
      <w:r w:rsidRPr="00CF6742">
        <w:rPr>
          <w:rFonts w:eastAsia="Arial" w:cs="Arial"/>
        </w:rPr>
        <w:t xml:space="preserve"> </w:t>
      </w:r>
      <w:r>
        <w:rPr>
          <w:rFonts w:eastAsia="Arial" w:cs="Arial"/>
        </w:rPr>
        <w:t>so naslednji:</w:t>
      </w:r>
    </w:p>
    <w:p w14:paraId="212F22D0" w14:textId="77777777" w:rsidR="00121B94" w:rsidRDefault="00121B94" w:rsidP="00F156D5">
      <w:pPr>
        <w:widowControl w:val="0"/>
        <w:spacing w:after="0" w:line="240" w:lineRule="auto"/>
        <w:rPr>
          <w:rFonts w:eastAsia="Arial" w:cs="Arial"/>
        </w:rPr>
      </w:pPr>
    </w:p>
    <w:p w14:paraId="2E32D4EC" w14:textId="442B850F" w:rsidR="00F156D5" w:rsidRPr="00F156D5" w:rsidRDefault="00F156D5" w:rsidP="00F156D5">
      <w:pPr>
        <w:pStyle w:val="Odstavekseznama"/>
        <w:tabs>
          <w:tab w:val="left" w:pos="4536"/>
        </w:tabs>
        <w:ind w:left="851" w:hanging="284"/>
      </w:pPr>
      <w:r w:rsidRPr="00121B94">
        <w:rPr>
          <w:b/>
          <w:bCs/>
        </w:rPr>
        <w:t>finančne institucije</w:t>
      </w:r>
      <w:r w:rsidRPr="00F156D5">
        <w:t xml:space="preserve"> (banke in hranilnice): </w:t>
      </w:r>
      <w:r w:rsidRPr="00C52229">
        <w:rPr>
          <w:b/>
          <w:bCs/>
        </w:rPr>
        <w:t>v 380 zadevah</w:t>
      </w:r>
      <w:r w:rsidR="00491AF8">
        <w:t xml:space="preserve"> je bil</w:t>
      </w:r>
      <w:r w:rsidRPr="00F156D5">
        <w:t xml:space="preserve"> uporabljen finančni (bančni) sistem. Med storitvami finančnih (bančnih) institucij oziroma finančnega sistema, so bili večinoma uporabljeni računi družb in fizičnih oseb pri bankah, od tega so bili v najmanj 161 zadevah uporabljeni računi v tujini, kar pomeni, da so tuje pravne ali fizične osebe uporabljale račune v Sloveniji ali pa so slovenske pravne in fizične osebe uporabljale račune v tujini</w:t>
      </w:r>
      <w:r w:rsidR="00C52229">
        <w:t>,</w:t>
      </w:r>
    </w:p>
    <w:p w14:paraId="6F1F2012" w14:textId="0DD4BF82" w:rsidR="00F156D5" w:rsidRPr="00F156D5" w:rsidRDefault="00F156D5" w:rsidP="00F156D5">
      <w:pPr>
        <w:pStyle w:val="Odstavekseznama"/>
        <w:tabs>
          <w:tab w:val="left" w:pos="4536"/>
        </w:tabs>
        <w:ind w:left="851" w:hanging="284"/>
      </w:pPr>
      <w:r w:rsidRPr="00121B94">
        <w:rPr>
          <w:b/>
          <w:bCs/>
        </w:rPr>
        <w:t>fizične osebe</w:t>
      </w:r>
      <w:r w:rsidRPr="00F156D5">
        <w:t xml:space="preserve"> so bile uporabljene </w:t>
      </w:r>
      <w:r w:rsidRPr="00C52229">
        <w:rPr>
          <w:b/>
          <w:bCs/>
        </w:rPr>
        <w:t>v 239 zadevah</w:t>
      </w:r>
      <w:r w:rsidRPr="00F156D5">
        <w:t>. Način uporabe je bil različen, bodisi kot lastno pranje (angl. »self laundering«), kadar fizična oseba izvrši tako predhodno kaznivo dejanje kakor tudi kaznivo dejanje pranja denarja, bodisi uporaba fizičnih oseb kot pooblaščencev ali kot tretjih oseb, preko katerih so se izvrševale aktivnosti pranja denarja</w:t>
      </w:r>
      <w:r w:rsidR="00C52229">
        <w:t>,</w:t>
      </w:r>
      <w:r w:rsidRPr="00F156D5">
        <w:t xml:space="preserve"> </w:t>
      </w:r>
    </w:p>
    <w:p w14:paraId="181E578A" w14:textId="330429C2" w:rsidR="00F156D5" w:rsidRPr="00F156D5" w:rsidRDefault="00F156D5" w:rsidP="00F156D5">
      <w:pPr>
        <w:pStyle w:val="Odstavekseznama"/>
        <w:tabs>
          <w:tab w:val="left" w:pos="4536"/>
        </w:tabs>
        <w:ind w:left="851" w:hanging="284"/>
      </w:pPr>
      <w:r w:rsidRPr="00121B94">
        <w:rPr>
          <w:b/>
          <w:bCs/>
        </w:rPr>
        <w:t>pravne osebe</w:t>
      </w:r>
      <w:r w:rsidRPr="00F156D5">
        <w:t xml:space="preserve"> so bile uporabljene </w:t>
      </w:r>
      <w:r w:rsidRPr="00C52229">
        <w:rPr>
          <w:b/>
          <w:bCs/>
        </w:rPr>
        <w:t>v 175 zadevah</w:t>
      </w:r>
      <w:r w:rsidRPr="00F156D5">
        <w:t>, od tega so bile v najmanj 23 zadevah uporabljene slamnate družbe ter v najmanj 2 zadevah off shore družbe</w:t>
      </w:r>
      <w:r w:rsidR="00C52229">
        <w:t>,</w:t>
      </w:r>
    </w:p>
    <w:p w14:paraId="5F110C7E" w14:textId="66F3C3FB" w:rsidR="00F156D5" w:rsidRPr="00F156D5" w:rsidRDefault="00F156D5" w:rsidP="00F156D5">
      <w:pPr>
        <w:pStyle w:val="Odstavekseznama"/>
        <w:tabs>
          <w:tab w:val="left" w:pos="4536"/>
        </w:tabs>
        <w:ind w:left="851" w:hanging="284"/>
      </w:pPr>
      <w:r w:rsidRPr="00121B94">
        <w:rPr>
          <w:b/>
          <w:bCs/>
        </w:rPr>
        <w:t>sistemi za prenos sredstev</w:t>
      </w:r>
      <w:r w:rsidRPr="00F156D5">
        <w:t xml:space="preserve"> (MoneyGram in Western Union) so bili uporabljeni </w:t>
      </w:r>
      <w:r w:rsidRPr="00C52229">
        <w:rPr>
          <w:b/>
          <w:bCs/>
        </w:rPr>
        <w:t>v 9 zadevah</w:t>
      </w:r>
      <w:r w:rsidR="00C52229">
        <w:t>,</w:t>
      </w:r>
    </w:p>
    <w:p w14:paraId="6E1CCA1F" w14:textId="77777777" w:rsidR="00121B94" w:rsidRDefault="00F156D5" w:rsidP="00121B94">
      <w:pPr>
        <w:pStyle w:val="Odstavekseznama"/>
        <w:tabs>
          <w:tab w:val="left" w:pos="4536"/>
        </w:tabs>
        <w:ind w:left="851" w:hanging="284"/>
      </w:pPr>
      <w:r w:rsidRPr="00121B94">
        <w:rPr>
          <w:b/>
          <w:bCs/>
        </w:rPr>
        <w:t>ponudniki storitev virtualnih valut</w:t>
      </w:r>
      <w:r w:rsidRPr="00F156D5">
        <w:t xml:space="preserve"> so bili uporabljeni </w:t>
      </w:r>
      <w:r w:rsidRPr="00C52229">
        <w:rPr>
          <w:b/>
          <w:bCs/>
        </w:rPr>
        <w:t>v 7 zadevah</w:t>
      </w:r>
      <w:r w:rsidRPr="00F156D5">
        <w:t xml:space="preserve">, </w:t>
      </w:r>
    </w:p>
    <w:p w14:paraId="5B5DC02D" w14:textId="0EA64DF0" w:rsidR="00F156D5" w:rsidRDefault="00F156D5" w:rsidP="00121B94">
      <w:pPr>
        <w:pStyle w:val="Odstavekseznama"/>
        <w:tabs>
          <w:tab w:val="left" w:pos="4536"/>
        </w:tabs>
        <w:ind w:left="851" w:hanging="284"/>
      </w:pPr>
      <w:r w:rsidRPr="00121B94">
        <w:rPr>
          <w:b/>
          <w:bCs/>
        </w:rPr>
        <w:t>igralnice oz</w:t>
      </w:r>
      <w:r w:rsidR="003A5C93">
        <w:rPr>
          <w:b/>
          <w:bCs/>
        </w:rPr>
        <w:t>iroma</w:t>
      </w:r>
      <w:r w:rsidR="007C5B9C">
        <w:rPr>
          <w:b/>
          <w:bCs/>
        </w:rPr>
        <w:t xml:space="preserve"> igralni saloni</w:t>
      </w:r>
      <w:r w:rsidRPr="00F156D5">
        <w:t>, so bile uporabljen</w:t>
      </w:r>
      <w:r w:rsidR="004147CD">
        <w:t>i</w:t>
      </w:r>
      <w:r w:rsidRPr="00F156D5">
        <w:t xml:space="preserve"> </w:t>
      </w:r>
      <w:r w:rsidRPr="00C52229">
        <w:rPr>
          <w:b/>
          <w:bCs/>
        </w:rPr>
        <w:t>v 4 zadevah</w:t>
      </w:r>
      <w:r w:rsidRPr="00F156D5">
        <w:t>.</w:t>
      </w:r>
    </w:p>
    <w:p w14:paraId="77FF11CA" w14:textId="77777777" w:rsidR="00121B94" w:rsidRPr="00F156D5" w:rsidRDefault="00121B94" w:rsidP="00121B94">
      <w:pPr>
        <w:tabs>
          <w:tab w:val="left" w:pos="4536"/>
        </w:tabs>
      </w:pPr>
    </w:p>
    <w:p w14:paraId="36A275A2" w14:textId="61599E47" w:rsidR="00F156D5" w:rsidRPr="00121B94" w:rsidRDefault="00F156D5" w:rsidP="00121B94">
      <w:pPr>
        <w:spacing w:line="276" w:lineRule="auto"/>
      </w:pPr>
      <w:r w:rsidRPr="00121B94">
        <w:t xml:space="preserve">V letu 2021 </w:t>
      </w:r>
      <w:r w:rsidR="007C5B9C">
        <w:t>so se</w:t>
      </w:r>
      <w:r w:rsidRPr="00121B94">
        <w:t xml:space="preserve"> med najpogosteje zaznanimi </w:t>
      </w:r>
      <w:r w:rsidRPr="00121B94">
        <w:rPr>
          <w:b/>
          <w:bCs/>
        </w:rPr>
        <w:t>tehnikami</w:t>
      </w:r>
      <w:r w:rsidRPr="00121B94">
        <w:t xml:space="preserve"> pranja denarja pojavlja</w:t>
      </w:r>
      <w:r w:rsidR="007C5B9C">
        <w:t>le</w:t>
      </w:r>
      <w:r w:rsidRPr="00121B94">
        <w:t xml:space="preserve"> naslednje tehnike pranja (ugotovljene v več kot v eni zadevi):</w:t>
      </w:r>
    </w:p>
    <w:p w14:paraId="1187A84A" w14:textId="77777777" w:rsidR="00F156D5" w:rsidRPr="00F156D5" w:rsidRDefault="00F156D5" w:rsidP="00F156D5">
      <w:pPr>
        <w:pStyle w:val="Odstavekseznama"/>
        <w:tabs>
          <w:tab w:val="left" w:pos="4536"/>
        </w:tabs>
        <w:ind w:left="851" w:hanging="284"/>
      </w:pPr>
      <w:r w:rsidRPr="00121B94">
        <w:rPr>
          <w:b/>
          <w:bCs/>
        </w:rPr>
        <w:t>prenos sredstev med državami</w:t>
      </w:r>
      <w:r w:rsidRPr="00F156D5">
        <w:t xml:space="preserve"> (ugotovljeno v približno 77% zadev),</w:t>
      </w:r>
    </w:p>
    <w:p w14:paraId="1C4FC998" w14:textId="77777777" w:rsidR="00F156D5" w:rsidRPr="00F156D5" w:rsidRDefault="00F156D5" w:rsidP="00F156D5">
      <w:pPr>
        <w:pStyle w:val="Odstavekseznama"/>
        <w:tabs>
          <w:tab w:val="left" w:pos="4536"/>
        </w:tabs>
        <w:ind w:left="851" w:hanging="284"/>
      </w:pPr>
      <w:r w:rsidRPr="00121B94">
        <w:rPr>
          <w:b/>
          <w:bCs/>
        </w:rPr>
        <w:t>prenos sredstev med računi</w:t>
      </w:r>
      <w:r w:rsidRPr="00F156D5">
        <w:t xml:space="preserve"> (ugotovljeno v približno 74% zadev),</w:t>
      </w:r>
    </w:p>
    <w:p w14:paraId="3BF5943A" w14:textId="77777777" w:rsidR="00F156D5" w:rsidRPr="00F156D5" w:rsidRDefault="00F156D5" w:rsidP="00F156D5">
      <w:pPr>
        <w:pStyle w:val="Odstavekseznama"/>
        <w:tabs>
          <w:tab w:val="left" w:pos="4536"/>
        </w:tabs>
        <w:ind w:left="851" w:hanging="284"/>
      </w:pPr>
      <w:r w:rsidRPr="00121B94">
        <w:rPr>
          <w:b/>
          <w:bCs/>
        </w:rPr>
        <w:t>uporaba računov v tujini</w:t>
      </w:r>
      <w:r w:rsidRPr="00F156D5">
        <w:t xml:space="preserve"> (ugotovljeno v približno 40% zadev), </w:t>
      </w:r>
    </w:p>
    <w:p w14:paraId="57443DE6" w14:textId="77777777" w:rsidR="00F156D5" w:rsidRPr="00F156D5" w:rsidRDefault="00F156D5" w:rsidP="00F156D5">
      <w:pPr>
        <w:pStyle w:val="Odstavekseznama"/>
        <w:tabs>
          <w:tab w:val="left" w:pos="4536"/>
        </w:tabs>
        <w:ind w:left="851" w:hanging="284"/>
      </w:pPr>
      <w:r w:rsidRPr="00121B94">
        <w:rPr>
          <w:b/>
          <w:bCs/>
        </w:rPr>
        <w:t>dvigi gotovine iz računov</w:t>
      </w:r>
      <w:r w:rsidRPr="00F156D5">
        <w:t xml:space="preserve"> (ugotovljeno v približno 35% zadev),</w:t>
      </w:r>
    </w:p>
    <w:p w14:paraId="70078FAC" w14:textId="77777777" w:rsidR="00F156D5" w:rsidRPr="00F156D5" w:rsidRDefault="00F156D5" w:rsidP="00F156D5">
      <w:pPr>
        <w:pStyle w:val="Odstavekseznama"/>
        <w:tabs>
          <w:tab w:val="left" w:pos="4536"/>
        </w:tabs>
        <w:ind w:left="851" w:hanging="284"/>
      </w:pPr>
      <w:r w:rsidRPr="00121B94">
        <w:rPr>
          <w:b/>
          <w:bCs/>
        </w:rPr>
        <w:t>prenosi sredstev preko državne meje</w:t>
      </w:r>
      <w:r w:rsidRPr="00F156D5">
        <w:t xml:space="preserve"> (ugotovljeno v približno 19% zadev),</w:t>
      </w:r>
    </w:p>
    <w:p w14:paraId="6D1FA1A2" w14:textId="77777777" w:rsidR="00F156D5" w:rsidRPr="00F156D5" w:rsidRDefault="00F156D5" w:rsidP="00F156D5">
      <w:pPr>
        <w:pStyle w:val="Odstavekseznama"/>
        <w:tabs>
          <w:tab w:val="left" w:pos="4536"/>
        </w:tabs>
        <w:ind w:left="851" w:hanging="284"/>
      </w:pPr>
      <w:r w:rsidRPr="00121B94">
        <w:rPr>
          <w:b/>
          <w:bCs/>
        </w:rPr>
        <w:t>uporaba sredstev za gospodarsko poslovanje</w:t>
      </w:r>
      <w:r w:rsidRPr="00F156D5">
        <w:t xml:space="preserve"> (ugotovljeno v približno 16% zadev),</w:t>
      </w:r>
    </w:p>
    <w:p w14:paraId="7188B045" w14:textId="77777777" w:rsidR="00F156D5" w:rsidRPr="00F156D5" w:rsidRDefault="00F156D5" w:rsidP="00F156D5">
      <w:pPr>
        <w:pStyle w:val="Odstavekseznama"/>
        <w:tabs>
          <w:tab w:val="left" w:pos="4536"/>
        </w:tabs>
        <w:ind w:left="851" w:hanging="284"/>
      </w:pPr>
      <w:r w:rsidRPr="00121B94">
        <w:rPr>
          <w:b/>
          <w:bCs/>
        </w:rPr>
        <w:t>pologi gotovine</w:t>
      </w:r>
      <w:r w:rsidRPr="00F156D5">
        <w:t xml:space="preserve"> (ugotovljeno v približno 15% zadev),</w:t>
      </w:r>
    </w:p>
    <w:p w14:paraId="23DF40FA" w14:textId="77777777" w:rsidR="00F156D5" w:rsidRPr="00F156D5" w:rsidRDefault="00F156D5" w:rsidP="00F156D5">
      <w:pPr>
        <w:pStyle w:val="Odstavekseznama"/>
        <w:tabs>
          <w:tab w:val="left" w:pos="4536"/>
        </w:tabs>
        <w:ind w:left="851" w:hanging="284"/>
      </w:pPr>
      <w:r w:rsidRPr="00121B94">
        <w:rPr>
          <w:b/>
          <w:bCs/>
        </w:rPr>
        <w:t>drobljenje zneskov in izmikanje identifikaciji</w:t>
      </w:r>
      <w:r w:rsidRPr="00F156D5">
        <w:t xml:space="preserve"> (ugotovljeno v približno 3% zadev)</w:t>
      </w:r>
    </w:p>
    <w:p w14:paraId="46CC7EAD" w14:textId="77777777" w:rsidR="00F156D5" w:rsidRPr="00F156D5" w:rsidRDefault="00F156D5" w:rsidP="00F156D5">
      <w:pPr>
        <w:pStyle w:val="Odstavekseznama"/>
        <w:tabs>
          <w:tab w:val="left" w:pos="4536"/>
        </w:tabs>
        <w:ind w:left="851" w:hanging="284"/>
      </w:pPr>
      <w:r w:rsidRPr="00121B94">
        <w:rPr>
          <w:b/>
          <w:bCs/>
        </w:rPr>
        <w:t>uporaba fiktivnih pogodb</w:t>
      </w:r>
      <w:r w:rsidRPr="00F156D5">
        <w:t xml:space="preserve"> (ugotovljeno v približno 3% zadev),</w:t>
      </w:r>
    </w:p>
    <w:p w14:paraId="2E24941B" w14:textId="77777777" w:rsidR="00F156D5" w:rsidRPr="00F156D5" w:rsidRDefault="00F156D5" w:rsidP="00F156D5">
      <w:pPr>
        <w:pStyle w:val="Odstavekseznama"/>
        <w:tabs>
          <w:tab w:val="left" w:pos="4536"/>
        </w:tabs>
        <w:ind w:left="851" w:hanging="284"/>
      </w:pPr>
      <w:r w:rsidRPr="00121B94">
        <w:rPr>
          <w:b/>
          <w:bCs/>
        </w:rPr>
        <w:t>dvigi gotovine na bankomatih v tujini</w:t>
      </w:r>
      <w:r w:rsidRPr="00F156D5">
        <w:t xml:space="preserve"> (ugotovljeno v približno 2% zadev),</w:t>
      </w:r>
    </w:p>
    <w:p w14:paraId="4C52A0CE" w14:textId="77777777" w:rsidR="00F156D5" w:rsidRPr="00F156D5" w:rsidRDefault="00F156D5" w:rsidP="00F156D5">
      <w:pPr>
        <w:pStyle w:val="Odstavekseznama"/>
        <w:tabs>
          <w:tab w:val="left" w:pos="4536"/>
        </w:tabs>
        <w:ind w:left="851" w:hanging="284"/>
      </w:pPr>
      <w:r w:rsidRPr="00121B94">
        <w:rPr>
          <w:b/>
          <w:bCs/>
        </w:rPr>
        <w:lastRenderedPageBreak/>
        <w:t>uporaba sistemov za prenos denarja</w:t>
      </w:r>
      <w:r w:rsidRPr="00F156D5">
        <w:t xml:space="preserve"> (MoneyGram, Western Union) (ugotovljeno v približno 2% zadev),</w:t>
      </w:r>
    </w:p>
    <w:p w14:paraId="18EFE63D" w14:textId="5B795E66" w:rsidR="00F156D5" w:rsidRPr="00F156D5" w:rsidRDefault="00F156D5" w:rsidP="00F156D5">
      <w:pPr>
        <w:pStyle w:val="Odstavekseznama"/>
        <w:tabs>
          <w:tab w:val="left" w:pos="4536"/>
        </w:tabs>
        <w:ind w:left="851" w:hanging="284"/>
      </w:pPr>
      <w:r w:rsidRPr="00121B94">
        <w:rPr>
          <w:b/>
          <w:bCs/>
        </w:rPr>
        <w:t>lažni prikazi namena transakcij</w:t>
      </w:r>
      <w:r w:rsidRPr="00F156D5">
        <w:t xml:space="preserve"> (ugotovljeno v približno 2% zadev)</w:t>
      </w:r>
      <w:r w:rsidR="00C52229">
        <w:t>.</w:t>
      </w:r>
    </w:p>
    <w:p w14:paraId="46607F1D" w14:textId="77777777" w:rsidR="00F156D5" w:rsidRDefault="00F156D5" w:rsidP="00F156D5">
      <w:pPr>
        <w:widowControl w:val="0"/>
        <w:tabs>
          <w:tab w:val="left" w:pos="720"/>
        </w:tabs>
        <w:spacing w:after="0" w:line="240" w:lineRule="auto"/>
        <w:ind w:right="-23"/>
        <w:rPr>
          <w:rFonts w:eastAsia="Arial" w:cs="Arial"/>
        </w:rPr>
      </w:pPr>
    </w:p>
    <w:p w14:paraId="7EF943EA" w14:textId="3B408C39" w:rsidR="00F156D5" w:rsidRDefault="00F156D5" w:rsidP="00F156D5">
      <w:pPr>
        <w:widowControl w:val="0"/>
        <w:spacing w:after="0" w:line="240" w:lineRule="auto"/>
        <w:ind w:right="-23"/>
        <w:rPr>
          <w:rFonts w:eastAsia="Arial" w:cs="Arial"/>
        </w:rPr>
      </w:pPr>
      <w:r>
        <w:rPr>
          <w:rFonts w:eastAsia="Arial" w:cs="Arial"/>
        </w:rPr>
        <w:t xml:space="preserve">Največkrat uporabljene tehnike pranja denarja v letu </w:t>
      </w:r>
      <w:r w:rsidRPr="00CF6742">
        <w:rPr>
          <w:rFonts w:eastAsia="Arial" w:cs="Arial"/>
        </w:rPr>
        <w:t>20</w:t>
      </w:r>
      <w:r>
        <w:rPr>
          <w:rFonts w:eastAsia="Arial" w:cs="Arial"/>
        </w:rPr>
        <w:t>21</w:t>
      </w:r>
      <w:r w:rsidRPr="00CF6742">
        <w:rPr>
          <w:rFonts w:eastAsia="Arial" w:cs="Arial"/>
        </w:rPr>
        <w:t xml:space="preserve"> </w:t>
      </w:r>
      <w:r w:rsidR="007C5B9C">
        <w:rPr>
          <w:rFonts w:eastAsia="Arial" w:cs="Arial"/>
        </w:rPr>
        <w:t xml:space="preserve">so </w:t>
      </w:r>
      <w:r w:rsidR="004147CD">
        <w:rPr>
          <w:rFonts w:eastAsia="Arial" w:cs="Arial"/>
        </w:rPr>
        <w:t xml:space="preserve">grafično </w:t>
      </w:r>
      <w:r w:rsidR="007C5B9C">
        <w:rPr>
          <w:rFonts w:eastAsia="Arial" w:cs="Arial"/>
        </w:rPr>
        <w:t>predstavljene</w:t>
      </w:r>
      <w:r>
        <w:rPr>
          <w:rFonts w:eastAsia="Arial" w:cs="Arial"/>
        </w:rPr>
        <w:t xml:space="preserve"> v </w:t>
      </w:r>
      <w:r w:rsidR="007C5B9C">
        <w:rPr>
          <w:rFonts w:eastAsia="Arial" w:cs="Arial"/>
        </w:rPr>
        <w:t>g</w:t>
      </w:r>
      <w:r>
        <w:rPr>
          <w:rFonts w:eastAsia="Arial" w:cs="Arial"/>
        </w:rPr>
        <w:t>rafu 4.</w:t>
      </w:r>
    </w:p>
    <w:p w14:paraId="3A650236" w14:textId="77777777" w:rsidR="00121B94" w:rsidRDefault="00121B94" w:rsidP="00F156D5">
      <w:pPr>
        <w:widowControl w:val="0"/>
        <w:spacing w:after="0" w:line="240" w:lineRule="auto"/>
        <w:ind w:right="-23"/>
        <w:rPr>
          <w:rFonts w:eastAsia="Arial" w:cs="Arial"/>
        </w:rPr>
      </w:pPr>
    </w:p>
    <w:p w14:paraId="3BAF53AE" w14:textId="77777777" w:rsidR="00F156D5" w:rsidRDefault="00F156D5" w:rsidP="00F156D5">
      <w:pPr>
        <w:widowControl w:val="0"/>
        <w:spacing w:after="0" w:line="240" w:lineRule="auto"/>
        <w:ind w:right="-23"/>
        <w:rPr>
          <w:rFonts w:eastAsia="Arial" w:cs="Arial"/>
        </w:rPr>
      </w:pPr>
    </w:p>
    <w:p w14:paraId="502A14CC" w14:textId="2A993C21" w:rsidR="00F156D5" w:rsidRPr="00121B94" w:rsidRDefault="00F156D5" w:rsidP="00121B94">
      <w:pPr>
        <w:spacing w:line="276" w:lineRule="auto"/>
        <w:ind w:left="1418" w:right="-22" w:hanging="1418"/>
        <w:rPr>
          <w:b/>
          <w:bCs/>
          <w:i/>
          <w:iCs/>
          <w:sz w:val="18"/>
          <w:szCs w:val="18"/>
        </w:rPr>
      </w:pPr>
      <w:r w:rsidRPr="00121B94">
        <w:rPr>
          <w:b/>
          <w:bCs/>
          <w:i/>
          <w:iCs/>
          <w:sz w:val="18"/>
          <w:szCs w:val="18"/>
        </w:rPr>
        <w:t xml:space="preserve">Graf 4: </w:t>
      </w:r>
      <w:r w:rsidR="00F338AD" w:rsidRPr="007A689C">
        <w:rPr>
          <w:b/>
          <w:bCs/>
          <w:i/>
          <w:iCs/>
          <w:sz w:val="18"/>
          <w:szCs w:val="18"/>
        </w:rPr>
        <w:t>Prikaz števila vseh odprtih zadev in poslanih obvestil o sumljivih transakcijah in informacij v obdobju 2011–2021</w:t>
      </w:r>
    </w:p>
    <w:p w14:paraId="73528ED7" w14:textId="008935C2" w:rsidR="00B65A09" w:rsidRPr="006F551F" w:rsidRDefault="00F7059E" w:rsidP="00B65A09">
      <w:pPr>
        <w:rPr>
          <w:color w:val="FF0000"/>
        </w:rPr>
      </w:pPr>
      <w:r w:rsidRPr="006F551F">
        <w:rPr>
          <w:rFonts w:eastAsia="Arial"/>
          <w:noProof/>
          <w:color w:val="FF0000"/>
          <w:lang w:eastAsia="sl-SI"/>
        </w:rPr>
        <w:drawing>
          <wp:inline distT="0" distB="0" distL="0" distR="0" wp14:anchorId="2AE0024F" wp14:editId="1A4184E5">
            <wp:extent cx="5746750" cy="4036657"/>
            <wp:effectExtent l="0" t="0" r="6350" b="2540"/>
            <wp:docPr id="2" name="Chart 1" descr="Prikaz števila vseh odprtih zadev in poslanih obvestil o sumljivih transakcijah in informacij v obdobju 2011–20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C74AF93" w14:textId="77777777" w:rsidR="00121B94" w:rsidRDefault="00121B94" w:rsidP="00121B94"/>
    <w:p w14:paraId="41F0125D" w14:textId="1E2A00D2" w:rsidR="00121B94" w:rsidRPr="00121B94" w:rsidRDefault="00121B94" w:rsidP="00121B94">
      <w:r w:rsidRPr="00121B94">
        <w:t xml:space="preserve">Poleg zgoraj navedenih tehnik pranja denarja </w:t>
      </w:r>
      <w:r w:rsidR="007C5B9C">
        <w:t>so bile</w:t>
      </w:r>
      <w:r w:rsidRPr="00121B94">
        <w:t xml:space="preserve"> v posameznih zadevah </w:t>
      </w:r>
      <w:r w:rsidR="007C5B9C">
        <w:t>zaznane</w:t>
      </w:r>
      <w:r w:rsidRPr="00121B94">
        <w:t xml:space="preserve"> še nekatere </w:t>
      </w:r>
      <w:r w:rsidRPr="003E7F36">
        <w:rPr>
          <w:b/>
          <w:bCs/>
        </w:rPr>
        <w:t>druge tehnike pranja denarja</w:t>
      </w:r>
      <w:r w:rsidRPr="00121B94">
        <w:t>, kot so: investiranje v vrednostne papirje, ustvarjanje lažnih obveznosti, uporaba pooblaščencev in prikrivanje preko tretjih oseb, navidezno igranje v igralnici, nakupi in prodaje virtualnih valut, dvigi gotovine na bankomatih, menjava apoenov, menjava valu</w:t>
      </w:r>
      <w:r w:rsidR="007C5B9C">
        <w:t>t itd.</w:t>
      </w:r>
      <w:r w:rsidRPr="00121B94">
        <w:t xml:space="preserve"> </w:t>
      </w:r>
    </w:p>
    <w:p w14:paraId="5E727350" w14:textId="684DBC43" w:rsidR="00121B94" w:rsidRPr="00121B94" w:rsidRDefault="00121B94" w:rsidP="00121B94">
      <w:r w:rsidRPr="00121B94">
        <w:t xml:space="preserve">Kot največkrat uporabljen instrument pranja denarja, ki ga zasledimo pri skoraj vseh obravnavanih zadevah sumov pranja denarja v letu 2021, se ponovno pojavlja denar. Poleg denarja </w:t>
      </w:r>
      <w:r w:rsidR="007C5B9C">
        <w:t>so bile</w:t>
      </w:r>
      <w:r w:rsidRPr="00121B94">
        <w:t xml:space="preserve"> v posameznih zadevah zaz</w:t>
      </w:r>
      <w:r w:rsidR="007C5B9C">
        <w:t>nane</w:t>
      </w:r>
      <w:r w:rsidRPr="00121B94">
        <w:t xml:space="preserve"> še uporab</w:t>
      </w:r>
      <w:r w:rsidR="007C5B9C">
        <w:t>e</w:t>
      </w:r>
      <w:r w:rsidRPr="00121B94">
        <w:t xml:space="preserve"> virtualnih valut, nepremičnin, igralniških žetonov, vrednostnih papirjev in podjetij. </w:t>
      </w:r>
    </w:p>
    <w:p w14:paraId="19239CEB" w14:textId="559EBB5F" w:rsidR="00121B94" w:rsidRPr="00121B94" w:rsidRDefault="007C5B9C" w:rsidP="00121B94">
      <w:r>
        <w:t>A</w:t>
      </w:r>
      <w:r w:rsidR="00121B94" w:rsidRPr="00121B94">
        <w:t>naliza navedenih tipologij</w:t>
      </w:r>
      <w:r>
        <w:t xml:space="preserve"> je bila</w:t>
      </w:r>
      <w:r w:rsidR="00121B94" w:rsidRPr="00121B94">
        <w:t xml:space="preserve"> izdelana na podlagi ugotovitev </w:t>
      </w:r>
      <w:r>
        <w:t>u</w:t>
      </w:r>
      <w:r w:rsidR="00121B94" w:rsidRPr="00121B94">
        <w:t xml:space="preserve">rada v zadevah, ki </w:t>
      </w:r>
      <w:r>
        <w:t>so bile</w:t>
      </w:r>
      <w:r w:rsidR="00121B94" w:rsidRPr="00121B94">
        <w:t xml:space="preserve"> zaradi razlogov za sum pranja denarja posredova</w:t>
      </w:r>
      <w:r>
        <w:t>ne</w:t>
      </w:r>
      <w:r w:rsidR="00121B94" w:rsidRPr="00121B94">
        <w:t xml:space="preserve"> v nadaljnjo obravnavo policiji</w:t>
      </w:r>
      <w:r w:rsidR="003E7F36">
        <w:t xml:space="preserve"> oziroma </w:t>
      </w:r>
      <w:r w:rsidR="00121B94" w:rsidRPr="00121B94">
        <w:t xml:space="preserve">tožilstvu, kar pa ne pomeni, da policija je ali bo v zadevi potrdila sume </w:t>
      </w:r>
      <w:r>
        <w:t>u</w:t>
      </w:r>
      <w:r w:rsidR="00121B94" w:rsidRPr="00121B94">
        <w:t xml:space="preserve">rada in na tožilstvo podala kazensko ovadbo za pranje denarja. Upoštevati je treba, da lahko kriminalistična preiskava, ki jo izvede policija, tudi ovrže razloge za sum </w:t>
      </w:r>
      <w:r>
        <w:t>u</w:t>
      </w:r>
      <w:r w:rsidR="00121B94" w:rsidRPr="00121B94">
        <w:t xml:space="preserve">rada. </w:t>
      </w:r>
      <w:r>
        <w:t>Ugotovljeno je bilo</w:t>
      </w:r>
      <w:r w:rsidR="00121B94" w:rsidRPr="00121B94">
        <w:t xml:space="preserve"> tudi, da se v posamezni zadevi običajno pojavlja več različnih tehnik, oziroma različne kombinacije tehnik pranja denarja, ki jih pogosto uporabljajo med seboj povezane pravne in fizične osebe. </w:t>
      </w:r>
    </w:p>
    <w:p w14:paraId="0372D482" w14:textId="04597E05" w:rsidR="00121B94" w:rsidRPr="00121B94" w:rsidRDefault="00121B94" w:rsidP="00121B94">
      <w:r w:rsidRPr="00121B94">
        <w:lastRenderedPageBreak/>
        <w:t xml:space="preserve">Skupne značilnosti obravnavanih sumljivih transakcij (tipologije), ki so bile z obvestili </w:t>
      </w:r>
      <w:r w:rsidR="00EF04EB">
        <w:t xml:space="preserve">urada </w:t>
      </w:r>
      <w:r w:rsidRPr="00121B94">
        <w:t>o sumljivih transakcijah leta 2021 posredovane policiji</w:t>
      </w:r>
      <w:r w:rsidR="003E7F36">
        <w:t xml:space="preserve"> oziroma </w:t>
      </w:r>
      <w:r w:rsidRPr="00121B94">
        <w:t xml:space="preserve">tožilstvu, </w:t>
      </w:r>
      <w:r w:rsidR="00EF04EB">
        <w:t>se lahko razvrsti</w:t>
      </w:r>
      <w:r w:rsidRPr="00121B94">
        <w:t xml:space="preserve"> po naslednjih področjih:</w:t>
      </w:r>
    </w:p>
    <w:p w14:paraId="6447B5D6" w14:textId="73803FA4" w:rsidR="00121B94" w:rsidRPr="00121B94" w:rsidRDefault="00121B94" w:rsidP="00121B94">
      <w:pPr>
        <w:pStyle w:val="Odstavekseznama"/>
        <w:tabs>
          <w:tab w:val="left" w:pos="4536"/>
        </w:tabs>
        <w:ind w:left="851" w:hanging="284"/>
      </w:pPr>
      <w:r w:rsidRPr="00121B94">
        <w:rPr>
          <w:b/>
          <w:bCs/>
        </w:rPr>
        <w:t>zloraba/uporaba bančnih računov fizičnih oseb</w:t>
      </w:r>
      <w:r w:rsidRPr="00121B94">
        <w:t xml:space="preserve"> (ugotovljeno v približno 66% vseh zadev),</w:t>
      </w:r>
    </w:p>
    <w:p w14:paraId="2E17C4DC" w14:textId="77777777" w:rsidR="00121B94" w:rsidRPr="00121B94" w:rsidRDefault="00121B94" w:rsidP="00121B94">
      <w:pPr>
        <w:pStyle w:val="Odstavekseznama"/>
        <w:tabs>
          <w:tab w:val="left" w:pos="4536"/>
        </w:tabs>
        <w:ind w:left="851" w:hanging="284"/>
      </w:pPr>
      <w:r w:rsidRPr="00121B94">
        <w:rPr>
          <w:b/>
          <w:bCs/>
        </w:rPr>
        <w:t>zloraba/uporaba bančnih računov pravnih oseb</w:t>
      </w:r>
      <w:r w:rsidRPr="00121B94">
        <w:t xml:space="preserve"> (ugotovljeno v približno 57% vseh zadev), od tega: </w:t>
      </w:r>
    </w:p>
    <w:p w14:paraId="60E7F7E6" w14:textId="77777777" w:rsidR="00121B94" w:rsidRPr="00121B94" w:rsidRDefault="00121B94" w:rsidP="00121B94">
      <w:pPr>
        <w:pStyle w:val="Odstavekseznama"/>
        <w:tabs>
          <w:tab w:val="left" w:pos="4536"/>
        </w:tabs>
        <w:ind w:left="851" w:hanging="284"/>
      </w:pPr>
      <w:r w:rsidRPr="00121B94">
        <w:rPr>
          <w:b/>
          <w:bCs/>
        </w:rPr>
        <w:t>zloraba/uporaba računov slamnatih družb (</w:t>
      </w:r>
      <w:r w:rsidRPr="00121B94">
        <w:t>ugotovljeno v približno 6% vseh zadev),</w:t>
      </w:r>
    </w:p>
    <w:p w14:paraId="3E1E1370" w14:textId="77777777" w:rsidR="00121B94" w:rsidRPr="00121B94" w:rsidRDefault="00121B94" w:rsidP="00121B94">
      <w:pPr>
        <w:pStyle w:val="Odstavekseznama"/>
        <w:tabs>
          <w:tab w:val="left" w:pos="4536"/>
        </w:tabs>
        <w:ind w:left="851" w:hanging="284"/>
      </w:pPr>
      <w:r w:rsidRPr="00121B94">
        <w:rPr>
          <w:b/>
          <w:bCs/>
        </w:rPr>
        <w:t xml:space="preserve">zloraba/uporaba računov off-shore družb </w:t>
      </w:r>
      <w:r w:rsidRPr="00121B94">
        <w:t xml:space="preserve">(ugotovljeno v približno 1% vseh zadev), </w:t>
      </w:r>
    </w:p>
    <w:p w14:paraId="22DC8435" w14:textId="77777777" w:rsidR="00121B94" w:rsidRPr="00121B94" w:rsidRDefault="00121B94" w:rsidP="00121B94">
      <w:pPr>
        <w:pStyle w:val="Odstavekseznama"/>
        <w:tabs>
          <w:tab w:val="left" w:pos="4536"/>
        </w:tabs>
        <w:ind w:left="851" w:hanging="284"/>
      </w:pPr>
      <w:r w:rsidRPr="00121B94">
        <w:rPr>
          <w:b/>
          <w:bCs/>
        </w:rPr>
        <w:t>zloraba/uporaba računov slamnatih družb in fizičnih oseb v povezavi s sredstvi in družbami iz sosednjih držav</w:t>
      </w:r>
      <w:r w:rsidRPr="00121B94">
        <w:t xml:space="preserve"> (ugotovljeno v približno 14% vseh zadev),</w:t>
      </w:r>
    </w:p>
    <w:p w14:paraId="00C8BAE7" w14:textId="77777777" w:rsidR="00121B94" w:rsidRPr="00121B94" w:rsidRDefault="00121B94" w:rsidP="00121B94">
      <w:pPr>
        <w:pStyle w:val="Odstavekseznama"/>
        <w:tabs>
          <w:tab w:val="left" w:pos="4536"/>
        </w:tabs>
        <w:ind w:left="851" w:hanging="284"/>
      </w:pPr>
      <w:r w:rsidRPr="00121B94">
        <w:rPr>
          <w:b/>
          <w:bCs/>
        </w:rPr>
        <w:t>goljufije in tatvine povezane tudi z zlorabo internetnega bančništva, elektronske pošte ali interneta</w:t>
      </w:r>
      <w:r w:rsidRPr="00121B94">
        <w:t xml:space="preserve"> (ugotovljeno v približno 15 % vseh zadev),</w:t>
      </w:r>
    </w:p>
    <w:p w14:paraId="2FB6D4A2" w14:textId="77777777" w:rsidR="00121B94" w:rsidRPr="00121B94" w:rsidRDefault="00121B94" w:rsidP="00121B94">
      <w:pPr>
        <w:pStyle w:val="Odstavekseznama"/>
        <w:tabs>
          <w:tab w:val="left" w:pos="4536"/>
        </w:tabs>
        <w:ind w:left="851" w:hanging="284"/>
      </w:pPr>
      <w:r w:rsidRPr="00121B94">
        <w:rPr>
          <w:b/>
          <w:bCs/>
        </w:rPr>
        <w:t>drobljenje zneskov in izmikanje identifikaciji</w:t>
      </w:r>
      <w:r w:rsidRPr="00121B94">
        <w:t xml:space="preserve"> (ugotovljeno v približno 3% vseh zadev),</w:t>
      </w:r>
    </w:p>
    <w:p w14:paraId="177A3738" w14:textId="60C79C89" w:rsidR="00121B94" w:rsidRDefault="00121B94" w:rsidP="00121B94">
      <w:pPr>
        <w:pStyle w:val="Odstavekseznama"/>
        <w:tabs>
          <w:tab w:val="left" w:pos="4536"/>
        </w:tabs>
        <w:ind w:left="851" w:hanging="284"/>
      </w:pPr>
      <w:r w:rsidRPr="00121B94">
        <w:rPr>
          <w:b/>
          <w:bCs/>
        </w:rPr>
        <w:t>uporaba sistemov za prenos sredstev/denarja</w:t>
      </w:r>
      <w:r w:rsidRPr="00121B94">
        <w:t xml:space="preserve"> (ugotovljeno v približno 2% vseh zadev)</w:t>
      </w:r>
      <w:r w:rsidR="00EF04EB">
        <w:t>.</w:t>
      </w:r>
    </w:p>
    <w:p w14:paraId="46A518C7" w14:textId="25A8FD7E" w:rsidR="00121B94" w:rsidRPr="00121B94" w:rsidRDefault="00121B94" w:rsidP="00121B94">
      <w:r w:rsidRPr="00121B94">
        <w:t>Podrobne značilnosti ugotovljenih tipologij s</w:t>
      </w:r>
      <w:r w:rsidR="00EF04EB">
        <w:t>o bile opisane že</w:t>
      </w:r>
      <w:r w:rsidRPr="00121B94">
        <w:t xml:space="preserve"> v prejšnjih letnih poročilih o delu </w:t>
      </w:r>
      <w:r w:rsidR="00EF04EB">
        <w:t>u</w:t>
      </w:r>
      <w:r w:rsidRPr="00121B94">
        <w:t xml:space="preserve">rada prav tako pa se njihova obrazložitev nahaja na spletni strani </w:t>
      </w:r>
      <w:r w:rsidR="00EF04EB">
        <w:t>u</w:t>
      </w:r>
      <w:r w:rsidRPr="00121B94">
        <w:t>rada</w:t>
      </w:r>
      <w:r w:rsidR="003E7F36">
        <w:t>, zato v tem poročilu niso ponovno opisane</w:t>
      </w:r>
      <w:r w:rsidRPr="00121B94">
        <w:t xml:space="preserve">. </w:t>
      </w:r>
      <w:r w:rsidR="003E7F36">
        <w:t>V zvezi s tipologijami je bilo u</w:t>
      </w:r>
      <w:r w:rsidR="00EF04EB">
        <w:t xml:space="preserve">gotovljeno, da se </w:t>
      </w:r>
      <w:r w:rsidR="003E7F36">
        <w:t xml:space="preserve">njihove </w:t>
      </w:r>
      <w:r w:rsidR="00EF04EB">
        <w:t>g</w:t>
      </w:r>
      <w:r w:rsidRPr="00121B94">
        <w:t>lavne značilnosti bistveno ne spreminjajo, spreminja se samo pogostost zaznave posamezne tipologije.</w:t>
      </w:r>
    </w:p>
    <w:p w14:paraId="1BE5F3F2" w14:textId="77777777" w:rsidR="00B65A09" w:rsidRPr="006F551F" w:rsidRDefault="00B65A09" w:rsidP="00B65A09">
      <w:pPr>
        <w:rPr>
          <w:color w:val="FF0000"/>
        </w:rPr>
      </w:pPr>
    </w:p>
    <w:p w14:paraId="5FCC5039" w14:textId="0546F9BD" w:rsidR="00B65A09" w:rsidRDefault="00B65A09" w:rsidP="00B65A09">
      <w:pPr>
        <w:pStyle w:val="Naslov2"/>
      </w:pPr>
      <w:bookmarkStart w:id="31" w:name="_Toc119581703"/>
      <w:r>
        <w:t>ŠTEVILO DRUGIH ZADEV, ODSTOPLJENIH V OBRAVNAVO PRISTOJNIM ORGANOM</w:t>
      </w:r>
      <w:bookmarkEnd w:id="31"/>
    </w:p>
    <w:p w14:paraId="3C2E7539" w14:textId="77777777" w:rsidR="00B65A09" w:rsidRDefault="00B65A09" w:rsidP="00B65A09"/>
    <w:p w14:paraId="3453627A" w14:textId="3A3F1C09" w:rsidR="00D36326" w:rsidRPr="00D36326" w:rsidRDefault="00D36326" w:rsidP="00D36326">
      <w:pPr>
        <w:spacing w:line="276" w:lineRule="auto"/>
        <w:ind w:right="-22"/>
        <w:rPr>
          <w:color w:val="000000" w:themeColor="text1"/>
        </w:rPr>
      </w:pPr>
      <w:r>
        <w:rPr>
          <w:color w:val="000000" w:themeColor="text1"/>
        </w:rPr>
        <w:t>Poleg</w:t>
      </w:r>
      <w:r w:rsidRPr="00D36326">
        <w:rPr>
          <w:color w:val="000000" w:themeColor="text1"/>
        </w:rPr>
        <w:t xml:space="preserve"> zadev, povezanih s sumom pranja denarja, je urad leta 2021 prejel tudi 14 prijav sumov storitve različnih kaznivih dejanj, ki jih niso poslali zavezanci in za katere urad ni pristojen, hkrati pa iz njih niso izhajali razlogi za sum storitve kaznivega dejanja pranja denarja po 245. členu KZ-1. Vse te prijave je urad na podlagi 145. člena Zakona o kazenskem postopku odstopili v nadaljnjo obravnavo UKP MNZ in/ali drugim pristojnim organom. </w:t>
      </w:r>
    </w:p>
    <w:p w14:paraId="29872515" w14:textId="4276825F" w:rsidR="00B65A09" w:rsidRPr="00D36326" w:rsidRDefault="00D36326" w:rsidP="00D36326">
      <w:pPr>
        <w:spacing w:line="276" w:lineRule="auto"/>
        <w:ind w:right="-22"/>
        <w:rPr>
          <w:color w:val="000000" w:themeColor="text1"/>
        </w:rPr>
      </w:pPr>
      <w:r w:rsidRPr="00D36326">
        <w:rPr>
          <w:color w:val="000000" w:themeColor="text1"/>
        </w:rPr>
        <w:t xml:space="preserve">Pod točko 3.1.2. </w:t>
      </w:r>
      <w:r>
        <w:rPr>
          <w:color w:val="000000" w:themeColor="text1"/>
        </w:rPr>
        <w:t>je pojasnjeno</w:t>
      </w:r>
      <w:r w:rsidRPr="00D36326">
        <w:rPr>
          <w:color w:val="000000" w:themeColor="text1"/>
        </w:rPr>
        <w:t xml:space="preserve">, da je urad drugim organom (FURS in Policija) v njihovo nadaljnje odločanje odstopil tudi 40 zadev. S sprejemom notranjih pravil glede načina izvajanja operativnih analiz, ki ga je sprejelo vodstvo urada v mesecu oktobru 2021, </w:t>
      </w:r>
      <w:r w:rsidR="002A79CC">
        <w:rPr>
          <w:color w:val="000000" w:themeColor="text1"/>
        </w:rPr>
        <w:t xml:space="preserve">dejansko </w:t>
      </w:r>
      <w:r w:rsidRPr="00D36326">
        <w:rPr>
          <w:color w:val="000000" w:themeColor="text1"/>
        </w:rPr>
        <w:t xml:space="preserve">pričelo izvajati </w:t>
      </w:r>
      <w:r w:rsidR="002A79CC" w:rsidRPr="00D36326">
        <w:rPr>
          <w:color w:val="000000" w:themeColor="text1"/>
        </w:rPr>
        <w:t xml:space="preserve">pa </w:t>
      </w:r>
      <w:r w:rsidR="002A79CC">
        <w:rPr>
          <w:color w:val="000000" w:themeColor="text1"/>
        </w:rPr>
        <w:t xml:space="preserve">že </w:t>
      </w:r>
      <w:r w:rsidRPr="00D36326">
        <w:rPr>
          <w:color w:val="000000" w:themeColor="text1"/>
        </w:rPr>
        <w:t>avgusta 2021, je urad drug</w:t>
      </w:r>
      <w:r>
        <w:rPr>
          <w:color w:val="000000" w:themeColor="text1"/>
        </w:rPr>
        <w:t>im</w:t>
      </w:r>
      <w:r w:rsidRPr="00D36326">
        <w:rPr>
          <w:color w:val="000000" w:themeColor="text1"/>
        </w:rPr>
        <w:t xml:space="preserve"> organ</w:t>
      </w:r>
      <w:r>
        <w:rPr>
          <w:color w:val="000000" w:themeColor="text1"/>
        </w:rPr>
        <w:t>om</w:t>
      </w:r>
      <w:r w:rsidRPr="00D36326">
        <w:rPr>
          <w:color w:val="000000" w:themeColor="text1"/>
        </w:rPr>
        <w:t xml:space="preserve"> v nadaljnje odločanje odstopil sporočene podatke o sumljivih transakcijah od zavezancev, ki jih je prejel na podlagi </w:t>
      </w:r>
      <w:r w:rsidR="007945DD">
        <w:rPr>
          <w:color w:val="000000" w:themeColor="text1"/>
        </w:rPr>
        <w:t>69</w:t>
      </w:r>
      <w:r w:rsidRPr="00D36326">
        <w:rPr>
          <w:color w:val="000000" w:themeColor="text1"/>
        </w:rPr>
        <w:t>. člena ZPPDFT-</w:t>
      </w:r>
      <w:r w:rsidR="007945DD">
        <w:rPr>
          <w:color w:val="000000" w:themeColor="text1"/>
        </w:rPr>
        <w:t>1</w:t>
      </w:r>
      <w:r w:rsidRPr="00D36326">
        <w:rPr>
          <w:color w:val="000000" w:themeColor="text1"/>
        </w:rPr>
        <w:t xml:space="preserve"> in za katere je na osnovi sporočenih podatkov ocenil, da gre za možnost oziroma znake različnih kaznivih dejanj oziroma prekrškov s področja davčne zakonodaje, pri čemer navedenih podatkov ni dodatno preverjal in analiziral.</w:t>
      </w:r>
    </w:p>
    <w:p w14:paraId="3249D52E" w14:textId="7C11AC3F" w:rsidR="00D36326" w:rsidRDefault="00D36326" w:rsidP="00D36326">
      <w:pPr>
        <w:rPr>
          <w:color w:val="FF0000"/>
        </w:rPr>
      </w:pPr>
      <w:r>
        <w:rPr>
          <w:color w:val="FF0000"/>
        </w:rPr>
        <w:br w:type="page"/>
      </w:r>
    </w:p>
    <w:p w14:paraId="4D09D75C" w14:textId="77777777" w:rsidR="00D36326" w:rsidRDefault="00D36326" w:rsidP="00D36326"/>
    <w:p w14:paraId="0B35B42A" w14:textId="3EB45D94" w:rsidR="00B65A09" w:rsidRDefault="00B65A09" w:rsidP="00B65A09">
      <w:pPr>
        <w:pStyle w:val="Naslov1"/>
      </w:pPr>
      <w:bookmarkStart w:id="32" w:name="_Toc119581704"/>
      <w:r>
        <w:t>SODELOVANJE Z DRUGIMI DRŽAVNIMI ORGANI PRI ODKRIVANJU, PREISKOVANJU IN PREGONU PRANJA DENARJA</w:t>
      </w:r>
      <w:bookmarkEnd w:id="32"/>
    </w:p>
    <w:p w14:paraId="264D5B64" w14:textId="77777777" w:rsidR="00B65A09" w:rsidRDefault="00B65A09" w:rsidP="00B65A09"/>
    <w:p w14:paraId="3723FB74" w14:textId="6F1DCCD3" w:rsidR="006F551F" w:rsidRPr="006F551F" w:rsidRDefault="00FD2076" w:rsidP="006F551F">
      <w:pPr>
        <w:spacing w:line="276" w:lineRule="auto"/>
        <w:ind w:right="-22"/>
      </w:pPr>
      <w:r>
        <w:rPr>
          <w:color w:val="000000" w:themeColor="text1"/>
        </w:rPr>
        <w:t>Urad je</w:t>
      </w:r>
      <w:r w:rsidR="006F551F" w:rsidRPr="00C92D06">
        <w:rPr>
          <w:color w:val="000000" w:themeColor="text1"/>
        </w:rPr>
        <w:t xml:space="preserve"> v obravnavanem obdobju pri odkrivanju in preiskovanju kaznivih dejanj pranja denarja aktivno sodeloval predvsem z UKP MNZ,</w:t>
      </w:r>
      <w:r w:rsidR="006F551F" w:rsidRPr="00F313F1">
        <w:rPr>
          <w:color w:val="00B050"/>
        </w:rPr>
        <w:t xml:space="preserve"> </w:t>
      </w:r>
      <w:r w:rsidR="006F551F" w:rsidRPr="00424274">
        <w:t xml:space="preserve">Specializiranim državnim tožilstvom, FURS in SOVO. V konkretnih zadevah </w:t>
      </w:r>
      <w:r>
        <w:t>je</w:t>
      </w:r>
      <w:r w:rsidR="006F551F" w:rsidRPr="00424274">
        <w:t xml:space="preserve"> sodeloval tudi s kriminalisti iz več policijskih uprav ter celo policijskih postaj in drugimi državnimi tožilci. Sodelovanje z navedenimi državnimi organi je potekalo </w:t>
      </w:r>
      <w:r>
        <w:t xml:space="preserve">tako </w:t>
      </w:r>
      <w:r w:rsidR="006F551F" w:rsidRPr="00424274">
        <w:t xml:space="preserve">na ravni predstojnikov </w:t>
      </w:r>
      <w:r>
        <w:t>kot</w:t>
      </w:r>
      <w:r w:rsidR="006F551F" w:rsidRPr="00424274">
        <w:t xml:space="preserve"> na operativni ravni med pooblaščenimi predstavniki organov. </w:t>
      </w:r>
    </w:p>
    <w:p w14:paraId="101D8C47" w14:textId="7F114A8F" w:rsidR="006F551F" w:rsidRPr="006F551F" w:rsidRDefault="00CD6A0F" w:rsidP="006F551F">
      <w:pPr>
        <w:spacing w:line="276" w:lineRule="auto"/>
        <w:ind w:right="-22"/>
      </w:pPr>
      <w:r>
        <w:rPr>
          <w:color w:val="000000" w:themeColor="text1"/>
        </w:rPr>
        <w:t>V</w:t>
      </w:r>
      <w:r w:rsidR="006F551F" w:rsidRPr="00C92D06">
        <w:rPr>
          <w:color w:val="000000" w:themeColor="text1"/>
        </w:rPr>
        <w:t xml:space="preserve"> letu 2021 </w:t>
      </w:r>
      <w:r>
        <w:rPr>
          <w:color w:val="000000" w:themeColor="text1"/>
        </w:rPr>
        <w:t xml:space="preserve">je urad </w:t>
      </w:r>
      <w:r w:rsidR="006F551F" w:rsidRPr="00C92D06">
        <w:rPr>
          <w:color w:val="000000" w:themeColor="text1"/>
        </w:rPr>
        <w:t xml:space="preserve">izdal </w:t>
      </w:r>
      <w:r w:rsidR="006F551F" w:rsidRPr="00737ED9">
        <w:rPr>
          <w:b/>
          <w:bCs/>
          <w:color w:val="000000" w:themeColor="text1"/>
        </w:rPr>
        <w:t>štiri soglasja za sodelovanje v specializiranih preiskovalnih skupinah</w:t>
      </w:r>
      <w:r w:rsidR="006F551F" w:rsidRPr="00C92D06">
        <w:rPr>
          <w:color w:val="000000" w:themeColor="text1"/>
        </w:rPr>
        <w:t xml:space="preserve">, ki so bile pozneje tudi ustanovljene. V vseh primerih se je sodelovanje v teh skupinah nanašalo na finančno preiskovalno skupino v okviru Zakona </w:t>
      </w:r>
      <w:r w:rsidR="006F551F" w:rsidRPr="00424274">
        <w:t>o odvzemu premoženja nezakonitega iz</w:t>
      </w:r>
      <w:r w:rsidR="006F551F">
        <w:t xml:space="preserve">vora (ZOPNI). </w:t>
      </w:r>
      <w:r w:rsidRPr="002E4876">
        <w:t xml:space="preserve">Od ustanovitve urada </w:t>
      </w:r>
      <w:r w:rsidR="002E4876" w:rsidRPr="002E4876">
        <w:t xml:space="preserve">do konca </w:t>
      </w:r>
      <w:r w:rsidR="006F551F" w:rsidRPr="002E4876">
        <w:t xml:space="preserve">leta 2021 je urad skupno sodeloval v 73 specializiranih skupinah, od katerih jih je bilo 55 ustanovljenih v skladu z ZOPNI. Sodelovanje s policijo </w:t>
      </w:r>
      <w:r w:rsidR="00597DB9" w:rsidRPr="002E4876">
        <w:t>se ocenjuje kot dobro</w:t>
      </w:r>
      <w:r w:rsidR="006F551F" w:rsidRPr="002E4876">
        <w:t>, saj je potekalo</w:t>
      </w:r>
      <w:r w:rsidR="006F551F" w:rsidRPr="00424274">
        <w:t xml:space="preserve"> tako na ravni konkretnih zadev kot tudi na ravni medsebojnega usposabljanja in skupnega usposabljanja zavezancev po ZPPDFT-</w:t>
      </w:r>
      <w:r w:rsidR="00597DB9">
        <w:t>1</w:t>
      </w:r>
      <w:r w:rsidR="006F551F" w:rsidRPr="00424274">
        <w:t>.</w:t>
      </w:r>
    </w:p>
    <w:p w14:paraId="589B2A47" w14:textId="58EA748C" w:rsidR="006F551F" w:rsidRPr="00424274" w:rsidRDefault="006F551F" w:rsidP="006F551F">
      <w:pPr>
        <w:spacing w:line="276" w:lineRule="auto"/>
        <w:ind w:right="-22"/>
        <w:rPr>
          <w:b/>
          <w:u w:val="single"/>
        </w:rPr>
      </w:pPr>
      <w:r w:rsidRPr="00424274">
        <w:t xml:space="preserve">Iz prejetih podatkov </w:t>
      </w:r>
      <w:r w:rsidR="007C2A03">
        <w:t>p</w:t>
      </w:r>
      <w:r w:rsidRPr="00424274">
        <w:t xml:space="preserve">olicije izhaja, da </w:t>
      </w:r>
      <w:r w:rsidRPr="00B47411">
        <w:t xml:space="preserve">je policija v letu 2021 podala </w:t>
      </w:r>
      <w:r w:rsidRPr="00B47411">
        <w:rPr>
          <w:color w:val="000000" w:themeColor="text1"/>
        </w:rPr>
        <w:t>49</w:t>
      </w:r>
      <w:r w:rsidRPr="00B47411">
        <w:t xml:space="preserve"> kazenskih ovadb zaradi utemeljenega suma storitve kaznivega dejanja pranja denarja.</w:t>
      </w:r>
      <w:r>
        <w:t xml:space="preserve"> V letu 2021</w:t>
      </w:r>
      <w:r w:rsidRPr="00424274">
        <w:t xml:space="preserve"> so se tako </w:t>
      </w:r>
      <w:r>
        <w:t>začeli postopki v 49</w:t>
      </w:r>
      <w:r w:rsidRPr="00424274">
        <w:t xml:space="preserve"> zadevah, v katerih so se v predkazenskem ali kazenskem postopku obravnavali sumi storitve kaznivega dejanja pranja denarja po 245. členu KZ-1</w:t>
      </w:r>
      <w:r w:rsidRPr="00424274">
        <w:rPr>
          <w:b/>
        </w:rPr>
        <w:t>.</w:t>
      </w:r>
    </w:p>
    <w:p w14:paraId="65031C2B" w14:textId="3FF82068" w:rsidR="006F551F" w:rsidRPr="00B47411" w:rsidRDefault="007C2A03" w:rsidP="006F551F">
      <w:pPr>
        <w:spacing w:line="276" w:lineRule="auto"/>
        <w:ind w:right="-22"/>
        <w:rPr>
          <w:b/>
          <w:iCs/>
        </w:rPr>
      </w:pPr>
      <w:r w:rsidRPr="00B47411">
        <w:rPr>
          <w:b/>
          <w:iCs/>
        </w:rPr>
        <w:t>V</w:t>
      </w:r>
      <w:r w:rsidR="006F551F" w:rsidRPr="00B47411">
        <w:rPr>
          <w:b/>
          <w:iCs/>
        </w:rPr>
        <w:t xml:space="preserve"> obdobju 1995–2021 </w:t>
      </w:r>
      <w:r w:rsidRPr="00B47411">
        <w:rPr>
          <w:b/>
          <w:iCs/>
        </w:rPr>
        <w:t xml:space="preserve">so bili </w:t>
      </w:r>
      <w:r w:rsidR="006F551F" w:rsidRPr="00B47411">
        <w:rPr>
          <w:b/>
          <w:iCs/>
        </w:rPr>
        <w:t xml:space="preserve">zaradi utemeljenih sumov storitve kaznivega dejanja pranja denarja začeti predkazenski ali kazenski postopki v </w:t>
      </w:r>
      <w:r w:rsidR="006F551F" w:rsidRPr="00B47411">
        <w:rPr>
          <w:b/>
          <w:iCs/>
          <w:color w:val="000000" w:themeColor="text1"/>
        </w:rPr>
        <w:t>716 zadevah</w:t>
      </w:r>
      <w:r w:rsidR="006F551F" w:rsidRPr="00B47411">
        <w:rPr>
          <w:b/>
          <w:iCs/>
        </w:rPr>
        <w:t xml:space="preserve">. </w:t>
      </w:r>
    </w:p>
    <w:p w14:paraId="49CACF24" w14:textId="43144A84" w:rsidR="00B65A09" w:rsidRDefault="006F551F" w:rsidP="006F551F">
      <w:pPr>
        <w:spacing w:line="276" w:lineRule="auto"/>
        <w:ind w:right="-22"/>
      </w:pPr>
      <w:r w:rsidRPr="00424274">
        <w:t xml:space="preserve">V nadaljevanju </w:t>
      </w:r>
      <w:r w:rsidR="008641D9">
        <w:t>je podana</w:t>
      </w:r>
      <w:r w:rsidRPr="00424274">
        <w:t xml:space="preserve"> podrobnejš</w:t>
      </w:r>
      <w:r w:rsidR="008641D9">
        <w:t>a</w:t>
      </w:r>
      <w:r w:rsidRPr="00424274">
        <w:t xml:space="preserve"> ocen</w:t>
      </w:r>
      <w:r w:rsidR="008641D9">
        <w:t>a</w:t>
      </w:r>
      <w:r w:rsidRPr="00424274">
        <w:t xml:space="preserve"> delovanja tistega dela boja proti pranju denarja, ki se nanaša na policijo, državno tožilstvo in pravosodje, medtem </w:t>
      </w:r>
      <w:r w:rsidR="008641D9">
        <w:t>ko je bilo</w:t>
      </w:r>
      <w:r w:rsidRPr="00424274">
        <w:t xml:space="preserve"> sodelovanje s FURS že </w:t>
      </w:r>
      <w:r w:rsidR="008641D9">
        <w:t>opisano</w:t>
      </w:r>
      <w:r w:rsidRPr="00424274">
        <w:t xml:space="preserve"> v poglavju 3.1.7.</w:t>
      </w:r>
    </w:p>
    <w:p w14:paraId="3BF9D2E3" w14:textId="77777777" w:rsidR="006F551F" w:rsidRDefault="006F551F" w:rsidP="006F551F">
      <w:pPr>
        <w:spacing w:line="276" w:lineRule="auto"/>
        <w:ind w:right="-22"/>
      </w:pPr>
    </w:p>
    <w:p w14:paraId="0479681B" w14:textId="2FF7776A" w:rsidR="00B65A09" w:rsidRDefault="00B65A09" w:rsidP="00B65A09">
      <w:pPr>
        <w:pStyle w:val="Naslov2"/>
      </w:pPr>
      <w:bookmarkStart w:id="33" w:name="_Toc119581705"/>
      <w:r>
        <w:t xml:space="preserve">KAZNIVA DEJANJA IN IZVAJANJE </w:t>
      </w:r>
      <w:r w:rsidR="00616213">
        <w:t>121</w:t>
      </w:r>
      <w:r>
        <w:t>. ČLENA ZPPDFT-1</w:t>
      </w:r>
      <w:bookmarkEnd w:id="33"/>
    </w:p>
    <w:p w14:paraId="409B86FC" w14:textId="77777777" w:rsidR="00B65A09" w:rsidRDefault="00B65A09" w:rsidP="00B65A09"/>
    <w:p w14:paraId="18D5B417" w14:textId="2E39AB55" w:rsidR="006F551F" w:rsidRPr="006F551F" w:rsidRDefault="00616213" w:rsidP="006F551F">
      <w:pPr>
        <w:spacing w:line="276" w:lineRule="auto"/>
        <w:ind w:right="-22"/>
      </w:pPr>
      <w:r>
        <w:t>ZPPDFT-1</w:t>
      </w:r>
      <w:r w:rsidR="006F551F" w:rsidRPr="006F551F">
        <w:t xml:space="preserve"> v </w:t>
      </w:r>
      <w:r>
        <w:t>121</w:t>
      </w:r>
      <w:r w:rsidR="006F551F" w:rsidRPr="006F551F">
        <w:t>. členu določa</w:t>
      </w:r>
      <w:r w:rsidR="006F551F" w:rsidRPr="00424274">
        <w:t xml:space="preserve">, da </w:t>
      </w:r>
      <w:r w:rsidR="006F551F">
        <w:t>morajo</w:t>
      </w:r>
      <w:r w:rsidR="006F551F" w:rsidRPr="00424274">
        <w:t xml:space="preserve"> zaradi centralizacije in analize vseh podatkov s področja pranja denarja sodišča, državna tožilstva in drugi državni organi </w:t>
      </w:r>
      <w:r w:rsidR="006F551F">
        <w:t>urad</w:t>
      </w:r>
      <w:r w:rsidR="006F551F" w:rsidRPr="00424274">
        <w:t xml:space="preserve">u </w:t>
      </w:r>
      <w:r w:rsidR="006F551F">
        <w:t>sporočati</w:t>
      </w:r>
      <w:r w:rsidR="006F551F" w:rsidRPr="00424274">
        <w:t xml:space="preserve"> podatke o kaznivih dejanjih pranja denarja in kršitev ZPPDFT-</w:t>
      </w:r>
      <w:r>
        <w:t>1</w:t>
      </w:r>
      <w:r w:rsidR="006F551F" w:rsidRPr="00424274">
        <w:t xml:space="preserve">. Državni organi </w:t>
      </w:r>
      <w:r w:rsidR="006F551F">
        <w:t>morajo</w:t>
      </w:r>
      <w:r w:rsidR="006F551F" w:rsidRPr="00424274">
        <w:t xml:space="preserve"> na podlagi tega člena </w:t>
      </w:r>
      <w:r w:rsidR="006F551F">
        <w:t>urad</w:t>
      </w:r>
      <w:r w:rsidR="006F551F" w:rsidRPr="00424274">
        <w:t xml:space="preserve">u določene podatke </w:t>
      </w:r>
      <w:r w:rsidR="006F551F">
        <w:t>sporočati sproti</w:t>
      </w:r>
      <w:r w:rsidR="006F551F" w:rsidRPr="00424274">
        <w:t xml:space="preserve"> in enkrat letno </w:t>
      </w:r>
      <w:r w:rsidR="006F551F">
        <w:t>urad</w:t>
      </w:r>
      <w:r w:rsidR="006F551F" w:rsidRPr="00424274">
        <w:t xml:space="preserve"> obvestiti o ugotovitvah v zvezi s prejetimi obvestili in informacijami, državna tožilstva in sodišča pa o osebah in postopkih, zoper katere teče predkazenski ali kazenski postopek ali postopek o prekršku.</w:t>
      </w:r>
    </w:p>
    <w:p w14:paraId="31602AFC" w14:textId="2D87734D" w:rsidR="006F551F" w:rsidRPr="006F551F" w:rsidRDefault="00616213" w:rsidP="006F551F">
      <w:pPr>
        <w:spacing w:line="276" w:lineRule="auto"/>
        <w:ind w:right="-22"/>
        <w:rPr>
          <w:b/>
          <w:bCs/>
        </w:rPr>
      </w:pPr>
      <w:r>
        <w:rPr>
          <w:b/>
          <w:bCs/>
        </w:rPr>
        <w:t xml:space="preserve">Policija je </w:t>
      </w:r>
      <w:r w:rsidR="006F551F" w:rsidRPr="006F551F">
        <w:rPr>
          <w:b/>
          <w:bCs/>
        </w:rPr>
        <w:t>v okviru svojih pooblastil v letu 2021 podala kazenske ovadbe ali začela kazenski postopek v 49 zadevah.</w:t>
      </w:r>
    </w:p>
    <w:p w14:paraId="7023D58D" w14:textId="2D160D5F" w:rsidR="006F551F" w:rsidRPr="006F551F" w:rsidRDefault="006F551F" w:rsidP="006F551F">
      <w:pPr>
        <w:spacing w:line="276" w:lineRule="auto"/>
        <w:ind w:right="-22"/>
      </w:pPr>
      <w:r w:rsidRPr="006F551F">
        <w:t xml:space="preserve">V letu 2021 se je število na novo uvedenih predkazenskih in kazenskih postopkov glede na prejšnje leto </w:t>
      </w:r>
      <w:r w:rsidRPr="00737ED9">
        <w:rPr>
          <w:b/>
          <w:bCs/>
        </w:rPr>
        <w:t>zvišalo z 31 na 49 postopkov</w:t>
      </w:r>
      <w:r w:rsidRPr="006F551F">
        <w:t>, kar je dobrih 80 % povprečnega števila novih postopkov iz obdobja 2010–2015, ko je povprečno število novih postopkov znašalo skoraj 60 novih zadev.</w:t>
      </w:r>
    </w:p>
    <w:p w14:paraId="70066136" w14:textId="627472A9" w:rsidR="006F551F" w:rsidRPr="00737ED9" w:rsidRDefault="00616213" w:rsidP="006F551F">
      <w:pPr>
        <w:pStyle w:val="Telobesedila2"/>
        <w:tabs>
          <w:tab w:val="left" w:pos="-787"/>
          <w:tab w:val="left" w:pos="0"/>
          <w:tab w:val="left" w:pos="720"/>
          <w:tab w:val="left" w:pos="1440"/>
          <w:tab w:val="left" w:pos="2160"/>
          <w:tab w:val="left" w:pos="2880"/>
          <w:tab w:val="left" w:pos="3600"/>
          <w:tab w:val="left" w:pos="4320"/>
          <w:tab w:val="left" w:pos="4500"/>
        </w:tabs>
        <w:spacing w:line="276" w:lineRule="auto"/>
        <w:ind w:right="-22"/>
        <w:rPr>
          <w:bCs/>
        </w:rPr>
      </w:pPr>
      <w:r w:rsidRPr="00737ED9">
        <w:rPr>
          <w:bCs/>
          <w:color w:val="000000" w:themeColor="text1"/>
        </w:rPr>
        <w:t>V</w:t>
      </w:r>
      <w:r w:rsidR="006F551F" w:rsidRPr="00737ED9">
        <w:rPr>
          <w:bCs/>
        </w:rPr>
        <w:t xml:space="preserve"> zadnjih osmih letih </w:t>
      </w:r>
      <w:r w:rsidRPr="00737ED9">
        <w:rPr>
          <w:bCs/>
        </w:rPr>
        <w:t xml:space="preserve">se je tako </w:t>
      </w:r>
      <w:r w:rsidR="006F551F" w:rsidRPr="00737ED9">
        <w:rPr>
          <w:bCs/>
        </w:rPr>
        <w:t>začelo 451 postopkov v zvezi s pranjem denarja, kar je več kot polovica od vseh 685 postopkov za kaznivo dejanje pranja denarja od leta 1995 naprej.</w:t>
      </w:r>
    </w:p>
    <w:p w14:paraId="3FCC4276" w14:textId="44E54600" w:rsidR="006F551F" w:rsidRDefault="006F551F" w:rsidP="006F551F">
      <w:pPr>
        <w:pStyle w:val="Telobesedila"/>
        <w:spacing w:line="276" w:lineRule="auto"/>
        <w:ind w:right="-22"/>
        <w:rPr>
          <w:rFonts w:ascii="Arial" w:hAnsi="Arial"/>
          <w:sz w:val="20"/>
        </w:rPr>
      </w:pPr>
      <w:r w:rsidRPr="00424274">
        <w:rPr>
          <w:rFonts w:ascii="Arial" w:hAnsi="Arial"/>
          <w:sz w:val="20"/>
        </w:rPr>
        <w:t xml:space="preserve">V nadaljevanju </w:t>
      </w:r>
      <w:r w:rsidR="00616213">
        <w:rPr>
          <w:rFonts w:ascii="Arial" w:hAnsi="Arial"/>
          <w:sz w:val="20"/>
        </w:rPr>
        <w:t xml:space="preserve">so </w:t>
      </w:r>
      <w:r w:rsidRPr="00424274">
        <w:rPr>
          <w:rFonts w:ascii="Arial" w:hAnsi="Arial"/>
          <w:sz w:val="20"/>
        </w:rPr>
        <w:t xml:space="preserve">ločeno </w:t>
      </w:r>
      <w:r>
        <w:rPr>
          <w:rFonts w:ascii="Arial" w:hAnsi="Arial"/>
          <w:sz w:val="20"/>
        </w:rPr>
        <w:t>predstavlj</w:t>
      </w:r>
      <w:r w:rsidR="00616213">
        <w:rPr>
          <w:rFonts w:ascii="Arial" w:hAnsi="Arial"/>
          <w:sz w:val="20"/>
        </w:rPr>
        <w:t>eni</w:t>
      </w:r>
      <w:r w:rsidRPr="00424274">
        <w:rPr>
          <w:rFonts w:ascii="Arial" w:hAnsi="Arial"/>
          <w:sz w:val="20"/>
        </w:rPr>
        <w:t xml:space="preserve"> podatk</w:t>
      </w:r>
      <w:r w:rsidR="00616213">
        <w:rPr>
          <w:rFonts w:ascii="Arial" w:hAnsi="Arial"/>
          <w:sz w:val="20"/>
        </w:rPr>
        <w:t>i</w:t>
      </w:r>
      <w:r w:rsidRPr="00424274">
        <w:rPr>
          <w:rFonts w:ascii="Arial" w:hAnsi="Arial"/>
          <w:sz w:val="20"/>
        </w:rPr>
        <w:t xml:space="preserve"> o vloženih kazenskih ovadbah </w:t>
      </w:r>
      <w:r>
        <w:rPr>
          <w:rFonts w:ascii="Arial" w:hAnsi="Arial"/>
          <w:sz w:val="20"/>
        </w:rPr>
        <w:t>p</w:t>
      </w:r>
      <w:r w:rsidRPr="00424274">
        <w:rPr>
          <w:rFonts w:ascii="Arial" w:hAnsi="Arial"/>
          <w:sz w:val="20"/>
        </w:rPr>
        <w:t>olicije in samostojno začetih postopkih tožilstva ter pojasnj</w:t>
      </w:r>
      <w:r w:rsidR="00616213">
        <w:rPr>
          <w:rFonts w:ascii="Arial" w:hAnsi="Arial"/>
          <w:sz w:val="20"/>
        </w:rPr>
        <w:t>eno</w:t>
      </w:r>
      <w:r w:rsidRPr="00424274">
        <w:rPr>
          <w:rFonts w:ascii="Arial" w:hAnsi="Arial"/>
          <w:sz w:val="20"/>
        </w:rPr>
        <w:t xml:space="preserve"> sodelovanje </w:t>
      </w:r>
      <w:r>
        <w:rPr>
          <w:rFonts w:ascii="Arial" w:hAnsi="Arial"/>
          <w:sz w:val="20"/>
        </w:rPr>
        <w:t>urad</w:t>
      </w:r>
      <w:r w:rsidRPr="00424274">
        <w:rPr>
          <w:rFonts w:ascii="Arial" w:hAnsi="Arial"/>
          <w:sz w:val="20"/>
        </w:rPr>
        <w:t>a v teh zadevah.</w:t>
      </w:r>
    </w:p>
    <w:p w14:paraId="62F5ECB6" w14:textId="77777777" w:rsidR="006F551F" w:rsidRPr="00424274" w:rsidRDefault="006F551F" w:rsidP="006F551F">
      <w:pPr>
        <w:pStyle w:val="Telobesedila"/>
        <w:spacing w:line="276" w:lineRule="auto"/>
        <w:ind w:right="-22"/>
        <w:rPr>
          <w:rFonts w:ascii="Arial" w:hAnsi="Arial"/>
          <w:sz w:val="20"/>
        </w:rPr>
      </w:pPr>
    </w:p>
    <w:p w14:paraId="2BC8F1A9" w14:textId="7A79D83F" w:rsidR="00B65A09" w:rsidRDefault="00B65A09" w:rsidP="00B65A09">
      <w:pPr>
        <w:pStyle w:val="Naslov3"/>
      </w:pPr>
      <w:bookmarkStart w:id="34" w:name="_Toc119581706"/>
      <w:r>
        <w:lastRenderedPageBreak/>
        <w:t>Statistični podatki policije o kaznivih dejanjih pranja denarja</w:t>
      </w:r>
      <w:bookmarkEnd w:id="34"/>
    </w:p>
    <w:p w14:paraId="56EBB6C9" w14:textId="77777777" w:rsidR="00B65A09" w:rsidRDefault="00B65A09" w:rsidP="00B65A09"/>
    <w:p w14:paraId="70A478B8" w14:textId="6109A930" w:rsidR="006F551F" w:rsidRPr="006F551F" w:rsidRDefault="006F551F" w:rsidP="006F551F">
      <w:pPr>
        <w:spacing w:line="276" w:lineRule="auto"/>
        <w:ind w:right="-22"/>
        <w:rPr>
          <w:color w:val="000000" w:themeColor="text1"/>
        </w:rPr>
      </w:pPr>
      <w:r w:rsidRPr="00C92D06">
        <w:rPr>
          <w:color w:val="000000" w:themeColor="text1"/>
        </w:rPr>
        <w:t xml:space="preserve">Na podlagi podatkov o podanih kazenskih ovadbah, ki jih mora policija sproti sporočati uradu, </w:t>
      </w:r>
      <w:r w:rsidR="006F6403">
        <w:rPr>
          <w:color w:val="000000" w:themeColor="text1"/>
        </w:rPr>
        <w:t>je bilo ugotovljeno</w:t>
      </w:r>
      <w:r w:rsidRPr="00C92D06">
        <w:rPr>
          <w:color w:val="000000" w:themeColor="text1"/>
        </w:rPr>
        <w:t xml:space="preserve">, </w:t>
      </w:r>
      <w:r w:rsidRPr="00D36326">
        <w:rPr>
          <w:color w:val="000000" w:themeColor="text1"/>
        </w:rPr>
        <w:t xml:space="preserve">da je policija v letu 2021 podala </w:t>
      </w:r>
      <w:r w:rsidRPr="00D36326">
        <w:rPr>
          <w:b/>
          <w:bCs/>
          <w:color w:val="000000" w:themeColor="text1"/>
        </w:rPr>
        <w:t>49 kazenskih ovadb</w:t>
      </w:r>
      <w:r w:rsidRPr="00D36326">
        <w:rPr>
          <w:color w:val="000000" w:themeColor="text1"/>
        </w:rPr>
        <w:t xml:space="preserve"> za kaznivo dejanje pranja denarja, od katerih </w:t>
      </w:r>
      <w:r w:rsidR="006F6403" w:rsidRPr="00D36326">
        <w:rPr>
          <w:color w:val="000000" w:themeColor="text1"/>
        </w:rPr>
        <w:t xml:space="preserve">jih </w:t>
      </w:r>
      <w:r w:rsidRPr="00D36326">
        <w:rPr>
          <w:color w:val="000000" w:themeColor="text1"/>
        </w:rPr>
        <w:t xml:space="preserve">je </w:t>
      </w:r>
      <w:r w:rsidR="00D36326" w:rsidRPr="00D36326">
        <w:rPr>
          <w:b/>
          <w:bCs/>
          <w:color w:val="000000" w:themeColor="text1"/>
        </w:rPr>
        <w:t>30</w:t>
      </w:r>
      <w:r w:rsidRPr="00D36326">
        <w:rPr>
          <w:b/>
          <w:bCs/>
          <w:color w:val="000000" w:themeColor="text1"/>
        </w:rPr>
        <w:t xml:space="preserve"> vsebovalo podatke, ki jih je policiji v svojih izdelkih sporočil urad</w:t>
      </w:r>
      <w:r w:rsidRPr="00D36326">
        <w:rPr>
          <w:color w:val="000000" w:themeColor="text1"/>
        </w:rPr>
        <w:t>.</w:t>
      </w:r>
    </w:p>
    <w:p w14:paraId="32AF6CBD" w14:textId="73D5F4F3" w:rsidR="006F551F" w:rsidRPr="00424274" w:rsidRDefault="006F551F" w:rsidP="006F551F">
      <w:pPr>
        <w:spacing w:line="276" w:lineRule="auto"/>
        <w:ind w:right="-22"/>
      </w:pPr>
      <w:r>
        <w:t>V obdobju 2010–2021</w:t>
      </w:r>
      <w:r w:rsidRPr="00424274">
        <w:t xml:space="preserve"> je </w:t>
      </w:r>
      <w:r>
        <w:t>p</w:t>
      </w:r>
      <w:r w:rsidRPr="00424274">
        <w:t xml:space="preserve">olicija skupno podala </w:t>
      </w:r>
      <w:r w:rsidRPr="009206DC">
        <w:rPr>
          <w:b/>
        </w:rPr>
        <w:t>510</w:t>
      </w:r>
      <w:r w:rsidRPr="00424274">
        <w:rPr>
          <w:b/>
          <w:i/>
        </w:rPr>
        <w:t xml:space="preserve"> kazenskih ovadb</w:t>
      </w:r>
      <w:r w:rsidRPr="00424274">
        <w:t xml:space="preserve"> zaradi utemeljenega suma storitve kaznivega d</w:t>
      </w:r>
      <w:r>
        <w:t>ejanja pranja denarja, kar je 74,45 % vseh začetih postopkov (685</w:t>
      </w:r>
      <w:r w:rsidRPr="00424274">
        <w:t xml:space="preserve">) </w:t>
      </w:r>
      <w:r w:rsidR="009569B1">
        <w:t>v zvezi s</w:t>
      </w:r>
      <w:r w:rsidRPr="00424274">
        <w:t xml:space="preserve"> kazniv</w:t>
      </w:r>
      <w:r w:rsidR="009569B1">
        <w:t>i</w:t>
      </w:r>
      <w:r w:rsidRPr="00424274">
        <w:t>m dejanj</w:t>
      </w:r>
      <w:r w:rsidR="009569B1">
        <w:t>em</w:t>
      </w:r>
      <w:r w:rsidRPr="00424274">
        <w:t xml:space="preserve"> pranja denarja v tem obdobju. Preostale postopke je </w:t>
      </w:r>
      <w:r>
        <w:t>za</w:t>
      </w:r>
      <w:r w:rsidRPr="00424274">
        <w:t xml:space="preserve">čelo tožilstvo samostojno oziroma so nastali z izločitvami oseb iz </w:t>
      </w:r>
      <w:r w:rsidR="009569B1">
        <w:t xml:space="preserve">drugih </w:t>
      </w:r>
      <w:r w:rsidRPr="00424274">
        <w:t xml:space="preserve">kazenskih postopkov. Število podanih kazenskih ovadb </w:t>
      </w:r>
      <w:r>
        <w:t>p</w:t>
      </w:r>
      <w:r w:rsidRPr="00424274">
        <w:t xml:space="preserve">olicije zaradi utemeljenih razlogov za sum storitve kaznivega dejanja pranja denarja v posameznem letu za obdobje 2010–2020 </w:t>
      </w:r>
      <w:r w:rsidR="009569B1">
        <w:t>so prikazani</w:t>
      </w:r>
      <w:r w:rsidRPr="00424274">
        <w:t xml:space="preserve"> v naslednjem grafu</w:t>
      </w:r>
      <w:r>
        <w:t>.</w:t>
      </w:r>
    </w:p>
    <w:p w14:paraId="0EEB565F" w14:textId="77777777" w:rsidR="006F551F" w:rsidRPr="00424274" w:rsidRDefault="006F551F" w:rsidP="006F551F">
      <w:pPr>
        <w:pStyle w:val="Telobesedila"/>
        <w:spacing w:line="276" w:lineRule="auto"/>
        <w:ind w:right="-22"/>
        <w:rPr>
          <w:rFonts w:ascii="Arial" w:hAnsi="Arial"/>
          <w:sz w:val="20"/>
        </w:rPr>
      </w:pPr>
    </w:p>
    <w:p w14:paraId="755D2777" w14:textId="77777777" w:rsidR="006F551F" w:rsidRPr="006F551F" w:rsidRDefault="006F551F" w:rsidP="007B0E26">
      <w:pPr>
        <w:spacing w:line="276" w:lineRule="auto"/>
        <w:ind w:left="709" w:right="-22" w:hanging="709"/>
        <w:rPr>
          <w:b/>
          <w:bCs/>
          <w:i/>
          <w:iCs/>
          <w:sz w:val="18"/>
          <w:szCs w:val="18"/>
        </w:rPr>
      </w:pPr>
      <w:r w:rsidRPr="006F551F">
        <w:rPr>
          <w:b/>
          <w:bCs/>
          <w:i/>
          <w:iCs/>
          <w:sz w:val="18"/>
          <w:szCs w:val="18"/>
        </w:rPr>
        <w:t xml:space="preserve">Graf 5: </w:t>
      </w:r>
      <w:r w:rsidRPr="006F551F">
        <w:rPr>
          <w:b/>
          <w:bCs/>
          <w:i/>
          <w:iCs/>
          <w:sz w:val="18"/>
          <w:szCs w:val="18"/>
        </w:rPr>
        <w:tab/>
        <w:t>Število podanih kazenskih ovadb policije za kaznivo dejanje pranja denarja v obdobju 2011–2021</w:t>
      </w:r>
    </w:p>
    <w:p w14:paraId="3EADBA61" w14:textId="637FA420" w:rsidR="00B65A09" w:rsidRDefault="006F551F" w:rsidP="00B65A09">
      <w:r>
        <w:rPr>
          <w:noProof/>
          <w:lang w:eastAsia="sl-SI"/>
        </w:rPr>
        <w:drawing>
          <wp:inline distT="0" distB="0" distL="0" distR="0" wp14:anchorId="32C852F1" wp14:editId="2601FD5A">
            <wp:extent cx="5746750" cy="3420745"/>
            <wp:effectExtent l="0" t="0" r="6350" b="8255"/>
            <wp:docPr id="7" name="Grafikon 7" descr="Število podanih kazenskih ovadb policije za kaznivo dejanje pranja denarja v obdobju 2011–2021 prikazano v obliki grafikona."/>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D3C7866" w14:textId="77777777" w:rsidR="00B65A09" w:rsidRDefault="00B65A09" w:rsidP="00B65A09"/>
    <w:p w14:paraId="40A06AD8" w14:textId="7CF4135D" w:rsidR="007B0E26" w:rsidRDefault="007B0E26" w:rsidP="007B0E26">
      <w:pPr>
        <w:pStyle w:val="Telobesedila"/>
        <w:spacing w:line="276" w:lineRule="auto"/>
        <w:ind w:right="-22"/>
        <w:rPr>
          <w:rFonts w:ascii="Arial" w:hAnsi="Arial"/>
          <w:sz w:val="20"/>
        </w:rPr>
      </w:pPr>
      <w:r w:rsidRPr="00C92D06">
        <w:rPr>
          <w:rFonts w:ascii="Arial" w:hAnsi="Arial"/>
          <w:color w:val="000000" w:themeColor="text1"/>
          <w:sz w:val="20"/>
        </w:rPr>
        <w:t xml:space="preserve">Policija je v letu 2021 podala skupno 49 kazenskih ovadb zaradi utemeljenih sumov storitve kaznivega dejanja pranja denarja, kar je visoko nad povprečjem zadnjih šestih let. </w:t>
      </w:r>
      <w:r w:rsidRPr="00424274">
        <w:rPr>
          <w:rFonts w:ascii="Arial" w:hAnsi="Arial"/>
          <w:sz w:val="20"/>
        </w:rPr>
        <w:t xml:space="preserve">Iz grafa je razvidno, da je v prejšnjih letih približno 60 % vseh podanih kazenskih ovadb zaradi utemeljenih sumov storitve kaznivega dejanja pranja denarja temeljilo na obvestilih </w:t>
      </w:r>
      <w:r>
        <w:rPr>
          <w:rFonts w:ascii="Arial" w:hAnsi="Arial"/>
          <w:sz w:val="20"/>
        </w:rPr>
        <w:t>urad</w:t>
      </w:r>
      <w:r w:rsidRPr="00424274">
        <w:rPr>
          <w:rFonts w:ascii="Arial" w:hAnsi="Arial"/>
          <w:sz w:val="20"/>
        </w:rPr>
        <w:t>a</w:t>
      </w:r>
      <w:r>
        <w:rPr>
          <w:rFonts w:ascii="Arial" w:hAnsi="Arial"/>
          <w:sz w:val="20"/>
        </w:rPr>
        <w:t>, v letu 2021 pa zgolj dobrih 24 %</w:t>
      </w:r>
      <w:r w:rsidRPr="00424274">
        <w:rPr>
          <w:rFonts w:ascii="Arial" w:hAnsi="Arial"/>
          <w:sz w:val="20"/>
        </w:rPr>
        <w:t xml:space="preserve">. </w:t>
      </w:r>
      <w:r w:rsidR="009569B1">
        <w:rPr>
          <w:rFonts w:ascii="Arial" w:hAnsi="Arial"/>
          <w:sz w:val="20"/>
        </w:rPr>
        <w:t>R</w:t>
      </w:r>
      <w:r w:rsidRPr="00424274">
        <w:rPr>
          <w:rFonts w:ascii="Arial" w:hAnsi="Arial"/>
          <w:sz w:val="20"/>
        </w:rPr>
        <w:t xml:space="preserve">azmerje močno odstopa samo v letih 2018 in 2020, ko je bilo podanih </w:t>
      </w:r>
      <w:r w:rsidR="009569B1" w:rsidRPr="00424274">
        <w:rPr>
          <w:rFonts w:ascii="Arial" w:hAnsi="Arial"/>
          <w:sz w:val="20"/>
        </w:rPr>
        <w:t xml:space="preserve">tudi </w:t>
      </w:r>
      <w:r w:rsidRPr="00424274">
        <w:rPr>
          <w:rFonts w:ascii="Arial" w:hAnsi="Arial"/>
          <w:sz w:val="20"/>
        </w:rPr>
        <w:t xml:space="preserve">najmanj kazenskih ovadb v zadnjih desetih letih in je delež obvestil </w:t>
      </w:r>
      <w:r>
        <w:rPr>
          <w:rFonts w:ascii="Arial" w:hAnsi="Arial"/>
          <w:sz w:val="20"/>
        </w:rPr>
        <w:t>urad</w:t>
      </w:r>
      <w:r w:rsidRPr="00424274">
        <w:rPr>
          <w:rFonts w:ascii="Arial" w:hAnsi="Arial"/>
          <w:sz w:val="20"/>
        </w:rPr>
        <w:t>a znašal kar 87 %.</w:t>
      </w:r>
    </w:p>
    <w:p w14:paraId="3A97DFFB" w14:textId="77777777" w:rsidR="009E181E" w:rsidRDefault="009E181E" w:rsidP="007B0E26">
      <w:pPr>
        <w:pStyle w:val="Telobesedila"/>
        <w:spacing w:line="276" w:lineRule="auto"/>
        <w:ind w:right="-22"/>
        <w:rPr>
          <w:rFonts w:ascii="Arial" w:hAnsi="Arial"/>
          <w:sz w:val="20"/>
        </w:rPr>
      </w:pPr>
    </w:p>
    <w:p w14:paraId="5B862767" w14:textId="77777777" w:rsidR="007B0E26" w:rsidRPr="00424274" w:rsidRDefault="007B0E26" w:rsidP="007B0E26">
      <w:pPr>
        <w:pStyle w:val="Telobesedila"/>
        <w:spacing w:line="276" w:lineRule="auto"/>
        <w:ind w:right="-22"/>
        <w:rPr>
          <w:rFonts w:ascii="Arial" w:hAnsi="Arial"/>
          <w:sz w:val="20"/>
        </w:rPr>
      </w:pPr>
    </w:p>
    <w:p w14:paraId="05D5AEB7" w14:textId="16CD5251" w:rsidR="00B65A09" w:rsidRDefault="00B65A09" w:rsidP="00B65A09">
      <w:pPr>
        <w:pStyle w:val="Naslov3"/>
      </w:pPr>
      <w:bookmarkStart w:id="35" w:name="_Toc119581707"/>
      <w:r>
        <w:t>Statistični podatki tožilstev o kaznivih dejanjih pranja denarja</w:t>
      </w:r>
      <w:bookmarkEnd w:id="35"/>
    </w:p>
    <w:p w14:paraId="719C617E" w14:textId="77777777" w:rsidR="00B65A09" w:rsidRDefault="00B65A09" w:rsidP="00B65A09"/>
    <w:p w14:paraId="39251544" w14:textId="4AC97973" w:rsidR="0011001C" w:rsidRDefault="0011001C" w:rsidP="007B0E26">
      <w:pPr>
        <w:tabs>
          <w:tab w:val="left" w:pos="-1049"/>
          <w:tab w:val="left" w:pos="-787"/>
          <w:tab w:val="left" w:pos="0"/>
          <w:tab w:val="left" w:pos="720"/>
          <w:tab w:val="left" w:pos="1440"/>
          <w:tab w:val="left" w:pos="2160"/>
          <w:tab w:val="left" w:pos="2880"/>
          <w:tab w:val="left" w:pos="3600"/>
          <w:tab w:val="left" w:pos="4320"/>
          <w:tab w:val="left" w:pos="4500"/>
          <w:tab w:val="left" w:pos="4531"/>
          <w:tab w:val="left" w:pos="5071"/>
          <w:tab w:val="left" w:pos="5791"/>
          <w:tab w:val="left" w:pos="6511"/>
          <w:tab w:val="left" w:pos="7231"/>
          <w:tab w:val="left" w:pos="7951"/>
          <w:tab w:val="left" w:pos="8671"/>
          <w:tab w:val="left" w:pos="9391"/>
          <w:tab w:val="left" w:pos="10111"/>
          <w:tab w:val="left" w:pos="10831"/>
          <w:tab w:val="left" w:pos="11551"/>
        </w:tabs>
        <w:spacing w:line="276" w:lineRule="auto"/>
        <w:ind w:right="-22"/>
        <w:rPr>
          <w:color w:val="000000" w:themeColor="text1"/>
        </w:rPr>
      </w:pPr>
      <w:r w:rsidRPr="0011001C">
        <w:rPr>
          <w:color w:val="000000" w:themeColor="text1"/>
        </w:rPr>
        <w:t xml:space="preserve">Tožilstvo v predkazenskem postopku pri odkrivanju kaznivih dejanj usmerja delo policije, kot organ pregona pa na podlagi kazenskih ovadb policije preiskovalnemu sodniku predlaga uvedbo sodne preiskave ali pa zoper osumljence vlaga neposredne obtožnice. Tožilstvo tako sodeluje v vseh fazah predkazenskega in kazenskega postopka, kot je razvidno iz točke 4.1.4, v kateri </w:t>
      </w:r>
      <w:r>
        <w:rPr>
          <w:color w:val="000000" w:themeColor="text1"/>
        </w:rPr>
        <w:t>so opisane faze</w:t>
      </w:r>
      <w:r w:rsidRPr="0011001C">
        <w:rPr>
          <w:color w:val="000000" w:themeColor="text1"/>
        </w:rPr>
        <w:t xml:space="preserve"> </w:t>
      </w:r>
      <w:r w:rsidRPr="0011001C">
        <w:rPr>
          <w:color w:val="000000" w:themeColor="text1"/>
        </w:rPr>
        <w:lastRenderedPageBreak/>
        <w:t xml:space="preserve">postopkov v zadevah, povezanih s kaznivim dejanjem pranja denarja. V nadaljevanju </w:t>
      </w:r>
      <w:r w:rsidR="00737ED9">
        <w:rPr>
          <w:color w:val="000000" w:themeColor="text1"/>
        </w:rPr>
        <w:t>so navedeni le</w:t>
      </w:r>
      <w:r w:rsidRPr="0011001C">
        <w:rPr>
          <w:color w:val="000000" w:themeColor="text1"/>
        </w:rPr>
        <w:t xml:space="preserve"> podatk</w:t>
      </w:r>
      <w:r w:rsidR="00737ED9">
        <w:rPr>
          <w:color w:val="000000" w:themeColor="text1"/>
        </w:rPr>
        <w:t>i</w:t>
      </w:r>
      <w:r w:rsidRPr="0011001C">
        <w:rPr>
          <w:color w:val="000000" w:themeColor="text1"/>
        </w:rPr>
        <w:t>, ko so tožilstva sama začela postopek brez predhodne kazenske ovadbe policije zaradi pranja denarja.</w:t>
      </w:r>
    </w:p>
    <w:p w14:paraId="0D835BA3" w14:textId="152A3EC9" w:rsidR="007B0E26" w:rsidRDefault="007B0E26" w:rsidP="007B0E26">
      <w:pPr>
        <w:tabs>
          <w:tab w:val="left" w:pos="-1049"/>
          <w:tab w:val="left" w:pos="-787"/>
          <w:tab w:val="left" w:pos="0"/>
          <w:tab w:val="left" w:pos="720"/>
          <w:tab w:val="left" w:pos="1440"/>
          <w:tab w:val="left" w:pos="2160"/>
          <w:tab w:val="left" w:pos="2880"/>
          <w:tab w:val="left" w:pos="3600"/>
          <w:tab w:val="left" w:pos="4320"/>
          <w:tab w:val="left" w:pos="4500"/>
          <w:tab w:val="left" w:pos="4531"/>
          <w:tab w:val="left" w:pos="5071"/>
          <w:tab w:val="left" w:pos="5791"/>
          <w:tab w:val="left" w:pos="6511"/>
          <w:tab w:val="left" w:pos="7231"/>
          <w:tab w:val="left" w:pos="7951"/>
          <w:tab w:val="left" w:pos="8671"/>
          <w:tab w:val="left" w:pos="9391"/>
          <w:tab w:val="left" w:pos="10111"/>
          <w:tab w:val="left" w:pos="10831"/>
          <w:tab w:val="left" w:pos="11551"/>
        </w:tabs>
        <w:spacing w:line="276" w:lineRule="auto"/>
        <w:ind w:right="-22"/>
      </w:pPr>
      <w:r w:rsidRPr="00424274">
        <w:t>Iz podatkov tožilstva</w:t>
      </w:r>
      <w:r>
        <w:t>, poslanih</w:t>
      </w:r>
      <w:r w:rsidRPr="00424274">
        <w:t xml:space="preserve"> </w:t>
      </w:r>
      <w:r>
        <w:t>u</w:t>
      </w:r>
      <w:r w:rsidRPr="00424274">
        <w:t>radu</w:t>
      </w:r>
      <w:r>
        <w:t>,</w:t>
      </w:r>
      <w:r w:rsidRPr="00424274">
        <w:t xml:space="preserve"> je razvidno, da </w:t>
      </w:r>
      <w:r w:rsidRPr="00737ED9">
        <w:rPr>
          <w:b/>
          <w:bCs/>
        </w:rPr>
        <w:t>tožilstva v letu 2021</w:t>
      </w:r>
      <w:r w:rsidR="00737ED9" w:rsidRPr="00737ED9">
        <w:rPr>
          <w:b/>
          <w:bCs/>
        </w:rPr>
        <w:t xml:space="preserve"> s</w:t>
      </w:r>
      <w:r w:rsidRPr="00737ED9">
        <w:rPr>
          <w:b/>
          <w:bCs/>
        </w:rPr>
        <w:t>ama, brez predhodne kazenske ovadbe policije, niso začela nobenega novega predkazenskega ali kazenskega postopka</w:t>
      </w:r>
      <w:r w:rsidRPr="00424274">
        <w:t>. Tožilstva so v obdobju 2010</w:t>
      </w:r>
      <w:r>
        <w:t>–2021</w:t>
      </w:r>
      <w:r w:rsidRPr="00424274">
        <w:t xml:space="preserve"> brez predhodne ovadbe </w:t>
      </w:r>
      <w:r>
        <w:t>p</w:t>
      </w:r>
      <w:r w:rsidRPr="00424274">
        <w:t xml:space="preserve">olicije sama začela postopke v </w:t>
      </w:r>
      <w:r w:rsidRPr="00737ED9">
        <w:rPr>
          <w:b/>
          <w:i/>
        </w:rPr>
        <w:t>100 zadevah</w:t>
      </w:r>
      <w:r w:rsidRPr="00737ED9">
        <w:rPr>
          <w:bCs/>
        </w:rPr>
        <w:t xml:space="preserve"> (</w:t>
      </w:r>
      <w:r w:rsidRPr="00424274">
        <w:t xml:space="preserve">od tega 27 na podlagi obvestil ali informacij </w:t>
      </w:r>
      <w:r>
        <w:t>urad</w:t>
      </w:r>
      <w:r w:rsidRPr="00424274">
        <w:t>a), kar prikazujemo po posameznih letih v naslednjem grafu.</w:t>
      </w:r>
    </w:p>
    <w:p w14:paraId="0574754A" w14:textId="77777777" w:rsidR="007B0E26" w:rsidRPr="007B0E26" w:rsidRDefault="007B0E26" w:rsidP="007B0E26">
      <w:pPr>
        <w:tabs>
          <w:tab w:val="left" w:pos="-1049"/>
          <w:tab w:val="left" w:pos="-787"/>
          <w:tab w:val="left" w:pos="0"/>
          <w:tab w:val="left" w:pos="720"/>
          <w:tab w:val="left" w:pos="1440"/>
          <w:tab w:val="left" w:pos="2160"/>
          <w:tab w:val="left" w:pos="2880"/>
          <w:tab w:val="left" w:pos="3600"/>
          <w:tab w:val="left" w:pos="4320"/>
          <w:tab w:val="left" w:pos="4500"/>
          <w:tab w:val="left" w:pos="4531"/>
          <w:tab w:val="left" w:pos="5071"/>
          <w:tab w:val="left" w:pos="5791"/>
          <w:tab w:val="left" w:pos="6511"/>
          <w:tab w:val="left" w:pos="7231"/>
          <w:tab w:val="left" w:pos="7951"/>
          <w:tab w:val="left" w:pos="8671"/>
          <w:tab w:val="left" w:pos="9391"/>
          <w:tab w:val="left" w:pos="10111"/>
          <w:tab w:val="left" w:pos="10831"/>
          <w:tab w:val="left" w:pos="11551"/>
        </w:tabs>
        <w:spacing w:line="276" w:lineRule="auto"/>
        <w:ind w:right="-22"/>
      </w:pPr>
    </w:p>
    <w:p w14:paraId="035F35B0" w14:textId="2D7D9725" w:rsidR="007B0E26" w:rsidRPr="007B0E26" w:rsidRDefault="007B0E26" w:rsidP="007B0E26">
      <w:pPr>
        <w:spacing w:line="276" w:lineRule="auto"/>
        <w:ind w:left="709" w:right="-22" w:hanging="709"/>
        <w:rPr>
          <w:b/>
          <w:bCs/>
          <w:i/>
          <w:iCs/>
          <w:sz w:val="18"/>
          <w:szCs w:val="18"/>
        </w:rPr>
      </w:pPr>
      <w:r w:rsidRPr="007B0E26">
        <w:rPr>
          <w:b/>
          <w:bCs/>
          <w:i/>
          <w:iCs/>
          <w:sz w:val="18"/>
          <w:szCs w:val="18"/>
        </w:rPr>
        <w:t xml:space="preserve">Graf 6: </w:t>
      </w:r>
      <w:r>
        <w:rPr>
          <w:b/>
          <w:bCs/>
          <w:i/>
          <w:iCs/>
          <w:sz w:val="18"/>
          <w:szCs w:val="18"/>
        </w:rPr>
        <w:tab/>
      </w:r>
      <w:r w:rsidRPr="007B0E26">
        <w:rPr>
          <w:b/>
          <w:bCs/>
          <w:i/>
          <w:iCs/>
          <w:sz w:val="18"/>
          <w:szCs w:val="18"/>
        </w:rPr>
        <w:t>Število samostojno začetih postopkov tožilstva za kaznivo dejanje pranja denarja (brez predhodno podane kazenske ovadbe policije zaradi pranja denarja) v obdobju 2010–2021</w:t>
      </w:r>
    </w:p>
    <w:p w14:paraId="0A4D9260" w14:textId="3281C98D" w:rsidR="00B65A09" w:rsidRDefault="008C646A" w:rsidP="00B65A09">
      <w:r w:rsidRPr="00424274">
        <w:rPr>
          <w:noProof/>
          <w:lang w:eastAsia="sl-SI"/>
        </w:rPr>
        <w:drawing>
          <wp:inline distT="0" distB="0" distL="0" distR="0" wp14:anchorId="381DF19A" wp14:editId="0CCEEE9C">
            <wp:extent cx="5746750" cy="3001645"/>
            <wp:effectExtent l="0" t="0" r="6350" b="8255"/>
            <wp:docPr id="13" name="Chart 13" descr="Število samostojno začetih postopkov tožilstva za kaznivo dejanje pranja denarja (brez predhodno podane kazenske ovadbe policije zaradi pranja denarja) v obdobju 2010–2021, prikazano v obliki črtnega grafikona."/>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68BAFD0" w14:textId="77777777" w:rsidR="00B65A09" w:rsidRDefault="00B65A09" w:rsidP="00B65A09"/>
    <w:p w14:paraId="49FD718A" w14:textId="54C79867" w:rsidR="007B0E26" w:rsidRPr="00424274" w:rsidRDefault="007B0E26" w:rsidP="007B0E26">
      <w:pPr>
        <w:pStyle w:val="Telobesedila2"/>
        <w:tabs>
          <w:tab w:val="left" w:pos="-787"/>
          <w:tab w:val="left" w:pos="0"/>
          <w:tab w:val="left" w:pos="720"/>
          <w:tab w:val="left" w:pos="1440"/>
          <w:tab w:val="left" w:pos="2160"/>
          <w:tab w:val="left" w:pos="2880"/>
          <w:tab w:val="left" w:pos="3600"/>
          <w:tab w:val="left" w:pos="4320"/>
          <w:tab w:val="left" w:pos="4500"/>
        </w:tabs>
        <w:spacing w:line="276" w:lineRule="auto"/>
        <w:ind w:right="-22"/>
        <w:rPr>
          <w:iCs/>
        </w:rPr>
      </w:pPr>
      <w:r w:rsidRPr="00424274">
        <w:rPr>
          <w:iCs/>
        </w:rPr>
        <w:t>Tožilstvo je v obdobju 2010</w:t>
      </w:r>
      <w:r>
        <w:rPr>
          <w:iCs/>
        </w:rPr>
        <w:t>–</w:t>
      </w:r>
      <w:r w:rsidRPr="00424274">
        <w:rPr>
          <w:iCs/>
        </w:rPr>
        <w:t xml:space="preserve">2016 </w:t>
      </w:r>
      <w:r>
        <w:rPr>
          <w:iCs/>
        </w:rPr>
        <w:t>samostojno za</w:t>
      </w:r>
      <w:r w:rsidRPr="00424274">
        <w:rPr>
          <w:iCs/>
        </w:rPr>
        <w:t>čelo pregon kaznivega dejanja pranja denarja po 245. členu KZ-1 v povprečno v 12 zadevah letno, medtem ko je v obdobju 2017</w:t>
      </w:r>
      <w:r>
        <w:rPr>
          <w:iCs/>
        </w:rPr>
        <w:t>–2021</w:t>
      </w:r>
      <w:r w:rsidRPr="00424274">
        <w:rPr>
          <w:iCs/>
        </w:rPr>
        <w:t xml:space="preserve"> zaznati občuten padec, saj </w:t>
      </w:r>
      <w:r>
        <w:rPr>
          <w:iCs/>
        </w:rPr>
        <w:t>je</w:t>
      </w:r>
      <w:r w:rsidRPr="00424274">
        <w:rPr>
          <w:iCs/>
        </w:rPr>
        <w:t xml:space="preserve"> </w:t>
      </w:r>
      <w:r>
        <w:rPr>
          <w:iCs/>
        </w:rPr>
        <w:t xml:space="preserve">v </w:t>
      </w:r>
      <w:r w:rsidRPr="00424274">
        <w:rPr>
          <w:iCs/>
        </w:rPr>
        <w:t xml:space="preserve">tem obdobju </w:t>
      </w:r>
      <w:r>
        <w:rPr>
          <w:iCs/>
        </w:rPr>
        <w:t>za</w:t>
      </w:r>
      <w:r w:rsidRPr="00424274">
        <w:rPr>
          <w:iCs/>
        </w:rPr>
        <w:t>čel</w:t>
      </w:r>
      <w:r>
        <w:rPr>
          <w:iCs/>
        </w:rPr>
        <w:t>o postopke v povprečno 3</w:t>
      </w:r>
      <w:r w:rsidRPr="00424274">
        <w:rPr>
          <w:iCs/>
        </w:rPr>
        <w:t xml:space="preserve"> zadev</w:t>
      </w:r>
      <w:r>
        <w:rPr>
          <w:iCs/>
        </w:rPr>
        <w:t>ah</w:t>
      </w:r>
      <w:r w:rsidRPr="00424274">
        <w:rPr>
          <w:iCs/>
        </w:rPr>
        <w:t xml:space="preserve">. Kot </w:t>
      </w:r>
      <w:r w:rsidR="00737ED9">
        <w:rPr>
          <w:iCs/>
        </w:rPr>
        <w:t xml:space="preserve">bo predstavljeno v </w:t>
      </w:r>
      <w:r w:rsidRPr="00424274">
        <w:rPr>
          <w:iCs/>
        </w:rPr>
        <w:t>poglavju 4.1.4., tožilstvo kljub navedenemu ni zmanjšalo števila odločitev o nadaljevanju pregona v drugih fazah kazenskih postopkov.</w:t>
      </w:r>
    </w:p>
    <w:p w14:paraId="07808620" w14:textId="77777777" w:rsidR="007B0E26" w:rsidRDefault="007B0E26" w:rsidP="00B65A09"/>
    <w:p w14:paraId="0392C8D1" w14:textId="3D5DD8B9" w:rsidR="00B65A09" w:rsidRDefault="00B65A09" w:rsidP="00B65A09">
      <w:pPr>
        <w:pStyle w:val="Naslov3"/>
      </w:pPr>
      <w:bookmarkStart w:id="36" w:name="_Toc119581708"/>
      <w:r>
        <w:t>Kazenske ovadbe in postopki, povezani s pranjem denarja, glede na izvor začetnega podatka</w:t>
      </w:r>
      <w:bookmarkEnd w:id="36"/>
      <w:r>
        <w:t xml:space="preserve"> </w:t>
      </w:r>
    </w:p>
    <w:p w14:paraId="36911EC3" w14:textId="77777777" w:rsidR="007B0E26" w:rsidRPr="00424274" w:rsidRDefault="007B0E26" w:rsidP="005A0CAB">
      <w:pPr>
        <w:spacing w:line="276" w:lineRule="auto"/>
      </w:pPr>
    </w:p>
    <w:p w14:paraId="7480DC26" w14:textId="77777777" w:rsidR="00C56BAF" w:rsidRDefault="007B0E26" w:rsidP="005A0CAB">
      <w:pPr>
        <w:tabs>
          <w:tab w:val="left" w:pos="-1049"/>
          <w:tab w:val="left" w:pos="-787"/>
          <w:tab w:val="left" w:pos="0"/>
          <w:tab w:val="left" w:pos="720"/>
          <w:tab w:val="left" w:pos="1440"/>
          <w:tab w:val="left" w:pos="2160"/>
          <w:tab w:val="left" w:pos="2880"/>
          <w:tab w:val="left" w:pos="3600"/>
          <w:tab w:val="left" w:pos="4320"/>
          <w:tab w:val="left" w:pos="4500"/>
          <w:tab w:val="left" w:pos="4531"/>
          <w:tab w:val="left" w:pos="5071"/>
          <w:tab w:val="left" w:pos="5791"/>
          <w:tab w:val="left" w:pos="6511"/>
          <w:tab w:val="left" w:pos="7231"/>
          <w:tab w:val="left" w:pos="7951"/>
          <w:tab w:val="left" w:pos="8671"/>
          <w:tab w:val="left" w:pos="9391"/>
          <w:tab w:val="left" w:pos="10111"/>
          <w:tab w:val="left" w:pos="10831"/>
          <w:tab w:val="left" w:pos="11551"/>
        </w:tabs>
        <w:spacing w:line="276" w:lineRule="auto"/>
        <w:ind w:right="-22"/>
        <w:rPr>
          <w:iCs/>
        </w:rPr>
      </w:pPr>
      <w:r w:rsidRPr="00C92D06">
        <w:rPr>
          <w:iCs/>
          <w:color w:val="000000" w:themeColor="text1"/>
        </w:rPr>
        <w:t>V skladu z Z</w:t>
      </w:r>
      <w:r w:rsidR="00404BAB">
        <w:rPr>
          <w:iCs/>
          <w:color w:val="000000" w:themeColor="text1"/>
        </w:rPr>
        <w:t>akonom o kazenskem postopku</w:t>
      </w:r>
      <w:r w:rsidRPr="00C92D06">
        <w:rPr>
          <w:iCs/>
          <w:color w:val="000000" w:themeColor="text1"/>
        </w:rPr>
        <w:t xml:space="preserve"> je za odkrivanje kaznivih dejanj, med katerimi je tudi kaznivo dejanje pranja denarja, pristojna policija, medtem ko je tožilstvo pristojno za pregon kaznivih dejanj. Kaznivo dejanje pranja denarja je bilo v </w:t>
      </w:r>
      <w:r w:rsidRPr="00424274">
        <w:rPr>
          <w:iCs/>
        </w:rPr>
        <w:t xml:space="preserve">Sloveniji prvič opredeljeno v Kazenskem zakoniku iz leta 1995. Istega leta je </w:t>
      </w:r>
      <w:r>
        <w:rPr>
          <w:iCs/>
        </w:rPr>
        <w:t>za</w:t>
      </w:r>
      <w:r w:rsidRPr="00424274">
        <w:rPr>
          <w:iCs/>
        </w:rPr>
        <w:t>čel veljati tudi prvi Zakon o preprečevanju pranja denarja. Zakon</w:t>
      </w:r>
      <w:r w:rsidR="00404BAB">
        <w:rPr>
          <w:iCs/>
        </w:rPr>
        <w:t xml:space="preserve"> o preprečevanju pran</w:t>
      </w:r>
      <w:r w:rsidR="00B47411">
        <w:rPr>
          <w:iCs/>
        </w:rPr>
        <w:t>ja</w:t>
      </w:r>
      <w:r w:rsidR="00404BAB">
        <w:rPr>
          <w:iCs/>
        </w:rPr>
        <w:t xml:space="preserve"> denarja</w:t>
      </w:r>
      <w:r w:rsidRPr="00424274">
        <w:rPr>
          <w:iCs/>
        </w:rPr>
        <w:t xml:space="preserve"> je v skladu z mednarodnimi standardi v Sloveniji uveljavil sistem boja proti pranju denarja, ki je določeno vlogo pri odkrivanju pranja denarja namenil tudi zavezancem (finančnim in nefinančnim institucijam), in sicer predvsem kot obveznost sporočanja sumljivih transakcij </w:t>
      </w:r>
      <w:r>
        <w:rPr>
          <w:iCs/>
        </w:rPr>
        <w:t>urad</w:t>
      </w:r>
      <w:r w:rsidRPr="00424274">
        <w:rPr>
          <w:iCs/>
        </w:rPr>
        <w:t xml:space="preserve">u. S tem se je obveznost zaznavanja razlogov za sum pranja denarja prenesla tudi na zavezance in </w:t>
      </w:r>
      <w:r>
        <w:rPr>
          <w:iCs/>
        </w:rPr>
        <w:t>urad</w:t>
      </w:r>
      <w:r w:rsidRPr="00424274">
        <w:rPr>
          <w:iCs/>
        </w:rPr>
        <w:t xml:space="preserve">. To pomeni, </w:t>
      </w:r>
      <w:r w:rsidRPr="00424274">
        <w:rPr>
          <w:iCs/>
        </w:rPr>
        <w:lastRenderedPageBreak/>
        <w:t xml:space="preserve">da je za učinkovito odkrivanje, preiskovanje in pregon kaznivih dejanj pranja denarja pomembno dobro sodelovanje zavezancev in </w:t>
      </w:r>
      <w:r>
        <w:rPr>
          <w:iCs/>
        </w:rPr>
        <w:t>urad</w:t>
      </w:r>
      <w:r w:rsidRPr="00424274">
        <w:rPr>
          <w:iCs/>
        </w:rPr>
        <w:t xml:space="preserve">a na eni strani ter </w:t>
      </w:r>
      <w:r>
        <w:rPr>
          <w:iCs/>
        </w:rPr>
        <w:t>urad</w:t>
      </w:r>
      <w:r w:rsidRPr="00424274">
        <w:rPr>
          <w:iCs/>
        </w:rPr>
        <w:t xml:space="preserve">a, </w:t>
      </w:r>
      <w:r>
        <w:rPr>
          <w:iCs/>
        </w:rPr>
        <w:t>p</w:t>
      </w:r>
      <w:r w:rsidRPr="00424274">
        <w:rPr>
          <w:iCs/>
        </w:rPr>
        <w:t xml:space="preserve">olicije in tožilstva na drugi strani. V nadaljevanju </w:t>
      </w:r>
      <w:r w:rsidR="00404BAB">
        <w:rPr>
          <w:iCs/>
        </w:rPr>
        <w:t>so zato podani statistični podatki</w:t>
      </w:r>
      <w:r w:rsidRPr="00424274">
        <w:rPr>
          <w:iCs/>
        </w:rPr>
        <w:t xml:space="preserve"> o številu in deležu zadev, pri katerih je s svojimi obvestili sodeloval tudi </w:t>
      </w:r>
      <w:r>
        <w:rPr>
          <w:iCs/>
        </w:rPr>
        <w:t>urad</w:t>
      </w:r>
      <w:r w:rsidRPr="00424274">
        <w:rPr>
          <w:iCs/>
        </w:rPr>
        <w:t xml:space="preserve"> kot pos</w:t>
      </w:r>
      <w:r>
        <w:rPr>
          <w:iCs/>
        </w:rPr>
        <w:t>rednik med zavezanci po ZPPDFT-</w:t>
      </w:r>
      <w:r w:rsidR="00404BAB">
        <w:rPr>
          <w:iCs/>
        </w:rPr>
        <w:t>1</w:t>
      </w:r>
      <w:r w:rsidRPr="00424274">
        <w:rPr>
          <w:iCs/>
        </w:rPr>
        <w:t xml:space="preserve"> ter organi odkrivanja in pregona (</w:t>
      </w:r>
      <w:r>
        <w:rPr>
          <w:iCs/>
        </w:rPr>
        <w:t>p</w:t>
      </w:r>
      <w:r w:rsidRPr="00424274">
        <w:rPr>
          <w:iCs/>
        </w:rPr>
        <w:t xml:space="preserve">olicija, tožilstvo). </w:t>
      </w:r>
    </w:p>
    <w:p w14:paraId="229A8266" w14:textId="5DC548A5" w:rsidR="007B0E26" w:rsidRDefault="007B0E26" w:rsidP="005A0CAB">
      <w:pPr>
        <w:tabs>
          <w:tab w:val="left" w:pos="-1049"/>
          <w:tab w:val="left" w:pos="-787"/>
          <w:tab w:val="left" w:pos="0"/>
          <w:tab w:val="left" w:pos="720"/>
          <w:tab w:val="left" w:pos="1440"/>
          <w:tab w:val="left" w:pos="2160"/>
          <w:tab w:val="left" w:pos="2880"/>
          <w:tab w:val="left" w:pos="3600"/>
          <w:tab w:val="left" w:pos="4320"/>
          <w:tab w:val="left" w:pos="4500"/>
          <w:tab w:val="left" w:pos="4531"/>
          <w:tab w:val="left" w:pos="5071"/>
          <w:tab w:val="left" w:pos="5791"/>
          <w:tab w:val="left" w:pos="6511"/>
          <w:tab w:val="left" w:pos="7231"/>
          <w:tab w:val="left" w:pos="7951"/>
          <w:tab w:val="left" w:pos="8671"/>
          <w:tab w:val="left" w:pos="9391"/>
          <w:tab w:val="left" w:pos="10111"/>
          <w:tab w:val="left" w:pos="10831"/>
          <w:tab w:val="left" w:pos="11551"/>
        </w:tabs>
        <w:spacing w:line="276" w:lineRule="auto"/>
        <w:ind w:right="-22"/>
        <w:rPr>
          <w:iCs/>
        </w:rPr>
      </w:pPr>
      <w:r w:rsidRPr="00424274">
        <w:rPr>
          <w:iCs/>
        </w:rPr>
        <w:t xml:space="preserve">V </w:t>
      </w:r>
      <w:r>
        <w:rPr>
          <w:iCs/>
        </w:rPr>
        <w:t>preglednici</w:t>
      </w:r>
      <w:r w:rsidRPr="00424274">
        <w:rPr>
          <w:iCs/>
        </w:rPr>
        <w:t xml:space="preserve"> 10 </w:t>
      </w:r>
      <w:r w:rsidR="00404BAB">
        <w:rPr>
          <w:iCs/>
        </w:rPr>
        <w:t>je prikazano število</w:t>
      </w:r>
      <w:r w:rsidRPr="00424274">
        <w:rPr>
          <w:iCs/>
        </w:rPr>
        <w:t xml:space="preserve"> vseh začetih predkazenskih ali kazenskih postopkov v letu 20</w:t>
      </w:r>
      <w:r>
        <w:rPr>
          <w:iCs/>
        </w:rPr>
        <w:t>21</w:t>
      </w:r>
      <w:r w:rsidRPr="00424274">
        <w:rPr>
          <w:iCs/>
        </w:rPr>
        <w:t xml:space="preserve"> zaradi utemeljenih razlogov za sum storitve kaznivega dejanja pranja denarja glede na izvor začetnega podatka o razlogih za sum pranja denarja, ki je sprožil preiskovanje </w:t>
      </w:r>
      <w:r>
        <w:rPr>
          <w:iCs/>
        </w:rPr>
        <w:t>p</w:t>
      </w:r>
      <w:r w:rsidRPr="00424274">
        <w:rPr>
          <w:iCs/>
        </w:rPr>
        <w:t xml:space="preserve">olicije in pregon tožilstva </w:t>
      </w:r>
      <w:r>
        <w:rPr>
          <w:iCs/>
        </w:rPr>
        <w:t>za</w:t>
      </w:r>
      <w:r w:rsidRPr="00424274">
        <w:rPr>
          <w:iCs/>
        </w:rPr>
        <w:t xml:space="preserve"> dokazovanj</w:t>
      </w:r>
      <w:r>
        <w:rPr>
          <w:iCs/>
        </w:rPr>
        <w:t>e</w:t>
      </w:r>
      <w:r w:rsidRPr="00424274">
        <w:rPr>
          <w:iCs/>
        </w:rPr>
        <w:t xml:space="preserve"> storitve kaznivega dejanja pranja denarja po 245. členu KZ-1.</w:t>
      </w:r>
    </w:p>
    <w:p w14:paraId="186BC046" w14:textId="77777777" w:rsidR="007B0E26" w:rsidRPr="00424274" w:rsidRDefault="007B0E26" w:rsidP="005A0CAB">
      <w:pPr>
        <w:tabs>
          <w:tab w:val="left" w:pos="-1049"/>
          <w:tab w:val="left" w:pos="-787"/>
          <w:tab w:val="left" w:pos="0"/>
          <w:tab w:val="left" w:pos="720"/>
          <w:tab w:val="left" w:pos="1440"/>
          <w:tab w:val="left" w:pos="2160"/>
          <w:tab w:val="left" w:pos="2880"/>
          <w:tab w:val="left" w:pos="3600"/>
          <w:tab w:val="left" w:pos="4320"/>
          <w:tab w:val="left" w:pos="4500"/>
          <w:tab w:val="left" w:pos="4531"/>
          <w:tab w:val="left" w:pos="5071"/>
          <w:tab w:val="left" w:pos="5791"/>
          <w:tab w:val="left" w:pos="6511"/>
          <w:tab w:val="left" w:pos="7231"/>
          <w:tab w:val="left" w:pos="7951"/>
          <w:tab w:val="left" w:pos="8671"/>
          <w:tab w:val="left" w:pos="9391"/>
          <w:tab w:val="left" w:pos="10111"/>
          <w:tab w:val="left" w:pos="10831"/>
          <w:tab w:val="left" w:pos="11551"/>
        </w:tabs>
        <w:spacing w:line="276" w:lineRule="auto"/>
        <w:ind w:right="-22"/>
        <w:rPr>
          <w:iCs/>
        </w:rPr>
      </w:pPr>
    </w:p>
    <w:p w14:paraId="1C893B1B" w14:textId="7A21A4F2" w:rsidR="007B0E26" w:rsidRPr="007B0E26" w:rsidRDefault="007B0E26" w:rsidP="007B0E26">
      <w:pPr>
        <w:tabs>
          <w:tab w:val="left" w:pos="1418"/>
        </w:tabs>
        <w:spacing w:line="276" w:lineRule="auto"/>
        <w:ind w:left="1418" w:right="-22" w:hanging="1418"/>
        <w:rPr>
          <w:b/>
          <w:bCs/>
          <w:i/>
          <w:iCs/>
          <w:sz w:val="18"/>
          <w:szCs w:val="18"/>
        </w:rPr>
      </w:pPr>
      <w:r w:rsidRPr="007B0E26">
        <w:rPr>
          <w:b/>
          <w:bCs/>
          <w:i/>
          <w:iCs/>
          <w:sz w:val="18"/>
          <w:szCs w:val="18"/>
        </w:rPr>
        <w:t>Preglednica 10:</w:t>
      </w:r>
      <w:r>
        <w:rPr>
          <w:b/>
          <w:bCs/>
          <w:i/>
          <w:iCs/>
          <w:sz w:val="18"/>
          <w:szCs w:val="18"/>
        </w:rPr>
        <w:tab/>
      </w:r>
      <w:r w:rsidRPr="007B0E26">
        <w:rPr>
          <w:b/>
          <w:bCs/>
          <w:i/>
          <w:iCs/>
          <w:sz w:val="18"/>
          <w:szCs w:val="18"/>
        </w:rPr>
        <w:t>Število vseh začetih postopkov zaradi utemeljenih sumov storitve kaznivega dejanja pranja denarja v letu 2021 glede na izvor podatkov (zaznave razlogov za sum)</w:t>
      </w:r>
    </w:p>
    <w:tbl>
      <w:tblPr>
        <w:tblStyle w:val="Tabelatemnamrea5poudarek5"/>
        <w:tblW w:w="7528" w:type="dxa"/>
        <w:tblLook w:val="04A0" w:firstRow="1" w:lastRow="0" w:firstColumn="1" w:lastColumn="0" w:noHBand="0" w:noVBand="1"/>
      </w:tblPr>
      <w:tblGrid>
        <w:gridCol w:w="2142"/>
        <w:gridCol w:w="2551"/>
        <w:gridCol w:w="1559"/>
        <w:gridCol w:w="1276"/>
      </w:tblGrid>
      <w:tr w:rsidR="00A9101E" w:rsidRPr="00A9101E" w14:paraId="1AFBB327" w14:textId="77777777" w:rsidTr="00E04A8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42" w:type="dxa"/>
            <w:noWrap/>
            <w:hideMark/>
          </w:tcPr>
          <w:p w14:paraId="19F63472" w14:textId="77777777" w:rsidR="00F35424" w:rsidRPr="00A9101E" w:rsidRDefault="00F35424" w:rsidP="00F569C7">
            <w:pPr>
              <w:spacing w:line="360" w:lineRule="auto"/>
              <w:jc w:val="left"/>
              <w:rPr>
                <w:b w:val="0"/>
                <w:bCs w:val="0"/>
                <w:color w:val="auto"/>
                <w:lang w:eastAsia="sl-SI"/>
              </w:rPr>
            </w:pPr>
            <w:r w:rsidRPr="00A9101E">
              <w:rPr>
                <w:color w:val="auto"/>
                <w:lang w:eastAsia="sl-SI"/>
              </w:rPr>
              <w:t>Vir podatkov</w:t>
            </w:r>
          </w:p>
        </w:tc>
        <w:tc>
          <w:tcPr>
            <w:tcW w:w="2551" w:type="dxa"/>
            <w:noWrap/>
            <w:hideMark/>
          </w:tcPr>
          <w:p w14:paraId="1546AF84" w14:textId="77777777" w:rsidR="00F35424" w:rsidRPr="00A9101E" w:rsidRDefault="00F35424" w:rsidP="00F569C7">
            <w:pPr>
              <w:spacing w:line="360" w:lineRule="auto"/>
              <w:jc w:val="left"/>
              <w:cnfStyle w:val="100000000000" w:firstRow="1" w:lastRow="0" w:firstColumn="0" w:lastColumn="0" w:oddVBand="0" w:evenVBand="0" w:oddHBand="0" w:evenHBand="0" w:firstRowFirstColumn="0" w:firstRowLastColumn="0" w:lastRowFirstColumn="0" w:lastRowLastColumn="0"/>
              <w:rPr>
                <w:b w:val="0"/>
                <w:bCs w:val="0"/>
                <w:color w:val="auto"/>
                <w:lang w:eastAsia="sl-SI"/>
              </w:rPr>
            </w:pPr>
            <w:r w:rsidRPr="00A9101E">
              <w:rPr>
                <w:color w:val="auto"/>
                <w:lang w:eastAsia="sl-SI"/>
              </w:rPr>
              <w:t>Prijavitelj uradu</w:t>
            </w:r>
          </w:p>
        </w:tc>
        <w:tc>
          <w:tcPr>
            <w:tcW w:w="1559" w:type="dxa"/>
            <w:noWrap/>
            <w:hideMark/>
          </w:tcPr>
          <w:p w14:paraId="53C813F9" w14:textId="77777777" w:rsidR="00F35424" w:rsidRPr="00A9101E" w:rsidRDefault="00F35424" w:rsidP="00F569C7">
            <w:pPr>
              <w:spacing w:line="360" w:lineRule="auto"/>
              <w:jc w:val="left"/>
              <w:cnfStyle w:val="100000000000" w:firstRow="1" w:lastRow="0" w:firstColumn="0" w:lastColumn="0" w:oddVBand="0" w:evenVBand="0" w:oddHBand="0" w:evenHBand="0" w:firstRowFirstColumn="0" w:firstRowLastColumn="0" w:lastRowFirstColumn="0" w:lastRowLastColumn="0"/>
              <w:rPr>
                <w:b w:val="0"/>
                <w:bCs w:val="0"/>
                <w:color w:val="auto"/>
                <w:lang w:eastAsia="sl-SI"/>
              </w:rPr>
            </w:pPr>
            <w:r w:rsidRPr="00A9101E">
              <w:rPr>
                <w:color w:val="auto"/>
                <w:lang w:eastAsia="sl-SI"/>
              </w:rPr>
              <w:t>Število zadev</w:t>
            </w:r>
          </w:p>
        </w:tc>
        <w:tc>
          <w:tcPr>
            <w:tcW w:w="1276" w:type="dxa"/>
            <w:noWrap/>
            <w:hideMark/>
          </w:tcPr>
          <w:p w14:paraId="3DB31A10" w14:textId="77777777" w:rsidR="00F35424" w:rsidRPr="00A9101E" w:rsidRDefault="00F35424" w:rsidP="00F569C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auto"/>
                <w:lang w:eastAsia="sl-SI"/>
              </w:rPr>
            </w:pPr>
            <w:r w:rsidRPr="00A9101E">
              <w:rPr>
                <w:color w:val="auto"/>
                <w:lang w:eastAsia="sl-SI"/>
              </w:rPr>
              <w:t>Delež</w:t>
            </w:r>
          </w:p>
        </w:tc>
      </w:tr>
      <w:tr w:rsidR="00A9101E" w:rsidRPr="00A9101E" w14:paraId="7D554ABD" w14:textId="77777777" w:rsidTr="00E04A8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142" w:type="dxa"/>
            <w:hideMark/>
          </w:tcPr>
          <w:p w14:paraId="4514A2C1" w14:textId="77777777" w:rsidR="00867B39" w:rsidRPr="00A9101E" w:rsidRDefault="00867B39" w:rsidP="00F569C7">
            <w:pPr>
              <w:spacing w:line="360" w:lineRule="auto"/>
              <w:jc w:val="center"/>
              <w:rPr>
                <w:b w:val="0"/>
                <w:bCs w:val="0"/>
                <w:color w:val="auto"/>
                <w:lang w:eastAsia="sl-SI"/>
              </w:rPr>
            </w:pPr>
            <w:r w:rsidRPr="00A9101E">
              <w:rPr>
                <w:color w:val="auto"/>
                <w:lang w:eastAsia="sl-SI"/>
              </w:rPr>
              <w:t>Obvestila in informacije urada</w:t>
            </w:r>
          </w:p>
        </w:tc>
        <w:tc>
          <w:tcPr>
            <w:tcW w:w="2551" w:type="dxa"/>
            <w:noWrap/>
            <w:hideMark/>
          </w:tcPr>
          <w:p w14:paraId="43B499CF" w14:textId="77777777" w:rsidR="00867B39" w:rsidRPr="00A9101E" w:rsidRDefault="00867B39" w:rsidP="00F569C7">
            <w:pPr>
              <w:spacing w:line="360" w:lineRule="auto"/>
              <w:jc w:val="lef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Organizacije</w:t>
            </w:r>
          </w:p>
        </w:tc>
        <w:tc>
          <w:tcPr>
            <w:tcW w:w="1559" w:type="dxa"/>
            <w:noWrap/>
            <w:hideMark/>
          </w:tcPr>
          <w:p w14:paraId="027D6FEC" w14:textId="77777777" w:rsidR="00867B39" w:rsidRPr="00A9101E" w:rsidRDefault="00867B39" w:rsidP="00F569C7">
            <w:pPr>
              <w:spacing w:line="360" w:lineRule="auto"/>
              <w:jc w:val="right"/>
              <w:cnfStyle w:val="000000100000" w:firstRow="0" w:lastRow="0" w:firstColumn="0" w:lastColumn="0" w:oddVBand="0" w:evenVBand="0" w:oddHBand="1" w:evenHBand="0" w:firstRowFirstColumn="0" w:firstRowLastColumn="0" w:lastRowFirstColumn="0" w:lastRowLastColumn="0"/>
              <w:rPr>
                <w:b/>
                <w:bCs/>
                <w:lang w:eastAsia="sl-SI"/>
              </w:rPr>
            </w:pPr>
            <w:r w:rsidRPr="00A9101E">
              <w:rPr>
                <w:b/>
                <w:bCs/>
                <w:lang w:eastAsia="sl-SI"/>
              </w:rPr>
              <w:t>10</w:t>
            </w:r>
          </w:p>
        </w:tc>
        <w:tc>
          <w:tcPr>
            <w:tcW w:w="1276" w:type="dxa"/>
            <w:noWrap/>
            <w:hideMark/>
          </w:tcPr>
          <w:p w14:paraId="213B5C6B" w14:textId="77777777" w:rsidR="00867B39" w:rsidRPr="00A9101E" w:rsidRDefault="00867B39" w:rsidP="00F569C7">
            <w:pPr>
              <w:spacing w:line="360" w:lineRule="auto"/>
              <w:jc w:val="righ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20,41 %</w:t>
            </w:r>
          </w:p>
        </w:tc>
      </w:tr>
      <w:tr w:rsidR="00A9101E" w:rsidRPr="00A9101E" w14:paraId="368DE7BD" w14:textId="77777777" w:rsidTr="00E04A8E">
        <w:trPr>
          <w:trHeight w:val="456"/>
        </w:trPr>
        <w:tc>
          <w:tcPr>
            <w:cnfStyle w:val="001000000000" w:firstRow="0" w:lastRow="0" w:firstColumn="1" w:lastColumn="0" w:oddVBand="0" w:evenVBand="0" w:oddHBand="0" w:evenHBand="0" w:firstRowFirstColumn="0" w:firstRowLastColumn="0" w:lastRowFirstColumn="0" w:lastRowLastColumn="0"/>
            <w:tcW w:w="2142" w:type="dxa"/>
            <w:hideMark/>
          </w:tcPr>
          <w:p w14:paraId="4C212BA5" w14:textId="77777777" w:rsidR="00867B39" w:rsidRPr="00A9101E" w:rsidRDefault="00867B39" w:rsidP="00F569C7">
            <w:pPr>
              <w:spacing w:line="360" w:lineRule="auto"/>
              <w:jc w:val="left"/>
              <w:rPr>
                <w:b w:val="0"/>
                <w:bCs w:val="0"/>
                <w:color w:val="auto"/>
                <w:lang w:eastAsia="sl-SI"/>
              </w:rPr>
            </w:pPr>
          </w:p>
        </w:tc>
        <w:tc>
          <w:tcPr>
            <w:tcW w:w="2551" w:type="dxa"/>
            <w:noWrap/>
          </w:tcPr>
          <w:p w14:paraId="2F9443DE" w14:textId="77777777" w:rsidR="00867B39" w:rsidRPr="00A9101E" w:rsidRDefault="00867B39" w:rsidP="00F569C7">
            <w:pPr>
              <w:spacing w:line="360" w:lineRule="auto"/>
              <w:jc w:val="lef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Organizacije ali tuji FIU</w:t>
            </w:r>
          </w:p>
        </w:tc>
        <w:tc>
          <w:tcPr>
            <w:tcW w:w="1559" w:type="dxa"/>
            <w:noWrap/>
          </w:tcPr>
          <w:p w14:paraId="65FC56D7" w14:textId="77777777" w:rsidR="00867B39" w:rsidRPr="00A9101E" w:rsidRDefault="00867B39" w:rsidP="00F569C7">
            <w:pPr>
              <w:spacing w:line="360" w:lineRule="auto"/>
              <w:jc w:val="right"/>
              <w:cnfStyle w:val="000000000000" w:firstRow="0" w:lastRow="0" w:firstColumn="0" w:lastColumn="0" w:oddVBand="0" w:evenVBand="0" w:oddHBand="0" w:evenHBand="0" w:firstRowFirstColumn="0" w:firstRowLastColumn="0" w:lastRowFirstColumn="0" w:lastRowLastColumn="0"/>
              <w:rPr>
                <w:b/>
                <w:bCs/>
                <w:lang w:eastAsia="sl-SI"/>
              </w:rPr>
            </w:pPr>
            <w:r w:rsidRPr="00A9101E">
              <w:rPr>
                <w:b/>
                <w:bCs/>
                <w:lang w:eastAsia="sl-SI"/>
              </w:rPr>
              <w:t>2</w:t>
            </w:r>
          </w:p>
        </w:tc>
        <w:tc>
          <w:tcPr>
            <w:tcW w:w="1276" w:type="dxa"/>
            <w:noWrap/>
          </w:tcPr>
          <w:p w14:paraId="1C9C62FB" w14:textId="77777777" w:rsidR="00867B39" w:rsidRPr="00A9101E" w:rsidRDefault="00867B39" w:rsidP="00F569C7">
            <w:pPr>
              <w:spacing w:line="360" w:lineRule="auto"/>
              <w:jc w:val="righ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4,08 %</w:t>
            </w:r>
          </w:p>
        </w:tc>
      </w:tr>
      <w:tr w:rsidR="00A9101E" w:rsidRPr="00A9101E" w14:paraId="53E8F1E4" w14:textId="77777777" w:rsidTr="00E04A8E">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142" w:type="dxa"/>
          </w:tcPr>
          <w:p w14:paraId="7D000C1B" w14:textId="77777777" w:rsidR="00867B39" w:rsidRPr="00A9101E" w:rsidRDefault="00867B39" w:rsidP="00F569C7">
            <w:pPr>
              <w:spacing w:line="360" w:lineRule="auto"/>
              <w:jc w:val="left"/>
              <w:rPr>
                <w:b w:val="0"/>
                <w:bCs w:val="0"/>
                <w:color w:val="auto"/>
                <w:lang w:eastAsia="sl-SI"/>
              </w:rPr>
            </w:pPr>
          </w:p>
        </w:tc>
        <w:tc>
          <w:tcPr>
            <w:tcW w:w="2551" w:type="dxa"/>
            <w:noWrap/>
          </w:tcPr>
          <w:p w14:paraId="05DD6ED5" w14:textId="77777777" w:rsidR="00867B39" w:rsidRPr="00A9101E" w:rsidRDefault="00867B39" w:rsidP="00F569C7">
            <w:pPr>
              <w:spacing w:line="360" w:lineRule="auto"/>
              <w:jc w:val="lef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Pobuda policije</w:t>
            </w:r>
          </w:p>
        </w:tc>
        <w:tc>
          <w:tcPr>
            <w:tcW w:w="1559" w:type="dxa"/>
            <w:noWrap/>
          </w:tcPr>
          <w:p w14:paraId="1AF1A125" w14:textId="77777777" w:rsidR="00867B39" w:rsidRPr="00A9101E" w:rsidRDefault="00867B39" w:rsidP="00F569C7">
            <w:pPr>
              <w:spacing w:line="360" w:lineRule="auto"/>
              <w:jc w:val="right"/>
              <w:cnfStyle w:val="000000100000" w:firstRow="0" w:lastRow="0" w:firstColumn="0" w:lastColumn="0" w:oddVBand="0" w:evenVBand="0" w:oddHBand="1" w:evenHBand="0" w:firstRowFirstColumn="0" w:firstRowLastColumn="0" w:lastRowFirstColumn="0" w:lastRowLastColumn="0"/>
              <w:rPr>
                <w:b/>
                <w:bCs/>
                <w:lang w:eastAsia="sl-SI"/>
              </w:rPr>
            </w:pPr>
            <w:r w:rsidRPr="00A9101E">
              <w:rPr>
                <w:b/>
                <w:bCs/>
                <w:lang w:eastAsia="sl-SI"/>
              </w:rPr>
              <w:t>18</w:t>
            </w:r>
          </w:p>
        </w:tc>
        <w:tc>
          <w:tcPr>
            <w:tcW w:w="1276" w:type="dxa"/>
            <w:noWrap/>
          </w:tcPr>
          <w:p w14:paraId="42BFD205" w14:textId="77777777" w:rsidR="00867B39" w:rsidRPr="00A9101E" w:rsidRDefault="00867B39" w:rsidP="00F569C7">
            <w:pPr>
              <w:spacing w:line="360" w:lineRule="auto"/>
              <w:jc w:val="righ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36,73 %</w:t>
            </w:r>
          </w:p>
        </w:tc>
      </w:tr>
      <w:tr w:rsidR="00A9101E" w:rsidRPr="00A9101E" w14:paraId="4D683275" w14:textId="77777777" w:rsidTr="00E04A8E">
        <w:trPr>
          <w:trHeight w:val="456"/>
        </w:trPr>
        <w:tc>
          <w:tcPr>
            <w:cnfStyle w:val="001000000000" w:firstRow="0" w:lastRow="0" w:firstColumn="1" w:lastColumn="0" w:oddVBand="0" w:evenVBand="0" w:oddHBand="0" w:evenHBand="0" w:firstRowFirstColumn="0" w:firstRowLastColumn="0" w:lastRowFirstColumn="0" w:lastRowLastColumn="0"/>
            <w:tcW w:w="2142" w:type="dxa"/>
          </w:tcPr>
          <w:p w14:paraId="5E2411DC" w14:textId="0BC30FD0" w:rsidR="00F338AD" w:rsidRPr="00A9101E" w:rsidRDefault="00F338AD" w:rsidP="00F569C7">
            <w:pPr>
              <w:spacing w:line="360" w:lineRule="auto"/>
              <w:jc w:val="left"/>
              <w:rPr>
                <w:color w:val="auto"/>
                <w:lang w:eastAsia="sl-SI"/>
              </w:rPr>
            </w:pPr>
            <w:r w:rsidRPr="00A9101E">
              <w:rPr>
                <w:color w:val="auto"/>
                <w:lang w:eastAsia="sl-SI"/>
              </w:rPr>
              <w:t>Policija samostojno</w:t>
            </w:r>
          </w:p>
        </w:tc>
        <w:tc>
          <w:tcPr>
            <w:tcW w:w="2551" w:type="dxa"/>
            <w:noWrap/>
          </w:tcPr>
          <w:p w14:paraId="28CDFAE8" w14:textId="77777777" w:rsidR="00F338AD" w:rsidRPr="00A9101E" w:rsidRDefault="00F338AD" w:rsidP="00F569C7">
            <w:pPr>
              <w:spacing w:line="360" w:lineRule="auto"/>
              <w:jc w:val="left"/>
              <w:cnfStyle w:val="000000000000" w:firstRow="0" w:lastRow="0" w:firstColumn="0" w:lastColumn="0" w:oddVBand="0" w:evenVBand="0" w:oddHBand="0" w:evenHBand="0" w:firstRowFirstColumn="0" w:firstRowLastColumn="0" w:lastRowFirstColumn="0" w:lastRowLastColumn="0"/>
              <w:rPr>
                <w:lang w:eastAsia="sl-SI"/>
              </w:rPr>
            </w:pPr>
          </w:p>
        </w:tc>
        <w:tc>
          <w:tcPr>
            <w:tcW w:w="1559" w:type="dxa"/>
            <w:noWrap/>
          </w:tcPr>
          <w:p w14:paraId="011F5E24" w14:textId="1D3446A8" w:rsidR="00F338AD" w:rsidRPr="00A9101E" w:rsidRDefault="00F338AD" w:rsidP="00F569C7">
            <w:pPr>
              <w:spacing w:line="360" w:lineRule="auto"/>
              <w:jc w:val="right"/>
              <w:cnfStyle w:val="000000000000" w:firstRow="0" w:lastRow="0" w:firstColumn="0" w:lastColumn="0" w:oddVBand="0" w:evenVBand="0" w:oddHBand="0" w:evenHBand="0" w:firstRowFirstColumn="0" w:firstRowLastColumn="0" w:lastRowFirstColumn="0" w:lastRowLastColumn="0"/>
              <w:rPr>
                <w:b/>
                <w:bCs/>
                <w:lang w:eastAsia="sl-SI"/>
              </w:rPr>
            </w:pPr>
            <w:r w:rsidRPr="00A9101E">
              <w:rPr>
                <w:b/>
                <w:bCs/>
                <w:lang w:eastAsia="sl-SI"/>
              </w:rPr>
              <w:t>19</w:t>
            </w:r>
          </w:p>
        </w:tc>
        <w:tc>
          <w:tcPr>
            <w:tcW w:w="1276" w:type="dxa"/>
            <w:noWrap/>
          </w:tcPr>
          <w:p w14:paraId="2B6B45F9" w14:textId="05FE9E3A" w:rsidR="00F338AD" w:rsidRPr="00A9101E" w:rsidRDefault="00F338AD" w:rsidP="00F569C7">
            <w:pPr>
              <w:spacing w:line="360" w:lineRule="auto"/>
              <w:jc w:val="righ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38,78 %</w:t>
            </w:r>
          </w:p>
        </w:tc>
      </w:tr>
      <w:tr w:rsidR="00A9101E" w:rsidRPr="00A9101E" w14:paraId="45BE5F19" w14:textId="77777777" w:rsidTr="00E04A8E">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142" w:type="dxa"/>
          </w:tcPr>
          <w:p w14:paraId="04B9AE51" w14:textId="028A8B98" w:rsidR="00F338AD" w:rsidRPr="00A9101E" w:rsidRDefault="00F338AD" w:rsidP="00F569C7">
            <w:pPr>
              <w:spacing w:line="360" w:lineRule="auto"/>
              <w:jc w:val="left"/>
              <w:rPr>
                <w:b w:val="0"/>
                <w:bCs w:val="0"/>
                <w:color w:val="auto"/>
                <w:lang w:eastAsia="sl-SI"/>
              </w:rPr>
            </w:pPr>
            <w:r w:rsidRPr="00A9101E">
              <w:rPr>
                <w:color w:val="auto"/>
                <w:lang w:eastAsia="sl-SI"/>
              </w:rPr>
              <w:t>SKUPAJ</w:t>
            </w:r>
          </w:p>
        </w:tc>
        <w:tc>
          <w:tcPr>
            <w:tcW w:w="2551" w:type="dxa"/>
            <w:noWrap/>
          </w:tcPr>
          <w:p w14:paraId="62611CC9" w14:textId="77777777" w:rsidR="00F338AD" w:rsidRPr="00A9101E" w:rsidRDefault="00F338AD" w:rsidP="00F569C7">
            <w:pPr>
              <w:spacing w:line="360" w:lineRule="auto"/>
              <w:jc w:val="left"/>
              <w:cnfStyle w:val="000000100000" w:firstRow="0" w:lastRow="0" w:firstColumn="0" w:lastColumn="0" w:oddVBand="0" w:evenVBand="0" w:oddHBand="1" w:evenHBand="0" w:firstRowFirstColumn="0" w:firstRowLastColumn="0" w:lastRowFirstColumn="0" w:lastRowLastColumn="0"/>
              <w:rPr>
                <w:lang w:eastAsia="sl-SI"/>
              </w:rPr>
            </w:pPr>
          </w:p>
        </w:tc>
        <w:tc>
          <w:tcPr>
            <w:tcW w:w="1559" w:type="dxa"/>
            <w:noWrap/>
          </w:tcPr>
          <w:p w14:paraId="429A302C" w14:textId="34FD90D3" w:rsidR="00F338AD" w:rsidRPr="00A9101E" w:rsidRDefault="00F338AD" w:rsidP="00F569C7">
            <w:pPr>
              <w:spacing w:line="360" w:lineRule="auto"/>
              <w:jc w:val="right"/>
              <w:cnfStyle w:val="000000100000" w:firstRow="0" w:lastRow="0" w:firstColumn="0" w:lastColumn="0" w:oddVBand="0" w:evenVBand="0" w:oddHBand="1" w:evenHBand="0" w:firstRowFirstColumn="0" w:firstRowLastColumn="0" w:lastRowFirstColumn="0" w:lastRowLastColumn="0"/>
              <w:rPr>
                <w:b/>
                <w:bCs/>
                <w:lang w:eastAsia="sl-SI"/>
              </w:rPr>
            </w:pPr>
            <w:r w:rsidRPr="00A9101E">
              <w:rPr>
                <w:b/>
                <w:bCs/>
                <w:lang w:eastAsia="sl-SI"/>
              </w:rPr>
              <w:t>49</w:t>
            </w:r>
          </w:p>
        </w:tc>
        <w:tc>
          <w:tcPr>
            <w:tcW w:w="1276" w:type="dxa"/>
            <w:noWrap/>
          </w:tcPr>
          <w:p w14:paraId="3036EA11" w14:textId="5770F365" w:rsidR="00F338AD" w:rsidRPr="00A9101E" w:rsidRDefault="00F338AD" w:rsidP="00F569C7">
            <w:pPr>
              <w:spacing w:line="360" w:lineRule="auto"/>
              <w:jc w:val="right"/>
              <w:cnfStyle w:val="000000100000" w:firstRow="0" w:lastRow="0" w:firstColumn="0" w:lastColumn="0" w:oddVBand="0" w:evenVBand="0" w:oddHBand="1" w:evenHBand="0" w:firstRowFirstColumn="0" w:firstRowLastColumn="0" w:lastRowFirstColumn="0" w:lastRowLastColumn="0"/>
              <w:rPr>
                <w:lang w:eastAsia="sl-SI"/>
              </w:rPr>
            </w:pPr>
            <w:r w:rsidRPr="00A9101E">
              <w:rPr>
                <w:b/>
                <w:bCs/>
                <w:lang w:eastAsia="sl-SI"/>
              </w:rPr>
              <w:t>100,00 %</w:t>
            </w:r>
          </w:p>
        </w:tc>
      </w:tr>
    </w:tbl>
    <w:p w14:paraId="1D71A02E" w14:textId="77777777" w:rsidR="00B65A09" w:rsidRPr="00867B39" w:rsidRDefault="00B65A09" w:rsidP="00B65A09"/>
    <w:p w14:paraId="55DFB521" w14:textId="57563642" w:rsidR="00F35424" w:rsidRPr="00424274" w:rsidRDefault="00F35424" w:rsidP="00F35424">
      <w:pPr>
        <w:spacing w:line="276" w:lineRule="auto"/>
        <w:rPr>
          <w:iCs/>
        </w:rPr>
      </w:pPr>
      <w:r w:rsidRPr="00C92D06">
        <w:rPr>
          <w:iCs/>
          <w:color w:val="000000" w:themeColor="text1"/>
        </w:rPr>
        <w:t>Iz preglednice je razvidno</w:t>
      </w:r>
      <w:r w:rsidRPr="00D36326">
        <w:rPr>
          <w:iCs/>
          <w:color w:val="000000" w:themeColor="text1"/>
        </w:rPr>
        <w:t xml:space="preserve">, da je </w:t>
      </w:r>
      <w:r w:rsidRPr="00D36326">
        <w:rPr>
          <w:b/>
          <w:bCs/>
          <w:iCs/>
          <w:color w:val="000000" w:themeColor="text1"/>
        </w:rPr>
        <w:t>30</w:t>
      </w:r>
      <w:r w:rsidRPr="00D36326">
        <w:rPr>
          <w:b/>
          <w:bCs/>
          <w:i/>
          <w:color w:val="000000" w:themeColor="text1"/>
        </w:rPr>
        <w:t xml:space="preserve"> </w:t>
      </w:r>
      <w:r w:rsidRPr="00D36326">
        <w:rPr>
          <w:b/>
          <w:i/>
          <w:iCs/>
          <w:color w:val="000000" w:themeColor="text1"/>
        </w:rPr>
        <w:t>zadev (ali 61,22</w:t>
      </w:r>
      <w:r w:rsidRPr="00D36326">
        <w:rPr>
          <w:b/>
          <w:i/>
          <w:iCs/>
          <w:color w:val="000000" w:themeColor="text1"/>
          <w:lang w:eastAsia="sl-SI"/>
        </w:rPr>
        <w:t xml:space="preserve"> </w:t>
      </w:r>
      <w:r w:rsidRPr="00D36326">
        <w:rPr>
          <w:b/>
          <w:i/>
          <w:iCs/>
          <w:color w:val="000000" w:themeColor="text1"/>
        </w:rPr>
        <w:t>%)</w:t>
      </w:r>
      <w:r w:rsidRPr="00D36326">
        <w:rPr>
          <w:i/>
          <w:iCs/>
          <w:color w:val="000000" w:themeColor="text1"/>
        </w:rPr>
        <w:t>,</w:t>
      </w:r>
      <w:r w:rsidRPr="00D36326">
        <w:rPr>
          <w:iCs/>
          <w:color w:val="000000" w:themeColor="text1"/>
        </w:rPr>
        <w:t xml:space="preserve"> od skupno 49 </w:t>
      </w:r>
      <w:r w:rsidRPr="00D36326">
        <w:rPr>
          <w:iCs/>
        </w:rPr>
        <w:t xml:space="preserve">novih zadev v letu 2021 zaradi utemeljenih razlogov za sum storitve kaznivega dejanja pranja denarja, </w:t>
      </w:r>
      <w:r w:rsidRPr="00C56BAF">
        <w:rPr>
          <w:b/>
          <w:bCs/>
          <w:iCs/>
        </w:rPr>
        <w:t>temeljilo na obvestilih in informacijah urada</w:t>
      </w:r>
      <w:r w:rsidRPr="00D36326">
        <w:rPr>
          <w:iCs/>
        </w:rPr>
        <w:t>. Od vseh</w:t>
      </w:r>
      <w:r w:rsidRPr="00424274">
        <w:rPr>
          <w:iCs/>
        </w:rPr>
        <w:t xml:space="preserve"> zadev s pod</w:t>
      </w:r>
      <w:r>
        <w:rPr>
          <w:iCs/>
        </w:rPr>
        <w:t>ročja pranja denarja v letu 2021</w:t>
      </w:r>
      <w:r w:rsidRPr="00424274">
        <w:rPr>
          <w:iCs/>
        </w:rPr>
        <w:t xml:space="preserve"> se jih je </w:t>
      </w:r>
      <w:r>
        <w:rPr>
          <w:iCs/>
        </w:rPr>
        <w:t>deset</w:t>
      </w:r>
      <w:r w:rsidRPr="00424274">
        <w:rPr>
          <w:iCs/>
        </w:rPr>
        <w:t xml:space="preserve"> začelo na podlagi sporočenih podatkov, ki so jih </w:t>
      </w:r>
      <w:r>
        <w:rPr>
          <w:iCs/>
        </w:rPr>
        <w:t>urad</w:t>
      </w:r>
      <w:r w:rsidRPr="00424274">
        <w:rPr>
          <w:iCs/>
        </w:rPr>
        <w:t xml:space="preserve">u v obliki sporočenih sumljivih transakcij </w:t>
      </w:r>
      <w:r>
        <w:rPr>
          <w:iCs/>
        </w:rPr>
        <w:t>poslali</w:t>
      </w:r>
      <w:r w:rsidRPr="00424274">
        <w:rPr>
          <w:iCs/>
        </w:rPr>
        <w:t xml:space="preserve"> </w:t>
      </w:r>
      <w:r>
        <w:rPr>
          <w:iCs/>
        </w:rPr>
        <w:t>zavezanci iz ZPPDFT-</w:t>
      </w:r>
      <w:r w:rsidR="004D295B">
        <w:rPr>
          <w:iCs/>
        </w:rPr>
        <w:t>1</w:t>
      </w:r>
      <w:r w:rsidRPr="00424274">
        <w:rPr>
          <w:iCs/>
        </w:rPr>
        <w:t xml:space="preserve">, </w:t>
      </w:r>
      <w:r>
        <w:rPr>
          <w:iCs/>
        </w:rPr>
        <w:t>dve</w:t>
      </w:r>
      <w:r w:rsidRPr="00424274">
        <w:rPr>
          <w:iCs/>
        </w:rPr>
        <w:t xml:space="preserve"> zadev</w:t>
      </w:r>
      <w:r>
        <w:rPr>
          <w:iCs/>
        </w:rPr>
        <w:t>i</w:t>
      </w:r>
      <w:r w:rsidRPr="00424274">
        <w:rPr>
          <w:iCs/>
        </w:rPr>
        <w:t xml:space="preserve"> je </w:t>
      </w:r>
      <w:r>
        <w:rPr>
          <w:iCs/>
        </w:rPr>
        <w:t>urad</w:t>
      </w:r>
      <w:r w:rsidRPr="00424274">
        <w:rPr>
          <w:iCs/>
        </w:rPr>
        <w:t xml:space="preserve"> </w:t>
      </w:r>
      <w:r>
        <w:rPr>
          <w:iCs/>
        </w:rPr>
        <w:t>za</w:t>
      </w:r>
      <w:r w:rsidRPr="00424274">
        <w:rPr>
          <w:iCs/>
        </w:rPr>
        <w:t>čel obravnavati na podlagi</w:t>
      </w:r>
      <w:r>
        <w:rPr>
          <w:iCs/>
        </w:rPr>
        <w:t xml:space="preserve"> podatkov tuje finančno obveščevalne enote, medtem ko </w:t>
      </w:r>
      <w:r w:rsidR="004D295B">
        <w:rPr>
          <w:iCs/>
        </w:rPr>
        <w:t>je bilo</w:t>
      </w:r>
      <w:r>
        <w:rPr>
          <w:iCs/>
        </w:rPr>
        <w:t xml:space="preserve"> 18</w:t>
      </w:r>
      <w:r w:rsidRPr="00424274">
        <w:rPr>
          <w:iCs/>
        </w:rPr>
        <w:t xml:space="preserve"> zadev </w:t>
      </w:r>
      <w:r w:rsidR="004D295B">
        <w:rPr>
          <w:iCs/>
        </w:rPr>
        <w:t>obravnavano</w:t>
      </w:r>
      <w:r w:rsidRPr="00424274">
        <w:rPr>
          <w:iCs/>
        </w:rPr>
        <w:t xml:space="preserve"> na pobudo organov </w:t>
      </w:r>
      <w:r>
        <w:rPr>
          <w:iCs/>
        </w:rPr>
        <w:t>pregona. Policija je v letu 2021</w:t>
      </w:r>
      <w:r w:rsidRPr="00424274">
        <w:rPr>
          <w:iCs/>
        </w:rPr>
        <w:t xml:space="preserve"> </w:t>
      </w:r>
      <w:r>
        <w:rPr>
          <w:iCs/>
        </w:rPr>
        <w:t>popolnoma</w:t>
      </w:r>
      <w:r w:rsidRPr="00424274">
        <w:rPr>
          <w:iCs/>
        </w:rPr>
        <w:t xml:space="preserve"> samostojno (brez sodelovanja </w:t>
      </w:r>
      <w:r>
        <w:rPr>
          <w:iCs/>
        </w:rPr>
        <w:t>urad</w:t>
      </w:r>
      <w:r w:rsidRPr="00424274">
        <w:rPr>
          <w:iCs/>
        </w:rPr>
        <w:t xml:space="preserve">a) </w:t>
      </w:r>
      <w:r>
        <w:rPr>
          <w:iCs/>
        </w:rPr>
        <w:t>za</w:t>
      </w:r>
      <w:r w:rsidRPr="00424274">
        <w:rPr>
          <w:iCs/>
        </w:rPr>
        <w:t xml:space="preserve">čela predkazenski postopek zaradi pranja denarja v </w:t>
      </w:r>
      <w:r>
        <w:rPr>
          <w:iCs/>
        </w:rPr>
        <w:t>19 zadevah.</w:t>
      </w:r>
    </w:p>
    <w:p w14:paraId="63801FF2" w14:textId="660A3DD7" w:rsidR="00B65A09" w:rsidRDefault="00F35424" w:rsidP="00F35424">
      <w:pPr>
        <w:rPr>
          <w:bCs/>
        </w:rPr>
      </w:pPr>
      <w:r w:rsidRPr="00424274">
        <w:rPr>
          <w:bCs/>
        </w:rPr>
        <w:t xml:space="preserve">V spodnjem grafu </w:t>
      </w:r>
      <w:r w:rsidR="004D295B">
        <w:rPr>
          <w:bCs/>
        </w:rPr>
        <w:t>je predstavljen</w:t>
      </w:r>
      <w:r w:rsidRPr="00424274">
        <w:rPr>
          <w:bCs/>
        </w:rPr>
        <w:t xml:space="preserve"> delež vseh začetih postopkov zaradi utemeljenih razlogov za sum storitve kaznivega dejanja pr</w:t>
      </w:r>
      <w:r>
        <w:rPr>
          <w:bCs/>
        </w:rPr>
        <w:t>anja denarja v obdobju 2010–2021</w:t>
      </w:r>
      <w:r w:rsidRPr="00424274">
        <w:rPr>
          <w:bCs/>
        </w:rPr>
        <w:t xml:space="preserve"> glede na izvor podatkov, na podlagi katerih se je v tem obdobju </w:t>
      </w:r>
      <w:r>
        <w:rPr>
          <w:bCs/>
        </w:rPr>
        <w:t>začelo 593</w:t>
      </w:r>
      <w:r w:rsidRPr="00424274">
        <w:rPr>
          <w:bCs/>
        </w:rPr>
        <w:t xml:space="preserve"> postopkov. </w:t>
      </w:r>
      <w:r w:rsidR="004D295B">
        <w:rPr>
          <w:bCs/>
        </w:rPr>
        <w:t>V grafu ni zajet</w:t>
      </w:r>
      <w:r w:rsidR="00C56BAF">
        <w:rPr>
          <w:bCs/>
        </w:rPr>
        <w:t>ih</w:t>
      </w:r>
      <w:r w:rsidRPr="00424274">
        <w:rPr>
          <w:bCs/>
        </w:rPr>
        <w:t xml:space="preserve"> 15 zadev, ki so nastale kot posledica izločitve oseb iz posameznih kazenskih zadev, saj so se tudi te </w:t>
      </w:r>
      <w:r>
        <w:rPr>
          <w:bCs/>
        </w:rPr>
        <w:t>za</w:t>
      </w:r>
      <w:r w:rsidRPr="00424274">
        <w:rPr>
          <w:bCs/>
        </w:rPr>
        <w:t>čele na podlagi spodaj predstavljenih virov. Hkrati število tako nastalih zadev bistveno ne vpliva na celotno število kazenskih zadev, saj po drugi strani sodišča kazenske zadeve tudi združujejo.</w:t>
      </w:r>
    </w:p>
    <w:p w14:paraId="5F8FF4E3" w14:textId="30B2A406" w:rsidR="00C56BAF" w:rsidRDefault="00C56BAF">
      <w:pPr>
        <w:jc w:val="left"/>
      </w:pPr>
      <w:r>
        <w:br w:type="page"/>
      </w:r>
    </w:p>
    <w:p w14:paraId="504B41CF" w14:textId="77777777" w:rsidR="00C56BAF" w:rsidRDefault="00C56BAF" w:rsidP="00F35424"/>
    <w:p w14:paraId="5523F161" w14:textId="1502653B" w:rsidR="00F35424" w:rsidRPr="00F35424" w:rsidRDefault="00F35424" w:rsidP="00F35424">
      <w:pPr>
        <w:spacing w:line="276" w:lineRule="auto"/>
        <w:ind w:left="709" w:right="-22" w:hanging="709"/>
        <w:rPr>
          <w:b/>
          <w:bCs/>
          <w:i/>
          <w:iCs/>
          <w:sz w:val="18"/>
          <w:szCs w:val="18"/>
        </w:rPr>
      </w:pPr>
      <w:r w:rsidRPr="00F35424">
        <w:rPr>
          <w:b/>
          <w:bCs/>
          <w:i/>
          <w:iCs/>
          <w:sz w:val="18"/>
          <w:szCs w:val="18"/>
        </w:rPr>
        <w:t>Graf 7:</w:t>
      </w:r>
      <w:r>
        <w:rPr>
          <w:b/>
          <w:bCs/>
          <w:i/>
          <w:iCs/>
          <w:sz w:val="18"/>
          <w:szCs w:val="18"/>
        </w:rPr>
        <w:tab/>
      </w:r>
      <w:r w:rsidRPr="00F35424">
        <w:rPr>
          <w:b/>
          <w:bCs/>
          <w:i/>
          <w:iCs/>
          <w:sz w:val="18"/>
          <w:szCs w:val="18"/>
        </w:rPr>
        <w:t>Delež vseh začetih postopkov za kaznivo dejanje pranja denarja v obdobju 2010–2021 glede na državni organ izvora podatkov</w:t>
      </w:r>
    </w:p>
    <w:p w14:paraId="1026FCE1" w14:textId="57EB2EF8" w:rsidR="00B65A09" w:rsidRDefault="00F35424" w:rsidP="00F35424">
      <w:pPr>
        <w:spacing w:after="100" w:afterAutospacing="1" w:line="240" w:lineRule="auto"/>
      </w:pPr>
      <w:r>
        <w:rPr>
          <w:noProof/>
          <w:lang w:eastAsia="sl-SI"/>
        </w:rPr>
        <w:drawing>
          <wp:inline distT="0" distB="0" distL="0" distR="0" wp14:anchorId="7475C34C" wp14:editId="57F7FFE5">
            <wp:extent cx="5760720" cy="3632200"/>
            <wp:effectExtent l="0" t="0" r="11430" b="6350"/>
            <wp:docPr id="10" name="Grafikon 10" descr="Delež vseh začetih postopkov za kaznivo dejanje pranja denarja v obdobju 2010–2021 glede na državni organ izvora podatkov, v obliki tortnega grafikona.&#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DEBEDDB" w14:textId="77777777" w:rsidR="00B65A09" w:rsidRDefault="00B65A09" w:rsidP="00B65A09"/>
    <w:p w14:paraId="56236327" w14:textId="0567E86C" w:rsidR="00F35424" w:rsidRPr="00F35424" w:rsidRDefault="00F35424" w:rsidP="00F35424">
      <w:pPr>
        <w:pStyle w:val="Telobesedila2"/>
        <w:tabs>
          <w:tab w:val="left" w:pos="-787"/>
          <w:tab w:val="left" w:pos="0"/>
          <w:tab w:val="left" w:pos="720"/>
          <w:tab w:val="left" w:pos="1440"/>
          <w:tab w:val="left" w:pos="2160"/>
          <w:tab w:val="left" w:pos="2880"/>
          <w:tab w:val="left" w:pos="3600"/>
          <w:tab w:val="left" w:pos="4320"/>
          <w:tab w:val="left" w:pos="4500"/>
        </w:tabs>
        <w:spacing w:line="276" w:lineRule="auto"/>
        <w:ind w:right="-22"/>
      </w:pPr>
      <w:r w:rsidRPr="00424274">
        <w:t>Iz grafa je razvidno, da se je v obdobju 2010</w:t>
      </w:r>
      <w:r>
        <w:t>–</w:t>
      </w:r>
      <w:r w:rsidRPr="00424274">
        <w:t>202</w:t>
      </w:r>
      <w:r>
        <w:t>1</w:t>
      </w:r>
      <w:r w:rsidRPr="00424274">
        <w:t xml:space="preserve"> več kot polovica predkazenskih in kazenskih postopkov za kaznivo dejanje pranja den</w:t>
      </w:r>
      <w:r>
        <w:t>arja, oziroma 55</w:t>
      </w:r>
      <w:r w:rsidRPr="00424274">
        <w:t xml:space="preserve"> %, </w:t>
      </w:r>
      <w:r>
        <w:t>za</w:t>
      </w:r>
      <w:r w:rsidRPr="00424274">
        <w:t>čel</w:t>
      </w:r>
      <w:r>
        <w:t>a</w:t>
      </w:r>
      <w:r w:rsidRPr="00424274">
        <w:t xml:space="preserve"> na podlagi obvestil ali informacij </w:t>
      </w:r>
      <w:r>
        <w:t>urad</w:t>
      </w:r>
      <w:r w:rsidRPr="00424274">
        <w:t>a</w:t>
      </w:r>
      <w:r>
        <w:t>, ki so bila poslana</w:t>
      </w:r>
      <w:r w:rsidRPr="00424274">
        <w:t xml:space="preserve"> pristojnim organom. Navedena struktura je skoraj </w:t>
      </w:r>
      <w:r>
        <w:t>popolnoma</w:t>
      </w:r>
      <w:r w:rsidRPr="00424274">
        <w:t xml:space="preserve"> enaka že vrsto let, pri čemer pa</w:t>
      </w:r>
      <w:r w:rsidR="005108FB">
        <w:t xml:space="preserve"> se</w:t>
      </w:r>
      <w:r w:rsidRPr="00424274">
        <w:t xml:space="preserve"> v primerjavi s prejšnjimi obdobji delež kazenskih zadev, ki temeljijo na podatkih iz obvestil ali informacij </w:t>
      </w:r>
      <w:r>
        <w:t>urad</w:t>
      </w:r>
      <w:r w:rsidRPr="00424274">
        <w:t xml:space="preserve">a, </w:t>
      </w:r>
      <w:r>
        <w:t>spet</w:t>
      </w:r>
      <w:r w:rsidRPr="00424274">
        <w:t xml:space="preserve"> malenkostno zvišuje. V obdobju 2010</w:t>
      </w:r>
      <w:r>
        <w:t>–</w:t>
      </w:r>
      <w:r w:rsidRPr="00424274">
        <w:t xml:space="preserve">2015 je tako na izdelkih </w:t>
      </w:r>
      <w:r>
        <w:t>urad</w:t>
      </w:r>
      <w:r w:rsidRPr="00424274">
        <w:t>a temeljilo 55 % vseh na novo začetih predkazenskih zadev v tem obdobju, medtem ko je bilo v obdobju 2016</w:t>
      </w:r>
      <w:r>
        <w:t>–2021</w:t>
      </w:r>
      <w:r w:rsidRPr="00424274">
        <w:t xml:space="preserve"> takih zadev 67</w:t>
      </w:r>
      <w:r>
        <w:t> </w:t>
      </w:r>
      <w:r w:rsidRPr="00424274">
        <w:t xml:space="preserve">%. </w:t>
      </w:r>
      <w:r w:rsidR="005108FB" w:rsidRPr="00492B2A">
        <w:t>Tak</w:t>
      </w:r>
      <w:r w:rsidRPr="00492B2A">
        <w:t xml:space="preserve"> trend ni spodbuden, saj </w:t>
      </w:r>
      <w:r w:rsidR="005108FB" w:rsidRPr="00492B2A">
        <w:t xml:space="preserve">sta za odkrivanje </w:t>
      </w:r>
      <w:r w:rsidRPr="00492B2A">
        <w:t>in pregon kazniv</w:t>
      </w:r>
      <w:r w:rsidR="005108FB" w:rsidRPr="00492B2A">
        <w:t>ih</w:t>
      </w:r>
      <w:r w:rsidRPr="00492B2A">
        <w:t xml:space="preserve"> dejanj</w:t>
      </w:r>
      <w:r w:rsidR="005108FB" w:rsidRPr="00492B2A">
        <w:t xml:space="preserve"> </w:t>
      </w:r>
      <w:r w:rsidRPr="00492B2A">
        <w:t>v prvi vrsti pristojna policija in tožilstvo.</w:t>
      </w:r>
    </w:p>
    <w:p w14:paraId="7E606550" w14:textId="2D9082C7" w:rsidR="00B65A09" w:rsidRDefault="00F35424" w:rsidP="00A27878">
      <w:pPr>
        <w:spacing w:line="276" w:lineRule="auto"/>
        <w:ind w:right="-22"/>
      </w:pPr>
      <w:r w:rsidRPr="00424274">
        <w:t xml:space="preserve">Policija </w:t>
      </w:r>
      <w:r>
        <w:t>urad</w:t>
      </w:r>
      <w:r w:rsidRPr="00424274">
        <w:t xml:space="preserve">u enkrat letno </w:t>
      </w:r>
      <w:r>
        <w:t>sporoči</w:t>
      </w:r>
      <w:r w:rsidRPr="00424274">
        <w:t xml:space="preserve"> </w:t>
      </w:r>
      <w:r w:rsidR="005108FB" w:rsidRPr="00424274">
        <w:t xml:space="preserve">tudi </w:t>
      </w:r>
      <w:r w:rsidRPr="00424274">
        <w:t xml:space="preserve">ugotovitve, do katerih je prišla na podlagi prejetih obvestil in informacij </w:t>
      </w:r>
      <w:r>
        <w:t>urad</w:t>
      </w:r>
      <w:r w:rsidRPr="00424274">
        <w:t>a</w:t>
      </w:r>
      <w:r w:rsidRPr="00424274">
        <w:rPr>
          <w:vertAlign w:val="superscript"/>
        </w:rPr>
        <w:footnoteReference w:id="11"/>
      </w:r>
      <w:r w:rsidRPr="00424274">
        <w:t>. Iz podatkov</w:t>
      </w:r>
      <w:r>
        <w:t>,</w:t>
      </w:r>
      <w:r w:rsidRPr="00424274">
        <w:t xml:space="preserve"> prejetih od </w:t>
      </w:r>
      <w:r>
        <w:t>policije za leto 2021,</w:t>
      </w:r>
      <w:r w:rsidRPr="00424274">
        <w:t xml:space="preserve"> je razvidno, da je </w:t>
      </w:r>
      <w:r>
        <w:t>p</w:t>
      </w:r>
      <w:r w:rsidRPr="00424274">
        <w:t xml:space="preserve">olicija poleg ovadb zaradi sumov storitve kaznivega dejanja pranja denarja na podlagi več obvestil in informacij </w:t>
      </w:r>
      <w:r>
        <w:t>urad</w:t>
      </w:r>
      <w:r w:rsidRPr="00424274">
        <w:t xml:space="preserve">a podala še več kazenskih ovadb za druga kazniva dejanja, ki niso pranje denarja. Največkrat gre za gospodarska kazniva dejanja (davčna zatajitev, zloraba položaja ali zaupanja pri gospodarski dejavnosti, goljufije). </w:t>
      </w:r>
      <w:r w:rsidRPr="00C56BAF">
        <w:rPr>
          <w:b/>
          <w:bCs/>
        </w:rPr>
        <w:t xml:space="preserve">Navedeni podatki kažejo na pomembno vlogo urada tako pri zaznavanju sumov pranja denarja </w:t>
      </w:r>
      <w:r w:rsidR="005108FB" w:rsidRPr="00C56BAF">
        <w:rPr>
          <w:b/>
          <w:bCs/>
        </w:rPr>
        <w:t>kot</w:t>
      </w:r>
      <w:r w:rsidRPr="00C56BAF">
        <w:rPr>
          <w:b/>
          <w:bCs/>
        </w:rPr>
        <w:t xml:space="preserve"> tudi drugih kaznivih dejanj.</w:t>
      </w:r>
      <w:r w:rsidRPr="00424274">
        <w:t xml:space="preserve"> </w:t>
      </w:r>
      <w:r w:rsidR="00A27878">
        <w:t xml:space="preserve">Poleg tega je </w:t>
      </w:r>
      <w:r w:rsidR="00D513D5">
        <w:t xml:space="preserve">v skladu s 148. členom ZKP </w:t>
      </w:r>
      <w:r w:rsidR="00A27878">
        <w:t>v zvezi z zadevami urada (obvestila, informacije), kjer policija ni ugotovila utemeljenih razlogov za sum katerega koli kaznivega dejanja, poročala državnim tožilstvom.</w:t>
      </w:r>
    </w:p>
    <w:p w14:paraId="05A7E19E" w14:textId="77777777" w:rsidR="00A27878" w:rsidRDefault="00A27878" w:rsidP="00A27878">
      <w:pPr>
        <w:spacing w:line="276" w:lineRule="auto"/>
        <w:ind w:right="-22"/>
      </w:pPr>
    </w:p>
    <w:p w14:paraId="531BB47C" w14:textId="2A42CB7E" w:rsidR="00B65A09" w:rsidRDefault="00B65A09" w:rsidP="00B65A09">
      <w:pPr>
        <w:pStyle w:val="Naslov3"/>
      </w:pPr>
      <w:bookmarkStart w:id="37" w:name="_Toc119581709"/>
      <w:r>
        <w:lastRenderedPageBreak/>
        <w:t>Statistični podatki o predkazenskih in kazenskih postopkih za kaznivo dejanje pranja denarja</w:t>
      </w:r>
      <w:bookmarkEnd w:id="37"/>
      <w:r>
        <w:t xml:space="preserve"> </w:t>
      </w:r>
    </w:p>
    <w:p w14:paraId="68E7CDCA" w14:textId="77777777" w:rsidR="00B65A09" w:rsidRDefault="00B65A09" w:rsidP="00B65A09"/>
    <w:p w14:paraId="19E5B25F" w14:textId="77777777" w:rsidR="00C56BAF" w:rsidRDefault="00F35424" w:rsidP="005A0CAB">
      <w:pPr>
        <w:spacing w:line="276" w:lineRule="auto"/>
        <w:ind w:right="-22"/>
        <w:rPr>
          <w:bCs/>
          <w:color w:val="000000" w:themeColor="text1"/>
        </w:rPr>
      </w:pPr>
      <w:r w:rsidRPr="00C92D06">
        <w:rPr>
          <w:color w:val="000000" w:themeColor="text1"/>
        </w:rPr>
        <w:t>Iz podatkov za leto 2021</w:t>
      </w:r>
      <w:r w:rsidR="00EB5CFB">
        <w:rPr>
          <w:color w:val="000000" w:themeColor="text1"/>
        </w:rPr>
        <w:t>, ki jih je urad prejel</w:t>
      </w:r>
      <w:r w:rsidRPr="00C92D06">
        <w:rPr>
          <w:color w:val="000000" w:themeColor="text1"/>
        </w:rPr>
        <w:t xml:space="preserve"> od državnih tožilstev in sodišč, je razvidno, da je bilo na dan 31. 12. </w:t>
      </w:r>
      <w:r w:rsidRPr="00C56BAF">
        <w:rPr>
          <w:color w:val="000000" w:themeColor="text1"/>
        </w:rPr>
        <w:t xml:space="preserve">2021 </w:t>
      </w:r>
      <w:r w:rsidRPr="00C56BAF">
        <w:rPr>
          <w:b/>
          <w:bCs/>
          <w:color w:val="000000" w:themeColor="text1"/>
        </w:rPr>
        <w:t>v različnih fazah pregona (od podane kazenske ovadbe do vključno končnih odločitev sodišč) 735 zadev zoper 1.364 fizičnih oseb in 181 pravnih oseb.</w:t>
      </w:r>
      <w:r w:rsidRPr="00C92D06">
        <w:rPr>
          <w:bCs/>
          <w:color w:val="000000" w:themeColor="text1"/>
        </w:rPr>
        <w:t xml:space="preserve"> </w:t>
      </w:r>
    </w:p>
    <w:p w14:paraId="20410BAE" w14:textId="1BF8A694" w:rsidR="00F35424" w:rsidRPr="00771CD5" w:rsidRDefault="00F35424" w:rsidP="005A0CAB">
      <w:pPr>
        <w:spacing w:line="276" w:lineRule="auto"/>
        <w:ind w:right="-22"/>
        <w:rPr>
          <w:bCs/>
          <w:color w:val="000000" w:themeColor="text1"/>
        </w:rPr>
      </w:pPr>
      <w:r w:rsidRPr="00771CD5">
        <w:rPr>
          <w:bCs/>
          <w:color w:val="000000" w:themeColor="text1"/>
        </w:rPr>
        <w:t xml:space="preserve">V naslednji preglednici </w:t>
      </w:r>
      <w:r w:rsidR="00EB5CFB">
        <w:rPr>
          <w:bCs/>
          <w:color w:val="000000" w:themeColor="text1"/>
        </w:rPr>
        <w:t>je prikazano</w:t>
      </w:r>
      <w:r w:rsidRPr="00771CD5">
        <w:rPr>
          <w:bCs/>
          <w:color w:val="000000" w:themeColor="text1"/>
        </w:rPr>
        <w:t xml:space="preserve"> število zadev v posamezni fazi ter število in tip osumljenih, obdolženih ali obsojenih oseb.</w:t>
      </w:r>
    </w:p>
    <w:p w14:paraId="7A69CDC7" w14:textId="77777777" w:rsidR="00F35424" w:rsidRPr="00424274" w:rsidRDefault="00F35424" w:rsidP="005A0CAB">
      <w:pPr>
        <w:pStyle w:val="Telobesedila"/>
        <w:spacing w:line="276" w:lineRule="auto"/>
        <w:ind w:right="-22"/>
        <w:rPr>
          <w:rFonts w:ascii="Arial" w:hAnsi="Arial"/>
          <w:sz w:val="20"/>
        </w:rPr>
      </w:pPr>
    </w:p>
    <w:p w14:paraId="480834A4" w14:textId="40E738CC" w:rsidR="00F35424" w:rsidRPr="00F35424" w:rsidRDefault="00F35424" w:rsidP="00F35424">
      <w:pPr>
        <w:spacing w:line="276" w:lineRule="auto"/>
        <w:ind w:left="1418" w:right="-22" w:hanging="1418"/>
        <w:rPr>
          <w:b/>
          <w:bCs/>
          <w:i/>
          <w:iCs/>
          <w:sz w:val="18"/>
          <w:szCs w:val="18"/>
        </w:rPr>
      </w:pPr>
      <w:r w:rsidRPr="00F35424">
        <w:rPr>
          <w:b/>
          <w:bCs/>
          <w:i/>
          <w:iCs/>
          <w:sz w:val="18"/>
          <w:szCs w:val="18"/>
        </w:rPr>
        <w:t xml:space="preserve">Preglednica 11: </w:t>
      </w:r>
      <w:r>
        <w:rPr>
          <w:b/>
          <w:bCs/>
          <w:i/>
          <w:iCs/>
          <w:sz w:val="18"/>
          <w:szCs w:val="18"/>
        </w:rPr>
        <w:tab/>
      </w:r>
      <w:r w:rsidRPr="00F35424">
        <w:rPr>
          <w:b/>
          <w:bCs/>
          <w:i/>
          <w:iCs/>
          <w:sz w:val="18"/>
          <w:szCs w:val="18"/>
        </w:rPr>
        <w:t>Faze postopkov, v katerih so bile na dan 31. 12. 2021 zadeve, povezane s storitvijo kaznivega dejanja pranja denarja</w:t>
      </w:r>
    </w:p>
    <w:tbl>
      <w:tblPr>
        <w:tblStyle w:val="Tabelatemnamrea5poudarek5"/>
        <w:tblW w:w="8692" w:type="dxa"/>
        <w:tblLook w:val="04A0" w:firstRow="1" w:lastRow="0" w:firstColumn="1" w:lastColumn="0" w:noHBand="0" w:noVBand="1"/>
      </w:tblPr>
      <w:tblGrid>
        <w:gridCol w:w="3752"/>
        <w:gridCol w:w="872"/>
        <w:gridCol w:w="1023"/>
        <w:gridCol w:w="1023"/>
        <w:gridCol w:w="1023"/>
        <w:gridCol w:w="1023"/>
      </w:tblGrid>
      <w:tr w:rsidR="00A9101E" w:rsidRPr="00A9101E" w14:paraId="621F3346" w14:textId="77777777" w:rsidTr="00366EF9">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752" w:type="dxa"/>
            <w:hideMark/>
          </w:tcPr>
          <w:p w14:paraId="08D5953B" w14:textId="77777777" w:rsidR="00C741C5" w:rsidRPr="00A9101E" w:rsidRDefault="00C741C5" w:rsidP="00F569C7">
            <w:pPr>
              <w:spacing w:line="360" w:lineRule="auto"/>
              <w:jc w:val="center"/>
              <w:rPr>
                <w:b w:val="0"/>
                <w:bCs w:val="0"/>
                <w:color w:val="auto"/>
                <w:lang w:eastAsia="sl-SI"/>
              </w:rPr>
            </w:pPr>
            <w:r w:rsidRPr="00A9101E">
              <w:rPr>
                <w:color w:val="auto"/>
                <w:lang w:eastAsia="sl-SI"/>
              </w:rPr>
              <w:t>FAZE POSTOPKOV</w:t>
            </w:r>
          </w:p>
        </w:tc>
        <w:tc>
          <w:tcPr>
            <w:tcW w:w="848" w:type="dxa"/>
            <w:hideMark/>
          </w:tcPr>
          <w:p w14:paraId="04CAA5C5" w14:textId="77777777" w:rsidR="00C741C5" w:rsidRPr="00A9101E" w:rsidRDefault="00C741C5" w:rsidP="00F569C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auto"/>
                <w:lang w:eastAsia="sl-SI"/>
              </w:rPr>
            </w:pPr>
            <w:r w:rsidRPr="00A9101E">
              <w:rPr>
                <w:color w:val="auto"/>
                <w:lang w:eastAsia="sl-SI"/>
              </w:rPr>
              <w:t>Število zadev</w:t>
            </w:r>
          </w:p>
        </w:tc>
        <w:tc>
          <w:tcPr>
            <w:tcW w:w="1023" w:type="dxa"/>
            <w:hideMark/>
          </w:tcPr>
          <w:p w14:paraId="6D4625EB" w14:textId="77777777" w:rsidR="00C741C5" w:rsidRPr="00A9101E" w:rsidRDefault="00C741C5" w:rsidP="00F569C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auto"/>
                <w:lang w:eastAsia="sl-SI"/>
              </w:rPr>
            </w:pPr>
            <w:r w:rsidRPr="00A9101E">
              <w:rPr>
                <w:color w:val="auto"/>
                <w:lang w:eastAsia="sl-SI"/>
              </w:rPr>
              <w:t>Domače FO</w:t>
            </w:r>
          </w:p>
        </w:tc>
        <w:tc>
          <w:tcPr>
            <w:tcW w:w="1023" w:type="dxa"/>
            <w:hideMark/>
          </w:tcPr>
          <w:p w14:paraId="3729A0C8" w14:textId="77777777" w:rsidR="00C741C5" w:rsidRPr="00A9101E" w:rsidRDefault="00C741C5" w:rsidP="00F569C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auto"/>
                <w:lang w:eastAsia="sl-SI"/>
              </w:rPr>
            </w:pPr>
            <w:r w:rsidRPr="00A9101E">
              <w:rPr>
                <w:color w:val="auto"/>
                <w:lang w:eastAsia="sl-SI"/>
              </w:rPr>
              <w:t>Tuje    FO</w:t>
            </w:r>
          </w:p>
        </w:tc>
        <w:tc>
          <w:tcPr>
            <w:tcW w:w="1023" w:type="dxa"/>
            <w:hideMark/>
          </w:tcPr>
          <w:p w14:paraId="5309EE99" w14:textId="77777777" w:rsidR="00C741C5" w:rsidRPr="00A9101E" w:rsidRDefault="00C741C5" w:rsidP="00F569C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auto"/>
                <w:lang w:eastAsia="sl-SI"/>
              </w:rPr>
            </w:pPr>
            <w:r w:rsidRPr="00A9101E">
              <w:rPr>
                <w:color w:val="auto"/>
                <w:lang w:eastAsia="sl-SI"/>
              </w:rPr>
              <w:t>Domače PO</w:t>
            </w:r>
          </w:p>
        </w:tc>
        <w:tc>
          <w:tcPr>
            <w:tcW w:w="1023" w:type="dxa"/>
            <w:hideMark/>
          </w:tcPr>
          <w:p w14:paraId="3F134A89" w14:textId="77777777" w:rsidR="00C741C5" w:rsidRPr="00A9101E" w:rsidRDefault="00C741C5" w:rsidP="00F569C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auto"/>
                <w:lang w:eastAsia="sl-SI"/>
              </w:rPr>
            </w:pPr>
            <w:r w:rsidRPr="00A9101E">
              <w:rPr>
                <w:color w:val="auto"/>
                <w:lang w:eastAsia="sl-SI"/>
              </w:rPr>
              <w:t>Tuje     PO</w:t>
            </w:r>
          </w:p>
        </w:tc>
      </w:tr>
      <w:tr w:rsidR="00A9101E" w:rsidRPr="00A9101E" w14:paraId="6B049BF7" w14:textId="77777777" w:rsidTr="00366EF9">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752" w:type="dxa"/>
            <w:noWrap/>
            <w:hideMark/>
          </w:tcPr>
          <w:p w14:paraId="61FEE589" w14:textId="77777777" w:rsidR="00C741C5" w:rsidRPr="00A9101E" w:rsidRDefault="00C741C5" w:rsidP="00F569C7">
            <w:pPr>
              <w:spacing w:line="360" w:lineRule="auto"/>
              <w:jc w:val="left"/>
              <w:rPr>
                <w:color w:val="auto"/>
                <w:sz w:val="18"/>
                <w:szCs w:val="18"/>
                <w:lang w:eastAsia="sl-SI"/>
              </w:rPr>
            </w:pPr>
            <w:r w:rsidRPr="00A9101E">
              <w:rPr>
                <w:color w:val="auto"/>
                <w:sz w:val="18"/>
                <w:szCs w:val="18"/>
                <w:lang w:eastAsia="sl-SI"/>
              </w:rPr>
              <w:t>Tožilstvo: Še ni odločitve</w:t>
            </w:r>
          </w:p>
        </w:tc>
        <w:tc>
          <w:tcPr>
            <w:tcW w:w="848" w:type="dxa"/>
            <w:noWrap/>
            <w:hideMark/>
          </w:tcPr>
          <w:p w14:paraId="0AB8A232" w14:textId="77777777" w:rsidR="00C741C5" w:rsidRPr="00A9101E" w:rsidRDefault="00C741C5" w:rsidP="00F569C7">
            <w:pPr>
              <w:spacing w:line="360" w:lineRule="auto"/>
              <w:jc w:val="righ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177</w:t>
            </w:r>
          </w:p>
        </w:tc>
        <w:tc>
          <w:tcPr>
            <w:tcW w:w="1023" w:type="dxa"/>
            <w:noWrap/>
            <w:hideMark/>
          </w:tcPr>
          <w:p w14:paraId="68332171" w14:textId="77777777" w:rsidR="00C741C5" w:rsidRPr="00A9101E" w:rsidRDefault="00C741C5" w:rsidP="00F569C7">
            <w:pPr>
              <w:spacing w:line="360" w:lineRule="auto"/>
              <w:jc w:val="righ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184</w:t>
            </w:r>
          </w:p>
        </w:tc>
        <w:tc>
          <w:tcPr>
            <w:tcW w:w="1023" w:type="dxa"/>
            <w:noWrap/>
            <w:hideMark/>
          </w:tcPr>
          <w:p w14:paraId="0C96DE9F" w14:textId="77777777" w:rsidR="00C741C5" w:rsidRPr="00A9101E" w:rsidRDefault="00C741C5" w:rsidP="00F569C7">
            <w:pPr>
              <w:spacing w:line="360" w:lineRule="auto"/>
              <w:jc w:val="righ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132</w:t>
            </w:r>
          </w:p>
        </w:tc>
        <w:tc>
          <w:tcPr>
            <w:tcW w:w="1023" w:type="dxa"/>
            <w:noWrap/>
            <w:hideMark/>
          </w:tcPr>
          <w:p w14:paraId="12E722D3" w14:textId="77777777" w:rsidR="00C741C5" w:rsidRPr="00A9101E" w:rsidRDefault="00C741C5" w:rsidP="00F569C7">
            <w:pPr>
              <w:spacing w:line="360" w:lineRule="auto"/>
              <w:jc w:val="righ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51</w:t>
            </w:r>
          </w:p>
        </w:tc>
        <w:tc>
          <w:tcPr>
            <w:tcW w:w="1023" w:type="dxa"/>
            <w:noWrap/>
            <w:hideMark/>
          </w:tcPr>
          <w:p w14:paraId="482FC0CF" w14:textId="77777777" w:rsidR="00C741C5" w:rsidRPr="00A9101E" w:rsidRDefault="00C741C5" w:rsidP="00F569C7">
            <w:pPr>
              <w:spacing w:line="360" w:lineRule="auto"/>
              <w:jc w:val="righ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18</w:t>
            </w:r>
          </w:p>
        </w:tc>
      </w:tr>
      <w:tr w:rsidR="00A9101E" w:rsidRPr="00A9101E" w14:paraId="7048E048" w14:textId="77777777" w:rsidTr="00366EF9">
        <w:trPr>
          <w:trHeight w:val="348"/>
        </w:trPr>
        <w:tc>
          <w:tcPr>
            <w:cnfStyle w:val="001000000000" w:firstRow="0" w:lastRow="0" w:firstColumn="1" w:lastColumn="0" w:oddVBand="0" w:evenVBand="0" w:oddHBand="0" w:evenHBand="0" w:firstRowFirstColumn="0" w:firstRowLastColumn="0" w:lastRowFirstColumn="0" w:lastRowLastColumn="0"/>
            <w:tcW w:w="3752" w:type="dxa"/>
            <w:noWrap/>
            <w:hideMark/>
          </w:tcPr>
          <w:p w14:paraId="2AE0399C" w14:textId="77777777" w:rsidR="00C741C5" w:rsidRPr="00A9101E" w:rsidRDefault="00C741C5" w:rsidP="00F569C7">
            <w:pPr>
              <w:spacing w:line="360" w:lineRule="auto"/>
              <w:jc w:val="left"/>
              <w:rPr>
                <w:color w:val="auto"/>
                <w:sz w:val="18"/>
                <w:szCs w:val="18"/>
                <w:lang w:eastAsia="sl-SI"/>
              </w:rPr>
            </w:pPr>
            <w:r w:rsidRPr="00A9101E">
              <w:rPr>
                <w:color w:val="auto"/>
                <w:sz w:val="18"/>
                <w:szCs w:val="18"/>
                <w:lang w:eastAsia="sl-SI"/>
              </w:rPr>
              <w:t>Tožilstvo: Ovadba zavržena</w:t>
            </w:r>
          </w:p>
        </w:tc>
        <w:tc>
          <w:tcPr>
            <w:tcW w:w="848" w:type="dxa"/>
            <w:noWrap/>
            <w:hideMark/>
          </w:tcPr>
          <w:p w14:paraId="770ED848"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127</w:t>
            </w:r>
          </w:p>
        </w:tc>
        <w:tc>
          <w:tcPr>
            <w:tcW w:w="1023" w:type="dxa"/>
            <w:noWrap/>
            <w:hideMark/>
          </w:tcPr>
          <w:p w14:paraId="0F8C2E5B"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176</w:t>
            </w:r>
          </w:p>
        </w:tc>
        <w:tc>
          <w:tcPr>
            <w:tcW w:w="1023" w:type="dxa"/>
            <w:noWrap/>
            <w:hideMark/>
          </w:tcPr>
          <w:p w14:paraId="0FDB17A1"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79</w:t>
            </w:r>
          </w:p>
        </w:tc>
        <w:tc>
          <w:tcPr>
            <w:tcW w:w="1023" w:type="dxa"/>
            <w:noWrap/>
            <w:hideMark/>
          </w:tcPr>
          <w:p w14:paraId="6326224D"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43</w:t>
            </w:r>
          </w:p>
        </w:tc>
        <w:tc>
          <w:tcPr>
            <w:tcW w:w="1023" w:type="dxa"/>
            <w:noWrap/>
            <w:hideMark/>
          </w:tcPr>
          <w:p w14:paraId="48FEC142"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10</w:t>
            </w:r>
          </w:p>
        </w:tc>
      </w:tr>
      <w:tr w:rsidR="00A9101E" w:rsidRPr="00A9101E" w14:paraId="1CCF31D9" w14:textId="77777777" w:rsidTr="00366EF9">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752" w:type="dxa"/>
            <w:noWrap/>
            <w:hideMark/>
          </w:tcPr>
          <w:p w14:paraId="36D12C28" w14:textId="77777777" w:rsidR="00C741C5" w:rsidRPr="00A9101E" w:rsidRDefault="00C741C5" w:rsidP="00F569C7">
            <w:pPr>
              <w:spacing w:line="360" w:lineRule="auto"/>
              <w:jc w:val="left"/>
              <w:rPr>
                <w:color w:val="auto"/>
                <w:sz w:val="18"/>
                <w:szCs w:val="18"/>
                <w:lang w:eastAsia="sl-SI"/>
              </w:rPr>
            </w:pPr>
            <w:r w:rsidRPr="00A9101E">
              <w:rPr>
                <w:color w:val="auto"/>
                <w:sz w:val="18"/>
                <w:szCs w:val="18"/>
                <w:lang w:eastAsia="sl-SI"/>
              </w:rPr>
              <w:t>Tožilstvo: Odložen pregon</w:t>
            </w:r>
          </w:p>
        </w:tc>
        <w:tc>
          <w:tcPr>
            <w:tcW w:w="848" w:type="dxa"/>
            <w:noWrap/>
            <w:hideMark/>
          </w:tcPr>
          <w:p w14:paraId="1197DA11" w14:textId="77777777" w:rsidR="00C741C5" w:rsidRPr="00A9101E" w:rsidRDefault="00C741C5" w:rsidP="00F569C7">
            <w:pPr>
              <w:spacing w:line="360" w:lineRule="auto"/>
              <w:jc w:val="righ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1</w:t>
            </w:r>
          </w:p>
        </w:tc>
        <w:tc>
          <w:tcPr>
            <w:tcW w:w="1023" w:type="dxa"/>
            <w:noWrap/>
            <w:hideMark/>
          </w:tcPr>
          <w:p w14:paraId="0995885C" w14:textId="77777777" w:rsidR="00C741C5" w:rsidRPr="00A9101E" w:rsidRDefault="00C741C5" w:rsidP="00F569C7">
            <w:pPr>
              <w:spacing w:line="360" w:lineRule="auto"/>
              <w:jc w:val="righ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1</w:t>
            </w:r>
          </w:p>
        </w:tc>
        <w:tc>
          <w:tcPr>
            <w:tcW w:w="1023" w:type="dxa"/>
            <w:noWrap/>
            <w:hideMark/>
          </w:tcPr>
          <w:p w14:paraId="489CDE27" w14:textId="743CC24A" w:rsidR="00C741C5" w:rsidRPr="00A9101E" w:rsidRDefault="00EB5CFB" w:rsidP="00F569C7">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lang w:eastAsia="sl-SI"/>
              </w:rPr>
            </w:pPr>
            <w:r w:rsidRPr="00A9101E">
              <w:rPr>
                <w:rFonts w:cs="Times New Roman"/>
                <w:lang w:eastAsia="sl-SI"/>
              </w:rPr>
              <w:t>0</w:t>
            </w:r>
            <w:r w:rsidR="00C741C5" w:rsidRPr="00A9101E">
              <w:rPr>
                <w:rFonts w:cs="Times New Roman"/>
                <w:lang w:eastAsia="sl-SI"/>
              </w:rPr>
              <w:t> </w:t>
            </w:r>
          </w:p>
        </w:tc>
        <w:tc>
          <w:tcPr>
            <w:tcW w:w="1023" w:type="dxa"/>
            <w:noWrap/>
            <w:hideMark/>
          </w:tcPr>
          <w:p w14:paraId="450368DE" w14:textId="59F698BA" w:rsidR="00C741C5" w:rsidRPr="00A9101E" w:rsidRDefault="00EB5CFB" w:rsidP="00F569C7">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lang w:eastAsia="sl-SI"/>
              </w:rPr>
            </w:pPr>
            <w:r w:rsidRPr="00A9101E">
              <w:rPr>
                <w:rFonts w:cs="Times New Roman"/>
                <w:lang w:eastAsia="sl-SI"/>
              </w:rPr>
              <w:t>0</w:t>
            </w:r>
            <w:r w:rsidR="00C741C5" w:rsidRPr="00A9101E">
              <w:rPr>
                <w:rFonts w:cs="Times New Roman"/>
                <w:lang w:eastAsia="sl-SI"/>
              </w:rPr>
              <w:t> </w:t>
            </w:r>
          </w:p>
        </w:tc>
        <w:tc>
          <w:tcPr>
            <w:tcW w:w="1023" w:type="dxa"/>
            <w:noWrap/>
            <w:hideMark/>
          </w:tcPr>
          <w:p w14:paraId="2EDAD94D" w14:textId="644DFD8C" w:rsidR="00C741C5" w:rsidRPr="00A9101E" w:rsidRDefault="00EB5CFB" w:rsidP="00F569C7">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lang w:eastAsia="sl-SI"/>
              </w:rPr>
            </w:pPr>
            <w:r w:rsidRPr="00A9101E">
              <w:rPr>
                <w:rFonts w:cs="Times New Roman"/>
                <w:lang w:eastAsia="sl-SI"/>
              </w:rPr>
              <w:t>0</w:t>
            </w:r>
            <w:r w:rsidR="00C741C5" w:rsidRPr="00A9101E">
              <w:rPr>
                <w:rFonts w:cs="Times New Roman"/>
                <w:lang w:eastAsia="sl-SI"/>
              </w:rPr>
              <w:t> </w:t>
            </w:r>
          </w:p>
        </w:tc>
      </w:tr>
      <w:tr w:rsidR="00A9101E" w:rsidRPr="00A9101E" w14:paraId="1CC6349F" w14:textId="77777777" w:rsidTr="00366EF9">
        <w:trPr>
          <w:trHeight w:val="348"/>
        </w:trPr>
        <w:tc>
          <w:tcPr>
            <w:cnfStyle w:val="001000000000" w:firstRow="0" w:lastRow="0" w:firstColumn="1" w:lastColumn="0" w:oddVBand="0" w:evenVBand="0" w:oddHBand="0" w:evenHBand="0" w:firstRowFirstColumn="0" w:firstRowLastColumn="0" w:lastRowFirstColumn="0" w:lastRowLastColumn="0"/>
            <w:tcW w:w="3752" w:type="dxa"/>
            <w:noWrap/>
            <w:hideMark/>
          </w:tcPr>
          <w:p w14:paraId="53B80143" w14:textId="77777777" w:rsidR="00C741C5" w:rsidRPr="00A9101E" w:rsidRDefault="00C741C5" w:rsidP="00F569C7">
            <w:pPr>
              <w:spacing w:line="360" w:lineRule="auto"/>
              <w:jc w:val="left"/>
              <w:rPr>
                <w:color w:val="auto"/>
                <w:sz w:val="18"/>
                <w:szCs w:val="18"/>
                <w:lang w:eastAsia="sl-SI"/>
              </w:rPr>
            </w:pPr>
            <w:r w:rsidRPr="00A9101E">
              <w:rPr>
                <w:color w:val="auto"/>
                <w:sz w:val="18"/>
                <w:szCs w:val="18"/>
                <w:lang w:eastAsia="sl-SI"/>
              </w:rPr>
              <w:t>Tožilstvo: Zahteva za preiskavo</w:t>
            </w:r>
          </w:p>
        </w:tc>
        <w:tc>
          <w:tcPr>
            <w:tcW w:w="848" w:type="dxa"/>
            <w:noWrap/>
            <w:hideMark/>
          </w:tcPr>
          <w:p w14:paraId="5515405B"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48</w:t>
            </w:r>
          </w:p>
        </w:tc>
        <w:tc>
          <w:tcPr>
            <w:tcW w:w="1023" w:type="dxa"/>
            <w:noWrap/>
            <w:hideMark/>
          </w:tcPr>
          <w:p w14:paraId="2B52B4CF"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109</w:t>
            </w:r>
          </w:p>
        </w:tc>
        <w:tc>
          <w:tcPr>
            <w:tcW w:w="1023" w:type="dxa"/>
            <w:noWrap/>
            <w:hideMark/>
          </w:tcPr>
          <w:p w14:paraId="1EEF2332"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20</w:t>
            </w:r>
          </w:p>
        </w:tc>
        <w:tc>
          <w:tcPr>
            <w:tcW w:w="1023" w:type="dxa"/>
            <w:noWrap/>
            <w:hideMark/>
          </w:tcPr>
          <w:p w14:paraId="5725FF44"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2</w:t>
            </w:r>
          </w:p>
        </w:tc>
        <w:tc>
          <w:tcPr>
            <w:tcW w:w="1023" w:type="dxa"/>
            <w:noWrap/>
            <w:hideMark/>
          </w:tcPr>
          <w:p w14:paraId="67BEC631"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1</w:t>
            </w:r>
          </w:p>
        </w:tc>
      </w:tr>
      <w:tr w:rsidR="00A9101E" w:rsidRPr="00A9101E" w14:paraId="0FBA5BB3" w14:textId="77777777" w:rsidTr="00366EF9">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752" w:type="dxa"/>
            <w:noWrap/>
            <w:hideMark/>
          </w:tcPr>
          <w:p w14:paraId="7ADD8409" w14:textId="77777777" w:rsidR="00C741C5" w:rsidRPr="00A9101E" w:rsidRDefault="00C741C5" w:rsidP="00F569C7">
            <w:pPr>
              <w:spacing w:line="360" w:lineRule="auto"/>
              <w:jc w:val="left"/>
              <w:rPr>
                <w:color w:val="auto"/>
                <w:sz w:val="18"/>
                <w:szCs w:val="18"/>
                <w:lang w:eastAsia="sl-SI"/>
              </w:rPr>
            </w:pPr>
            <w:r w:rsidRPr="00A9101E">
              <w:rPr>
                <w:color w:val="auto"/>
                <w:sz w:val="18"/>
                <w:szCs w:val="18"/>
                <w:lang w:eastAsia="sl-SI"/>
              </w:rPr>
              <w:t>Preiskovalni sodnik: Preiskava uvedena</w:t>
            </w:r>
          </w:p>
        </w:tc>
        <w:tc>
          <w:tcPr>
            <w:tcW w:w="848" w:type="dxa"/>
            <w:noWrap/>
            <w:hideMark/>
          </w:tcPr>
          <w:p w14:paraId="1F1F4A07" w14:textId="77777777" w:rsidR="00C741C5" w:rsidRPr="00A9101E" w:rsidRDefault="00C741C5" w:rsidP="00F569C7">
            <w:pPr>
              <w:spacing w:line="360" w:lineRule="auto"/>
              <w:jc w:val="righ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30</w:t>
            </w:r>
          </w:p>
        </w:tc>
        <w:tc>
          <w:tcPr>
            <w:tcW w:w="1023" w:type="dxa"/>
            <w:noWrap/>
            <w:hideMark/>
          </w:tcPr>
          <w:p w14:paraId="0E67B2A8" w14:textId="77777777" w:rsidR="00C741C5" w:rsidRPr="00A9101E" w:rsidRDefault="00C741C5" w:rsidP="00F569C7">
            <w:pPr>
              <w:spacing w:line="360" w:lineRule="auto"/>
              <w:jc w:val="righ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63</w:t>
            </w:r>
          </w:p>
        </w:tc>
        <w:tc>
          <w:tcPr>
            <w:tcW w:w="1023" w:type="dxa"/>
            <w:noWrap/>
            <w:hideMark/>
          </w:tcPr>
          <w:p w14:paraId="3B3D8EC7" w14:textId="77777777" w:rsidR="00C741C5" w:rsidRPr="00A9101E" w:rsidRDefault="00C741C5" w:rsidP="00F569C7">
            <w:pPr>
              <w:spacing w:line="360" w:lineRule="auto"/>
              <w:jc w:val="righ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4</w:t>
            </w:r>
          </w:p>
        </w:tc>
        <w:tc>
          <w:tcPr>
            <w:tcW w:w="1023" w:type="dxa"/>
            <w:noWrap/>
            <w:hideMark/>
          </w:tcPr>
          <w:p w14:paraId="439B4787" w14:textId="77777777" w:rsidR="00C741C5" w:rsidRPr="00A9101E" w:rsidRDefault="00C741C5" w:rsidP="00F569C7">
            <w:pPr>
              <w:spacing w:line="360" w:lineRule="auto"/>
              <w:jc w:val="righ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11</w:t>
            </w:r>
          </w:p>
        </w:tc>
        <w:tc>
          <w:tcPr>
            <w:tcW w:w="1023" w:type="dxa"/>
            <w:noWrap/>
            <w:hideMark/>
          </w:tcPr>
          <w:p w14:paraId="3713DAB6" w14:textId="77777777" w:rsidR="00C741C5" w:rsidRPr="00A9101E" w:rsidRDefault="00C741C5" w:rsidP="00F569C7">
            <w:pPr>
              <w:spacing w:line="360" w:lineRule="auto"/>
              <w:jc w:val="righ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1</w:t>
            </w:r>
          </w:p>
        </w:tc>
      </w:tr>
      <w:tr w:rsidR="00A9101E" w:rsidRPr="00A9101E" w14:paraId="7F9D08BE" w14:textId="77777777" w:rsidTr="00366EF9">
        <w:trPr>
          <w:trHeight w:val="348"/>
        </w:trPr>
        <w:tc>
          <w:tcPr>
            <w:cnfStyle w:val="001000000000" w:firstRow="0" w:lastRow="0" w:firstColumn="1" w:lastColumn="0" w:oddVBand="0" w:evenVBand="0" w:oddHBand="0" w:evenHBand="0" w:firstRowFirstColumn="0" w:firstRowLastColumn="0" w:lastRowFirstColumn="0" w:lastRowLastColumn="0"/>
            <w:tcW w:w="3752" w:type="dxa"/>
            <w:noWrap/>
            <w:hideMark/>
          </w:tcPr>
          <w:p w14:paraId="7B5CA4DC" w14:textId="77777777" w:rsidR="00C741C5" w:rsidRPr="00A9101E" w:rsidRDefault="00C741C5" w:rsidP="00F569C7">
            <w:pPr>
              <w:spacing w:line="360" w:lineRule="auto"/>
              <w:jc w:val="left"/>
              <w:rPr>
                <w:color w:val="auto"/>
                <w:sz w:val="18"/>
                <w:szCs w:val="18"/>
                <w:lang w:eastAsia="sl-SI"/>
              </w:rPr>
            </w:pPr>
            <w:r w:rsidRPr="00A9101E">
              <w:rPr>
                <w:color w:val="auto"/>
                <w:sz w:val="18"/>
                <w:szCs w:val="18"/>
                <w:lang w:eastAsia="sl-SI"/>
              </w:rPr>
              <w:t>Sodišče: Obtožnica</w:t>
            </w:r>
          </w:p>
        </w:tc>
        <w:tc>
          <w:tcPr>
            <w:tcW w:w="848" w:type="dxa"/>
            <w:noWrap/>
            <w:hideMark/>
          </w:tcPr>
          <w:p w14:paraId="2C2D8D06"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112</w:t>
            </w:r>
          </w:p>
        </w:tc>
        <w:tc>
          <w:tcPr>
            <w:tcW w:w="1023" w:type="dxa"/>
            <w:noWrap/>
            <w:hideMark/>
          </w:tcPr>
          <w:p w14:paraId="6A87F7D1"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192</w:t>
            </w:r>
          </w:p>
        </w:tc>
        <w:tc>
          <w:tcPr>
            <w:tcW w:w="1023" w:type="dxa"/>
            <w:noWrap/>
            <w:hideMark/>
          </w:tcPr>
          <w:p w14:paraId="7D3B088E"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25</w:t>
            </w:r>
          </w:p>
        </w:tc>
        <w:tc>
          <w:tcPr>
            <w:tcW w:w="1023" w:type="dxa"/>
            <w:noWrap/>
            <w:hideMark/>
          </w:tcPr>
          <w:p w14:paraId="5CC4248C"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15</w:t>
            </w:r>
          </w:p>
        </w:tc>
        <w:tc>
          <w:tcPr>
            <w:tcW w:w="1023" w:type="dxa"/>
            <w:noWrap/>
            <w:hideMark/>
          </w:tcPr>
          <w:p w14:paraId="6BBAFD87"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7</w:t>
            </w:r>
          </w:p>
        </w:tc>
      </w:tr>
      <w:tr w:rsidR="00A9101E" w:rsidRPr="00A9101E" w14:paraId="3370F3B4" w14:textId="77777777" w:rsidTr="00366EF9">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752" w:type="dxa"/>
            <w:noWrap/>
            <w:hideMark/>
          </w:tcPr>
          <w:p w14:paraId="46656605" w14:textId="77777777" w:rsidR="00C741C5" w:rsidRPr="00A9101E" w:rsidRDefault="00C741C5" w:rsidP="00F569C7">
            <w:pPr>
              <w:spacing w:line="360" w:lineRule="auto"/>
              <w:jc w:val="left"/>
              <w:rPr>
                <w:color w:val="auto"/>
                <w:sz w:val="18"/>
                <w:szCs w:val="18"/>
                <w:lang w:eastAsia="sl-SI"/>
              </w:rPr>
            </w:pPr>
            <w:r w:rsidRPr="00A9101E">
              <w:rPr>
                <w:color w:val="auto"/>
                <w:sz w:val="18"/>
                <w:szCs w:val="18"/>
                <w:lang w:eastAsia="sl-SI"/>
              </w:rPr>
              <w:t>Sodišče: Obsodilna sodba</w:t>
            </w:r>
          </w:p>
        </w:tc>
        <w:tc>
          <w:tcPr>
            <w:tcW w:w="848" w:type="dxa"/>
            <w:noWrap/>
            <w:hideMark/>
          </w:tcPr>
          <w:p w14:paraId="3B07B78A" w14:textId="77777777" w:rsidR="00C741C5" w:rsidRPr="00A9101E" w:rsidRDefault="00C741C5" w:rsidP="00F569C7">
            <w:pPr>
              <w:spacing w:line="360" w:lineRule="auto"/>
              <w:jc w:val="righ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112</w:t>
            </w:r>
          </w:p>
        </w:tc>
        <w:tc>
          <w:tcPr>
            <w:tcW w:w="1023" w:type="dxa"/>
            <w:noWrap/>
            <w:hideMark/>
          </w:tcPr>
          <w:p w14:paraId="32190E4A" w14:textId="77777777" w:rsidR="00C741C5" w:rsidRPr="00A9101E" w:rsidRDefault="00C741C5" w:rsidP="00F569C7">
            <w:pPr>
              <w:spacing w:line="360" w:lineRule="auto"/>
              <w:jc w:val="righ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139</w:t>
            </w:r>
          </w:p>
        </w:tc>
        <w:tc>
          <w:tcPr>
            <w:tcW w:w="1023" w:type="dxa"/>
            <w:noWrap/>
            <w:hideMark/>
          </w:tcPr>
          <w:p w14:paraId="0645E89B" w14:textId="77777777" w:rsidR="00C741C5" w:rsidRPr="00A9101E" w:rsidRDefault="00C741C5" w:rsidP="00F569C7">
            <w:pPr>
              <w:spacing w:line="360" w:lineRule="auto"/>
              <w:jc w:val="righ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24</w:t>
            </w:r>
          </w:p>
        </w:tc>
        <w:tc>
          <w:tcPr>
            <w:tcW w:w="1023" w:type="dxa"/>
            <w:noWrap/>
            <w:hideMark/>
          </w:tcPr>
          <w:p w14:paraId="42F92CDE" w14:textId="77777777" w:rsidR="00C741C5" w:rsidRPr="00A9101E" w:rsidRDefault="00C741C5" w:rsidP="00F569C7">
            <w:pPr>
              <w:spacing w:line="360" w:lineRule="auto"/>
              <w:jc w:val="righ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7</w:t>
            </w:r>
          </w:p>
        </w:tc>
        <w:tc>
          <w:tcPr>
            <w:tcW w:w="1023" w:type="dxa"/>
            <w:noWrap/>
            <w:hideMark/>
          </w:tcPr>
          <w:p w14:paraId="6C3B2114" w14:textId="1F04C5DE" w:rsidR="00C741C5" w:rsidRPr="00A9101E" w:rsidRDefault="00EB5CFB" w:rsidP="00F569C7">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lang w:eastAsia="sl-SI"/>
              </w:rPr>
            </w:pPr>
            <w:r w:rsidRPr="00A9101E">
              <w:rPr>
                <w:rFonts w:cs="Times New Roman"/>
                <w:lang w:eastAsia="sl-SI"/>
              </w:rPr>
              <w:t>0</w:t>
            </w:r>
            <w:r w:rsidR="00C741C5" w:rsidRPr="00A9101E">
              <w:rPr>
                <w:rFonts w:cs="Times New Roman"/>
                <w:lang w:eastAsia="sl-SI"/>
              </w:rPr>
              <w:t> </w:t>
            </w:r>
          </w:p>
        </w:tc>
      </w:tr>
      <w:tr w:rsidR="00A9101E" w:rsidRPr="00A9101E" w14:paraId="0F69B3D6" w14:textId="77777777" w:rsidTr="00366EF9">
        <w:trPr>
          <w:trHeight w:val="348"/>
        </w:trPr>
        <w:tc>
          <w:tcPr>
            <w:cnfStyle w:val="001000000000" w:firstRow="0" w:lastRow="0" w:firstColumn="1" w:lastColumn="0" w:oddVBand="0" w:evenVBand="0" w:oddHBand="0" w:evenHBand="0" w:firstRowFirstColumn="0" w:firstRowLastColumn="0" w:lastRowFirstColumn="0" w:lastRowLastColumn="0"/>
            <w:tcW w:w="3752" w:type="dxa"/>
            <w:noWrap/>
            <w:hideMark/>
          </w:tcPr>
          <w:p w14:paraId="0F42088D" w14:textId="77777777" w:rsidR="00C741C5" w:rsidRPr="00A9101E" w:rsidRDefault="00C741C5" w:rsidP="00F569C7">
            <w:pPr>
              <w:spacing w:line="360" w:lineRule="auto"/>
              <w:jc w:val="left"/>
              <w:rPr>
                <w:color w:val="auto"/>
                <w:sz w:val="18"/>
                <w:szCs w:val="18"/>
                <w:lang w:eastAsia="sl-SI"/>
              </w:rPr>
            </w:pPr>
            <w:r w:rsidRPr="00A9101E">
              <w:rPr>
                <w:color w:val="auto"/>
                <w:sz w:val="18"/>
                <w:szCs w:val="18"/>
                <w:lang w:eastAsia="sl-SI"/>
              </w:rPr>
              <w:t>Sodišče: Pravnomočna oprostilna sodba</w:t>
            </w:r>
          </w:p>
        </w:tc>
        <w:tc>
          <w:tcPr>
            <w:tcW w:w="848" w:type="dxa"/>
            <w:noWrap/>
            <w:hideMark/>
          </w:tcPr>
          <w:p w14:paraId="734EB9A0"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30</w:t>
            </w:r>
          </w:p>
        </w:tc>
        <w:tc>
          <w:tcPr>
            <w:tcW w:w="1023" w:type="dxa"/>
            <w:noWrap/>
            <w:hideMark/>
          </w:tcPr>
          <w:p w14:paraId="2E341601"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42</w:t>
            </w:r>
          </w:p>
        </w:tc>
        <w:tc>
          <w:tcPr>
            <w:tcW w:w="1023" w:type="dxa"/>
            <w:noWrap/>
            <w:hideMark/>
          </w:tcPr>
          <w:p w14:paraId="1F3CE6FA"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9</w:t>
            </w:r>
          </w:p>
        </w:tc>
        <w:tc>
          <w:tcPr>
            <w:tcW w:w="1023" w:type="dxa"/>
            <w:noWrap/>
            <w:hideMark/>
          </w:tcPr>
          <w:p w14:paraId="7E75CAA6"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7</w:t>
            </w:r>
          </w:p>
        </w:tc>
        <w:tc>
          <w:tcPr>
            <w:tcW w:w="1023" w:type="dxa"/>
            <w:noWrap/>
            <w:hideMark/>
          </w:tcPr>
          <w:p w14:paraId="07EC4D9A"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1</w:t>
            </w:r>
          </w:p>
        </w:tc>
      </w:tr>
      <w:tr w:rsidR="00A9101E" w:rsidRPr="00A9101E" w14:paraId="7FB4CF41" w14:textId="77777777" w:rsidTr="00366EF9">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752" w:type="dxa"/>
            <w:noWrap/>
            <w:hideMark/>
          </w:tcPr>
          <w:p w14:paraId="6524D6A2" w14:textId="77777777" w:rsidR="00C741C5" w:rsidRPr="00A9101E" w:rsidRDefault="00C741C5" w:rsidP="00F569C7">
            <w:pPr>
              <w:spacing w:line="360" w:lineRule="auto"/>
              <w:jc w:val="left"/>
              <w:rPr>
                <w:color w:val="auto"/>
                <w:sz w:val="18"/>
                <w:szCs w:val="18"/>
                <w:lang w:eastAsia="sl-SI"/>
              </w:rPr>
            </w:pPr>
            <w:r w:rsidRPr="00A9101E">
              <w:rPr>
                <w:color w:val="auto"/>
                <w:sz w:val="18"/>
                <w:szCs w:val="18"/>
                <w:lang w:eastAsia="sl-SI"/>
              </w:rPr>
              <w:t>Tožilstvo: Odstop od pregona</w:t>
            </w:r>
          </w:p>
        </w:tc>
        <w:tc>
          <w:tcPr>
            <w:tcW w:w="848" w:type="dxa"/>
            <w:noWrap/>
            <w:hideMark/>
          </w:tcPr>
          <w:p w14:paraId="514AE00A" w14:textId="77777777" w:rsidR="00C741C5" w:rsidRPr="00A9101E" w:rsidRDefault="00C741C5" w:rsidP="00F569C7">
            <w:pPr>
              <w:spacing w:line="360" w:lineRule="auto"/>
              <w:jc w:val="righ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47</w:t>
            </w:r>
          </w:p>
        </w:tc>
        <w:tc>
          <w:tcPr>
            <w:tcW w:w="1023" w:type="dxa"/>
            <w:noWrap/>
            <w:hideMark/>
          </w:tcPr>
          <w:p w14:paraId="4081BBA5" w14:textId="77777777" w:rsidR="00C741C5" w:rsidRPr="00A9101E" w:rsidRDefault="00C741C5" w:rsidP="00F569C7">
            <w:pPr>
              <w:spacing w:line="360" w:lineRule="auto"/>
              <w:jc w:val="righ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93</w:t>
            </w:r>
          </w:p>
        </w:tc>
        <w:tc>
          <w:tcPr>
            <w:tcW w:w="1023" w:type="dxa"/>
            <w:noWrap/>
            <w:hideMark/>
          </w:tcPr>
          <w:p w14:paraId="4C0884E1" w14:textId="77777777" w:rsidR="00C741C5" w:rsidRPr="00A9101E" w:rsidRDefault="00C741C5" w:rsidP="00F569C7">
            <w:pPr>
              <w:spacing w:line="360" w:lineRule="auto"/>
              <w:jc w:val="righ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13</w:t>
            </w:r>
          </w:p>
        </w:tc>
        <w:tc>
          <w:tcPr>
            <w:tcW w:w="1023" w:type="dxa"/>
            <w:noWrap/>
            <w:hideMark/>
          </w:tcPr>
          <w:p w14:paraId="7DDE80B4" w14:textId="77777777" w:rsidR="00C741C5" w:rsidRPr="00A9101E" w:rsidRDefault="00C741C5" w:rsidP="00F569C7">
            <w:pPr>
              <w:spacing w:line="360" w:lineRule="auto"/>
              <w:jc w:val="righ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4</w:t>
            </w:r>
          </w:p>
        </w:tc>
        <w:tc>
          <w:tcPr>
            <w:tcW w:w="1023" w:type="dxa"/>
            <w:noWrap/>
            <w:hideMark/>
          </w:tcPr>
          <w:p w14:paraId="5BFC78D8" w14:textId="15279F9B" w:rsidR="00C741C5" w:rsidRPr="00A9101E" w:rsidRDefault="00EB5CFB" w:rsidP="00F569C7">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lang w:eastAsia="sl-SI"/>
              </w:rPr>
            </w:pPr>
            <w:r w:rsidRPr="00A9101E">
              <w:rPr>
                <w:rFonts w:cs="Times New Roman"/>
                <w:lang w:eastAsia="sl-SI"/>
              </w:rPr>
              <w:t>0</w:t>
            </w:r>
            <w:r w:rsidR="00C741C5" w:rsidRPr="00A9101E">
              <w:rPr>
                <w:rFonts w:cs="Times New Roman"/>
                <w:lang w:eastAsia="sl-SI"/>
              </w:rPr>
              <w:t> </w:t>
            </w:r>
          </w:p>
        </w:tc>
      </w:tr>
      <w:tr w:rsidR="00A9101E" w:rsidRPr="00A9101E" w14:paraId="53B22FF6" w14:textId="77777777" w:rsidTr="00366EF9">
        <w:trPr>
          <w:trHeight w:val="348"/>
        </w:trPr>
        <w:tc>
          <w:tcPr>
            <w:cnfStyle w:val="001000000000" w:firstRow="0" w:lastRow="0" w:firstColumn="1" w:lastColumn="0" w:oddVBand="0" w:evenVBand="0" w:oddHBand="0" w:evenHBand="0" w:firstRowFirstColumn="0" w:firstRowLastColumn="0" w:lastRowFirstColumn="0" w:lastRowLastColumn="0"/>
            <w:tcW w:w="3752" w:type="dxa"/>
            <w:noWrap/>
            <w:hideMark/>
          </w:tcPr>
          <w:p w14:paraId="567FFA2E" w14:textId="77777777" w:rsidR="00C741C5" w:rsidRPr="00A9101E" w:rsidRDefault="00C741C5" w:rsidP="00F569C7">
            <w:pPr>
              <w:spacing w:line="360" w:lineRule="auto"/>
              <w:jc w:val="left"/>
              <w:rPr>
                <w:color w:val="auto"/>
                <w:sz w:val="18"/>
                <w:szCs w:val="18"/>
                <w:lang w:eastAsia="sl-SI"/>
              </w:rPr>
            </w:pPr>
            <w:r w:rsidRPr="00A9101E">
              <w:rPr>
                <w:color w:val="auto"/>
                <w:sz w:val="18"/>
                <w:szCs w:val="18"/>
                <w:lang w:eastAsia="sl-SI"/>
              </w:rPr>
              <w:t>Sodišče: Ustavitev kazenskega postopka</w:t>
            </w:r>
          </w:p>
        </w:tc>
        <w:tc>
          <w:tcPr>
            <w:tcW w:w="848" w:type="dxa"/>
            <w:noWrap/>
            <w:hideMark/>
          </w:tcPr>
          <w:p w14:paraId="06ADA370"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27</w:t>
            </w:r>
          </w:p>
        </w:tc>
        <w:tc>
          <w:tcPr>
            <w:tcW w:w="1023" w:type="dxa"/>
            <w:noWrap/>
            <w:hideMark/>
          </w:tcPr>
          <w:p w14:paraId="4E63A24E"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33</w:t>
            </w:r>
          </w:p>
        </w:tc>
        <w:tc>
          <w:tcPr>
            <w:tcW w:w="1023" w:type="dxa"/>
            <w:noWrap/>
            <w:hideMark/>
          </w:tcPr>
          <w:p w14:paraId="5F566107"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7</w:t>
            </w:r>
          </w:p>
        </w:tc>
        <w:tc>
          <w:tcPr>
            <w:tcW w:w="1023" w:type="dxa"/>
            <w:noWrap/>
            <w:hideMark/>
          </w:tcPr>
          <w:p w14:paraId="0FD52974"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2</w:t>
            </w:r>
          </w:p>
        </w:tc>
        <w:tc>
          <w:tcPr>
            <w:tcW w:w="1023" w:type="dxa"/>
            <w:noWrap/>
            <w:hideMark/>
          </w:tcPr>
          <w:p w14:paraId="7FA40DCB" w14:textId="2C22BB80" w:rsidR="00C741C5" w:rsidRPr="00A9101E" w:rsidRDefault="00EB5CFB" w:rsidP="00F569C7">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lang w:eastAsia="sl-SI"/>
              </w:rPr>
            </w:pPr>
            <w:r w:rsidRPr="00A9101E">
              <w:rPr>
                <w:rFonts w:cs="Times New Roman"/>
                <w:lang w:eastAsia="sl-SI"/>
              </w:rPr>
              <w:t>0</w:t>
            </w:r>
            <w:r w:rsidR="00C741C5" w:rsidRPr="00A9101E">
              <w:rPr>
                <w:rFonts w:cs="Times New Roman"/>
                <w:lang w:eastAsia="sl-SI"/>
              </w:rPr>
              <w:t> </w:t>
            </w:r>
          </w:p>
        </w:tc>
      </w:tr>
      <w:tr w:rsidR="00A9101E" w:rsidRPr="00A9101E" w14:paraId="32DFAD15" w14:textId="77777777" w:rsidTr="00366EF9">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752" w:type="dxa"/>
            <w:noWrap/>
            <w:hideMark/>
          </w:tcPr>
          <w:p w14:paraId="75E6DD16" w14:textId="77777777" w:rsidR="00C741C5" w:rsidRPr="00A9101E" w:rsidRDefault="00C741C5" w:rsidP="00F569C7">
            <w:pPr>
              <w:spacing w:line="360" w:lineRule="auto"/>
              <w:jc w:val="left"/>
              <w:rPr>
                <w:color w:val="auto"/>
                <w:sz w:val="18"/>
                <w:szCs w:val="18"/>
                <w:lang w:eastAsia="sl-SI"/>
              </w:rPr>
            </w:pPr>
            <w:r w:rsidRPr="00A9101E">
              <w:rPr>
                <w:color w:val="auto"/>
                <w:sz w:val="18"/>
                <w:szCs w:val="18"/>
                <w:lang w:eastAsia="sl-SI"/>
              </w:rPr>
              <w:t>Sodišče: Odstop pregona v tujino</w:t>
            </w:r>
          </w:p>
        </w:tc>
        <w:tc>
          <w:tcPr>
            <w:tcW w:w="848" w:type="dxa"/>
            <w:noWrap/>
            <w:hideMark/>
          </w:tcPr>
          <w:p w14:paraId="34BC8456" w14:textId="77777777" w:rsidR="00C741C5" w:rsidRPr="00A9101E" w:rsidRDefault="00C741C5" w:rsidP="00F569C7">
            <w:pPr>
              <w:spacing w:line="360" w:lineRule="auto"/>
              <w:jc w:val="righ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6</w:t>
            </w:r>
          </w:p>
        </w:tc>
        <w:tc>
          <w:tcPr>
            <w:tcW w:w="1023" w:type="dxa"/>
            <w:noWrap/>
            <w:hideMark/>
          </w:tcPr>
          <w:p w14:paraId="3F2DAE16" w14:textId="05E1E60F" w:rsidR="00C741C5" w:rsidRPr="00A9101E" w:rsidRDefault="00EB5CFB" w:rsidP="00F569C7">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lang w:eastAsia="sl-SI"/>
              </w:rPr>
            </w:pPr>
            <w:r w:rsidRPr="00A9101E">
              <w:rPr>
                <w:rFonts w:cs="Times New Roman"/>
                <w:lang w:eastAsia="sl-SI"/>
              </w:rPr>
              <w:t>0</w:t>
            </w:r>
            <w:r w:rsidR="00C741C5" w:rsidRPr="00A9101E">
              <w:rPr>
                <w:rFonts w:cs="Times New Roman"/>
                <w:lang w:eastAsia="sl-SI"/>
              </w:rPr>
              <w:t> </w:t>
            </w:r>
          </w:p>
        </w:tc>
        <w:tc>
          <w:tcPr>
            <w:tcW w:w="1023" w:type="dxa"/>
            <w:noWrap/>
            <w:hideMark/>
          </w:tcPr>
          <w:p w14:paraId="567C4979" w14:textId="77777777" w:rsidR="00C741C5" w:rsidRPr="00A9101E" w:rsidRDefault="00C741C5" w:rsidP="00F569C7">
            <w:pPr>
              <w:spacing w:line="360" w:lineRule="auto"/>
              <w:jc w:val="righ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8</w:t>
            </w:r>
          </w:p>
        </w:tc>
        <w:tc>
          <w:tcPr>
            <w:tcW w:w="1023" w:type="dxa"/>
            <w:noWrap/>
            <w:hideMark/>
          </w:tcPr>
          <w:p w14:paraId="791B8BBC" w14:textId="77777777" w:rsidR="00C741C5" w:rsidRPr="00A9101E" w:rsidRDefault="00C741C5" w:rsidP="00F569C7">
            <w:pPr>
              <w:spacing w:line="360" w:lineRule="auto"/>
              <w:jc w:val="righ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1</w:t>
            </w:r>
          </w:p>
        </w:tc>
        <w:tc>
          <w:tcPr>
            <w:tcW w:w="1023" w:type="dxa"/>
            <w:noWrap/>
            <w:hideMark/>
          </w:tcPr>
          <w:p w14:paraId="30CC90E7" w14:textId="4B7FEE33" w:rsidR="00C741C5" w:rsidRPr="00A9101E" w:rsidRDefault="00EB5CFB" w:rsidP="00F569C7">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lang w:eastAsia="sl-SI"/>
              </w:rPr>
            </w:pPr>
            <w:r w:rsidRPr="00A9101E">
              <w:rPr>
                <w:rFonts w:cs="Times New Roman"/>
                <w:lang w:eastAsia="sl-SI"/>
              </w:rPr>
              <w:t>0</w:t>
            </w:r>
            <w:r w:rsidR="00C741C5" w:rsidRPr="00A9101E">
              <w:rPr>
                <w:rFonts w:cs="Times New Roman"/>
                <w:lang w:eastAsia="sl-SI"/>
              </w:rPr>
              <w:t> </w:t>
            </w:r>
          </w:p>
        </w:tc>
      </w:tr>
      <w:tr w:rsidR="00A9101E" w:rsidRPr="00A9101E" w14:paraId="2623F5B2" w14:textId="77777777" w:rsidTr="00366EF9">
        <w:trPr>
          <w:trHeight w:val="348"/>
        </w:trPr>
        <w:tc>
          <w:tcPr>
            <w:cnfStyle w:val="001000000000" w:firstRow="0" w:lastRow="0" w:firstColumn="1" w:lastColumn="0" w:oddVBand="0" w:evenVBand="0" w:oddHBand="0" w:evenHBand="0" w:firstRowFirstColumn="0" w:firstRowLastColumn="0" w:lastRowFirstColumn="0" w:lastRowLastColumn="0"/>
            <w:tcW w:w="3752" w:type="dxa"/>
            <w:noWrap/>
            <w:hideMark/>
          </w:tcPr>
          <w:p w14:paraId="49FFDD30" w14:textId="77777777" w:rsidR="00C741C5" w:rsidRPr="00A9101E" w:rsidRDefault="00C741C5" w:rsidP="00F569C7">
            <w:pPr>
              <w:spacing w:line="360" w:lineRule="auto"/>
              <w:jc w:val="left"/>
              <w:rPr>
                <w:color w:val="auto"/>
                <w:sz w:val="18"/>
                <w:szCs w:val="18"/>
                <w:lang w:eastAsia="sl-SI"/>
              </w:rPr>
            </w:pPr>
            <w:r w:rsidRPr="00A9101E">
              <w:rPr>
                <w:color w:val="auto"/>
                <w:sz w:val="18"/>
                <w:szCs w:val="18"/>
                <w:lang w:eastAsia="sl-SI"/>
              </w:rPr>
              <w:t>Prekvalifikacija kaznivega dejanja</w:t>
            </w:r>
          </w:p>
        </w:tc>
        <w:tc>
          <w:tcPr>
            <w:tcW w:w="848" w:type="dxa"/>
            <w:noWrap/>
            <w:hideMark/>
          </w:tcPr>
          <w:p w14:paraId="77D55D1D"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5</w:t>
            </w:r>
          </w:p>
        </w:tc>
        <w:tc>
          <w:tcPr>
            <w:tcW w:w="1023" w:type="dxa"/>
            <w:noWrap/>
            <w:hideMark/>
          </w:tcPr>
          <w:p w14:paraId="4F622A34"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lang w:eastAsia="sl-SI"/>
              </w:rPr>
            </w:pPr>
            <w:r w:rsidRPr="00A9101E">
              <w:rPr>
                <w:lang w:eastAsia="sl-SI"/>
              </w:rPr>
              <w:t>11</w:t>
            </w:r>
          </w:p>
        </w:tc>
        <w:tc>
          <w:tcPr>
            <w:tcW w:w="1023" w:type="dxa"/>
            <w:noWrap/>
            <w:hideMark/>
          </w:tcPr>
          <w:p w14:paraId="03F9F2B9"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lang w:eastAsia="sl-SI"/>
              </w:rPr>
            </w:pPr>
            <w:r w:rsidRPr="00A9101E">
              <w:rPr>
                <w:rFonts w:cs="Times New Roman"/>
                <w:lang w:eastAsia="sl-SI"/>
              </w:rPr>
              <w:t> </w:t>
            </w:r>
          </w:p>
        </w:tc>
        <w:tc>
          <w:tcPr>
            <w:tcW w:w="1023" w:type="dxa"/>
            <w:noWrap/>
            <w:hideMark/>
          </w:tcPr>
          <w:p w14:paraId="26E150EA"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lang w:eastAsia="sl-SI"/>
              </w:rPr>
            </w:pPr>
            <w:r w:rsidRPr="00A9101E">
              <w:rPr>
                <w:rFonts w:cs="Times New Roman"/>
                <w:lang w:eastAsia="sl-SI"/>
              </w:rPr>
              <w:t> </w:t>
            </w:r>
          </w:p>
        </w:tc>
        <w:tc>
          <w:tcPr>
            <w:tcW w:w="1023" w:type="dxa"/>
            <w:noWrap/>
            <w:hideMark/>
          </w:tcPr>
          <w:p w14:paraId="2CE9F335"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lang w:eastAsia="sl-SI"/>
              </w:rPr>
            </w:pPr>
            <w:r w:rsidRPr="00A9101E">
              <w:rPr>
                <w:rFonts w:cs="Times New Roman"/>
                <w:lang w:eastAsia="sl-SI"/>
              </w:rPr>
              <w:t> </w:t>
            </w:r>
          </w:p>
        </w:tc>
      </w:tr>
      <w:tr w:rsidR="00A9101E" w:rsidRPr="00A9101E" w14:paraId="60460F84" w14:textId="77777777" w:rsidTr="00366EF9">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752" w:type="dxa"/>
            <w:noWrap/>
            <w:hideMark/>
          </w:tcPr>
          <w:p w14:paraId="4C958568" w14:textId="77777777" w:rsidR="00C741C5" w:rsidRPr="00A9101E" w:rsidRDefault="00C741C5" w:rsidP="00F569C7">
            <w:pPr>
              <w:spacing w:line="360" w:lineRule="auto"/>
              <w:jc w:val="left"/>
              <w:rPr>
                <w:color w:val="auto"/>
                <w:sz w:val="18"/>
                <w:szCs w:val="18"/>
                <w:lang w:eastAsia="sl-SI"/>
              </w:rPr>
            </w:pPr>
            <w:r w:rsidRPr="00A9101E">
              <w:rPr>
                <w:color w:val="auto"/>
                <w:sz w:val="18"/>
                <w:szCs w:val="18"/>
                <w:lang w:eastAsia="sl-SI"/>
              </w:rPr>
              <w:t>Združitev postopkov</w:t>
            </w:r>
          </w:p>
        </w:tc>
        <w:tc>
          <w:tcPr>
            <w:tcW w:w="848" w:type="dxa"/>
            <w:noWrap/>
            <w:hideMark/>
          </w:tcPr>
          <w:p w14:paraId="1F2BB529" w14:textId="77777777" w:rsidR="00C741C5" w:rsidRPr="00A9101E" w:rsidRDefault="00C741C5" w:rsidP="00F569C7">
            <w:pPr>
              <w:spacing w:line="360" w:lineRule="auto"/>
              <w:jc w:val="right"/>
              <w:cnfStyle w:val="000000100000" w:firstRow="0" w:lastRow="0" w:firstColumn="0" w:lastColumn="0" w:oddVBand="0" w:evenVBand="0" w:oddHBand="1" w:evenHBand="0" w:firstRowFirstColumn="0" w:firstRowLastColumn="0" w:lastRowFirstColumn="0" w:lastRowLastColumn="0"/>
              <w:rPr>
                <w:lang w:eastAsia="sl-SI"/>
              </w:rPr>
            </w:pPr>
            <w:r w:rsidRPr="00A9101E">
              <w:rPr>
                <w:lang w:eastAsia="sl-SI"/>
              </w:rPr>
              <w:t>13</w:t>
            </w:r>
          </w:p>
        </w:tc>
        <w:tc>
          <w:tcPr>
            <w:tcW w:w="1023" w:type="dxa"/>
            <w:noWrap/>
            <w:hideMark/>
          </w:tcPr>
          <w:p w14:paraId="6AD19938" w14:textId="77777777" w:rsidR="00C741C5" w:rsidRPr="00A9101E" w:rsidRDefault="00C741C5" w:rsidP="00F569C7">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lang w:eastAsia="sl-SI"/>
              </w:rPr>
            </w:pPr>
            <w:r w:rsidRPr="00A9101E">
              <w:rPr>
                <w:rFonts w:cs="Times New Roman"/>
                <w:lang w:eastAsia="sl-SI"/>
              </w:rPr>
              <w:t> </w:t>
            </w:r>
          </w:p>
        </w:tc>
        <w:tc>
          <w:tcPr>
            <w:tcW w:w="1023" w:type="dxa"/>
            <w:noWrap/>
            <w:hideMark/>
          </w:tcPr>
          <w:p w14:paraId="05EFE372" w14:textId="77777777" w:rsidR="00C741C5" w:rsidRPr="00A9101E" w:rsidRDefault="00C741C5" w:rsidP="00F569C7">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lang w:eastAsia="sl-SI"/>
              </w:rPr>
            </w:pPr>
            <w:r w:rsidRPr="00A9101E">
              <w:rPr>
                <w:rFonts w:cs="Times New Roman"/>
                <w:lang w:eastAsia="sl-SI"/>
              </w:rPr>
              <w:t> </w:t>
            </w:r>
          </w:p>
        </w:tc>
        <w:tc>
          <w:tcPr>
            <w:tcW w:w="1023" w:type="dxa"/>
            <w:noWrap/>
            <w:hideMark/>
          </w:tcPr>
          <w:p w14:paraId="5EF547AE" w14:textId="77777777" w:rsidR="00C741C5" w:rsidRPr="00A9101E" w:rsidRDefault="00C741C5" w:rsidP="00F569C7">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lang w:eastAsia="sl-SI"/>
              </w:rPr>
            </w:pPr>
            <w:r w:rsidRPr="00A9101E">
              <w:rPr>
                <w:rFonts w:cs="Times New Roman"/>
                <w:lang w:eastAsia="sl-SI"/>
              </w:rPr>
              <w:t> </w:t>
            </w:r>
          </w:p>
        </w:tc>
        <w:tc>
          <w:tcPr>
            <w:tcW w:w="1023" w:type="dxa"/>
            <w:noWrap/>
            <w:hideMark/>
          </w:tcPr>
          <w:p w14:paraId="02CBD20E" w14:textId="77777777" w:rsidR="00C741C5" w:rsidRPr="00A9101E" w:rsidRDefault="00C741C5" w:rsidP="00F569C7">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lang w:eastAsia="sl-SI"/>
              </w:rPr>
            </w:pPr>
            <w:r w:rsidRPr="00A9101E">
              <w:rPr>
                <w:rFonts w:cs="Times New Roman"/>
                <w:lang w:eastAsia="sl-SI"/>
              </w:rPr>
              <w:t> </w:t>
            </w:r>
          </w:p>
        </w:tc>
      </w:tr>
      <w:tr w:rsidR="00A9101E" w:rsidRPr="00A9101E" w14:paraId="08C8E377" w14:textId="77777777" w:rsidTr="00366EF9">
        <w:trPr>
          <w:trHeight w:val="348"/>
        </w:trPr>
        <w:tc>
          <w:tcPr>
            <w:cnfStyle w:val="001000000000" w:firstRow="0" w:lastRow="0" w:firstColumn="1" w:lastColumn="0" w:oddVBand="0" w:evenVBand="0" w:oddHBand="0" w:evenHBand="0" w:firstRowFirstColumn="0" w:firstRowLastColumn="0" w:lastRowFirstColumn="0" w:lastRowLastColumn="0"/>
            <w:tcW w:w="3752" w:type="dxa"/>
            <w:noWrap/>
            <w:hideMark/>
          </w:tcPr>
          <w:p w14:paraId="7ACE3024" w14:textId="77777777" w:rsidR="00C741C5" w:rsidRPr="00A9101E" w:rsidRDefault="00C741C5" w:rsidP="00F569C7">
            <w:pPr>
              <w:spacing w:line="360" w:lineRule="auto"/>
              <w:jc w:val="left"/>
              <w:rPr>
                <w:b w:val="0"/>
                <w:bCs w:val="0"/>
                <w:color w:val="auto"/>
                <w:lang w:eastAsia="sl-SI"/>
              </w:rPr>
            </w:pPr>
            <w:r w:rsidRPr="00A9101E">
              <w:rPr>
                <w:color w:val="auto"/>
                <w:lang w:eastAsia="sl-SI"/>
              </w:rPr>
              <w:t>SKUPAJ</w:t>
            </w:r>
          </w:p>
        </w:tc>
        <w:tc>
          <w:tcPr>
            <w:tcW w:w="848" w:type="dxa"/>
            <w:noWrap/>
            <w:hideMark/>
          </w:tcPr>
          <w:p w14:paraId="5319C937"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b/>
                <w:bCs/>
                <w:lang w:eastAsia="sl-SI"/>
              </w:rPr>
            </w:pPr>
            <w:r w:rsidRPr="00A9101E">
              <w:rPr>
                <w:b/>
                <w:bCs/>
                <w:lang w:eastAsia="sl-SI"/>
              </w:rPr>
              <w:t>735</w:t>
            </w:r>
          </w:p>
        </w:tc>
        <w:tc>
          <w:tcPr>
            <w:tcW w:w="1023" w:type="dxa"/>
            <w:noWrap/>
            <w:hideMark/>
          </w:tcPr>
          <w:p w14:paraId="1F4931CD"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b/>
                <w:bCs/>
                <w:lang w:eastAsia="sl-SI"/>
              </w:rPr>
            </w:pPr>
            <w:r w:rsidRPr="00A9101E">
              <w:rPr>
                <w:b/>
                <w:bCs/>
                <w:lang w:eastAsia="sl-SI"/>
              </w:rPr>
              <w:t>1043</w:t>
            </w:r>
          </w:p>
        </w:tc>
        <w:tc>
          <w:tcPr>
            <w:tcW w:w="1023" w:type="dxa"/>
            <w:noWrap/>
            <w:hideMark/>
          </w:tcPr>
          <w:p w14:paraId="560851C0"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b/>
                <w:bCs/>
                <w:lang w:eastAsia="sl-SI"/>
              </w:rPr>
            </w:pPr>
            <w:r w:rsidRPr="00A9101E">
              <w:rPr>
                <w:b/>
                <w:bCs/>
                <w:lang w:eastAsia="sl-SI"/>
              </w:rPr>
              <w:t>321</w:t>
            </w:r>
          </w:p>
        </w:tc>
        <w:tc>
          <w:tcPr>
            <w:tcW w:w="1023" w:type="dxa"/>
            <w:noWrap/>
            <w:hideMark/>
          </w:tcPr>
          <w:p w14:paraId="18350925"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b/>
                <w:bCs/>
                <w:lang w:eastAsia="sl-SI"/>
              </w:rPr>
            </w:pPr>
            <w:r w:rsidRPr="00A9101E">
              <w:rPr>
                <w:b/>
                <w:bCs/>
                <w:lang w:eastAsia="sl-SI"/>
              </w:rPr>
              <w:t>143</w:t>
            </w:r>
          </w:p>
        </w:tc>
        <w:tc>
          <w:tcPr>
            <w:tcW w:w="1023" w:type="dxa"/>
            <w:noWrap/>
            <w:hideMark/>
          </w:tcPr>
          <w:p w14:paraId="45AC947A" w14:textId="77777777" w:rsidR="00C741C5" w:rsidRPr="00A9101E" w:rsidRDefault="00C741C5" w:rsidP="00F569C7">
            <w:pPr>
              <w:spacing w:line="360" w:lineRule="auto"/>
              <w:jc w:val="right"/>
              <w:cnfStyle w:val="000000000000" w:firstRow="0" w:lastRow="0" w:firstColumn="0" w:lastColumn="0" w:oddVBand="0" w:evenVBand="0" w:oddHBand="0" w:evenHBand="0" w:firstRowFirstColumn="0" w:firstRowLastColumn="0" w:lastRowFirstColumn="0" w:lastRowLastColumn="0"/>
              <w:rPr>
                <w:b/>
                <w:bCs/>
                <w:lang w:eastAsia="sl-SI"/>
              </w:rPr>
            </w:pPr>
            <w:r w:rsidRPr="00A9101E">
              <w:rPr>
                <w:b/>
                <w:bCs/>
                <w:lang w:eastAsia="sl-SI"/>
              </w:rPr>
              <w:t>38</w:t>
            </w:r>
          </w:p>
        </w:tc>
      </w:tr>
    </w:tbl>
    <w:p w14:paraId="7026E98F" w14:textId="77777777" w:rsidR="00B65A09" w:rsidRDefault="00B65A09" w:rsidP="00B65A09"/>
    <w:p w14:paraId="134D8B65" w14:textId="3A5958A4" w:rsidR="00C741C5" w:rsidRPr="00424274" w:rsidRDefault="00C741C5" w:rsidP="005A0CAB">
      <w:pPr>
        <w:spacing w:line="276" w:lineRule="auto"/>
        <w:ind w:right="-22"/>
      </w:pPr>
      <w:r w:rsidRPr="00424274">
        <w:t xml:space="preserve">Iz </w:t>
      </w:r>
      <w:r>
        <w:t>preglednic</w:t>
      </w:r>
      <w:r w:rsidRPr="00424274">
        <w:t>e 11 izhaja, da se je do 31. 12. 202</w:t>
      </w:r>
      <w:r>
        <w:t>1</w:t>
      </w:r>
      <w:r w:rsidRPr="00424274">
        <w:t xml:space="preserve"> od </w:t>
      </w:r>
      <w:r>
        <w:t>735</w:t>
      </w:r>
      <w:r w:rsidRPr="00424274">
        <w:t xml:space="preserve"> zadev</w:t>
      </w:r>
      <w:r>
        <w:t>,</w:t>
      </w:r>
      <w:r w:rsidRPr="00424274">
        <w:t xml:space="preserve"> povezanih s kaznivim dejanjem pranja denarja</w:t>
      </w:r>
      <w:r>
        <w:t>,</w:t>
      </w:r>
      <w:r w:rsidRPr="00424274">
        <w:t xml:space="preserve"> </w:t>
      </w:r>
      <w:r>
        <w:rPr>
          <w:b/>
        </w:rPr>
        <w:t>pravnomočno končalo že 367</w:t>
      </w:r>
      <w:r w:rsidRPr="00424274">
        <w:rPr>
          <w:b/>
        </w:rPr>
        <w:t xml:space="preserve"> zadev</w:t>
      </w:r>
      <w:r>
        <w:rPr>
          <w:b/>
        </w:rPr>
        <w:t xml:space="preserve">, </w:t>
      </w:r>
      <w:r w:rsidRPr="00C95485">
        <w:t xml:space="preserve">in sicer </w:t>
      </w:r>
      <w:r w:rsidR="00096FDD">
        <w:t>na naslednji način:</w:t>
      </w:r>
    </w:p>
    <w:p w14:paraId="20E96DA2" w14:textId="77777777" w:rsidR="00C741C5" w:rsidRPr="00C56BAF" w:rsidRDefault="00C741C5" w:rsidP="00C741C5">
      <w:pPr>
        <w:pStyle w:val="Odstavekseznama"/>
        <w:tabs>
          <w:tab w:val="left" w:pos="4536"/>
        </w:tabs>
        <w:ind w:left="851" w:hanging="284"/>
      </w:pPr>
      <w:r w:rsidRPr="00C56BAF">
        <w:t>v 127 zadevah je tožilstvo zavrglo kazensko ovadbo,</w:t>
      </w:r>
    </w:p>
    <w:p w14:paraId="361FAA12" w14:textId="77777777" w:rsidR="00C741C5" w:rsidRPr="00C56BAF" w:rsidRDefault="00C741C5" w:rsidP="00C741C5">
      <w:pPr>
        <w:pStyle w:val="Odstavekseznama"/>
        <w:tabs>
          <w:tab w:val="left" w:pos="4536"/>
        </w:tabs>
        <w:ind w:left="851" w:hanging="284"/>
      </w:pPr>
      <w:r w:rsidRPr="00C56BAF">
        <w:t>v 30 zadevah je bila izrečena pravnomočna oprostilna sodba,</w:t>
      </w:r>
    </w:p>
    <w:p w14:paraId="77CC37EF" w14:textId="7C8F44C2" w:rsidR="00C741C5" w:rsidRPr="00C56BAF" w:rsidRDefault="00C741C5" w:rsidP="00C741C5">
      <w:pPr>
        <w:pStyle w:val="Odstavekseznama"/>
        <w:tabs>
          <w:tab w:val="left" w:pos="4536"/>
        </w:tabs>
        <w:ind w:left="851" w:hanging="284"/>
      </w:pPr>
      <w:r w:rsidRPr="00C56BAF">
        <w:t>112 zadev se je končal</w:t>
      </w:r>
      <w:r w:rsidR="001611A5" w:rsidRPr="00C56BAF">
        <w:t>o</w:t>
      </w:r>
      <w:r w:rsidRPr="00C56BAF">
        <w:t xml:space="preserve"> s pravnomočno obsodilno sodbo,</w:t>
      </w:r>
    </w:p>
    <w:p w14:paraId="708AC79A" w14:textId="77777777" w:rsidR="00C741C5" w:rsidRPr="00424274" w:rsidRDefault="00C741C5" w:rsidP="00C741C5">
      <w:pPr>
        <w:pStyle w:val="Odstavekseznama"/>
        <w:tabs>
          <w:tab w:val="left" w:pos="4536"/>
        </w:tabs>
        <w:ind w:left="851" w:hanging="284"/>
      </w:pPr>
      <w:r>
        <w:t>v 74</w:t>
      </w:r>
      <w:r w:rsidRPr="00424274">
        <w:t xml:space="preserve"> zadevah je tožilstvo odstopilo od pregona ali pa je sodišče ustavilo kazenski pregon,</w:t>
      </w:r>
    </w:p>
    <w:p w14:paraId="171861D9" w14:textId="77777777" w:rsidR="00C741C5" w:rsidRPr="00424274" w:rsidRDefault="00C741C5" w:rsidP="00C741C5">
      <w:pPr>
        <w:pStyle w:val="Odstavekseznama"/>
        <w:tabs>
          <w:tab w:val="left" w:pos="4536"/>
        </w:tabs>
        <w:ind w:left="851" w:hanging="284"/>
      </w:pPr>
      <w:r>
        <w:t>šest</w:t>
      </w:r>
      <w:r w:rsidRPr="00424274">
        <w:t xml:space="preserve"> zadev je bilo v nadaljnje reševanje odstopljen</w:t>
      </w:r>
      <w:r>
        <w:t>ih</w:t>
      </w:r>
      <w:r w:rsidRPr="00424274">
        <w:t xml:space="preserve"> v tujino,</w:t>
      </w:r>
    </w:p>
    <w:p w14:paraId="1D6E81E6" w14:textId="77777777" w:rsidR="00C741C5" w:rsidRPr="00424274" w:rsidRDefault="00C741C5" w:rsidP="00C741C5">
      <w:pPr>
        <w:pStyle w:val="Odstavekseznama"/>
        <w:tabs>
          <w:tab w:val="left" w:pos="4536"/>
        </w:tabs>
        <w:ind w:left="851" w:hanging="284"/>
      </w:pPr>
      <w:r>
        <w:t>pet</w:t>
      </w:r>
      <w:r w:rsidRPr="00424274">
        <w:t xml:space="preserve"> zadev se je končalo s prekvalifikacijo v drugo kaznivo dejanje,</w:t>
      </w:r>
    </w:p>
    <w:p w14:paraId="0586D611" w14:textId="61B40FED" w:rsidR="001611A5" w:rsidRDefault="00C741C5" w:rsidP="001611A5">
      <w:pPr>
        <w:pStyle w:val="Odstavekseznama"/>
        <w:tabs>
          <w:tab w:val="left" w:pos="4536"/>
        </w:tabs>
        <w:ind w:left="851" w:hanging="284"/>
      </w:pPr>
      <w:r w:rsidRPr="00424274">
        <w:t>v 13 zadevah so tožilstva ali sodišča sklenila, da združijo predkazenske ali kazenske postopke.</w:t>
      </w:r>
    </w:p>
    <w:p w14:paraId="53D3F1E7" w14:textId="77777777" w:rsidR="001611A5" w:rsidRPr="00C741C5" w:rsidRDefault="001611A5" w:rsidP="001611A5">
      <w:pPr>
        <w:pStyle w:val="Odstavekseznama"/>
        <w:numPr>
          <w:ilvl w:val="0"/>
          <w:numId w:val="0"/>
        </w:numPr>
        <w:tabs>
          <w:tab w:val="left" w:pos="4536"/>
        </w:tabs>
        <w:ind w:left="851"/>
      </w:pPr>
    </w:p>
    <w:p w14:paraId="432CE035" w14:textId="77777777" w:rsidR="00C741C5" w:rsidRPr="00C56BAF" w:rsidRDefault="00C741C5" w:rsidP="005A0CAB">
      <w:pPr>
        <w:spacing w:line="276" w:lineRule="auto"/>
        <w:ind w:right="-22"/>
      </w:pPr>
      <w:r w:rsidRPr="00C56BAF">
        <w:lastRenderedPageBreak/>
        <w:t xml:space="preserve">V nadaljnjih </w:t>
      </w:r>
      <w:r w:rsidRPr="00C56BAF">
        <w:rPr>
          <w:b/>
          <w:bCs/>
        </w:rPr>
        <w:t>177 zadevah tožilstvo še ni sprejelo odločitve</w:t>
      </w:r>
      <w:r w:rsidRPr="00C56BAF">
        <w:t xml:space="preserve"> o kazenskem pregonu in </w:t>
      </w:r>
      <w:r w:rsidRPr="00C56BAF">
        <w:rPr>
          <w:b/>
          <w:bCs/>
        </w:rPr>
        <w:t>v eni zadevi odložilo pregon</w:t>
      </w:r>
      <w:r w:rsidRPr="00C56BAF">
        <w:t xml:space="preserve">, medtem ko je </w:t>
      </w:r>
      <w:r w:rsidRPr="00C56BAF">
        <w:rPr>
          <w:b/>
          <w:bCs/>
        </w:rPr>
        <w:t>v 190 zadevah tožilstvo že začelo predkazenske in kazenske postopke na sodišču</w:t>
      </w:r>
      <w:r w:rsidRPr="00C56BAF">
        <w:t>, ki so bili na dan 31. 12. 2021 v naslednjih fazah:</w:t>
      </w:r>
    </w:p>
    <w:p w14:paraId="2BA23330" w14:textId="77777777" w:rsidR="00C741C5" w:rsidRPr="00C56BAF" w:rsidRDefault="00C741C5" w:rsidP="00C741C5">
      <w:pPr>
        <w:pStyle w:val="Odstavekseznama"/>
        <w:tabs>
          <w:tab w:val="left" w:pos="4536"/>
        </w:tabs>
        <w:ind w:left="851" w:hanging="284"/>
      </w:pPr>
      <w:r w:rsidRPr="00C56BAF">
        <w:t>48 zadev je bilo v fazi zahteve za preiskavo,</w:t>
      </w:r>
    </w:p>
    <w:p w14:paraId="08927B6D" w14:textId="77777777" w:rsidR="00C741C5" w:rsidRPr="00C56BAF" w:rsidRDefault="00C741C5" w:rsidP="00C741C5">
      <w:pPr>
        <w:pStyle w:val="Odstavekseznama"/>
        <w:tabs>
          <w:tab w:val="left" w:pos="4536"/>
        </w:tabs>
        <w:ind w:left="851" w:hanging="284"/>
      </w:pPr>
      <w:r w:rsidRPr="00C56BAF">
        <w:t>v 30 zadevah je bila preiskava že uvedena,</w:t>
      </w:r>
    </w:p>
    <w:p w14:paraId="6475695E" w14:textId="607573E1" w:rsidR="001611A5" w:rsidRPr="00C56BAF" w:rsidRDefault="00C741C5" w:rsidP="001611A5">
      <w:pPr>
        <w:pStyle w:val="Odstavekseznama"/>
        <w:tabs>
          <w:tab w:val="left" w:pos="4536"/>
        </w:tabs>
        <w:ind w:left="851" w:hanging="284"/>
      </w:pPr>
      <w:r w:rsidRPr="00C56BAF">
        <w:t>112 zadev je bilo v fazi obtožnice.</w:t>
      </w:r>
    </w:p>
    <w:p w14:paraId="79EB0124" w14:textId="14914D41" w:rsidR="00C741C5" w:rsidRPr="00424274" w:rsidRDefault="00C741C5" w:rsidP="005A0CAB">
      <w:pPr>
        <w:spacing w:line="276" w:lineRule="auto"/>
        <w:ind w:right="-22"/>
      </w:pPr>
      <w:r w:rsidRPr="00424274">
        <w:t xml:space="preserve">V naslednji </w:t>
      </w:r>
      <w:r>
        <w:t>preglednici</w:t>
      </w:r>
      <w:r w:rsidRPr="00424274">
        <w:t xml:space="preserve"> </w:t>
      </w:r>
      <w:r w:rsidR="001611A5">
        <w:t>je prikazano število</w:t>
      </w:r>
      <w:r w:rsidRPr="00424274">
        <w:t xml:space="preserve"> vseh zadev, v katerih potekajo kazenski postopki zaradi kaznivega dejanja pranja denarja, na zadnji dan posameznega leta, iz katere je razvidno, da so se v zadnjih desetih letih </w:t>
      </w:r>
      <w:r w:rsidRPr="00C56BAF">
        <w:rPr>
          <w:b/>
          <w:bCs/>
        </w:rPr>
        <w:t>povprečno na leto začeli postopki v 51 novih zadevah</w:t>
      </w:r>
      <w:r>
        <w:t>,</w:t>
      </w:r>
      <w:r w:rsidRPr="00424274">
        <w:t xml:space="preserve"> povezanih s storitvijo kaznivega dejanja pranja denarja. </w:t>
      </w:r>
    </w:p>
    <w:p w14:paraId="4797B432" w14:textId="77777777" w:rsidR="00C741C5" w:rsidRDefault="00C741C5" w:rsidP="005A0CAB">
      <w:pPr>
        <w:pStyle w:val="Telobesedila"/>
        <w:spacing w:line="276" w:lineRule="auto"/>
        <w:ind w:right="-22"/>
        <w:rPr>
          <w:rFonts w:ascii="Arial" w:hAnsi="Arial"/>
          <w:sz w:val="20"/>
        </w:rPr>
      </w:pPr>
    </w:p>
    <w:p w14:paraId="21E8AE38" w14:textId="77777777" w:rsidR="00C741C5" w:rsidRPr="00194AB4" w:rsidRDefault="00C741C5" w:rsidP="00194AB4">
      <w:pPr>
        <w:spacing w:line="276" w:lineRule="auto"/>
        <w:ind w:left="1418" w:right="-22" w:hanging="1418"/>
        <w:rPr>
          <w:b/>
          <w:bCs/>
          <w:i/>
          <w:iCs/>
          <w:sz w:val="18"/>
          <w:szCs w:val="18"/>
        </w:rPr>
      </w:pPr>
      <w:r w:rsidRPr="00194AB4">
        <w:rPr>
          <w:b/>
          <w:bCs/>
          <w:i/>
          <w:iCs/>
          <w:sz w:val="18"/>
          <w:szCs w:val="18"/>
        </w:rPr>
        <w:t>Preglednica 12: Primerjava števila zadev, povezanih s storitvijo kaznivega dejanja pranja denarja, po fazah postopkov na zadnji dan posameznega leta za obdobje 2012–2021</w:t>
      </w:r>
    </w:p>
    <w:tbl>
      <w:tblPr>
        <w:tblStyle w:val="Tabelatemnamrea5poudarek5"/>
        <w:tblW w:w="9351" w:type="dxa"/>
        <w:tblLayout w:type="fixed"/>
        <w:tblLook w:val="04A0" w:firstRow="1" w:lastRow="0" w:firstColumn="1" w:lastColumn="0" w:noHBand="0" w:noVBand="1"/>
      </w:tblPr>
      <w:tblGrid>
        <w:gridCol w:w="2547"/>
        <w:gridCol w:w="680"/>
        <w:gridCol w:w="680"/>
        <w:gridCol w:w="681"/>
        <w:gridCol w:w="680"/>
        <w:gridCol w:w="681"/>
        <w:gridCol w:w="680"/>
        <w:gridCol w:w="680"/>
        <w:gridCol w:w="681"/>
        <w:gridCol w:w="680"/>
        <w:gridCol w:w="681"/>
      </w:tblGrid>
      <w:tr w:rsidR="00F569C7" w:rsidRPr="00A9101E" w14:paraId="17DE940B" w14:textId="77777777" w:rsidTr="00F569C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6127896" w14:textId="77777777" w:rsidR="00194AB4" w:rsidRPr="00A9101E" w:rsidRDefault="00194AB4" w:rsidP="00F569C7">
            <w:pPr>
              <w:spacing w:line="360" w:lineRule="auto"/>
              <w:jc w:val="center"/>
              <w:rPr>
                <w:b w:val="0"/>
                <w:bCs w:val="0"/>
                <w:color w:val="auto"/>
                <w:sz w:val="18"/>
                <w:szCs w:val="18"/>
                <w:lang w:eastAsia="sl-SI"/>
              </w:rPr>
            </w:pPr>
            <w:r w:rsidRPr="00A9101E">
              <w:rPr>
                <w:color w:val="auto"/>
                <w:sz w:val="18"/>
                <w:szCs w:val="18"/>
                <w:lang w:eastAsia="sl-SI"/>
              </w:rPr>
              <w:t>FAZE POSTOPKOV</w:t>
            </w:r>
          </w:p>
        </w:tc>
        <w:tc>
          <w:tcPr>
            <w:tcW w:w="680" w:type="dxa"/>
            <w:noWrap/>
            <w:hideMark/>
          </w:tcPr>
          <w:p w14:paraId="1DA8F493" w14:textId="77777777" w:rsidR="00194AB4" w:rsidRPr="00A9101E" w:rsidRDefault="00194AB4" w:rsidP="00F569C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lang w:eastAsia="sl-SI"/>
              </w:rPr>
            </w:pPr>
            <w:r w:rsidRPr="00A9101E">
              <w:rPr>
                <w:color w:val="auto"/>
                <w:sz w:val="18"/>
                <w:szCs w:val="18"/>
                <w:lang w:eastAsia="sl-SI"/>
              </w:rPr>
              <w:t>2012</w:t>
            </w:r>
          </w:p>
        </w:tc>
        <w:tc>
          <w:tcPr>
            <w:tcW w:w="680" w:type="dxa"/>
            <w:noWrap/>
            <w:hideMark/>
          </w:tcPr>
          <w:p w14:paraId="75BB7C52" w14:textId="77777777" w:rsidR="00194AB4" w:rsidRPr="00A9101E" w:rsidRDefault="00194AB4" w:rsidP="00F569C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lang w:eastAsia="sl-SI"/>
              </w:rPr>
            </w:pPr>
            <w:r w:rsidRPr="00A9101E">
              <w:rPr>
                <w:color w:val="auto"/>
                <w:sz w:val="18"/>
                <w:szCs w:val="18"/>
                <w:lang w:eastAsia="sl-SI"/>
              </w:rPr>
              <w:t>2013</w:t>
            </w:r>
          </w:p>
        </w:tc>
        <w:tc>
          <w:tcPr>
            <w:tcW w:w="681" w:type="dxa"/>
            <w:noWrap/>
            <w:hideMark/>
          </w:tcPr>
          <w:p w14:paraId="349D5C96" w14:textId="77777777" w:rsidR="00194AB4" w:rsidRPr="00A9101E" w:rsidRDefault="00194AB4" w:rsidP="00F569C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lang w:eastAsia="sl-SI"/>
              </w:rPr>
            </w:pPr>
            <w:r w:rsidRPr="00A9101E">
              <w:rPr>
                <w:color w:val="auto"/>
                <w:sz w:val="18"/>
                <w:szCs w:val="18"/>
                <w:lang w:eastAsia="sl-SI"/>
              </w:rPr>
              <w:t>2014</w:t>
            </w:r>
          </w:p>
        </w:tc>
        <w:tc>
          <w:tcPr>
            <w:tcW w:w="680" w:type="dxa"/>
            <w:noWrap/>
            <w:hideMark/>
          </w:tcPr>
          <w:p w14:paraId="13F5B7A4" w14:textId="77777777" w:rsidR="00194AB4" w:rsidRPr="00A9101E" w:rsidRDefault="00194AB4" w:rsidP="00F569C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lang w:eastAsia="sl-SI"/>
              </w:rPr>
            </w:pPr>
            <w:r w:rsidRPr="00A9101E">
              <w:rPr>
                <w:color w:val="auto"/>
                <w:sz w:val="18"/>
                <w:szCs w:val="18"/>
                <w:lang w:eastAsia="sl-SI"/>
              </w:rPr>
              <w:t>2015</w:t>
            </w:r>
          </w:p>
        </w:tc>
        <w:tc>
          <w:tcPr>
            <w:tcW w:w="681" w:type="dxa"/>
            <w:hideMark/>
          </w:tcPr>
          <w:p w14:paraId="5492DD8D" w14:textId="77777777" w:rsidR="00194AB4" w:rsidRPr="00A9101E" w:rsidRDefault="00194AB4" w:rsidP="00F569C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lang w:eastAsia="sl-SI"/>
              </w:rPr>
            </w:pPr>
            <w:r w:rsidRPr="00A9101E">
              <w:rPr>
                <w:color w:val="auto"/>
                <w:sz w:val="18"/>
                <w:szCs w:val="18"/>
                <w:lang w:eastAsia="sl-SI"/>
              </w:rPr>
              <w:t>2016</w:t>
            </w:r>
          </w:p>
        </w:tc>
        <w:tc>
          <w:tcPr>
            <w:tcW w:w="680" w:type="dxa"/>
            <w:hideMark/>
          </w:tcPr>
          <w:p w14:paraId="214A554C" w14:textId="77777777" w:rsidR="00194AB4" w:rsidRPr="00A9101E" w:rsidRDefault="00194AB4" w:rsidP="00F569C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lang w:eastAsia="sl-SI"/>
              </w:rPr>
            </w:pPr>
            <w:r w:rsidRPr="00A9101E">
              <w:rPr>
                <w:color w:val="auto"/>
                <w:sz w:val="18"/>
                <w:szCs w:val="18"/>
                <w:lang w:eastAsia="sl-SI"/>
              </w:rPr>
              <w:t>2017</w:t>
            </w:r>
          </w:p>
        </w:tc>
        <w:tc>
          <w:tcPr>
            <w:tcW w:w="680" w:type="dxa"/>
            <w:hideMark/>
          </w:tcPr>
          <w:p w14:paraId="3BB70DBD" w14:textId="77777777" w:rsidR="00194AB4" w:rsidRPr="00A9101E" w:rsidRDefault="00194AB4" w:rsidP="00F569C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lang w:eastAsia="sl-SI"/>
              </w:rPr>
            </w:pPr>
            <w:r w:rsidRPr="00A9101E">
              <w:rPr>
                <w:color w:val="auto"/>
                <w:sz w:val="18"/>
                <w:szCs w:val="18"/>
                <w:lang w:eastAsia="sl-SI"/>
              </w:rPr>
              <w:t>2018</w:t>
            </w:r>
          </w:p>
        </w:tc>
        <w:tc>
          <w:tcPr>
            <w:tcW w:w="681" w:type="dxa"/>
            <w:hideMark/>
          </w:tcPr>
          <w:p w14:paraId="7896F049" w14:textId="77777777" w:rsidR="00194AB4" w:rsidRPr="00A9101E" w:rsidRDefault="00194AB4" w:rsidP="00F569C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lang w:eastAsia="sl-SI"/>
              </w:rPr>
            </w:pPr>
            <w:r w:rsidRPr="00A9101E">
              <w:rPr>
                <w:color w:val="auto"/>
                <w:sz w:val="18"/>
                <w:szCs w:val="18"/>
                <w:lang w:eastAsia="sl-SI"/>
              </w:rPr>
              <w:t>2019</w:t>
            </w:r>
          </w:p>
        </w:tc>
        <w:tc>
          <w:tcPr>
            <w:tcW w:w="680" w:type="dxa"/>
            <w:hideMark/>
          </w:tcPr>
          <w:p w14:paraId="518D1E8C" w14:textId="77777777" w:rsidR="00194AB4" w:rsidRPr="00A9101E" w:rsidRDefault="00194AB4" w:rsidP="00F569C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lang w:eastAsia="sl-SI"/>
              </w:rPr>
            </w:pPr>
            <w:r w:rsidRPr="00A9101E">
              <w:rPr>
                <w:color w:val="auto"/>
                <w:sz w:val="18"/>
                <w:szCs w:val="18"/>
                <w:lang w:eastAsia="sl-SI"/>
              </w:rPr>
              <w:t>2020</w:t>
            </w:r>
          </w:p>
        </w:tc>
        <w:tc>
          <w:tcPr>
            <w:tcW w:w="681" w:type="dxa"/>
            <w:hideMark/>
          </w:tcPr>
          <w:p w14:paraId="2DD9CEC8" w14:textId="77777777" w:rsidR="00194AB4" w:rsidRPr="00A9101E" w:rsidRDefault="00194AB4" w:rsidP="00F569C7">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auto"/>
                <w:sz w:val="18"/>
                <w:szCs w:val="18"/>
                <w:lang w:eastAsia="sl-SI"/>
              </w:rPr>
            </w:pPr>
            <w:r w:rsidRPr="00A9101E">
              <w:rPr>
                <w:color w:val="auto"/>
                <w:sz w:val="18"/>
                <w:szCs w:val="18"/>
                <w:lang w:eastAsia="sl-SI"/>
              </w:rPr>
              <w:t>2021</w:t>
            </w:r>
          </w:p>
        </w:tc>
      </w:tr>
      <w:tr w:rsidR="00F569C7" w:rsidRPr="00A9101E" w14:paraId="0AEB6734" w14:textId="77777777" w:rsidTr="00F569C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47" w:type="dxa"/>
            <w:noWrap/>
            <w:hideMark/>
          </w:tcPr>
          <w:p w14:paraId="50E2251D" w14:textId="77777777" w:rsidR="00194AB4" w:rsidRPr="00A9101E" w:rsidRDefault="00194AB4" w:rsidP="00F569C7">
            <w:pPr>
              <w:spacing w:line="360" w:lineRule="auto"/>
              <w:jc w:val="left"/>
              <w:rPr>
                <w:color w:val="auto"/>
                <w:sz w:val="18"/>
                <w:szCs w:val="18"/>
                <w:lang w:eastAsia="sl-SI"/>
              </w:rPr>
            </w:pPr>
            <w:r w:rsidRPr="00A9101E">
              <w:rPr>
                <w:color w:val="auto"/>
                <w:sz w:val="18"/>
                <w:szCs w:val="18"/>
                <w:lang w:eastAsia="sl-SI"/>
              </w:rPr>
              <w:t>Tožilstvo: Še ni odločitve</w:t>
            </w:r>
          </w:p>
        </w:tc>
        <w:tc>
          <w:tcPr>
            <w:tcW w:w="680" w:type="dxa"/>
            <w:noWrap/>
            <w:hideMark/>
          </w:tcPr>
          <w:p w14:paraId="0EB6AF71"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64</w:t>
            </w:r>
          </w:p>
        </w:tc>
        <w:tc>
          <w:tcPr>
            <w:tcW w:w="680" w:type="dxa"/>
            <w:noWrap/>
            <w:hideMark/>
          </w:tcPr>
          <w:p w14:paraId="117536BB"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80</w:t>
            </w:r>
          </w:p>
        </w:tc>
        <w:tc>
          <w:tcPr>
            <w:tcW w:w="681" w:type="dxa"/>
            <w:noWrap/>
            <w:hideMark/>
          </w:tcPr>
          <w:p w14:paraId="58C14BA5"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104</w:t>
            </w:r>
          </w:p>
        </w:tc>
        <w:tc>
          <w:tcPr>
            <w:tcW w:w="680" w:type="dxa"/>
            <w:noWrap/>
            <w:hideMark/>
          </w:tcPr>
          <w:p w14:paraId="0A7FDD20"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94</w:t>
            </w:r>
          </w:p>
        </w:tc>
        <w:tc>
          <w:tcPr>
            <w:tcW w:w="681" w:type="dxa"/>
            <w:hideMark/>
          </w:tcPr>
          <w:p w14:paraId="6652C27B"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112</w:t>
            </w:r>
          </w:p>
        </w:tc>
        <w:tc>
          <w:tcPr>
            <w:tcW w:w="680" w:type="dxa"/>
            <w:hideMark/>
          </w:tcPr>
          <w:p w14:paraId="0FFBC8D2"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135</w:t>
            </w:r>
          </w:p>
        </w:tc>
        <w:tc>
          <w:tcPr>
            <w:tcW w:w="680" w:type="dxa"/>
            <w:hideMark/>
          </w:tcPr>
          <w:p w14:paraId="4953D57D"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141</w:t>
            </w:r>
          </w:p>
        </w:tc>
        <w:tc>
          <w:tcPr>
            <w:tcW w:w="681" w:type="dxa"/>
            <w:hideMark/>
          </w:tcPr>
          <w:p w14:paraId="3031F4E7"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138</w:t>
            </w:r>
          </w:p>
        </w:tc>
        <w:tc>
          <w:tcPr>
            <w:tcW w:w="680" w:type="dxa"/>
            <w:hideMark/>
          </w:tcPr>
          <w:p w14:paraId="078D0941"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147</w:t>
            </w:r>
          </w:p>
        </w:tc>
        <w:tc>
          <w:tcPr>
            <w:tcW w:w="681" w:type="dxa"/>
            <w:hideMark/>
          </w:tcPr>
          <w:p w14:paraId="48A8B317"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177</w:t>
            </w:r>
          </w:p>
        </w:tc>
      </w:tr>
      <w:tr w:rsidR="00F569C7" w:rsidRPr="00A9101E" w14:paraId="65BB8841" w14:textId="77777777" w:rsidTr="00F569C7">
        <w:trPr>
          <w:trHeight w:val="315"/>
        </w:trPr>
        <w:tc>
          <w:tcPr>
            <w:cnfStyle w:val="001000000000" w:firstRow="0" w:lastRow="0" w:firstColumn="1" w:lastColumn="0" w:oddVBand="0" w:evenVBand="0" w:oddHBand="0" w:evenHBand="0" w:firstRowFirstColumn="0" w:firstRowLastColumn="0" w:lastRowFirstColumn="0" w:lastRowLastColumn="0"/>
            <w:tcW w:w="2547" w:type="dxa"/>
            <w:noWrap/>
            <w:hideMark/>
          </w:tcPr>
          <w:p w14:paraId="03E2F44F" w14:textId="77777777" w:rsidR="00194AB4" w:rsidRPr="00A9101E" w:rsidRDefault="00194AB4" w:rsidP="00F569C7">
            <w:pPr>
              <w:spacing w:line="360" w:lineRule="auto"/>
              <w:jc w:val="left"/>
              <w:rPr>
                <w:color w:val="auto"/>
                <w:sz w:val="18"/>
                <w:szCs w:val="18"/>
                <w:lang w:eastAsia="sl-SI"/>
              </w:rPr>
            </w:pPr>
            <w:r w:rsidRPr="00A9101E">
              <w:rPr>
                <w:color w:val="auto"/>
                <w:sz w:val="18"/>
                <w:szCs w:val="18"/>
                <w:lang w:eastAsia="sl-SI"/>
              </w:rPr>
              <w:t>Tožilstvo: Ovadba zavržena</w:t>
            </w:r>
          </w:p>
        </w:tc>
        <w:tc>
          <w:tcPr>
            <w:tcW w:w="680" w:type="dxa"/>
            <w:noWrap/>
            <w:hideMark/>
          </w:tcPr>
          <w:p w14:paraId="34C339F1"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50</w:t>
            </w:r>
          </w:p>
        </w:tc>
        <w:tc>
          <w:tcPr>
            <w:tcW w:w="680" w:type="dxa"/>
            <w:noWrap/>
            <w:hideMark/>
          </w:tcPr>
          <w:p w14:paraId="409291B7"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55</w:t>
            </w:r>
          </w:p>
        </w:tc>
        <w:tc>
          <w:tcPr>
            <w:tcW w:w="681" w:type="dxa"/>
            <w:noWrap/>
            <w:hideMark/>
          </w:tcPr>
          <w:p w14:paraId="51ECF80A"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55</w:t>
            </w:r>
          </w:p>
        </w:tc>
        <w:tc>
          <w:tcPr>
            <w:tcW w:w="680" w:type="dxa"/>
            <w:noWrap/>
            <w:hideMark/>
          </w:tcPr>
          <w:p w14:paraId="0AF47A51"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65</w:t>
            </w:r>
          </w:p>
        </w:tc>
        <w:tc>
          <w:tcPr>
            <w:tcW w:w="681" w:type="dxa"/>
            <w:hideMark/>
          </w:tcPr>
          <w:p w14:paraId="6005315E"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74</w:t>
            </w:r>
          </w:p>
        </w:tc>
        <w:tc>
          <w:tcPr>
            <w:tcW w:w="680" w:type="dxa"/>
            <w:hideMark/>
          </w:tcPr>
          <w:p w14:paraId="4243C8FA"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82</w:t>
            </w:r>
          </w:p>
        </w:tc>
        <w:tc>
          <w:tcPr>
            <w:tcW w:w="680" w:type="dxa"/>
            <w:hideMark/>
          </w:tcPr>
          <w:p w14:paraId="3D81F2E4"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87</w:t>
            </w:r>
          </w:p>
        </w:tc>
        <w:tc>
          <w:tcPr>
            <w:tcW w:w="681" w:type="dxa"/>
            <w:hideMark/>
          </w:tcPr>
          <w:p w14:paraId="3D4FE706"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103</w:t>
            </w:r>
          </w:p>
        </w:tc>
        <w:tc>
          <w:tcPr>
            <w:tcW w:w="680" w:type="dxa"/>
            <w:hideMark/>
          </w:tcPr>
          <w:p w14:paraId="3D5EB4FC"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112</w:t>
            </w:r>
          </w:p>
        </w:tc>
        <w:tc>
          <w:tcPr>
            <w:tcW w:w="681" w:type="dxa"/>
            <w:hideMark/>
          </w:tcPr>
          <w:p w14:paraId="7551FF49"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127</w:t>
            </w:r>
          </w:p>
        </w:tc>
      </w:tr>
      <w:tr w:rsidR="00F569C7" w:rsidRPr="00A9101E" w14:paraId="1239AD44" w14:textId="77777777" w:rsidTr="00F569C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66725D0" w14:textId="77777777" w:rsidR="00194AB4" w:rsidRPr="00A9101E" w:rsidRDefault="00194AB4" w:rsidP="00F569C7">
            <w:pPr>
              <w:spacing w:line="360" w:lineRule="auto"/>
              <w:jc w:val="left"/>
              <w:rPr>
                <w:color w:val="auto"/>
                <w:sz w:val="18"/>
                <w:szCs w:val="18"/>
                <w:lang w:eastAsia="sl-SI"/>
              </w:rPr>
            </w:pPr>
            <w:r w:rsidRPr="00A9101E">
              <w:rPr>
                <w:color w:val="auto"/>
                <w:sz w:val="18"/>
                <w:szCs w:val="18"/>
                <w:lang w:eastAsia="sl-SI"/>
              </w:rPr>
              <w:t>Tožilstvo: Odložen pregon</w:t>
            </w:r>
          </w:p>
        </w:tc>
        <w:tc>
          <w:tcPr>
            <w:tcW w:w="680" w:type="dxa"/>
            <w:noWrap/>
            <w:hideMark/>
          </w:tcPr>
          <w:p w14:paraId="1E22949A"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1</w:t>
            </w:r>
          </w:p>
        </w:tc>
        <w:tc>
          <w:tcPr>
            <w:tcW w:w="680" w:type="dxa"/>
            <w:noWrap/>
            <w:hideMark/>
          </w:tcPr>
          <w:p w14:paraId="2FAB8AF9"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1</w:t>
            </w:r>
          </w:p>
        </w:tc>
        <w:tc>
          <w:tcPr>
            <w:tcW w:w="681" w:type="dxa"/>
            <w:noWrap/>
            <w:hideMark/>
          </w:tcPr>
          <w:p w14:paraId="62FF40AE"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1</w:t>
            </w:r>
          </w:p>
        </w:tc>
        <w:tc>
          <w:tcPr>
            <w:tcW w:w="680" w:type="dxa"/>
            <w:noWrap/>
            <w:hideMark/>
          </w:tcPr>
          <w:p w14:paraId="75614553"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1</w:t>
            </w:r>
          </w:p>
        </w:tc>
        <w:tc>
          <w:tcPr>
            <w:tcW w:w="681" w:type="dxa"/>
            <w:hideMark/>
          </w:tcPr>
          <w:p w14:paraId="2FAD737F"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1</w:t>
            </w:r>
          </w:p>
        </w:tc>
        <w:tc>
          <w:tcPr>
            <w:tcW w:w="680" w:type="dxa"/>
            <w:hideMark/>
          </w:tcPr>
          <w:p w14:paraId="2C3489CF"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1</w:t>
            </w:r>
          </w:p>
        </w:tc>
        <w:tc>
          <w:tcPr>
            <w:tcW w:w="680" w:type="dxa"/>
            <w:hideMark/>
          </w:tcPr>
          <w:p w14:paraId="7697864A"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1</w:t>
            </w:r>
          </w:p>
        </w:tc>
        <w:tc>
          <w:tcPr>
            <w:tcW w:w="681" w:type="dxa"/>
            <w:hideMark/>
          </w:tcPr>
          <w:p w14:paraId="2E07B8A6"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1</w:t>
            </w:r>
          </w:p>
        </w:tc>
        <w:tc>
          <w:tcPr>
            <w:tcW w:w="680" w:type="dxa"/>
            <w:hideMark/>
          </w:tcPr>
          <w:p w14:paraId="79438434"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1</w:t>
            </w:r>
          </w:p>
        </w:tc>
        <w:tc>
          <w:tcPr>
            <w:tcW w:w="681" w:type="dxa"/>
            <w:hideMark/>
          </w:tcPr>
          <w:p w14:paraId="2E33BF2B"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1</w:t>
            </w:r>
          </w:p>
        </w:tc>
      </w:tr>
      <w:tr w:rsidR="00F569C7" w:rsidRPr="00A9101E" w14:paraId="6B22E86D" w14:textId="77777777" w:rsidTr="00F569C7">
        <w:trPr>
          <w:trHeight w:val="315"/>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9B8B89C" w14:textId="77777777" w:rsidR="00194AB4" w:rsidRPr="00A9101E" w:rsidRDefault="00194AB4" w:rsidP="00F569C7">
            <w:pPr>
              <w:spacing w:line="360" w:lineRule="auto"/>
              <w:jc w:val="left"/>
              <w:rPr>
                <w:color w:val="auto"/>
                <w:sz w:val="18"/>
                <w:szCs w:val="18"/>
                <w:lang w:eastAsia="sl-SI"/>
              </w:rPr>
            </w:pPr>
            <w:r w:rsidRPr="00A9101E">
              <w:rPr>
                <w:color w:val="auto"/>
                <w:sz w:val="18"/>
                <w:szCs w:val="18"/>
                <w:lang w:eastAsia="sl-SI"/>
              </w:rPr>
              <w:t>Tožilstvo: Zahteva za preiskavo</w:t>
            </w:r>
          </w:p>
        </w:tc>
        <w:tc>
          <w:tcPr>
            <w:tcW w:w="680" w:type="dxa"/>
            <w:noWrap/>
            <w:hideMark/>
          </w:tcPr>
          <w:p w14:paraId="4E8F0745"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21</w:t>
            </w:r>
          </w:p>
        </w:tc>
        <w:tc>
          <w:tcPr>
            <w:tcW w:w="680" w:type="dxa"/>
            <w:noWrap/>
            <w:hideMark/>
          </w:tcPr>
          <w:p w14:paraId="6016D0A9"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27</w:t>
            </w:r>
          </w:p>
        </w:tc>
        <w:tc>
          <w:tcPr>
            <w:tcW w:w="681" w:type="dxa"/>
            <w:noWrap/>
            <w:hideMark/>
          </w:tcPr>
          <w:p w14:paraId="664FC121"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20</w:t>
            </w:r>
          </w:p>
        </w:tc>
        <w:tc>
          <w:tcPr>
            <w:tcW w:w="680" w:type="dxa"/>
            <w:noWrap/>
            <w:hideMark/>
          </w:tcPr>
          <w:p w14:paraId="1CB0F1BF"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27</w:t>
            </w:r>
          </w:p>
        </w:tc>
        <w:tc>
          <w:tcPr>
            <w:tcW w:w="681" w:type="dxa"/>
            <w:hideMark/>
          </w:tcPr>
          <w:p w14:paraId="4B36EF4C"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31</w:t>
            </w:r>
          </w:p>
        </w:tc>
        <w:tc>
          <w:tcPr>
            <w:tcW w:w="680" w:type="dxa"/>
            <w:hideMark/>
          </w:tcPr>
          <w:p w14:paraId="15871852"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31</w:t>
            </w:r>
          </w:p>
        </w:tc>
        <w:tc>
          <w:tcPr>
            <w:tcW w:w="680" w:type="dxa"/>
            <w:hideMark/>
          </w:tcPr>
          <w:p w14:paraId="7ABCAFDE"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34</w:t>
            </w:r>
          </w:p>
        </w:tc>
        <w:tc>
          <w:tcPr>
            <w:tcW w:w="681" w:type="dxa"/>
            <w:hideMark/>
          </w:tcPr>
          <w:p w14:paraId="33B3CCB0"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48</w:t>
            </w:r>
          </w:p>
        </w:tc>
        <w:tc>
          <w:tcPr>
            <w:tcW w:w="680" w:type="dxa"/>
            <w:hideMark/>
          </w:tcPr>
          <w:p w14:paraId="13C04B4A"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45</w:t>
            </w:r>
          </w:p>
        </w:tc>
        <w:tc>
          <w:tcPr>
            <w:tcW w:w="681" w:type="dxa"/>
            <w:hideMark/>
          </w:tcPr>
          <w:p w14:paraId="53151712"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48</w:t>
            </w:r>
          </w:p>
        </w:tc>
      </w:tr>
      <w:tr w:rsidR="00F569C7" w:rsidRPr="00A9101E" w14:paraId="5D9E5528" w14:textId="77777777" w:rsidTr="00F569C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53B841A" w14:textId="77777777" w:rsidR="00194AB4" w:rsidRPr="00A9101E" w:rsidRDefault="00194AB4" w:rsidP="00F569C7">
            <w:pPr>
              <w:spacing w:line="360" w:lineRule="auto"/>
              <w:jc w:val="left"/>
              <w:rPr>
                <w:color w:val="auto"/>
                <w:sz w:val="18"/>
                <w:szCs w:val="18"/>
                <w:lang w:eastAsia="sl-SI"/>
              </w:rPr>
            </w:pPr>
            <w:r w:rsidRPr="00A9101E">
              <w:rPr>
                <w:color w:val="auto"/>
                <w:sz w:val="18"/>
                <w:szCs w:val="18"/>
                <w:lang w:eastAsia="sl-SI"/>
              </w:rPr>
              <w:t>Preiskovalni sodnik: Preiskava uvedena</w:t>
            </w:r>
          </w:p>
        </w:tc>
        <w:tc>
          <w:tcPr>
            <w:tcW w:w="680" w:type="dxa"/>
            <w:noWrap/>
            <w:hideMark/>
          </w:tcPr>
          <w:p w14:paraId="47479F81"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37</w:t>
            </w:r>
          </w:p>
        </w:tc>
        <w:tc>
          <w:tcPr>
            <w:tcW w:w="680" w:type="dxa"/>
            <w:noWrap/>
            <w:hideMark/>
          </w:tcPr>
          <w:p w14:paraId="21BEEB56"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54</w:t>
            </w:r>
          </w:p>
        </w:tc>
        <w:tc>
          <w:tcPr>
            <w:tcW w:w="681" w:type="dxa"/>
            <w:noWrap/>
            <w:hideMark/>
          </w:tcPr>
          <w:p w14:paraId="3457030E"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60</w:t>
            </w:r>
          </w:p>
        </w:tc>
        <w:tc>
          <w:tcPr>
            <w:tcW w:w="680" w:type="dxa"/>
            <w:noWrap/>
            <w:hideMark/>
          </w:tcPr>
          <w:p w14:paraId="091D0E80"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53</w:t>
            </w:r>
          </w:p>
        </w:tc>
        <w:tc>
          <w:tcPr>
            <w:tcW w:w="681" w:type="dxa"/>
            <w:hideMark/>
          </w:tcPr>
          <w:p w14:paraId="3AC1F2E2"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57</w:t>
            </w:r>
          </w:p>
        </w:tc>
        <w:tc>
          <w:tcPr>
            <w:tcW w:w="680" w:type="dxa"/>
            <w:hideMark/>
          </w:tcPr>
          <w:p w14:paraId="3D8F8C49"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58</w:t>
            </w:r>
          </w:p>
        </w:tc>
        <w:tc>
          <w:tcPr>
            <w:tcW w:w="680" w:type="dxa"/>
            <w:hideMark/>
          </w:tcPr>
          <w:p w14:paraId="4705B199"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57</w:t>
            </w:r>
          </w:p>
        </w:tc>
        <w:tc>
          <w:tcPr>
            <w:tcW w:w="681" w:type="dxa"/>
            <w:hideMark/>
          </w:tcPr>
          <w:p w14:paraId="407B15B2"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32</w:t>
            </w:r>
          </w:p>
        </w:tc>
        <w:tc>
          <w:tcPr>
            <w:tcW w:w="680" w:type="dxa"/>
            <w:hideMark/>
          </w:tcPr>
          <w:p w14:paraId="4CFC22B5"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28</w:t>
            </w:r>
          </w:p>
        </w:tc>
        <w:tc>
          <w:tcPr>
            <w:tcW w:w="681" w:type="dxa"/>
            <w:hideMark/>
          </w:tcPr>
          <w:p w14:paraId="7FCC59CF"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30</w:t>
            </w:r>
          </w:p>
        </w:tc>
      </w:tr>
      <w:tr w:rsidR="00F569C7" w:rsidRPr="00A9101E" w14:paraId="73A2B706" w14:textId="77777777" w:rsidTr="00F569C7">
        <w:trPr>
          <w:trHeight w:val="315"/>
        </w:trPr>
        <w:tc>
          <w:tcPr>
            <w:cnfStyle w:val="001000000000" w:firstRow="0" w:lastRow="0" w:firstColumn="1" w:lastColumn="0" w:oddVBand="0" w:evenVBand="0" w:oddHBand="0" w:evenHBand="0" w:firstRowFirstColumn="0" w:firstRowLastColumn="0" w:lastRowFirstColumn="0" w:lastRowLastColumn="0"/>
            <w:tcW w:w="2547" w:type="dxa"/>
            <w:noWrap/>
            <w:hideMark/>
          </w:tcPr>
          <w:p w14:paraId="1E35BC38" w14:textId="77777777" w:rsidR="00194AB4" w:rsidRPr="00A9101E" w:rsidRDefault="00194AB4" w:rsidP="00F569C7">
            <w:pPr>
              <w:spacing w:line="360" w:lineRule="auto"/>
              <w:jc w:val="left"/>
              <w:rPr>
                <w:color w:val="auto"/>
                <w:sz w:val="18"/>
                <w:szCs w:val="18"/>
                <w:lang w:eastAsia="sl-SI"/>
              </w:rPr>
            </w:pPr>
            <w:r w:rsidRPr="00A9101E">
              <w:rPr>
                <w:color w:val="auto"/>
                <w:sz w:val="18"/>
                <w:szCs w:val="18"/>
                <w:lang w:eastAsia="sl-SI"/>
              </w:rPr>
              <w:t>Sodišče: Obtožnica</w:t>
            </w:r>
          </w:p>
        </w:tc>
        <w:tc>
          <w:tcPr>
            <w:tcW w:w="680" w:type="dxa"/>
            <w:noWrap/>
            <w:hideMark/>
          </w:tcPr>
          <w:p w14:paraId="0E827E46"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39</w:t>
            </w:r>
          </w:p>
        </w:tc>
        <w:tc>
          <w:tcPr>
            <w:tcW w:w="680" w:type="dxa"/>
            <w:noWrap/>
            <w:hideMark/>
          </w:tcPr>
          <w:p w14:paraId="3F32F34F"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50</w:t>
            </w:r>
          </w:p>
        </w:tc>
        <w:tc>
          <w:tcPr>
            <w:tcW w:w="681" w:type="dxa"/>
            <w:noWrap/>
            <w:hideMark/>
          </w:tcPr>
          <w:p w14:paraId="20ACFA2A"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60</w:t>
            </w:r>
          </w:p>
        </w:tc>
        <w:tc>
          <w:tcPr>
            <w:tcW w:w="680" w:type="dxa"/>
            <w:noWrap/>
            <w:hideMark/>
          </w:tcPr>
          <w:p w14:paraId="2705D648"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73</w:t>
            </w:r>
          </w:p>
        </w:tc>
        <w:tc>
          <w:tcPr>
            <w:tcW w:w="681" w:type="dxa"/>
            <w:hideMark/>
          </w:tcPr>
          <w:p w14:paraId="25FA4467"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77</w:t>
            </w:r>
          </w:p>
        </w:tc>
        <w:tc>
          <w:tcPr>
            <w:tcW w:w="680" w:type="dxa"/>
            <w:hideMark/>
          </w:tcPr>
          <w:p w14:paraId="0D1ED865"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74</w:t>
            </w:r>
          </w:p>
        </w:tc>
        <w:tc>
          <w:tcPr>
            <w:tcW w:w="680" w:type="dxa"/>
            <w:hideMark/>
          </w:tcPr>
          <w:p w14:paraId="73605E46"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78</w:t>
            </w:r>
          </w:p>
        </w:tc>
        <w:tc>
          <w:tcPr>
            <w:tcW w:w="681" w:type="dxa"/>
            <w:hideMark/>
          </w:tcPr>
          <w:p w14:paraId="530D9D7D"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101</w:t>
            </w:r>
          </w:p>
        </w:tc>
        <w:tc>
          <w:tcPr>
            <w:tcW w:w="680" w:type="dxa"/>
            <w:hideMark/>
          </w:tcPr>
          <w:p w14:paraId="4C5F9A34"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110</w:t>
            </w:r>
          </w:p>
        </w:tc>
        <w:tc>
          <w:tcPr>
            <w:tcW w:w="681" w:type="dxa"/>
            <w:hideMark/>
          </w:tcPr>
          <w:p w14:paraId="0AAB95E9"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112</w:t>
            </w:r>
          </w:p>
        </w:tc>
      </w:tr>
      <w:tr w:rsidR="00F569C7" w:rsidRPr="00A9101E" w14:paraId="61FC6977" w14:textId="77777777" w:rsidTr="00F569C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45467E7" w14:textId="77777777" w:rsidR="00194AB4" w:rsidRPr="00A9101E" w:rsidRDefault="00194AB4" w:rsidP="00F569C7">
            <w:pPr>
              <w:spacing w:line="360" w:lineRule="auto"/>
              <w:jc w:val="left"/>
              <w:rPr>
                <w:color w:val="auto"/>
                <w:sz w:val="18"/>
                <w:szCs w:val="18"/>
                <w:lang w:eastAsia="sl-SI"/>
              </w:rPr>
            </w:pPr>
            <w:r w:rsidRPr="00A9101E">
              <w:rPr>
                <w:color w:val="auto"/>
                <w:sz w:val="18"/>
                <w:szCs w:val="18"/>
                <w:lang w:eastAsia="sl-SI"/>
              </w:rPr>
              <w:t>Sodišče: Obsodilna sodba</w:t>
            </w:r>
          </w:p>
        </w:tc>
        <w:tc>
          <w:tcPr>
            <w:tcW w:w="680" w:type="dxa"/>
            <w:noWrap/>
            <w:hideMark/>
          </w:tcPr>
          <w:p w14:paraId="7522D32B"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9</w:t>
            </w:r>
          </w:p>
        </w:tc>
        <w:tc>
          <w:tcPr>
            <w:tcW w:w="680" w:type="dxa"/>
            <w:noWrap/>
            <w:hideMark/>
          </w:tcPr>
          <w:p w14:paraId="540C190C"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26</w:t>
            </w:r>
          </w:p>
        </w:tc>
        <w:tc>
          <w:tcPr>
            <w:tcW w:w="681" w:type="dxa"/>
            <w:noWrap/>
            <w:hideMark/>
          </w:tcPr>
          <w:p w14:paraId="6F29C815"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42</w:t>
            </w:r>
          </w:p>
        </w:tc>
        <w:tc>
          <w:tcPr>
            <w:tcW w:w="680" w:type="dxa"/>
            <w:noWrap/>
            <w:hideMark/>
          </w:tcPr>
          <w:p w14:paraId="30EDCEF5"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60</w:t>
            </w:r>
          </w:p>
        </w:tc>
        <w:tc>
          <w:tcPr>
            <w:tcW w:w="681" w:type="dxa"/>
            <w:hideMark/>
          </w:tcPr>
          <w:p w14:paraId="2E295443"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68</w:t>
            </w:r>
          </w:p>
        </w:tc>
        <w:tc>
          <w:tcPr>
            <w:tcW w:w="680" w:type="dxa"/>
            <w:hideMark/>
          </w:tcPr>
          <w:p w14:paraId="02925E38"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78</w:t>
            </w:r>
          </w:p>
        </w:tc>
        <w:tc>
          <w:tcPr>
            <w:tcW w:w="680" w:type="dxa"/>
            <w:hideMark/>
          </w:tcPr>
          <w:p w14:paraId="44352F95"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83</w:t>
            </w:r>
          </w:p>
        </w:tc>
        <w:tc>
          <w:tcPr>
            <w:tcW w:w="681" w:type="dxa"/>
            <w:hideMark/>
          </w:tcPr>
          <w:p w14:paraId="476F4B89"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93</w:t>
            </w:r>
          </w:p>
        </w:tc>
        <w:tc>
          <w:tcPr>
            <w:tcW w:w="680" w:type="dxa"/>
            <w:hideMark/>
          </w:tcPr>
          <w:p w14:paraId="13B1A089"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101</w:t>
            </w:r>
          </w:p>
        </w:tc>
        <w:tc>
          <w:tcPr>
            <w:tcW w:w="681" w:type="dxa"/>
            <w:hideMark/>
          </w:tcPr>
          <w:p w14:paraId="2068727A"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112</w:t>
            </w:r>
          </w:p>
        </w:tc>
      </w:tr>
      <w:tr w:rsidR="00F569C7" w:rsidRPr="00A9101E" w14:paraId="4AFF7FA1" w14:textId="77777777" w:rsidTr="00F569C7">
        <w:trPr>
          <w:trHeight w:val="315"/>
        </w:trPr>
        <w:tc>
          <w:tcPr>
            <w:cnfStyle w:val="001000000000" w:firstRow="0" w:lastRow="0" w:firstColumn="1" w:lastColumn="0" w:oddVBand="0" w:evenVBand="0" w:oddHBand="0" w:evenHBand="0" w:firstRowFirstColumn="0" w:firstRowLastColumn="0" w:lastRowFirstColumn="0" w:lastRowLastColumn="0"/>
            <w:tcW w:w="2547" w:type="dxa"/>
            <w:noWrap/>
            <w:hideMark/>
          </w:tcPr>
          <w:p w14:paraId="2B66EE72" w14:textId="77777777" w:rsidR="00194AB4" w:rsidRPr="00A9101E" w:rsidRDefault="00194AB4" w:rsidP="00F569C7">
            <w:pPr>
              <w:spacing w:line="360" w:lineRule="auto"/>
              <w:jc w:val="left"/>
              <w:rPr>
                <w:color w:val="auto"/>
                <w:sz w:val="18"/>
                <w:szCs w:val="18"/>
                <w:lang w:eastAsia="sl-SI"/>
              </w:rPr>
            </w:pPr>
            <w:r w:rsidRPr="00A9101E">
              <w:rPr>
                <w:color w:val="auto"/>
                <w:sz w:val="18"/>
                <w:szCs w:val="18"/>
                <w:lang w:eastAsia="sl-SI"/>
              </w:rPr>
              <w:t>Sodišče: Pravnomočna oprostilna sodba</w:t>
            </w:r>
          </w:p>
        </w:tc>
        <w:tc>
          <w:tcPr>
            <w:tcW w:w="680" w:type="dxa"/>
            <w:noWrap/>
            <w:hideMark/>
          </w:tcPr>
          <w:p w14:paraId="26D65AB1"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13</w:t>
            </w:r>
          </w:p>
        </w:tc>
        <w:tc>
          <w:tcPr>
            <w:tcW w:w="680" w:type="dxa"/>
            <w:noWrap/>
            <w:hideMark/>
          </w:tcPr>
          <w:p w14:paraId="0861F286"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15</w:t>
            </w:r>
          </w:p>
        </w:tc>
        <w:tc>
          <w:tcPr>
            <w:tcW w:w="681" w:type="dxa"/>
            <w:noWrap/>
            <w:hideMark/>
          </w:tcPr>
          <w:p w14:paraId="30A1B754"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16</w:t>
            </w:r>
          </w:p>
        </w:tc>
        <w:tc>
          <w:tcPr>
            <w:tcW w:w="680" w:type="dxa"/>
            <w:noWrap/>
            <w:hideMark/>
          </w:tcPr>
          <w:p w14:paraId="4702D148"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19</w:t>
            </w:r>
          </w:p>
        </w:tc>
        <w:tc>
          <w:tcPr>
            <w:tcW w:w="681" w:type="dxa"/>
            <w:hideMark/>
          </w:tcPr>
          <w:p w14:paraId="522380BC"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22</w:t>
            </w:r>
          </w:p>
        </w:tc>
        <w:tc>
          <w:tcPr>
            <w:tcW w:w="680" w:type="dxa"/>
            <w:hideMark/>
          </w:tcPr>
          <w:p w14:paraId="370E9460"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26</w:t>
            </w:r>
          </w:p>
        </w:tc>
        <w:tc>
          <w:tcPr>
            <w:tcW w:w="680" w:type="dxa"/>
            <w:hideMark/>
          </w:tcPr>
          <w:p w14:paraId="455EE5D1"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27</w:t>
            </w:r>
          </w:p>
        </w:tc>
        <w:tc>
          <w:tcPr>
            <w:tcW w:w="681" w:type="dxa"/>
            <w:hideMark/>
          </w:tcPr>
          <w:p w14:paraId="64A34C94"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28</w:t>
            </w:r>
          </w:p>
        </w:tc>
        <w:tc>
          <w:tcPr>
            <w:tcW w:w="680" w:type="dxa"/>
            <w:hideMark/>
          </w:tcPr>
          <w:p w14:paraId="67BDB8CF"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29</w:t>
            </w:r>
          </w:p>
        </w:tc>
        <w:tc>
          <w:tcPr>
            <w:tcW w:w="681" w:type="dxa"/>
            <w:hideMark/>
          </w:tcPr>
          <w:p w14:paraId="7467BE61"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30</w:t>
            </w:r>
          </w:p>
        </w:tc>
      </w:tr>
      <w:tr w:rsidR="00F569C7" w:rsidRPr="00A9101E" w14:paraId="680C066D" w14:textId="77777777" w:rsidTr="00F569C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47" w:type="dxa"/>
            <w:noWrap/>
            <w:hideMark/>
          </w:tcPr>
          <w:p w14:paraId="46D02F03" w14:textId="77777777" w:rsidR="00194AB4" w:rsidRPr="00A9101E" w:rsidRDefault="00194AB4" w:rsidP="00F569C7">
            <w:pPr>
              <w:spacing w:line="360" w:lineRule="auto"/>
              <w:jc w:val="left"/>
              <w:rPr>
                <w:color w:val="auto"/>
                <w:sz w:val="18"/>
                <w:szCs w:val="18"/>
                <w:lang w:eastAsia="sl-SI"/>
              </w:rPr>
            </w:pPr>
            <w:r w:rsidRPr="00A9101E">
              <w:rPr>
                <w:color w:val="auto"/>
                <w:sz w:val="18"/>
                <w:szCs w:val="18"/>
                <w:lang w:eastAsia="sl-SI"/>
              </w:rPr>
              <w:t>Tožilstvo: Odstop od pregona</w:t>
            </w:r>
          </w:p>
        </w:tc>
        <w:tc>
          <w:tcPr>
            <w:tcW w:w="680" w:type="dxa"/>
            <w:noWrap/>
            <w:hideMark/>
          </w:tcPr>
          <w:p w14:paraId="3BA852AB"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24</w:t>
            </w:r>
          </w:p>
        </w:tc>
        <w:tc>
          <w:tcPr>
            <w:tcW w:w="680" w:type="dxa"/>
            <w:noWrap/>
            <w:hideMark/>
          </w:tcPr>
          <w:p w14:paraId="43783606"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29</w:t>
            </w:r>
          </w:p>
        </w:tc>
        <w:tc>
          <w:tcPr>
            <w:tcW w:w="681" w:type="dxa"/>
            <w:noWrap/>
            <w:hideMark/>
          </w:tcPr>
          <w:p w14:paraId="75BD5E17"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20</w:t>
            </w:r>
          </w:p>
        </w:tc>
        <w:tc>
          <w:tcPr>
            <w:tcW w:w="680" w:type="dxa"/>
            <w:noWrap/>
            <w:hideMark/>
          </w:tcPr>
          <w:p w14:paraId="7CCF975B"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25</w:t>
            </w:r>
          </w:p>
        </w:tc>
        <w:tc>
          <w:tcPr>
            <w:tcW w:w="681" w:type="dxa"/>
            <w:hideMark/>
          </w:tcPr>
          <w:p w14:paraId="42EE79C4"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28</w:t>
            </w:r>
          </w:p>
        </w:tc>
        <w:tc>
          <w:tcPr>
            <w:tcW w:w="680" w:type="dxa"/>
            <w:hideMark/>
          </w:tcPr>
          <w:p w14:paraId="51C229D8"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30</w:t>
            </w:r>
          </w:p>
        </w:tc>
        <w:tc>
          <w:tcPr>
            <w:tcW w:w="680" w:type="dxa"/>
            <w:hideMark/>
          </w:tcPr>
          <w:p w14:paraId="20CC34EA"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31</w:t>
            </w:r>
          </w:p>
        </w:tc>
        <w:tc>
          <w:tcPr>
            <w:tcW w:w="681" w:type="dxa"/>
            <w:hideMark/>
          </w:tcPr>
          <w:p w14:paraId="5516A8A2"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45</w:t>
            </w:r>
          </w:p>
        </w:tc>
        <w:tc>
          <w:tcPr>
            <w:tcW w:w="680" w:type="dxa"/>
            <w:hideMark/>
          </w:tcPr>
          <w:p w14:paraId="61502E75"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46</w:t>
            </w:r>
          </w:p>
        </w:tc>
        <w:tc>
          <w:tcPr>
            <w:tcW w:w="681" w:type="dxa"/>
            <w:hideMark/>
          </w:tcPr>
          <w:p w14:paraId="5C133603"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47</w:t>
            </w:r>
          </w:p>
        </w:tc>
      </w:tr>
      <w:tr w:rsidR="00F569C7" w:rsidRPr="00A9101E" w14:paraId="74F14FA8" w14:textId="77777777" w:rsidTr="00F569C7">
        <w:trPr>
          <w:trHeight w:val="315"/>
        </w:trPr>
        <w:tc>
          <w:tcPr>
            <w:cnfStyle w:val="001000000000" w:firstRow="0" w:lastRow="0" w:firstColumn="1" w:lastColumn="0" w:oddVBand="0" w:evenVBand="0" w:oddHBand="0" w:evenHBand="0" w:firstRowFirstColumn="0" w:firstRowLastColumn="0" w:lastRowFirstColumn="0" w:lastRowLastColumn="0"/>
            <w:tcW w:w="2547" w:type="dxa"/>
            <w:noWrap/>
            <w:hideMark/>
          </w:tcPr>
          <w:p w14:paraId="305F6EAC" w14:textId="77777777" w:rsidR="00194AB4" w:rsidRPr="00A9101E" w:rsidRDefault="00194AB4" w:rsidP="00F569C7">
            <w:pPr>
              <w:spacing w:line="360" w:lineRule="auto"/>
              <w:jc w:val="left"/>
              <w:rPr>
                <w:color w:val="auto"/>
                <w:sz w:val="18"/>
                <w:szCs w:val="18"/>
                <w:lang w:eastAsia="sl-SI"/>
              </w:rPr>
            </w:pPr>
            <w:r w:rsidRPr="00A9101E">
              <w:rPr>
                <w:color w:val="auto"/>
                <w:sz w:val="18"/>
                <w:szCs w:val="18"/>
                <w:lang w:eastAsia="sl-SI"/>
              </w:rPr>
              <w:t>Sodišče: Ustavitev kazenskega postopka</w:t>
            </w:r>
          </w:p>
        </w:tc>
        <w:tc>
          <w:tcPr>
            <w:tcW w:w="680" w:type="dxa"/>
            <w:noWrap/>
            <w:hideMark/>
          </w:tcPr>
          <w:p w14:paraId="5825859D" w14:textId="6FEDFB5F" w:rsidR="00194AB4" w:rsidRPr="00A9101E" w:rsidRDefault="002A7197"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0</w:t>
            </w:r>
            <w:r w:rsidR="00194AB4" w:rsidRPr="00A9101E">
              <w:rPr>
                <w:sz w:val="18"/>
                <w:szCs w:val="18"/>
                <w:lang w:eastAsia="sl-SI"/>
              </w:rPr>
              <w:t> </w:t>
            </w:r>
          </w:p>
        </w:tc>
        <w:tc>
          <w:tcPr>
            <w:tcW w:w="680" w:type="dxa"/>
            <w:noWrap/>
            <w:hideMark/>
          </w:tcPr>
          <w:p w14:paraId="3283BCAA" w14:textId="17D15371" w:rsidR="00194AB4" w:rsidRPr="00A9101E" w:rsidRDefault="002A7197"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0</w:t>
            </w:r>
            <w:r w:rsidR="00194AB4" w:rsidRPr="00A9101E">
              <w:rPr>
                <w:sz w:val="18"/>
                <w:szCs w:val="18"/>
                <w:lang w:eastAsia="sl-SI"/>
              </w:rPr>
              <w:t> </w:t>
            </w:r>
          </w:p>
        </w:tc>
        <w:tc>
          <w:tcPr>
            <w:tcW w:w="681" w:type="dxa"/>
            <w:noWrap/>
            <w:hideMark/>
          </w:tcPr>
          <w:p w14:paraId="02E99D6E"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13</w:t>
            </w:r>
          </w:p>
        </w:tc>
        <w:tc>
          <w:tcPr>
            <w:tcW w:w="680" w:type="dxa"/>
            <w:noWrap/>
            <w:hideMark/>
          </w:tcPr>
          <w:p w14:paraId="57492601"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17</w:t>
            </w:r>
          </w:p>
        </w:tc>
        <w:tc>
          <w:tcPr>
            <w:tcW w:w="681" w:type="dxa"/>
            <w:hideMark/>
          </w:tcPr>
          <w:p w14:paraId="2C43D22D"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20</w:t>
            </w:r>
          </w:p>
        </w:tc>
        <w:tc>
          <w:tcPr>
            <w:tcW w:w="680" w:type="dxa"/>
            <w:hideMark/>
          </w:tcPr>
          <w:p w14:paraId="40E2E2B6"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21</w:t>
            </w:r>
          </w:p>
        </w:tc>
        <w:tc>
          <w:tcPr>
            <w:tcW w:w="680" w:type="dxa"/>
            <w:hideMark/>
          </w:tcPr>
          <w:p w14:paraId="5B203C34"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21</w:t>
            </w:r>
          </w:p>
        </w:tc>
        <w:tc>
          <w:tcPr>
            <w:tcW w:w="681" w:type="dxa"/>
            <w:hideMark/>
          </w:tcPr>
          <w:p w14:paraId="7EB279CB"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24</w:t>
            </w:r>
          </w:p>
        </w:tc>
        <w:tc>
          <w:tcPr>
            <w:tcW w:w="680" w:type="dxa"/>
            <w:hideMark/>
          </w:tcPr>
          <w:p w14:paraId="1FF757F6"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24</w:t>
            </w:r>
          </w:p>
        </w:tc>
        <w:tc>
          <w:tcPr>
            <w:tcW w:w="681" w:type="dxa"/>
            <w:hideMark/>
          </w:tcPr>
          <w:p w14:paraId="6EF62B8A"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27</w:t>
            </w:r>
          </w:p>
        </w:tc>
      </w:tr>
      <w:tr w:rsidR="00F569C7" w:rsidRPr="00A9101E" w14:paraId="51C4431E" w14:textId="77777777" w:rsidTr="00F569C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889CA0D" w14:textId="77777777" w:rsidR="00194AB4" w:rsidRPr="00A9101E" w:rsidRDefault="00194AB4" w:rsidP="00F569C7">
            <w:pPr>
              <w:spacing w:line="360" w:lineRule="auto"/>
              <w:jc w:val="left"/>
              <w:rPr>
                <w:color w:val="auto"/>
                <w:sz w:val="18"/>
                <w:szCs w:val="18"/>
                <w:lang w:eastAsia="sl-SI"/>
              </w:rPr>
            </w:pPr>
            <w:r w:rsidRPr="00A9101E">
              <w:rPr>
                <w:color w:val="auto"/>
                <w:sz w:val="18"/>
                <w:szCs w:val="18"/>
                <w:lang w:eastAsia="sl-SI"/>
              </w:rPr>
              <w:t>Sodišče: Odstop pregona v tujino</w:t>
            </w:r>
          </w:p>
        </w:tc>
        <w:tc>
          <w:tcPr>
            <w:tcW w:w="680" w:type="dxa"/>
            <w:noWrap/>
            <w:hideMark/>
          </w:tcPr>
          <w:p w14:paraId="091955D4"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4</w:t>
            </w:r>
          </w:p>
        </w:tc>
        <w:tc>
          <w:tcPr>
            <w:tcW w:w="680" w:type="dxa"/>
            <w:noWrap/>
            <w:hideMark/>
          </w:tcPr>
          <w:p w14:paraId="2BFE5838"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5</w:t>
            </w:r>
          </w:p>
        </w:tc>
        <w:tc>
          <w:tcPr>
            <w:tcW w:w="681" w:type="dxa"/>
            <w:noWrap/>
            <w:hideMark/>
          </w:tcPr>
          <w:p w14:paraId="578B2AA5"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6</w:t>
            </w:r>
          </w:p>
        </w:tc>
        <w:tc>
          <w:tcPr>
            <w:tcW w:w="680" w:type="dxa"/>
            <w:noWrap/>
            <w:hideMark/>
          </w:tcPr>
          <w:p w14:paraId="10EFCEAA"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6</w:t>
            </w:r>
          </w:p>
        </w:tc>
        <w:tc>
          <w:tcPr>
            <w:tcW w:w="681" w:type="dxa"/>
            <w:hideMark/>
          </w:tcPr>
          <w:p w14:paraId="5AD8179D"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6</w:t>
            </w:r>
          </w:p>
        </w:tc>
        <w:tc>
          <w:tcPr>
            <w:tcW w:w="680" w:type="dxa"/>
            <w:hideMark/>
          </w:tcPr>
          <w:p w14:paraId="2F0EC34B"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6</w:t>
            </w:r>
          </w:p>
        </w:tc>
        <w:tc>
          <w:tcPr>
            <w:tcW w:w="680" w:type="dxa"/>
            <w:hideMark/>
          </w:tcPr>
          <w:p w14:paraId="6466E53E"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6</w:t>
            </w:r>
          </w:p>
        </w:tc>
        <w:tc>
          <w:tcPr>
            <w:tcW w:w="681" w:type="dxa"/>
            <w:hideMark/>
          </w:tcPr>
          <w:p w14:paraId="5A7562EC"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6</w:t>
            </w:r>
          </w:p>
        </w:tc>
        <w:tc>
          <w:tcPr>
            <w:tcW w:w="680" w:type="dxa"/>
            <w:hideMark/>
          </w:tcPr>
          <w:p w14:paraId="6460EB0C"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6</w:t>
            </w:r>
          </w:p>
        </w:tc>
        <w:tc>
          <w:tcPr>
            <w:tcW w:w="681" w:type="dxa"/>
            <w:hideMark/>
          </w:tcPr>
          <w:p w14:paraId="75261A1A"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6</w:t>
            </w:r>
          </w:p>
        </w:tc>
      </w:tr>
      <w:tr w:rsidR="00F569C7" w:rsidRPr="00A9101E" w14:paraId="08BB082D" w14:textId="77777777" w:rsidTr="00F569C7">
        <w:trPr>
          <w:trHeight w:val="315"/>
        </w:trPr>
        <w:tc>
          <w:tcPr>
            <w:cnfStyle w:val="001000000000" w:firstRow="0" w:lastRow="0" w:firstColumn="1" w:lastColumn="0" w:oddVBand="0" w:evenVBand="0" w:oddHBand="0" w:evenHBand="0" w:firstRowFirstColumn="0" w:firstRowLastColumn="0" w:lastRowFirstColumn="0" w:lastRowLastColumn="0"/>
            <w:tcW w:w="2547" w:type="dxa"/>
            <w:noWrap/>
            <w:hideMark/>
          </w:tcPr>
          <w:p w14:paraId="714FB07C" w14:textId="77777777" w:rsidR="00194AB4" w:rsidRPr="00A9101E" w:rsidRDefault="00194AB4" w:rsidP="00F569C7">
            <w:pPr>
              <w:spacing w:line="360" w:lineRule="auto"/>
              <w:jc w:val="left"/>
              <w:rPr>
                <w:color w:val="auto"/>
                <w:sz w:val="18"/>
                <w:szCs w:val="18"/>
                <w:lang w:eastAsia="sl-SI"/>
              </w:rPr>
            </w:pPr>
            <w:r w:rsidRPr="00A9101E">
              <w:rPr>
                <w:color w:val="auto"/>
                <w:sz w:val="18"/>
                <w:szCs w:val="18"/>
                <w:lang w:eastAsia="sl-SI"/>
              </w:rPr>
              <w:t>Prekvalifikacija kaznivega dejanja</w:t>
            </w:r>
          </w:p>
        </w:tc>
        <w:tc>
          <w:tcPr>
            <w:tcW w:w="680" w:type="dxa"/>
            <w:noWrap/>
            <w:hideMark/>
          </w:tcPr>
          <w:p w14:paraId="1932760B"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 3</w:t>
            </w:r>
          </w:p>
        </w:tc>
        <w:tc>
          <w:tcPr>
            <w:tcW w:w="680" w:type="dxa"/>
            <w:noWrap/>
            <w:hideMark/>
          </w:tcPr>
          <w:p w14:paraId="3FE7342D"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3</w:t>
            </w:r>
          </w:p>
        </w:tc>
        <w:tc>
          <w:tcPr>
            <w:tcW w:w="681" w:type="dxa"/>
            <w:noWrap/>
            <w:hideMark/>
          </w:tcPr>
          <w:p w14:paraId="23C97452"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5</w:t>
            </w:r>
          </w:p>
        </w:tc>
        <w:tc>
          <w:tcPr>
            <w:tcW w:w="680" w:type="dxa"/>
            <w:noWrap/>
            <w:hideMark/>
          </w:tcPr>
          <w:p w14:paraId="02803CB1"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5</w:t>
            </w:r>
          </w:p>
        </w:tc>
        <w:tc>
          <w:tcPr>
            <w:tcW w:w="681" w:type="dxa"/>
            <w:hideMark/>
          </w:tcPr>
          <w:p w14:paraId="0CA5100C"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5</w:t>
            </w:r>
          </w:p>
        </w:tc>
        <w:tc>
          <w:tcPr>
            <w:tcW w:w="680" w:type="dxa"/>
            <w:hideMark/>
          </w:tcPr>
          <w:p w14:paraId="33654340"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5</w:t>
            </w:r>
          </w:p>
        </w:tc>
        <w:tc>
          <w:tcPr>
            <w:tcW w:w="680" w:type="dxa"/>
            <w:hideMark/>
          </w:tcPr>
          <w:p w14:paraId="4ED1C322"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5</w:t>
            </w:r>
          </w:p>
        </w:tc>
        <w:tc>
          <w:tcPr>
            <w:tcW w:w="681" w:type="dxa"/>
            <w:hideMark/>
          </w:tcPr>
          <w:p w14:paraId="6037D896"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5</w:t>
            </w:r>
          </w:p>
        </w:tc>
        <w:tc>
          <w:tcPr>
            <w:tcW w:w="680" w:type="dxa"/>
            <w:hideMark/>
          </w:tcPr>
          <w:p w14:paraId="597CE3EF"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5</w:t>
            </w:r>
          </w:p>
        </w:tc>
        <w:tc>
          <w:tcPr>
            <w:tcW w:w="681" w:type="dxa"/>
            <w:hideMark/>
          </w:tcPr>
          <w:p w14:paraId="274121D1"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eastAsia="sl-SI"/>
              </w:rPr>
            </w:pPr>
            <w:r w:rsidRPr="00A9101E">
              <w:rPr>
                <w:sz w:val="18"/>
                <w:szCs w:val="18"/>
                <w:lang w:eastAsia="sl-SI"/>
              </w:rPr>
              <w:t>5</w:t>
            </w:r>
          </w:p>
        </w:tc>
      </w:tr>
      <w:tr w:rsidR="00F569C7" w:rsidRPr="00A9101E" w14:paraId="0B8E6F0C" w14:textId="77777777" w:rsidTr="00F569C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547" w:type="dxa"/>
            <w:noWrap/>
            <w:hideMark/>
          </w:tcPr>
          <w:p w14:paraId="0A355123" w14:textId="77777777" w:rsidR="00194AB4" w:rsidRPr="00A9101E" w:rsidRDefault="00194AB4" w:rsidP="00F569C7">
            <w:pPr>
              <w:spacing w:line="360" w:lineRule="auto"/>
              <w:jc w:val="left"/>
              <w:rPr>
                <w:color w:val="auto"/>
                <w:sz w:val="18"/>
                <w:szCs w:val="18"/>
                <w:lang w:eastAsia="sl-SI"/>
              </w:rPr>
            </w:pPr>
            <w:r w:rsidRPr="00A9101E">
              <w:rPr>
                <w:color w:val="auto"/>
                <w:sz w:val="18"/>
                <w:szCs w:val="18"/>
                <w:lang w:eastAsia="sl-SI"/>
              </w:rPr>
              <w:t>Združitev postopkov</w:t>
            </w:r>
          </w:p>
        </w:tc>
        <w:tc>
          <w:tcPr>
            <w:tcW w:w="680" w:type="dxa"/>
            <w:noWrap/>
            <w:hideMark/>
          </w:tcPr>
          <w:p w14:paraId="3A765454" w14:textId="547AC721" w:rsidR="00194AB4" w:rsidRPr="00A9101E" w:rsidRDefault="002A7197"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0</w:t>
            </w:r>
            <w:r w:rsidR="00194AB4" w:rsidRPr="00A9101E">
              <w:rPr>
                <w:sz w:val="18"/>
                <w:szCs w:val="18"/>
                <w:lang w:eastAsia="sl-SI"/>
              </w:rPr>
              <w:t> </w:t>
            </w:r>
          </w:p>
        </w:tc>
        <w:tc>
          <w:tcPr>
            <w:tcW w:w="680" w:type="dxa"/>
            <w:noWrap/>
            <w:hideMark/>
          </w:tcPr>
          <w:p w14:paraId="688DDF39"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3</w:t>
            </w:r>
          </w:p>
        </w:tc>
        <w:tc>
          <w:tcPr>
            <w:tcW w:w="681" w:type="dxa"/>
            <w:noWrap/>
            <w:hideMark/>
          </w:tcPr>
          <w:p w14:paraId="25B97D34"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6</w:t>
            </w:r>
          </w:p>
        </w:tc>
        <w:tc>
          <w:tcPr>
            <w:tcW w:w="680" w:type="dxa"/>
            <w:noWrap/>
            <w:hideMark/>
          </w:tcPr>
          <w:p w14:paraId="5804F228"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12</w:t>
            </w:r>
          </w:p>
        </w:tc>
        <w:tc>
          <w:tcPr>
            <w:tcW w:w="681" w:type="dxa"/>
            <w:hideMark/>
          </w:tcPr>
          <w:p w14:paraId="50CAC032"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12</w:t>
            </w:r>
          </w:p>
        </w:tc>
        <w:tc>
          <w:tcPr>
            <w:tcW w:w="680" w:type="dxa"/>
            <w:hideMark/>
          </w:tcPr>
          <w:p w14:paraId="0D3C2BF0"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12</w:t>
            </w:r>
          </w:p>
        </w:tc>
        <w:tc>
          <w:tcPr>
            <w:tcW w:w="680" w:type="dxa"/>
            <w:hideMark/>
          </w:tcPr>
          <w:p w14:paraId="586E4DA2"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12</w:t>
            </w:r>
          </w:p>
        </w:tc>
        <w:tc>
          <w:tcPr>
            <w:tcW w:w="681" w:type="dxa"/>
            <w:hideMark/>
          </w:tcPr>
          <w:p w14:paraId="1AA52994"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12</w:t>
            </w:r>
          </w:p>
        </w:tc>
        <w:tc>
          <w:tcPr>
            <w:tcW w:w="680" w:type="dxa"/>
            <w:hideMark/>
          </w:tcPr>
          <w:p w14:paraId="4D38D18E"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13</w:t>
            </w:r>
          </w:p>
        </w:tc>
        <w:tc>
          <w:tcPr>
            <w:tcW w:w="681" w:type="dxa"/>
            <w:hideMark/>
          </w:tcPr>
          <w:p w14:paraId="17CC16AB" w14:textId="77777777" w:rsidR="00194AB4" w:rsidRPr="00A9101E" w:rsidRDefault="00194AB4" w:rsidP="00F569C7">
            <w:pPr>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eastAsia="sl-SI"/>
              </w:rPr>
            </w:pPr>
            <w:r w:rsidRPr="00A9101E">
              <w:rPr>
                <w:sz w:val="18"/>
                <w:szCs w:val="18"/>
                <w:lang w:eastAsia="sl-SI"/>
              </w:rPr>
              <w:t>13</w:t>
            </w:r>
          </w:p>
        </w:tc>
      </w:tr>
      <w:tr w:rsidR="00F569C7" w:rsidRPr="00A9101E" w14:paraId="68DD5B26" w14:textId="77777777" w:rsidTr="00F569C7">
        <w:trPr>
          <w:trHeight w:val="315"/>
        </w:trPr>
        <w:tc>
          <w:tcPr>
            <w:cnfStyle w:val="001000000000" w:firstRow="0" w:lastRow="0" w:firstColumn="1" w:lastColumn="0" w:oddVBand="0" w:evenVBand="0" w:oddHBand="0" w:evenHBand="0" w:firstRowFirstColumn="0" w:firstRowLastColumn="0" w:lastRowFirstColumn="0" w:lastRowLastColumn="0"/>
            <w:tcW w:w="2547" w:type="dxa"/>
            <w:noWrap/>
            <w:hideMark/>
          </w:tcPr>
          <w:p w14:paraId="7246D96D" w14:textId="77777777" w:rsidR="00194AB4" w:rsidRPr="00A9101E" w:rsidRDefault="00194AB4" w:rsidP="00F569C7">
            <w:pPr>
              <w:spacing w:line="360" w:lineRule="auto"/>
              <w:jc w:val="left"/>
              <w:rPr>
                <w:b w:val="0"/>
                <w:bCs w:val="0"/>
                <w:color w:val="auto"/>
                <w:sz w:val="18"/>
                <w:szCs w:val="18"/>
                <w:lang w:eastAsia="sl-SI"/>
              </w:rPr>
            </w:pPr>
            <w:r w:rsidRPr="00A9101E">
              <w:rPr>
                <w:color w:val="auto"/>
                <w:sz w:val="18"/>
                <w:szCs w:val="18"/>
                <w:lang w:eastAsia="sl-SI"/>
              </w:rPr>
              <w:t>SKUPAJ</w:t>
            </w:r>
          </w:p>
        </w:tc>
        <w:tc>
          <w:tcPr>
            <w:tcW w:w="680" w:type="dxa"/>
            <w:noWrap/>
            <w:hideMark/>
          </w:tcPr>
          <w:p w14:paraId="23102209" w14:textId="77777777" w:rsidR="00194AB4" w:rsidRPr="00A9101E" w:rsidRDefault="00194AB4"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lang w:eastAsia="sl-SI"/>
              </w:rPr>
            </w:pPr>
            <w:r w:rsidRPr="00A9101E">
              <w:rPr>
                <w:b/>
                <w:bCs/>
                <w:sz w:val="18"/>
                <w:szCs w:val="18"/>
                <w:lang w:eastAsia="sl-SI"/>
              </w:rPr>
              <w:t>265</w:t>
            </w:r>
          </w:p>
        </w:tc>
        <w:tc>
          <w:tcPr>
            <w:tcW w:w="680" w:type="dxa"/>
            <w:noWrap/>
            <w:hideMark/>
          </w:tcPr>
          <w:p w14:paraId="3CF67B6D" w14:textId="77777777" w:rsidR="00194AB4" w:rsidRPr="00A9101E" w:rsidRDefault="00194AB4"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lang w:eastAsia="sl-SI"/>
              </w:rPr>
            </w:pPr>
            <w:r w:rsidRPr="00A9101E">
              <w:rPr>
                <w:b/>
                <w:bCs/>
                <w:sz w:val="18"/>
                <w:szCs w:val="18"/>
                <w:lang w:eastAsia="sl-SI"/>
              </w:rPr>
              <w:t>348</w:t>
            </w:r>
          </w:p>
        </w:tc>
        <w:tc>
          <w:tcPr>
            <w:tcW w:w="681" w:type="dxa"/>
            <w:noWrap/>
            <w:hideMark/>
          </w:tcPr>
          <w:p w14:paraId="56E9DB5D" w14:textId="77777777" w:rsidR="00194AB4" w:rsidRPr="00A9101E" w:rsidRDefault="00194AB4"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lang w:eastAsia="sl-SI"/>
              </w:rPr>
            </w:pPr>
            <w:r w:rsidRPr="00A9101E">
              <w:rPr>
                <w:b/>
                <w:bCs/>
                <w:sz w:val="18"/>
                <w:szCs w:val="18"/>
                <w:lang w:eastAsia="sl-SI"/>
              </w:rPr>
              <w:t>408</w:t>
            </w:r>
          </w:p>
        </w:tc>
        <w:tc>
          <w:tcPr>
            <w:tcW w:w="680" w:type="dxa"/>
            <w:noWrap/>
            <w:hideMark/>
          </w:tcPr>
          <w:p w14:paraId="649165A9" w14:textId="77777777" w:rsidR="00194AB4" w:rsidRPr="00A9101E" w:rsidRDefault="00194AB4"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lang w:eastAsia="sl-SI"/>
              </w:rPr>
            </w:pPr>
            <w:r w:rsidRPr="00A9101E">
              <w:rPr>
                <w:b/>
                <w:bCs/>
                <w:sz w:val="18"/>
                <w:szCs w:val="18"/>
                <w:lang w:eastAsia="sl-SI"/>
              </w:rPr>
              <w:t>457</w:t>
            </w:r>
          </w:p>
        </w:tc>
        <w:tc>
          <w:tcPr>
            <w:tcW w:w="681" w:type="dxa"/>
            <w:hideMark/>
          </w:tcPr>
          <w:p w14:paraId="38F5ED4B" w14:textId="77777777" w:rsidR="00194AB4" w:rsidRPr="00A9101E" w:rsidRDefault="00194AB4"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lang w:eastAsia="sl-SI"/>
              </w:rPr>
            </w:pPr>
            <w:r w:rsidRPr="00A9101E">
              <w:rPr>
                <w:b/>
                <w:bCs/>
                <w:sz w:val="18"/>
                <w:szCs w:val="18"/>
                <w:lang w:eastAsia="sl-SI"/>
              </w:rPr>
              <w:t>513</w:t>
            </w:r>
          </w:p>
        </w:tc>
        <w:tc>
          <w:tcPr>
            <w:tcW w:w="680" w:type="dxa"/>
            <w:hideMark/>
          </w:tcPr>
          <w:p w14:paraId="4D9D3B79" w14:textId="77777777" w:rsidR="00194AB4" w:rsidRPr="00A9101E" w:rsidRDefault="00194AB4"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lang w:eastAsia="sl-SI"/>
              </w:rPr>
            </w:pPr>
            <w:r w:rsidRPr="00A9101E">
              <w:rPr>
                <w:b/>
                <w:bCs/>
                <w:sz w:val="18"/>
                <w:szCs w:val="18"/>
                <w:lang w:eastAsia="sl-SI"/>
              </w:rPr>
              <w:t>559</w:t>
            </w:r>
          </w:p>
        </w:tc>
        <w:tc>
          <w:tcPr>
            <w:tcW w:w="680" w:type="dxa"/>
            <w:hideMark/>
          </w:tcPr>
          <w:p w14:paraId="23FF7A02" w14:textId="77777777" w:rsidR="00194AB4" w:rsidRPr="00A9101E" w:rsidRDefault="00194AB4"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lang w:eastAsia="sl-SI"/>
              </w:rPr>
            </w:pPr>
            <w:r w:rsidRPr="00A9101E">
              <w:rPr>
                <w:b/>
                <w:bCs/>
                <w:sz w:val="18"/>
                <w:szCs w:val="18"/>
                <w:lang w:eastAsia="sl-SI"/>
              </w:rPr>
              <w:t>583</w:t>
            </w:r>
          </w:p>
        </w:tc>
        <w:tc>
          <w:tcPr>
            <w:tcW w:w="681" w:type="dxa"/>
            <w:hideMark/>
          </w:tcPr>
          <w:p w14:paraId="1AF86B88" w14:textId="77777777" w:rsidR="00194AB4" w:rsidRPr="00A9101E" w:rsidRDefault="00194AB4" w:rsidP="00F569C7">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lang w:eastAsia="sl-SI"/>
              </w:rPr>
            </w:pPr>
            <w:r w:rsidRPr="00A9101E">
              <w:rPr>
                <w:b/>
                <w:bCs/>
                <w:sz w:val="18"/>
                <w:szCs w:val="18"/>
                <w:lang w:eastAsia="sl-SI"/>
              </w:rPr>
              <w:t>636</w:t>
            </w:r>
          </w:p>
        </w:tc>
        <w:tc>
          <w:tcPr>
            <w:tcW w:w="680" w:type="dxa"/>
            <w:hideMark/>
          </w:tcPr>
          <w:p w14:paraId="4741FADA"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b/>
                <w:bCs/>
                <w:sz w:val="18"/>
                <w:szCs w:val="18"/>
                <w:lang w:eastAsia="sl-SI"/>
              </w:rPr>
            </w:pPr>
            <w:r w:rsidRPr="00A9101E">
              <w:rPr>
                <w:b/>
                <w:bCs/>
                <w:sz w:val="18"/>
                <w:szCs w:val="18"/>
                <w:lang w:eastAsia="sl-SI"/>
              </w:rPr>
              <w:t>667</w:t>
            </w:r>
          </w:p>
        </w:tc>
        <w:tc>
          <w:tcPr>
            <w:tcW w:w="681" w:type="dxa"/>
            <w:hideMark/>
          </w:tcPr>
          <w:p w14:paraId="49414ABF" w14:textId="77777777" w:rsidR="00194AB4" w:rsidRPr="00A9101E" w:rsidRDefault="00194AB4" w:rsidP="00F569C7">
            <w:pPr>
              <w:spacing w:line="360" w:lineRule="auto"/>
              <w:jc w:val="right"/>
              <w:cnfStyle w:val="000000000000" w:firstRow="0" w:lastRow="0" w:firstColumn="0" w:lastColumn="0" w:oddVBand="0" w:evenVBand="0" w:oddHBand="0" w:evenHBand="0" w:firstRowFirstColumn="0" w:firstRowLastColumn="0" w:lastRowFirstColumn="0" w:lastRowLastColumn="0"/>
              <w:rPr>
                <w:b/>
                <w:bCs/>
                <w:sz w:val="18"/>
                <w:szCs w:val="18"/>
                <w:lang w:eastAsia="sl-SI"/>
              </w:rPr>
            </w:pPr>
            <w:r w:rsidRPr="00A9101E">
              <w:rPr>
                <w:b/>
                <w:bCs/>
                <w:sz w:val="18"/>
                <w:szCs w:val="18"/>
                <w:lang w:eastAsia="sl-SI"/>
              </w:rPr>
              <w:t>735</w:t>
            </w:r>
          </w:p>
        </w:tc>
      </w:tr>
    </w:tbl>
    <w:p w14:paraId="710AFB21" w14:textId="77777777" w:rsidR="00B65A09" w:rsidRDefault="00B65A09" w:rsidP="00B65A09"/>
    <w:p w14:paraId="0E5C96D8" w14:textId="7D7B5021" w:rsidR="00C87C33" w:rsidRPr="00424274" w:rsidRDefault="00C87C33" w:rsidP="00C87C33">
      <w:pPr>
        <w:pStyle w:val="Telobesedila2"/>
        <w:tabs>
          <w:tab w:val="left" w:pos="-787"/>
          <w:tab w:val="left" w:pos="0"/>
          <w:tab w:val="left" w:pos="720"/>
          <w:tab w:val="left" w:pos="1440"/>
          <w:tab w:val="left" w:pos="2160"/>
          <w:tab w:val="left" w:pos="2880"/>
          <w:tab w:val="left" w:pos="3600"/>
          <w:tab w:val="left" w:pos="4320"/>
          <w:tab w:val="left" w:pos="4500"/>
        </w:tabs>
        <w:spacing w:line="276" w:lineRule="auto"/>
        <w:ind w:right="-22"/>
      </w:pPr>
      <w:r>
        <w:t>Tožilstva so v letu 2021</w:t>
      </w:r>
      <w:r w:rsidRPr="00424274">
        <w:t xml:space="preserve"> zavrgla </w:t>
      </w:r>
      <w:r>
        <w:t>15</w:t>
      </w:r>
      <w:r w:rsidRPr="00424274">
        <w:t xml:space="preserve"> kazenskih ovadb, podanih zaradi sumov storitve kaznivega dejanja pranja denarja, medtem ko se število zadev v aktivnih fazah predkazenskega in kazenskega postopka</w:t>
      </w:r>
      <w:r>
        <w:t xml:space="preserve"> bistveno</w:t>
      </w:r>
      <w:r w:rsidRPr="00424274">
        <w:t xml:space="preserve"> ni spremenilo.</w:t>
      </w:r>
    </w:p>
    <w:p w14:paraId="36272CDB" w14:textId="4B7BDB81" w:rsidR="00C87C33" w:rsidRPr="00C87C33" w:rsidRDefault="00C87C33" w:rsidP="00C87C33">
      <w:pPr>
        <w:pStyle w:val="Telobesedila2"/>
        <w:tabs>
          <w:tab w:val="left" w:pos="-787"/>
          <w:tab w:val="left" w:pos="0"/>
          <w:tab w:val="left" w:pos="720"/>
          <w:tab w:val="left" w:pos="1440"/>
          <w:tab w:val="left" w:pos="2160"/>
          <w:tab w:val="left" w:pos="2880"/>
          <w:tab w:val="left" w:pos="3600"/>
          <w:tab w:val="left" w:pos="4320"/>
          <w:tab w:val="left" w:pos="4500"/>
        </w:tabs>
        <w:spacing w:line="276" w:lineRule="auto"/>
        <w:ind w:right="-22"/>
      </w:pPr>
      <w:r>
        <w:t>Konec leta 2021 je bilo 190</w:t>
      </w:r>
      <w:r w:rsidRPr="00424274">
        <w:t xml:space="preserve"> zadev v fazah pregona (zahteva za preiskavo, preiskava ali obtožnica), kar je </w:t>
      </w:r>
      <w:r>
        <w:t>sedem zadev več</w:t>
      </w:r>
      <w:r w:rsidRPr="00424274">
        <w:t xml:space="preserve"> kot lani in hkrati največ</w:t>
      </w:r>
      <w:r>
        <w:t>,</w:t>
      </w:r>
      <w:r w:rsidRPr="00424274">
        <w:t xml:space="preserve"> odkar je pranje denarja inkriminirano </w:t>
      </w:r>
      <w:r>
        <w:t xml:space="preserve">kot kaznivo dejanje. </w:t>
      </w:r>
      <w:r w:rsidRPr="00BE47EC">
        <w:rPr>
          <w:b/>
          <w:bCs/>
        </w:rPr>
        <w:t xml:space="preserve">V letu 2021 so se pravnomočno zaključili postopki v 16 zadevah, in sicer </w:t>
      </w:r>
      <w:r w:rsidR="00BE47EC" w:rsidRPr="00BE47EC">
        <w:rPr>
          <w:b/>
          <w:bCs/>
        </w:rPr>
        <w:t>je</w:t>
      </w:r>
      <w:r w:rsidRPr="00BE47EC">
        <w:rPr>
          <w:b/>
          <w:bCs/>
        </w:rPr>
        <w:t xml:space="preserve"> v eni zadevi tožilstv</w:t>
      </w:r>
      <w:r w:rsidR="00BE47EC" w:rsidRPr="00BE47EC">
        <w:rPr>
          <w:b/>
          <w:bCs/>
        </w:rPr>
        <w:t>o</w:t>
      </w:r>
      <w:r w:rsidRPr="00BE47EC">
        <w:rPr>
          <w:b/>
          <w:bCs/>
        </w:rPr>
        <w:t xml:space="preserve"> odstopil</w:t>
      </w:r>
      <w:r w:rsidR="00BE47EC" w:rsidRPr="00BE47EC">
        <w:rPr>
          <w:b/>
          <w:bCs/>
        </w:rPr>
        <w:t>o</w:t>
      </w:r>
      <w:r w:rsidRPr="00BE47EC">
        <w:rPr>
          <w:b/>
          <w:bCs/>
        </w:rPr>
        <w:t xml:space="preserve"> od pregona, v treh zadevah se je kazenski postopek ustavil, </w:t>
      </w:r>
      <w:r w:rsidRPr="00D36326">
        <w:rPr>
          <w:b/>
          <w:bCs/>
        </w:rPr>
        <w:t xml:space="preserve">v 12 zadevah pa so bile </w:t>
      </w:r>
      <w:r w:rsidRPr="00D36326">
        <w:rPr>
          <w:b/>
          <w:bCs/>
        </w:rPr>
        <w:lastRenderedPageBreak/>
        <w:t xml:space="preserve">izrečene pravnomočne sodbe, od tega ena oprostilna in 11 obsodilnih. </w:t>
      </w:r>
      <w:r w:rsidRPr="00D36326">
        <w:t>V poglavju</w:t>
      </w:r>
      <w:r w:rsidRPr="00424274">
        <w:t xml:space="preserve"> 4.1.5 </w:t>
      </w:r>
      <w:r w:rsidR="00BE47EC">
        <w:t xml:space="preserve">so </w:t>
      </w:r>
      <w:r w:rsidRPr="004722C2">
        <w:t xml:space="preserve">natančneje </w:t>
      </w:r>
      <w:r w:rsidR="00BE47EC" w:rsidRPr="004722C2">
        <w:t xml:space="preserve">opredeljene </w:t>
      </w:r>
      <w:r w:rsidRPr="004722C2">
        <w:t>vse pravnomočne sodbe</w:t>
      </w:r>
      <w:r w:rsidR="004722C2" w:rsidRPr="004722C2">
        <w:t>, izrečene v letu 2021</w:t>
      </w:r>
      <w:r w:rsidRPr="004722C2">
        <w:t xml:space="preserve">, </w:t>
      </w:r>
      <w:r w:rsidR="00931C55">
        <w:t>o katerih je bil urad obveščen</w:t>
      </w:r>
      <w:r w:rsidRPr="004722C2">
        <w:t xml:space="preserve"> do oddaje tega poročila.</w:t>
      </w:r>
    </w:p>
    <w:p w14:paraId="17F0957E" w14:textId="51C22AD2" w:rsidR="00C87C33" w:rsidRPr="00424274" w:rsidRDefault="00C87C33" w:rsidP="00C87C33">
      <w:pPr>
        <w:pStyle w:val="Telobesedila2"/>
        <w:tabs>
          <w:tab w:val="left" w:pos="-787"/>
          <w:tab w:val="left" w:pos="0"/>
          <w:tab w:val="left" w:pos="720"/>
          <w:tab w:val="left" w:pos="1440"/>
          <w:tab w:val="left" w:pos="2160"/>
          <w:tab w:val="left" w:pos="2880"/>
          <w:tab w:val="left" w:pos="3600"/>
          <w:tab w:val="left" w:pos="4320"/>
          <w:tab w:val="left" w:pos="4500"/>
        </w:tabs>
        <w:spacing w:line="276" w:lineRule="auto"/>
        <w:ind w:right="-22"/>
      </w:pPr>
      <w:r w:rsidRPr="00492B2A">
        <w:t>V sodbah so bile</w:t>
      </w:r>
      <w:r w:rsidRPr="00424274">
        <w:t xml:space="preserve"> </w:t>
      </w:r>
      <w:r>
        <w:t>izrečene 4 zaporne</w:t>
      </w:r>
      <w:r w:rsidRPr="00424274">
        <w:t xml:space="preserve"> kazni</w:t>
      </w:r>
      <w:r>
        <w:t>,</w:t>
      </w:r>
      <w:r w:rsidRPr="00424274">
        <w:t xml:space="preserve"> od tega</w:t>
      </w:r>
      <w:r>
        <w:t xml:space="preserve"> vse</w:t>
      </w:r>
      <w:r w:rsidRPr="00424274">
        <w:t xml:space="preserve"> </w:t>
      </w:r>
      <w:r>
        <w:t>štiri</w:t>
      </w:r>
      <w:r w:rsidRPr="00424274">
        <w:t xml:space="preserve"> pogojne, hkrati pa so bile izrečene kazni vrnitve (</w:t>
      </w:r>
      <w:r>
        <w:t>12.800 EUR) in</w:t>
      </w:r>
      <w:r w:rsidRPr="00424274">
        <w:t xml:space="preserve"> stranske denarne kazni (</w:t>
      </w:r>
      <w:r>
        <w:t>2.000</w:t>
      </w:r>
      <w:r w:rsidRPr="00424274">
        <w:t xml:space="preserve"> EUR). V celotnem obdobju, ko je kaznivo dejanje inkriminirano v slovenski zakonod</w:t>
      </w:r>
      <w:r>
        <w:t xml:space="preserve">aji, so bile izrečene sodbe v 142 </w:t>
      </w:r>
      <w:r w:rsidRPr="00424274">
        <w:t>zadevah. Od tega so bile pravnomočno izrečene obsodiln</w:t>
      </w:r>
      <w:r>
        <w:t>e sodbe v 112 zadevah in pravnomočno oprostilne v 30</w:t>
      </w:r>
      <w:r w:rsidRPr="00424274">
        <w:t xml:space="preserve"> zadevah.</w:t>
      </w:r>
    </w:p>
    <w:p w14:paraId="54E8EDEA" w14:textId="77777777" w:rsidR="00154D55" w:rsidRDefault="00154D55" w:rsidP="00B65A09"/>
    <w:p w14:paraId="125EEFCE" w14:textId="51C93B3D" w:rsidR="00B65A09" w:rsidRDefault="00B65A09" w:rsidP="00B65A09">
      <w:pPr>
        <w:pStyle w:val="Naslov3"/>
      </w:pPr>
      <w:bookmarkStart w:id="38" w:name="_Toc119581710"/>
      <w:r>
        <w:t>Podatki o izrečenih pravnomočnih sodbah zaradi storitve kaznivega dejanja pranja denarja po 245. členu KZ-1 in 252. členu KZ</w:t>
      </w:r>
      <w:bookmarkEnd w:id="38"/>
      <w:r>
        <w:t xml:space="preserve"> </w:t>
      </w:r>
    </w:p>
    <w:p w14:paraId="5F22786B" w14:textId="77777777" w:rsidR="00B65A09" w:rsidRDefault="00B65A09" w:rsidP="00B65A09"/>
    <w:p w14:paraId="3DB3836C" w14:textId="474B2545" w:rsidR="00B04B08" w:rsidRPr="00B04B08" w:rsidRDefault="00DC5080" w:rsidP="00B04B08">
      <w:pPr>
        <w:spacing w:line="276" w:lineRule="auto"/>
        <w:rPr>
          <w:color w:val="FF0000"/>
        </w:rPr>
      </w:pPr>
      <w:r>
        <w:rPr>
          <w:color w:val="000000" w:themeColor="text1"/>
        </w:rPr>
        <w:t>D</w:t>
      </w:r>
      <w:r w:rsidR="00B04B08" w:rsidRPr="00DC5080">
        <w:rPr>
          <w:color w:val="000000" w:themeColor="text1"/>
        </w:rPr>
        <w:t>o konca leta 2021</w:t>
      </w:r>
      <w:r>
        <w:rPr>
          <w:color w:val="000000" w:themeColor="text1"/>
        </w:rPr>
        <w:t xml:space="preserve"> so bile </w:t>
      </w:r>
      <w:r w:rsidR="00B04B08" w:rsidRPr="00DC5080">
        <w:rPr>
          <w:color w:val="000000" w:themeColor="text1"/>
        </w:rPr>
        <w:t>izrečene pravnomočne obsodilne sodbe zaradi storitve kaznivega dejanja pranja denarja po 245. členu KZ-1 v 106 zadevah</w:t>
      </w:r>
      <w:r>
        <w:rPr>
          <w:color w:val="000000" w:themeColor="text1"/>
        </w:rPr>
        <w:t>.</w:t>
      </w:r>
      <w:r>
        <w:rPr>
          <w:rStyle w:val="Sprotnaopomba-sklic"/>
          <w:color w:val="000000" w:themeColor="text1"/>
        </w:rPr>
        <w:footnoteReference w:id="12"/>
      </w:r>
      <w:r>
        <w:rPr>
          <w:color w:val="000000" w:themeColor="text1"/>
        </w:rPr>
        <w:t xml:space="preserve"> </w:t>
      </w:r>
      <w:r w:rsidR="00B04B08" w:rsidRPr="00DC5080">
        <w:rPr>
          <w:color w:val="000000" w:themeColor="text1"/>
        </w:rPr>
        <w:t>V teh zadevah je bilo skupno izrečenih 111 pravnomočnih obsodilnih sodb zoper 128</w:t>
      </w:r>
      <w:r w:rsidR="00B04B08" w:rsidRPr="00230313">
        <w:rPr>
          <w:color w:val="000000" w:themeColor="text1"/>
        </w:rPr>
        <w:t xml:space="preserve"> domačih fizičnih oseb, 17 tujih fizičnih oseb in pet domačih pravnih oseb. V 30 primerih so bile sodbe potrjene na višjih sodiščih in v osmih primerih tudi na Vrhovnem sodišču. V nadaljevanju </w:t>
      </w:r>
      <w:r w:rsidR="00660D76">
        <w:rPr>
          <w:color w:val="000000" w:themeColor="text1"/>
        </w:rPr>
        <w:t>so podrobneje predstavljene</w:t>
      </w:r>
      <w:r w:rsidR="00B04B08" w:rsidRPr="00230313">
        <w:rPr>
          <w:color w:val="000000" w:themeColor="text1"/>
        </w:rPr>
        <w:t xml:space="preserve"> te sodbe, pri čemer </w:t>
      </w:r>
      <w:r w:rsidR="00660D76">
        <w:rPr>
          <w:color w:val="000000" w:themeColor="text1"/>
        </w:rPr>
        <w:t>so bili upoštevani</w:t>
      </w:r>
      <w:r w:rsidR="00B04B08" w:rsidRPr="00230313">
        <w:rPr>
          <w:color w:val="000000" w:themeColor="text1"/>
        </w:rPr>
        <w:t xml:space="preserve"> samo tisti del izrekov, ki se nanaša</w:t>
      </w:r>
      <w:r w:rsidR="00660D76">
        <w:rPr>
          <w:color w:val="000000" w:themeColor="text1"/>
        </w:rPr>
        <w:t>jo</w:t>
      </w:r>
      <w:r w:rsidR="00B04B08" w:rsidRPr="00230313">
        <w:rPr>
          <w:color w:val="000000" w:themeColor="text1"/>
        </w:rPr>
        <w:t xml:space="preserve"> na osebe, spoznane za krive storitve kaznivega dejanja pranja denarja, brez morebitnih izrekov, ki se nanašajo na predhodna kazniva dejanja.</w:t>
      </w:r>
    </w:p>
    <w:p w14:paraId="7B66E164" w14:textId="7FAB1FDF" w:rsidR="00B04B08" w:rsidRPr="005E1E4A" w:rsidRDefault="00B04B08" w:rsidP="00B04B08">
      <w:pPr>
        <w:spacing w:line="276" w:lineRule="auto"/>
        <w:rPr>
          <w:bCs/>
          <w:color w:val="FF0000"/>
        </w:rPr>
      </w:pPr>
      <w:r w:rsidRPr="00C92D06">
        <w:rPr>
          <w:bCs/>
          <w:color w:val="000000" w:themeColor="text1"/>
        </w:rPr>
        <w:t>V 111 pravnomočnih sodbah so sodišča izrekla 149 zapornih kazni</w:t>
      </w:r>
      <w:r w:rsidRPr="006E2FA2">
        <w:rPr>
          <w:bCs/>
          <w:color w:val="000000" w:themeColor="text1"/>
        </w:rPr>
        <w:t>, od tega 83 pogojnih, medtem ko je bilo deset izrečenih zapornih kazni spremenjenih v delo v splošno korist</w:t>
      </w:r>
      <w:r w:rsidRPr="00C11963">
        <w:rPr>
          <w:bCs/>
          <w:color w:val="000000" w:themeColor="text1"/>
        </w:rPr>
        <w:t xml:space="preserve">. Povprečna nepogojna kazen zapora </w:t>
      </w:r>
      <w:r w:rsidR="00660D76">
        <w:rPr>
          <w:bCs/>
          <w:color w:val="000000" w:themeColor="text1"/>
        </w:rPr>
        <w:t>je znašala</w:t>
      </w:r>
      <w:r w:rsidRPr="00C11963">
        <w:rPr>
          <w:bCs/>
          <w:color w:val="000000" w:themeColor="text1"/>
        </w:rPr>
        <w:t xml:space="preserve"> 18 mesecev, pri čemer je </w:t>
      </w:r>
      <w:r w:rsidR="00660D76">
        <w:rPr>
          <w:bCs/>
          <w:color w:val="000000" w:themeColor="text1"/>
        </w:rPr>
        <w:t xml:space="preserve">bila </w:t>
      </w:r>
      <w:r w:rsidRPr="00C11963">
        <w:rPr>
          <w:bCs/>
          <w:color w:val="000000" w:themeColor="text1"/>
        </w:rPr>
        <w:t xml:space="preserve">najmanjša izrečena kazen zapora šest mesecev in najvišja pet let. Povprečna pogojna kazen zapora </w:t>
      </w:r>
      <w:r w:rsidR="00660D76">
        <w:rPr>
          <w:bCs/>
          <w:color w:val="000000" w:themeColor="text1"/>
        </w:rPr>
        <w:t>je znašala</w:t>
      </w:r>
      <w:r w:rsidRPr="00C11963">
        <w:rPr>
          <w:bCs/>
          <w:color w:val="000000" w:themeColor="text1"/>
        </w:rPr>
        <w:t xml:space="preserve"> 11 mesecev pogojno na dve leti in pol. Kazni, izrečene pravnim osebam, s</w:t>
      </w:r>
      <w:r w:rsidR="00660D76">
        <w:rPr>
          <w:bCs/>
          <w:color w:val="000000" w:themeColor="text1"/>
        </w:rPr>
        <w:t>o se nanašale</w:t>
      </w:r>
      <w:r w:rsidRPr="00C11963">
        <w:rPr>
          <w:bCs/>
          <w:color w:val="000000" w:themeColor="text1"/>
        </w:rPr>
        <w:t xml:space="preserve"> na plačilo denarnih kazni, v enem primeru pa je sodišče celo izreklo kazen prenehanja pravne osebe.</w:t>
      </w:r>
    </w:p>
    <w:p w14:paraId="4EEB725E" w14:textId="498799D7" w:rsidR="00B04B08" w:rsidRPr="00B04B08" w:rsidRDefault="00B04B08" w:rsidP="00B04B08">
      <w:pPr>
        <w:spacing w:line="276" w:lineRule="auto"/>
        <w:rPr>
          <w:bCs/>
          <w:color w:val="000000" w:themeColor="text1"/>
          <w:lang w:eastAsia="sl-SI"/>
        </w:rPr>
      </w:pPr>
      <w:r w:rsidRPr="00C92D06">
        <w:rPr>
          <w:bCs/>
          <w:color w:val="000000" w:themeColor="text1"/>
        </w:rPr>
        <w:t>V zvezi s pridobljeno protipravno premoženjsko koristjo so sodišča v 22</w:t>
      </w:r>
      <w:r w:rsidRPr="00E03044">
        <w:rPr>
          <w:bCs/>
          <w:color w:val="00B050"/>
        </w:rPr>
        <w:t xml:space="preserve"> </w:t>
      </w:r>
      <w:r w:rsidRPr="00E03044">
        <w:rPr>
          <w:bCs/>
          <w:color w:val="000000" w:themeColor="text1"/>
        </w:rPr>
        <w:t xml:space="preserve">primerih izrekla odvzem premoženja v skupni vrednosti </w:t>
      </w:r>
      <w:r w:rsidRPr="00E03044">
        <w:rPr>
          <w:color w:val="000000" w:themeColor="text1"/>
          <w:lang w:eastAsia="sl-SI"/>
        </w:rPr>
        <w:t>3.581.822 EUR</w:t>
      </w:r>
      <w:r w:rsidRPr="00E03044">
        <w:rPr>
          <w:bCs/>
          <w:color w:val="000000" w:themeColor="text1"/>
          <w:vertAlign w:val="superscript"/>
          <w:lang w:eastAsia="sl-SI"/>
        </w:rPr>
        <w:footnoteReference w:id="13"/>
      </w:r>
      <w:r w:rsidRPr="00E03044">
        <w:rPr>
          <w:bCs/>
          <w:color w:val="000000" w:themeColor="text1"/>
          <w:lang w:eastAsia="sl-SI"/>
        </w:rPr>
        <w:t>, ki se je nanašalo na gotovino, sredstva na bančnih računih ter premično in nepremično premoženje. Hkrati s tem so sodišča v 49 sodbah odredila vračilo sredstev, ki so bila pridobljena s kaznivim dejanjem,</w:t>
      </w:r>
      <w:r w:rsidRPr="005E1E4A">
        <w:rPr>
          <w:bCs/>
          <w:color w:val="FF0000"/>
          <w:lang w:eastAsia="sl-SI"/>
        </w:rPr>
        <w:t xml:space="preserve"> </w:t>
      </w:r>
      <w:r w:rsidRPr="00E03044">
        <w:rPr>
          <w:bCs/>
          <w:color w:val="000000" w:themeColor="text1"/>
          <w:lang w:eastAsia="sl-SI"/>
        </w:rPr>
        <w:t xml:space="preserve">v višini 32.185.782 EUR in izrekla </w:t>
      </w:r>
      <w:r>
        <w:rPr>
          <w:bCs/>
          <w:color w:val="000000" w:themeColor="text1"/>
          <w:lang w:eastAsia="sl-SI"/>
        </w:rPr>
        <w:t>100</w:t>
      </w:r>
      <w:r w:rsidRPr="005E1E4A">
        <w:rPr>
          <w:bCs/>
          <w:color w:val="FF0000"/>
          <w:lang w:eastAsia="sl-SI"/>
        </w:rPr>
        <w:t xml:space="preserve"> </w:t>
      </w:r>
      <w:r w:rsidRPr="00E03044">
        <w:rPr>
          <w:bCs/>
          <w:color w:val="000000" w:themeColor="text1"/>
          <w:lang w:eastAsia="sl-SI"/>
        </w:rPr>
        <w:t>stranskih denarnih kazni v skupni višini 1.319.129 EUR.</w:t>
      </w:r>
    </w:p>
    <w:p w14:paraId="4C25A8F4" w14:textId="27DF7D8A" w:rsidR="00B04B08" w:rsidRPr="00B04B08" w:rsidRDefault="00B04B08" w:rsidP="00B04B08">
      <w:pPr>
        <w:spacing w:line="276" w:lineRule="auto"/>
        <w:rPr>
          <w:color w:val="000000"/>
          <w:lang w:eastAsia="sl-SI"/>
        </w:rPr>
      </w:pPr>
      <w:r w:rsidRPr="00C92D06">
        <w:rPr>
          <w:bCs/>
          <w:color w:val="000000" w:themeColor="text1"/>
          <w:lang w:eastAsia="sl-SI"/>
        </w:rPr>
        <w:t>Večji del fizičnih oseb je bil v 95 izrekih sodb</w:t>
      </w:r>
      <w:r w:rsidRPr="00424274">
        <w:rPr>
          <w:bCs/>
          <w:lang w:eastAsia="sl-SI"/>
        </w:rPr>
        <w:t xml:space="preserve"> spoznan za krive storitve kaznivega dejanja pranja denarja, storilci predhodnih kaznivih dejanj pa so bile dru</w:t>
      </w:r>
      <w:r>
        <w:rPr>
          <w:bCs/>
          <w:lang w:eastAsia="sl-SI"/>
        </w:rPr>
        <w:t>ge osebe, medtem ko so bile v 69</w:t>
      </w:r>
      <w:r w:rsidRPr="00424274">
        <w:rPr>
          <w:bCs/>
          <w:lang w:eastAsia="sl-SI"/>
        </w:rPr>
        <w:t xml:space="preserve"> izrekih sodb fizične osebe spoznana za krive storitve tako kaznivega dejanja pranja denarja kot tudi predhodnega kaznivega dejanja. Kot predhodn</w:t>
      </w:r>
      <w:r w:rsidR="009700D4">
        <w:rPr>
          <w:bCs/>
          <w:lang w:eastAsia="sl-SI"/>
        </w:rPr>
        <w:t>i</w:t>
      </w:r>
      <w:r w:rsidRPr="00424274">
        <w:rPr>
          <w:bCs/>
          <w:lang w:eastAsia="sl-SI"/>
        </w:rPr>
        <w:t xml:space="preserve"> kazniv</w:t>
      </w:r>
      <w:r w:rsidR="009700D4">
        <w:rPr>
          <w:bCs/>
          <w:lang w:eastAsia="sl-SI"/>
        </w:rPr>
        <w:t>i</w:t>
      </w:r>
      <w:r w:rsidRPr="00424274">
        <w:rPr>
          <w:bCs/>
          <w:lang w:eastAsia="sl-SI"/>
        </w:rPr>
        <w:t xml:space="preserve"> dejanj</w:t>
      </w:r>
      <w:r w:rsidR="009700D4">
        <w:rPr>
          <w:bCs/>
          <w:lang w:eastAsia="sl-SI"/>
        </w:rPr>
        <w:t xml:space="preserve">i sta </w:t>
      </w:r>
      <w:r w:rsidRPr="00424274">
        <w:rPr>
          <w:bCs/>
          <w:lang w:eastAsia="sl-SI"/>
        </w:rPr>
        <w:t>v sodbah največkrat nastopa</w:t>
      </w:r>
      <w:r w:rsidR="009700D4">
        <w:rPr>
          <w:bCs/>
          <w:lang w:eastAsia="sl-SI"/>
        </w:rPr>
        <w:t>li</w:t>
      </w:r>
      <w:r w:rsidRPr="00424274">
        <w:rPr>
          <w:bCs/>
          <w:lang w:eastAsia="sl-SI"/>
        </w:rPr>
        <w:t xml:space="preserve"> kaznivo dejanje </w:t>
      </w:r>
      <w:r w:rsidRPr="00424274">
        <w:rPr>
          <w:color w:val="000000"/>
          <w:lang w:eastAsia="sl-SI"/>
        </w:rPr>
        <w:t xml:space="preserve">velike tatvine po 205. členu KZ-1 (velika tatvina po 212. </w:t>
      </w:r>
      <w:r>
        <w:rPr>
          <w:color w:val="000000"/>
          <w:lang w:eastAsia="sl-SI"/>
        </w:rPr>
        <w:t>č</w:t>
      </w:r>
      <w:r w:rsidRPr="00424274">
        <w:rPr>
          <w:color w:val="000000"/>
          <w:lang w:eastAsia="sl-SI"/>
        </w:rPr>
        <w:t xml:space="preserve">lenu KZ) v 27 primerih </w:t>
      </w:r>
      <w:r>
        <w:rPr>
          <w:color w:val="000000"/>
          <w:lang w:eastAsia="sl-SI"/>
        </w:rPr>
        <w:t>in</w:t>
      </w:r>
      <w:r w:rsidRPr="00424274">
        <w:rPr>
          <w:color w:val="000000"/>
          <w:lang w:eastAsia="sl-SI"/>
        </w:rPr>
        <w:t xml:space="preserve"> kaznivo dejanje zlorabe položaja ali zaupanja pri gospodarski dejavnosti po 240. členu KZ-1 (ali zlorabe položaja ali pravic po 244. členu KZ) v </w:t>
      </w:r>
      <w:r w:rsidRPr="00E71D25">
        <w:rPr>
          <w:color w:val="000000" w:themeColor="text1"/>
          <w:lang w:eastAsia="sl-SI"/>
        </w:rPr>
        <w:t>31</w:t>
      </w:r>
      <w:r w:rsidRPr="00424274">
        <w:rPr>
          <w:color w:val="000000"/>
          <w:lang w:eastAsia="sl-SI"/>
        </w:rPr>
        <w:t xml:space="preserve"> primerih. Med predhodnimi kaznivimi dejanji, ki se pojavljajo v vsaj sedmih sodbah</w:t>
      </w:r>
      <w:r>
        <w:rPr>
          <w:color w:val="000000"/>
          <w:lang w:eastAsia="sl-SI"/>
        </w:rPr>
        <w:t>,</w:t>
      </w:r>
      <w:r w:rsidRPr="00424274">
        <w:rPr>
          <w:color w:val="000000"/>
          <w:lang w:eastAsia="sl-SI"/>
        </w:rPr>
        <w:t xml:space="preserve"> </w:t>
      </w:r>
      <w:r w:rsidR="009700D4">
        <w:rPr>
          <w:color w:val="000000"/>
          <w:lang w:eastAsia="sl-SI"/>
        </w:rPr>
        <w:t xml:space="preserve">so </w:t>
      </w:r>
      <w:r w:rsidRPr="00424274">
        <w:rPr>
          <w:color w:val="000000"/>
          <w:lang w:eastAsia="sl-SI"/>
        </w:rPr>
        <w:t>izstopa</w:t>
      </w:r>
      <w:r w:rsidR="009700D4">
        <w:rPr>
          <w:color w:val="000000"/>
          <w:lang w:eastAsia="sl-SI"/>
        </w:rPr>
        <w:t>la</w:t>
      </w:r>
      <w:r w:rsidRPr="00424274">
        <w:rPr>
          <w:color w:val="000000"/>
          <w:lang w:eastAsia="sl-SI"/>
        </w:rPr>
        <w:t xml:space="preserve"> še naslednja kazniva dejanja: neupravičena proizvodnja in promet s prepovedanimi drogami, nedovoljenimi snovmi v športu in predhodnimi sestavinami za izdelavo prepovedanih drog po 186. členu KZ-1, goljufije po 211. členu KZ-1, poneverbe po 209. členu KZ-1, davčne zatajitve po 249. členu KZ-1 ter zloraba uradnega položaja po 257. členu KZ-1. V štirih primerih izrekov sodb zaradi storitve kaznivega dejanja pranja denarja predhodna kazniva dejanja sploh niso </w:t>
      </w:r>
      <w:r w:rsidR="009700D4">
        <w:rPr>
          <w:color w:val="000000"/>
          <w:lang w:eastAsia="sl-SI"/>
        </w:rPr>
        <w:t xml:space="preserve">bila </w:t>
      </w:r>
      <w:r w:rsidRPr="00424274">
        <w:rPr>
          <w:color w:val="000000"/>
          <w:lang w:eastAsia="sl-SI"/>
        </w:rPr>
        <w:t xml:space="preserve">navedena oziroma so </w:t>
      </w:r>
      <w:r w:rsidR="009700D4">
        <w:rPr>
          <w:color w:val="000000"/>
          <w:lang w:eastAsia="sl-SI"/>
        </w:rPr>
        <w:t xml:space="preserve">bili </w:t>
      </w:r>
      <w:r w:rsidRPr="00424274">
        <w:rPr>
          <w:color w:val="000000"/>
          <w:lang w:eastAsia="sl-SI"/>
        </w:rPr>
        <w:t xml:space="preserve">navedeni le objektivni znaki teh kaznivih dejanj. </w:t>
      </w:r>
    </w:p>
    <w:p w14:paraId="69F081A5" w14:textId="2BCAC8E8" w:rsidR="00B65A09" w:rsidRDefault="00B04B08" w:rsidP="0089252D">
      <w:pPr>
        <w:spacing w:line="276" w:lineRule="auto"/>
      </w:pPr>
      <w:r w:rsidRPr="00C92D06">
        <w:rPr>
          <w:color w:val="000000" w:themeColor="text1"/>
        </w:rPr>
        <w:t xml:space="preserve">Večji del pravnomočnih sodb </w:t>
      </w:r>
      <w:r w:rsidRPr="00424274">
        <w:t xml:space="preserve">zaradi storitve kaznivega dejanja pranja denarja po 245. členu KZ-1 je bil izrečen od leta 2013 </w:t>
      </w:r>
      <w:r>
        <w:t>naprej</w:t>
      </w:r>
      <w:r w:rsidRPr="00424274">
        <w:t>. Do 31.</w:t>
      </w:r>
      <w:r>
        <w:t> </w:t>
      </w:r>
      <w:r w:rsidRPr="00424274">
        <w:t>12.</w:t>
      </w:r>
      <w:r>
        <w:t> </w:t>
      </w:r>
      <w:r w:rsidRPr="00424274">
        <w:t>2013 je bilo skupno izdanih 28 pravnomočnih sodb, medtem ko je bilo v obdobju od 1.</w:t>
      </w:r>
      <w:r>
        <w:t> </w:t>
      </w:r>
      <w:r w:rsidRPr="00424274">
        <w:t>1.</w:t>
      </w:r>
      <w:r>
        <w:t> </w:t>
      </w:r>
      <w:r w:rsidRPr="00424274">
        <w:t>2014 do 31.</w:t>
      </w:r>
      <w:r>
        <w:t> </w:t>
      </w:r>
      <w:r w:rsidRPr="00424274">
        <w:t>12.</w:t>
      </w:r>
      <w:r>
        <w:t> 2021</w:t>
      </w:r>
      <w:r w:rsidRPr="00424274">
        <w:t xml:space="preserve"> izrečenih 8</w:t>
      </w:r>
      <w:r>
        <w:t>3</w:t>
      </w:r>
      <w:r w:rsidRPr="00424274">
        <w:t xml:space="preserve"> pravnomočnih sodb. </w:t>
      </w:r>
      <w:r w:rsidR="00C3383D">
        <w:t>Urad ugotavlja</w:t>
      </w:r>
      <w:r w:rsidRPr="00424274">
        <w:t xml:space="preserve">, da je </w:t>
      </w:r>
      <w:r w:rsidRPr="00424274">
        <w:lastRenderedPageBreak/>
        <w:t>k temu trendu največ prispeval kazenskopravni institut sporazuma o priznanju krivde, ki močno poenostavi sam kazenski postopek</w:t>
      </w:r>
      <w:r>
        <w:t xml:space="preserve"> in</w:t>
      </w:r>
      <w:r w:rsidRPr="00424274">
        <w:t xml:space="preserve"> izrek kazni, vključno z izrekom o odvzemu ali vrnitvi premoženja. Omenjeni institut pa ima za posledico tudi vse več zadev, ki nastanejo zaradi izločitve posameznih oseb</w:t>
      </w:r>
      <w:r w:rsidRPr="009D7394">
        <w:t xml:space="preserve"> </w:t>
      </w:r>
      <w:r w:rsidRPr="00424274">
        <w:t>iz kazenskih postopkov, ki krivdo priznajo.</w:t>
      </w:r>
    </w:p>
    <w:p w14:paraId="454ABBC1" w14:textId="77777777" w:rsidR="0089252D" w:rsidRDefault="0089252D" w:rsidP="0089252D">
      <w:pPr>
        <w:spacing w:line="276" w:lineRule="auto"/>
      </w:pPr>
    </w:p>
    <w:p w14:paraId="4AAA8BFB" w14:textId="313EC137" w:rsidR="00B65A09" w:rsidRPr="00576DF4" w:rsidRDefault="00B65A09" w:rsidP="00B65A09">
      <w:pPr>
        <w:pStyle w:val="Naslov2"/>
      </w:pPr>
      <w:bookmarkStart w:id="39" w:name="_Toc119581711"/>
      <w:r w:rsidRPr="00576DF4">
        <w:t>PREDLOGI UKREPOV</w:t>
      </w:r>
      <w:bookmarkEnd w:id="39"/>
    </w:p>
    <w:p w14:paraId="0BC8EB63" w14:textId="77777777" w:rsidR="00B65A09" w:rsidRDefault="00B65A09" w:rsidP="00B65A09"/>
    <w:p w14:paraId="29C03EAE" w14:textId="3F715A76" w:rsidR="00D00D08" w:rsidRPr="0089252D" w:rsidRDefault="00D00D08" w:rsidP="00D00D08">
      <w:pPr>
        <w:rPr>
          <w:color w:val="FF0000"/>
        </w:rPr>
      </w:pPr>
      <w:r w:rsidRPr="005C2454">
        <w:t xml:space="preserve">Glede na zgoraj navedene podatke </w:t>
      </w:r>
      <w:r w:rsidR="00733D73">
        <w:t>urad ugotavlja</w:t>
      </w:r>
      <w:r w:rsidRPr="005C2454">
        <w:t>, da je bilo stanje na področju odkrivanja in pregona kaznivih dejanj pranja denarja in financiranja terorizma, vsaj po številu podanih kazenskih ovadb in začetih kazenskih postopkov, vse od leta 2010 do konca leta 2016 stabilno. V tem obdobju je policija podala predlog za pregon ali je tožilstvo samostojno začelo pregon v povprečju za 59 zadev letno. V obdobju 2017–2021 je število teh postopkov močno upadlo</w:t>
      </w:r>
      <w:r w:rsidR="00733D73">
        <w:t>, in sicer</w:t>
      </w:r>
      <w:r w:rsidRPr="005C2454">
        <w:t xml:space="preserve"> na letno povprečje 39 zadev. Padajoči trend je povzročilo nizko število novih postopkov predvsem v letih 2018 in 2020</w:t>
      </w:r>
      <w:r>
        <w:t>, ki pa se je v letu 2021 ponovno dvignilo na naraščajočo raven iz leta 2019.</w:t>
      </w:r>
      <w:r w:rsidRPr="005C2454">
        <w:t xml:space="preserve"> </w:t>
      </w:r>
    </w:p>
    <w:p w14:paraId="3349173D" w14:textId="42B21BCC" w:rsidR="00D00D08" w:rsidRPr="0089252D" w:rsidRDefault="00D00D08" w:rsidP="00D00D08">
      <w:pPr>
        <w:rPr>
          <w:color w:val="FF0000"/>
        </w:rPr>
      </w:pPr>
      <w:r w:rsidRPr="00152051">
        <w:t xml:space="preserve">Hkrati </w:t>
      </w:r>
      <w:r w:rsidR="00733D73">
        <w:t>urad ugotavlja</w:t>
      </w:r>
      <w:r w:rsidRPr="00152051">
        <w:t xml:space="preserve">, da se je v letu 2021 </w:t>
      </w:r>
      <w:r w:rsidRPr="008B1173">
        <w:t>20% predkazenskih in kazenskih zadev s področja pranja denarja začelo tudi na podlagi podatkov, ki so jih uradu v obliki prijav sumljivih transakcij sporočili zavezanci za izvajanje ZPPDFT-1.</w:t>
      </w:r>
      <w:r w:rsidRPr="00152051">
        <w:t xml:space="preserve"> Sumljive transakcije, ki so jih sporočili zavezanci, tako še vedno prispevajo velik delež k obravnavanim zadevam </w:t>
      </w:r>
      <w:r w:rsidR="00F70FDA">
        <w:t>p</w:t>
      </w:r>
      <w:r w:rsidRPr="00152051">
        <w:t xml:space="preserve">olicije in tožilstva. Navedeno dokazuje, da je sistem boja proti pranju denarja prek zaznavanja sumljivih transakcij v finančnem in nefinančnem sektorju učinkovit. </w:t>
      </w:r>
    </w:p>
    <w:p w14:paraId="15AF6E1E" w14:textId="24C2D2E8" w:rsidR="00D00D08" w:rsidRPr="0089252D" w:rsidRDefault="00D00D08" w:rsidP="00D00D08">
      <w:pPr>
        <w:rPr>
          <w:color w:val="FF0000"/>
        </w:rPr>
      </w:pPr>
      <w:r w:rsidRPr="00870291">
        <w:t xml:space="preserve">V zvezi z delovanjem tožilstev in sodišč </w:t>
      </w:r>
      <w:r w:rsidR="00F70FDA">
        <w:t>urad ugotavlja</w:t>
      </w:r>
      <w:r w:rsidRPr="00870291">
        <w:t xml:space="preserve">, da je število sodnih preiskav in obtožnic v letu 2021 v primerjavi z letom 2020 ostalo enako. </w:t>
      </w:r>
      <w:r w:rsidRPr="0073381C">
        <w:t>Skupno so tožilstva v letu 2020 začela predkazenski ali kazenski pregon v 7 zadevah (leta 2017 v 15 zadevah, leta 2018 v 13 zadevah in leta 2019 v 22 zadevah).</w:t>
      </w:r>
    </w:p>
    <w:p w14:paraId="1F0C6AC2" w14:textId="09B2F7C2" w:rsidR="00D00D08" w:rsidRPr="0089252D" w:rsidRDefault="00F70FDA" w:rsidP="00D00D08">
      <w:pPr>
        <w:rPr>
          <w:color w:val="FF0000"/>
        </w:rPr>
      </w:pPr>
      <w:r>
        <w:t>V</w:t>
      </w:r>
      <w:r w:rsidR="00D00D08" w:rsidRPr="0071492B">
        <w:t xml:space="preserve"> obvestilih, ki jih</w:t>
      </w:r>
      <w:r>
        <w:t xml:space="preserve"> urad pošilja</w:t>
      </w:r>
      <w:r w:rsidR="00D00D08" w:rsidRPr="0071492B">
        <w:t xml:space="preserve"> policiji, </w:t>
      </w:r>
      <w:r>
        <w:t>je bil ugotovljen</w:t>
      </w:r>
      <w:r w:rsidR="00D00D08" w:rsidRPr="0071492B">
        <w:t xml:space="preserve"> skrb vzbujajoč trend povečevanja števila oseb, ki v Sloveniji nimajo prebivališča ali sedeža. V letu 2014 je bilo od skupnega števila obravnavanih oseb 40</w:t>
      </w:r>
      <w:r w:rsidR="00D00D08" w:rsidRPr="004722C2">
        <w:t xml:space="preserve">% tujih oseb, v letu 2017 že 61% in leta 2018 63%. Trend se je v letih 2020 in 2021 nekoliko umiril, še vedno pa znaša 54% oziroma 42%. </w:t>
      </w:r>
      <w:r w:rsidRPr="004722C2">
        <w:t>N</w:t>
      </w:r>
      <w:r w:rsidR="00D00D08" w:rsidRPr="004722C2">
        <w:t xml:space="preserve">araščajoči trend </w:t>
      </w:r>
      <w:r w:rsidRPr="004722C2">
        <w:t xml:space="preserve">bo </w:t>
      </w:r>
      <w:r w:rsidR="00D00D08" w:rsidRPr="004722C2">
        <w:t xml:space="preserve">znatno vplival </w:t>
      </w:r>
      <w:r w:rsidRPr="004722C2">
        <w:t xml:space="preserve">tudi </w:t>
      </w:r>
      <w:r w:rsidR="00D00D08" w:rsidRPr="004722C2">
        <w:t>na uspešnost in čas trajanja kazenskih postopkov.</w:t>
      </w:r>
    </w:p>
    <w:p w14:paraId="513DA38A" w14:textId="274D64EC" w:rsidR="00D00D08" w:rsidRPr="0089252D" w:rsidRDefault="00D00D08" w:rsidP="00D00D08">
      <w:pPr>
        <w:rPr>
          <w:color w:val="FF0000"/>
        </w:rPr>
      </w:pPr>
      <w:r w:rsidRPr="0071492B">
        <w:t xml:space="preserve">Čeprav so kazenske zadeve pranja denarja običajno zelo kompleksne, pogosto povezane z mednarodnim elementom in zahtevne za dokazovanje, </w:t>
      </w:r>
      <w:r w:rsidR="008D5255">
        <w:t>urad</w:t>
      </w:r>
      <w:r w:rsidR="008B47A9">
        <w:t xml:space="preserve"> ocenjuje</w:t>
      </w:r>
      <w:r w:rsidRPr="0071492B">
        <w:t>, da so postopki v zvezi s kaznivim dejanjem pranja denarja od časa vložitve kazenske ovadbe do končne odločitve sodišča predolgi. Povprečen čas trajanja predkazenskega in kazenskega postopka med podajo kazenske ovadbe policije in sodbe na prvi stopnji, izrečene v letu 2021, je več kot pet let. To pomeni, da se povprečen čas trajanja postopkov od leta 2016 naprej ni bistveno znižal, saj je povprečen čas v letih 2016 in 2017 znašal prav tako več kot pet let, medtem ko je v letu 2018 znašal šest let.</w:t>
      </w:r>
    </w:p>
    <w:p w14:paraId="59D274DC" w14:textId="06AEB6E2" w:rsidR="00D00D08" w:rsidRPr="0071492B" w:rsidRDefault="00D00D08" w:rsidP="00D00D08">
      <w:r w:rsidRPr="0071492B">
        <w:t xml:space="preserve">V letu 2021 je sicer opaziti, da se je trend novih predkazenskih postopkov zaradi sumov storitve kaznivega dejanja pranja denarja po 245. členu KZ-1 obrnil </w:t>
      </w:r>
      <w:r w:rsidR="008B47A9">
        <w:t>na</w:t>
      </w:r>
      <w:r w:rsidRPr="0071492B">
        <w:t xml:space="preserve"> stran povečevanja, kar pa za daljše preteklo časovno obdobje ne velja, zato </w:t>
      </w:r>
      <w:r w:rsidR="008B47A9">
        <w:t>je</w:t>
      </w:r>
      <w:r w:rsidRPr="0071492B">
        <w:t xml:space="preserve"> za izboljšanje stanja na področju boja proti pranju denarja in financiranju terorizma </w:t>
      </w:r>
      <w:r w:rsidR="008B47A9">
        <w:t>potrebna izvedba</w:t>
      </w:r>
      <w:r w:rsidRPr="0071492B">
        <w:t xml:space="preserve"> naslednj</w:t>
      </w:r>
      <w:r w:rsidR="008B47A9">
        <w:t>ih</w:t>
      </w:r>
      <w:r w:rsidRPr="0071492B">
        <w:t xml:space="preserve"> ukrep</w:t>
      </w:r>
      <w:r w:rsidR="008B47A9">
        <w:t>ov</w:t>
      </w:r>
      <w:r w:rsidRPr="0071492B">
        <w:t>:</w:t>
      </w:r>
    </w:p>
    <w:p w14:paraId="79D9F515" w14:textId="77777777" w:rsidR="00D00D08" w:rsidRPr="0071492B" w:rsidRDefault="00D00D08" w:rsidP="007D73FD">
      <w:pPr>
        <w:pStyle w:val="Odstavekseznama"/>
        <w:tabs>
          <w:tab w:val="left" w:pos="4536"/>
        </w:tabs>
        <w:ind w:left="851" w:hanging="284"/>
      </w:pPr>
      <w:r w:rsidRPr="008D5255">
        <w:rPr>
          <w:b/>
          <w:bCs/>
        </w:rPr>
        <w:t>zagotoviti prednostno obravnavo</w:t>
      </w:r>
      <w:r w:rsidRPr="0071492B">
        <w:t xml:space="preserve"> kaznivih dejanj pranja denarja in financiranja terorizma pri organih odkrivanja kaznivih dejanj; </w:t>
      </w:r>
    </w:p>
    <w:p w14:paraId="399C2CAD" w14:textId="77777777" w:rsidR="00D00D08" w:rsidRPr="0071492B" w:rsidRDefault="00D00D08" w:rsidP="007D73FD">
      <w:pPr>
        <w:pStyle w:val="Odstavekseznama"/>
        <w:tabs>
          <w:tab w:val="left" w:pos="4536"/>
        </w:tabs>
        <w:ind w:left="851" w:hanging="284"/>
      </w:pPr>
      <w:r w:rsidRPr="008D5255">
        <w:rPr>
          <w:b/>
          <w:bCs/>
        </w:rPr>
        <w:t>zagotoviti dodatno izobraževanje</w:t>
      </w:r>
      <w:r w:rsidRPr="0071492B">
        <w:t xml:space="preserve"> policistov, kriminalistov, tožilcev in sodnikov s poudarkom na vsebinah, ki se nanašajo na izvajanje finančnih preiskav in odvzem premoženja nezakonitega izvora, ter izvajanje skupnih seminarjev, delavnic in izobraževanj;</w:t>
      </w:r>
    </w:p>
    <w:p w14:paraId="376AC10A" w14:textId="77777777" w:rsidR="00D00D08" w:rsidRPr="0071492B" w:rsidRDefault="00D00D08" w:rsidP="007D73FD">
      <w:pPr>
        <w:pStyle w:val="Odstavekseznama"/>
        <w:tabs>
          <w:tab w:val="left" w:pos="4536"/>
        </w:tabs>
        <w:ind w:left="851" w:hanging="284"/>
      </w:pPr>
      <w:r w:rsidRPr="0071492B">
        <w:t xml:space="preserve">pravosodni organi, vključno z organi odkrivanja kaznivih dejanj, morajo </w:t>
      </w:r>
      <w:r w:rsidRPr="008D5255">
        <w:rPr>
          <w:b/>
          <w:bCs/>
        </w:rPr>
        <w:t>nameniti večjo pozornost odkrivanju, zavarovanju in odvzemu protipravne premoženjske koristi</w:t>
      </w:r>
      <w:r w:rsidRPr="0071492B">
        <w:t xml:space="preserve">, ki izvira iz kaznivih dejanj; zagotoviti je treba dosledno izvajanje in v daljšem obdobju tudi povečati število finančnih preiskav, ki bi morale potekati vzporedno s preiskovanjem kaznivih </w:t>
      </w:r>
      <w:r w:rsidRPr="0071492B">
        <w:lastRenderedPageBreak/>
        <w:t>dejanj z namenom, da se odkrije, zavaruje in odvzame protipravna premoženjska korist in ugotovi, ali v zvezi z morebitnim prikrivanjem tega premoženja obstajajo tudi elementi kaznivega dejanja pranja denarja;</w:t>
      </w:r>
    </w:p>
    <w:p w14:paraId="157C6E75" w14:textId="77777777" w:rsidR="00D00D08" w:rsidRPr="0071492B" w:rsidRDefault="00D00D08" w:rsidP="007D73FD">
      <w:pPr>
        <w:pStyle w:val="Odstavekseznama"/>
        <w:tabs>
          <w:tab w:val="left" w:pos="4536"/>
        </w:tabs>
        <w:ind w:left="851" w:hanging="284"/>
      </w:pPr>
      <w:r w:rsidRPr="008D5255">
        <w:rPr>
          <w:b/>
          <w:bCs/>
        </w:rPr>
        <w:t>ustanoviti posebne strokovne skupine ali kontaktne točke za izmenjavo izkušenj</w:t>
      </w:r>
      <w:r w:rsidRPr="0071492B">
        <w:t xml:space="preserve"> na področju preiskav, pregona in sojenja v zadevah pranja denarja in financiranja terorizma oziroma financiranja terorističnih aktivnosti;</w:t>
      </w:r>
    </w:p>
    <w:p w14:paraId="61A63F77" w14:textId="77777777" w:rsidR="00D00D08" w:rsidRPr="0071492B" w:rsidRDefault="00D00D08" w:rsidP="007D73FD">
      <w:pPr>
        <w:pStyle w:val="Odstavekseznama"/>
        <w:tabs>
          <w:tab w:val="left" w:pos="4536"/>
        </w:tabs>
        <w:ind w:left="851" w:hanging="284"/>
      </w:pPr>
      <w:r w:rsidRPr="008D5255">
        <w:rPr>
          <w:b/>
          <w:bCs/>
        </w:rPr>
        <w:t xml:space="preserve">s pritožbenimi postopki </w:t>
      </w:r>
      <w:r w:rsidRPr="008D5255">
        <w:t>je treba</w:t>
      </w:r>
      <w:r w:rsidRPr="0071492B">
        <w:t xml:space="preserve"> </w:t>
      </w:r>
      <w:r w:rsidRPr="008D5255">
        <w:rPr>
          <w:b/>
          <w:bCs/>
        </w:rPr>
        <w:t>doseči jasne in trdne dokazne standarde pri dokazovanju predhodnega kaznivega dejanja</w:t>
      </w:r>
      <w:r w:rsidRPr="0071492B">
        <w:t xml:space="preserve"> v primerih avtonomnega pranja denarja, ki jih lahko s svojimi odločitvami pomagajo izoblikovati pritožbene instance, pri čemer je treba upoštevati posebno vlogo, ki jo ima s svojimi odločitvami Vrhovno sodišče;</w:t>
      </w:r>
    </w:p>
    <w:p w14:paraId="6EFF8E44" w14:textId="7FC4F6B0" w:rsidR="00D00D08" w:rsidRPr="0071492B" w:rsidRDefault="00D00D08" w:rsidP="00D00D08">
      <w:pPr>
        <w:pStyle w:val="Odstavekseznama"/>
        <w:tabs>
          <w:tab w:val="left" w:pos="4536"/>
        </w:tabs>
        <w:ind w:left="851" w:hanging="284"/>
      </w:pPr>
      <w:r w:rsidRPr="0071492B">
        <w:t xml:space="preserve">treba je </w:t>
      </w:r>
      <w:r w:rsidRPr="008D5255">
        <w:rPr>
          <w:b/>
          <w:bCs/>
        </w:rPr>
        <w:t>okrepiti nadzor</w:t>
      </w:r>
      <w:r w:rsidRPr="0071492B">
        <w:t xml:space="preserve"> predvsem nad gotovinskimi transakcijami, prenosi gotovine in transakcijami, ki so kakor koli povezane z visoko tveganimi državami in območji, navedenimi na seznamih, ki jih sestavljajo mednarodne organizacije in urad.</w:t>
      </w:r>
    </w:p>
    <w:p w14:paraId="5D01B200" w14:textId="77777777" w:rsidR="00D00D08" w:rsidRPr="0071492B" w:rsidRDefault="00D00D08" w:rsidP="00D00D08">
      <w:r w:rsidRPr="004722C2">
        <w:t>Navedene predloge ukrepov in druge ukrepe v zvezi s celotnim sistemom boja proti pranju denarja je urad v sodelovanju z drugimi organi in institucijami vključil v dva akcijska načrta, in sicer za izboljšanje zakonodajne usklajenosti z mednarodnimi standardi ter zakonodajo s področja preprečevanja pranja denarja in financiranja terorizma ter za povečanje učinkovitosti sistema boja proti pranju denarja in financiranju terorizma, ki ju je sprejela Vlada Republike Slovenije na svoji zadnji decembrski seji v letu 2017</w:t>
      </w:r>
      <w:r w:rsidRPr="004722C2">
        <w:rPr>
          <w:rStyle w:val="Sprotnaopomba-sklic"/>
        </w:rPr>
        <w:footnoteReference w:id="14"/>
      </w:r>
      <w:r w:rsidRPr="004722C2">
        <w:t>.</w:t>
      </w:r>
    </w:p>
    <w:p w14:paraId="24E3EE4E" w14:textId="4238B107" w:rsidR="009E181E" w:rsidRDefault="009E181E">
      <w:pPr>
        <w:jc w:val="left"/>
      </w:pPr>
      <w:r>
        <w:br w:type="page"/>
      </w:r>
    </w:p>
    <w:p w14:paraId="13EC3363" w14:textId="77777777" w:rsidR="00154D55" w:rsidRDefault="00154D55" w:rsidP="00B65A09"/>
    <w:p w14:paraId="5E56456B" w14:textId="1791D249" w:rsidR="00B65A09" w:rsidRDefault="00154D55" w:rsidP="00B65A09">
      <w:pPr>
        <w:pStyle w:val="Naslov1"/>
      </w:pPr>
      <w:bookmarkStart w:id="40" w:name="_Toc119581712"/>
      <w:r>
        <w:t>ZAKONODAJA IN DRUGE PRAVNE ZADEVE</w:t>
      </w:r>
      <w:bookmarkEnd w:id="40"/>
    </w:p>
    <w:p w14:paraId="7F4097DC" w14:textId="77777777" w:rsidR="00B65A09" w:rsidRDefault="00B65A09" w:rsidP="00B65A09"/>
    <w:p w14:paraId="058D7A2C" w14:textId="586DD459" w:rsidR="00B65A09" w:rsidRDefault="00B65A09" w:rsidP="00B65A09">
      <w:r>
        <w:t xml:space="preserve">Delo urada na področju </w:t>
      </w:r>
      <w:r w:rsidR="001F1AB9">
        <w:t>pravnih zadev</w:t>
      </w:r>
      <w:r>
        <w:t xml:space="preserve"> </w:t>
      </w:r>
      <w:r w:rsidR="001F1AB9">
        <w:t xml:space="preserve">je </w:t>
      </w:r>
      <w:r>
        <w:t>v letu 202</w:t>
      </w:r>
      <w:r w:rsidR="001F1AB9">
        <w:t>1</w:t>
      </w:r>
      <w:r>
        <w:t xml:space="preserve"> obsegalo:</w:t>
      </w:r>
    </w:p>
    <w:p w14:paraId="74F97830" w14:textId="0C176C73" w:rsidR="00313624" w:rsidRDefault="00313624" w:rsidP="007D73FD">
      <w:pPr>
        <w:pStyle w:val="Odstavekseznama"/>
        <w:tabs>
          <w:tab w:val="left" w:pos="4536"/>
        </w:tabs>
        <w:ind w:left="851" w:hanging="284"/>
      </w:pPr>
      <w:r>
        <w:t>pripravo predloga Zakona o preprečevanju pranja denarja in financiranja terorizma (ZPPDFT</w:t>
      </w:r>
      <w:r w:rsidR="00C63F16">
        <w:noBreakHyphen/>
      </w:r>
      <w:r>
        <w:t>2)</w:t>
      </w:r>
      <w:r w:rsidR="007D73FD">
        <w:t>,</w:t>
      </w:r>
      <w:r>
        <w:t xml:space="preserve"> </w:t>
      </w:r>
    </w:p>
    <w:p w14:paraId="2184C452" w14:textId="7C26D641" w:rsidR="00313624" w:rsidRPr="00D6217C" w:rsidRDefault="00313624" w:rsidP="007D73FD">
      <w:pPr>
        <w:pStyle w:val="Odstavekseznama"/>
        <w:tabs>
          <w:tab w:val="left" w:pos="4536"/>
        </w:tabs>
        <w:ind w:left="851" w:hanging="284"/>
      </w:pPr>
      <w:r w:rsidRPr="00D6217C">
        <w:t>pripravo predloga Pravilnika o vzpostavitvi in vodenju registra ponudnikov storitev menjav med virtualnimi in fiat valutami ter ponudnikov skrbniških denarnic (Uradni list RS, št. 41/21)</w:t>
      </w:r>
      <w:r w:rsidR="007D73FD">
        <w:t>,</w:t>
      </w:r>
    </w:p>
    <w:p w14:paraId="2AB3EB4D" w14:textId="229CD6D0" w:rsidR="00313624" w:rsidRDefault="00313624" w:rsidP="007D73FD">
      <w:pPr>
        <w:pStyle w:val="Odstavekseznama"/>
        <w:tabs>
          <w:tab w:val="left" w:pos="4536"/>
        </w:tabs>
        <w:ind w:left="851" w:hanging="284"/>
      </w:pPr>
      <w:r w:rsidRPr="00D52972">
        <w:t>pripravo Pravilnika o tehničnih pogojih, ki jih morajo izpolnjevati sefi in videoelektronska identifikacijska sredstva oziroma sredstva, ki omogočajo identifikacijo stranke na podlagi njenih biometričnih značilnosti</w:t>
      </w:r>
      <w:r w:rsidR="007D73FD">
        <w:t>,</w:t>
      </w:r>
    </w:p>
    <w:p w14:paraId="7AC7EE21" w14:textId="58BD6620" w:rsidR="00313624" w:rsidRPr="00313624" w:rsidRDefault="00313624" w:rsidP="007D73FD">
      <w:pPr>
        <w:pStyle w:val="Odstavekseznama"/>
        <w:tabs>
          <w:tab w:val="left" w:pos="4536"/>
        </w:tabs>
        <w:ind w:left="851" w:hanging="284"/>
      </w:pPr>
      <w:r>
        <w:t xml:space="preserve">sodelovanje z </w:t>
      </w:r>
      <w:r w:rsidRPr="00787E61">
        <w:t>Agencij</w:t>
      </w:r>
      <w:r>
        <w:t>o</w:t>
      </w:r>
      <w:r w:rsidRPr="00787E61">
        <w:t xml:space="preserve"> Republike Slovenije za javnopravne evidence in storitv</w:t>
      </w:r>
      <w:r>
        <w:t>e pri pripravi predloga novega Pravilnika o vzdrževanju in upravljanju Registra dejanskih lastnikov,</w:t>
      </w:r>
    </w:p>
    <w:p w14:paraId="63075741" w14:textId="21BB31F5" w:rsidR="00313624" w:rsidRPr="00D52972" w:rsidRDefault="00313624" w:rsidP="007D73FD">
      <w:pPr>
        <w:pStyle w:val="Odstavekseznama"/>
        <w:tabs>
          <w:tab w:val="left" w:pos="4536"/>
        </w:tabs>
        <w:ind w:left="851" w:hanging="284"/>
      </w:pPr>
      <w:r w:rsidRPr="00D52972">
        <w:t>pripravo predloga odgovora na</w:t>
      </w:r>
      <w:r>
        <w:t xml:space="preserve"> tehnični opomin Evropske komisije v zvezi z </w:t>
      </w:r>
      <w:r w:rsidRPr="00D52972">
        <w:t xml:space="preserve"> Direktiv</w:t>
      </w:r>
      <w:r>
        <w:t>o</w:t>
      </w:r>
      <w:r w:rsidRPr="00D52972">
        <w:t xml:space="preserve"> (EU) 2018/843 Evropskega parlamenta in Sveta z dne 30. maja 2018 o spremembi Direktive (EU) 2015/849 o preprečevanju uporabe finančnega sistema za pranje denarja ali financiranje terorizma ter o spremembi direktiv 2009/138/ES in 2013/36/EU v pravni red RS (v nadaljevanju: Direktiva (EU) 2018/843)</w:t>
      </w:r>
      <w:r w:rsidR="007D73FD">
        <w:t>,</w:t>
      </w:r>
    </w:p>
    <w:p w14:paraId="2BAB4EC7" w14:textId="12B29BCE" w:rsidR="00313624" w:rsidRPr="00D52972" w:rsidRDefault="00313624" w:rsidP="007D73FD">
      <w:pPr>
        <w:pStyle w:val="Odstavekseznama"/>
        <w:tabs>
          <w:tab w:val="left" w:pos="4536"/>
        </w:tabs>
        <w:ind w:left="851" w:hanging="284"/>
      </w:pPr>
      <w:r w:rsidRPr="00D52972">
        <w:t>pripravo mnenj in stališč v zvezi z izvajanjem ZPPDFT-1 in podzakonskih aktov, izdanih na njegovi podlagi</w:t>
      </w:r>
      <w:r w:rsidR="007D73FD">
        <w:t>,</w:t>
      </w:r>
    </w:p>
    <w:p w14:paraId="65F9ECED" w14:textId="1FFBDA7B" w:rsidR="00313624" w:rsidRPr="00313624" w:rsidRDefault="00313624" w:rsidP="007D73FD">
      <w:pPr>
        <w:pStyle w:val="Odstavekseznama"/>
        <w:tabs>
          <w:tab w:val="left" w:pos="4536"/>
        </w:tabs>
        <w:ind w:left="851" w:hanging="284"/>
      </w:pPr>
      <w:r w:rsidRPr="00313624">
        <w:t>vzpostavitev registra ponudnikov storitev menjav med virtualnimi in fiat valutami ter ponudnikov skrbniških denarnic ter objava registra na spletni strani Urada</w:t>
      </w:r>
      <w:r w:rsidR="007D73FD">
        <w:t>,</w:t>
      </w:r>
    </w:p>
    <w:p w14:paraId="4003289F" w14:textId="48776B0C" w:rsidR="00313624" w:rsidRPr="00847E33" w:rsidRDefault="00313624" w:rsidP="007D73FD">
      <w:pPr>
        <w:pStyle w:val="Odstavekseznama"/>
        <w:tabs>
          <w:tab w:val="left" w:pos="4536"/>
        </w:tabs>
        <w:ind w:left="851" w:hanging="284"/>
      </w:pPr>
      <w:r w:rsidRPr="007D73FD">
        <w:t>pripravo odločb in odgovorov v zvezi z zahtevami za dostop do informacij javnega značaja v skladu z določbami Zakona o dostopu do informacij javnega značaja (Uradni list RS, št. 51/06 – uradno prečiščeno besedilo, 117/06 – ZDavP-2, 23/14, 50/14, 19/15 – odl. US, 102/15 in 7/18)</w:t>
      </w:r>
      <w:r w:rsidR="007D73FD">
        <w:t>,</w:t>
      </w:r>
    </w:p>
    <w:p w14:paraId="5A632CE1" w14:textId="015C80BD" w:rsidR="00313624" w:rsidRPr="00D52972" w:rsidRDefault="00313624" w:rsidP="007D73FD">
      <w:pPr>
        <w:pStyle w:val="Odstavekseznama"/>
        <w:tabs>
          <w:tab w:val="left" w:pos="4536"/>
        </w:tabs>
        <w:ind w:left="851" w:hanging="284"/>
      </w:pPr>
      <w:r w:rsidRPr="00D52972">
        <w:t xml:space="preserve">pripravo odgovorov in dokumentacije na vprašanja medijev, na </w:t>
      </w:r>
      <w:r w:rsidRPr="002741ED">
        <w:t>poslanska vprašanja</w:t>
      </w:r>
      <w:r w:rsidRPr="00D52972">
        <w:t xml:space="preserve"> ter na vprašanja in zahteve preiskovalnih komisij Državnega zbora</w:t>
      </w:r>
      <w:r w:rsidR="007D73FD">
        <w:t>,</w:t>
      </w:r>
    </w:p>
    <w:p w14:paraId="29BDA508" w14:textId="69CA57BC" w:rsidR="00313624" w:rsidRPr="00D52972" w:rsidRDefault="00313624" w:rsidP="007D73FD">
      <w:pPr>
        <w:pStyle w:val="Odstavekseznama"/>
        <w:tabs>
          <w:tab w:val="left" w:pos="4536"/>
        </w:tabs>
        <w:ind w:left="851" w:hanging="284"/>
      </w:pPr>
      <w:r w:rsidRPr="00D52972">
        <w:t>sodelovanje pri pripravi in usklajevanju predpisov drugih pristojnih organov</w:t>
      </w:r>
      <w:r w:rsidR="007D73FD">
        <w:t>,</w:t>
      </w:r>
    </w:p>
    <w:p w14:paraId="6B70EFF5" w14:textId="5F400C59" w:rsidR="00313624" w:rsidRPr="00D52972" w:rsidRDefault="00AF436C" w:rsidP="007D73FD">
      <w:pPr>
        <w:pStyle w:val="Odstavekseznama"/>
        <w:tabs>
          <w:tab w:val="left" w:pos="4536"/>
        </w:tabs>
        <w:ind w:left="851" w:hanging="284"/>
      </w:pPr>
      <w:r>
        <w:t>tekoče</w:t>
      </w:r>
      <w:r w:rsidR="00313624" w:rsidRPr="00D52972">
        <w:t xml:space="preserve"> urejanje spletne strani urada v skladu z usmeritvami Ministrstva za javno upravo</w:t>
      </w:r>
      <w:r w:rsidR="00313624">
        <w:t xml:space="preserve"> ter Uradom Vlade RS za komuniciranje</w:t>
      </w:r>
      <w:r w:rsidR="00313624" w:rsidRPr="00D52972">
        <w:t>.</w:t>
      </w:r>
    </w:p>
    <w:p w14:paraId="52DB743E" w14:textId="77777777" w:rsidR="00B65A09" w:rsidRDefault="00B65A09" w:rsidP="00B65A09"/>
    <w:p w14:paraId="4807431E" w14:textId="3A23F085" w:rsidR="00B65A09" w:rsidRDefault="00B65A09" w:rsidP="00B65A09">
      <w:pPr>
        <w:pStyle w:val="Naslov2"/>
      </w:pPr>
      <w:bookmarkStart w:id="41" w:name="_Toc119581713"/>
      <w:r>
        <w:t>ZAKONODAJA IN POMOČ PRI NJENEM IZVAJANJU</w:t>
      </w:r>
      <w:bookmarkEnd w:id="41"/>
    </w:p>
    <w:p w14:paraId="59A6B282" w14:textId="77777777" w:rsidR="00B65A09" w:rsidRDefault="00B65A09" w:rsidP="00B65A09"/>
    <w:p w14:paraId="08A35F3A" w14:textId="06416724" w:rsidR="00B65A09" w:rsidRDefault="00B65A09" w:rsidP="00B65A09">
      <w:r>
        <w:t xml:space="preserve">Pomembna naloga </w:t>
      </w:r>
      <w:r w:rsidR="00BC05FB">
        <w:t xml:space="preserve">urada oziroma </w:t>
      </w:r>
      <w:r>
        <w:t xml:space="preserve">Sektorja za </w:t>
      </w:r>
      <w:r w:rsidR="00313624">
        <w:t>pravne zadeve</w:t>
      </w:r>
      <w:r>
        <w:t xml:space="preserve"> je </w:t>
      </w:r>
      <w:r w:rsidRPr="00B51B6A">
        <w:rPr>
          <w:b/>
          <w:bCs/>
        </w:rPr>
        <w:t>priprava zakonskih predlogov</w:t>
      </w:r>
      <w:r>
        <w:t>, povezanih s področjem preprečevanja pranja denarja in financiranja terorizma. Pri tem velja poudariti, da gre po eni strani za prenos evropskih direktiv, za katere velja načelo minimalne harmonizacije ob upoštevanju uveljavljenih mednarodnih standardov (t. i. priporočila FATF), po drugi strani pa se področje urejanja vse bolj širi iz prvotno ozkega delovnega področja finančnih obveščevalnih enot v področje čedalje več sektorjev zavezancev in njihovih nadzornikov. To zahteva pogosto dolgotrajno usklajevanje določb ZPPDFT-1 z določbami predpisov, ki urejajo posamezne dejavnosti (npr. bančništvo, notarsko službo ipd.), pristojnosti posameznih nadzornih organov (</w:t>
      </w:r>
      <w:r w:rsidR="00BC05FB">
        <w:t xml:space="preserve">ki </w:t>
      </w:r>
      <w:r>
        <w:t>delujejo na podlagi različnih postopkovnih zakonov) ali druga področja, ki so tesno povezana z delom urada (npr. področje tajnih podatkov, varstva osebnih podatkov ipd.). Tudi dinamika sprejemanja predpisov na ravni EU je v preteklih letih povzročala hitenje pri pripravi predlogov (še preden je potekel rok za prenos 4. direktive, je bila sprejeta že 5., zdaj pa potekajo priprave za nove zakonodajne pobude na ravni EU), prav tako pa zaradi možnih različnih tolmačenj določb direktiv in načela minimalne harmonizacije prihaja do naknadno sporočenih pomislekov Evropske komisije, tudi v obliki uradn</w:t>
      </w:r>
      <w:r w:rsidR="00BC05FB">
        <w:t>ih opominov</w:t>
      </w:r>
      <w:r>
        <w:t>.</w:t>
      </w:r>
    </w:p>
    <w:p w14:paraId="0EBCB1B1" w14:textId="54F494A6" w:rsidR="00B65A09" w:rsidRDefault="00313624" w:rsidP="00B65A09">
      <w:r>
        <w:lastRenderedPageBreak/>
        <w:t xml:space="preserve">Na področju zakonodaje so v letu 2021 potekale številne aktivnosti. Pripravljal se je predlog novega zakona ZPPDFT-2, ter trije predlogi podzakonskih predpisov. </w:t>
      </w:r>
    </w:p>
    <w:p w14:paraId="45F77993" w14:textId="77777777" w:rsidR="00313624" w:rsidRDefault="00313624" w:rsidP="00B65A09"/>
    <w:p w14:paraId="77F99037" w14:textId="58696157" w:rsidR="00B65A09" w:rsidRDefault="00313624" w:rsidP="00B65A09">
      <w:pPr>
        <w:pStyle w:val="Naslov3"/>
      </w:pPr>
      <w:bookmarkStart w:id="42" w:name="_Toc119581714"/>
      <w:r>
        <w:t>Priprava</w:t>
      </w:r>
      <w:r w:rsidR="00B65A09">
        <w:t xml:space="preserve"> osnutka Zakona o preprečevanju pranja denarja in financiranja terorizma (ZPPDFT-2)</w:t>
      </w:r>
      <w:bookmarkEnd w:id="42"/>
      <w:r w:rsidR="00B65A09">
        <w:t xml:space="preserve"> </w:t>
      </w:r>
    </w:p>
    <w:p w14:paraId="3C1E81AC" w14:textId="77777777" w:rsidR="00B65A09" w:rsidRDefault="00B65A09" w:rsidP="00B65A09"/>
    <w:p w14:paraId="6805350B" w14:textId="6ECDC2F3" w:rsidR="00EA665D" w:rsidRDefault="00B65A09" w:rsidP="00B65A09">
      <w:r>
        <w:t>Zaradi obsežnosti načrtovanih sprememb je bilo proti koncu leta 2020 odločeno, da je primerneje, da se namesto novele</w:t>
      </w:r>
      <w:r w:rsidR="00CC47BC">
        <w:t xml:space="preserve"> obstoječega zakona</w:t>
      </w:r>
      <w:r>
        <w:t xml:space="preserve"> sprejme nov zakon – ZPPDFT-2, zato so se začele priprave za preoblikovanje pripravljene novele ZPPDFT-1C. Glavnina aktivnosti glede novega zakona se bo nadaljevala v letu 202</w:t>
      </w:r>
      <w:r w:rsidR="00855CEB">
        <w:t>2</w:t>
      </w:r>
      <w:r>
        <w:t>.</w:t>
      </w:r>
    </w:p>
    <w:p w14:paraId="670DE28C" w14:textId="77777777" w:rsidR="00313624" w:rsidRPr="00536235" w:rsidRDefault="00313624" w:rsidP="00313624">
      <w:pPr>
        <w:spacing w:after="0" w:line="260" w:lineRule="exact"/>
        <w:rPr>
          <w:rFonts w:eastAsia="Times New Roman" w:cs="Arial"/>
          <w:szCs w:val="20"/>
        </w:rPr>
      </w:pPr>
      <w:r>
        <w:rPr>
          <w:rFonts w:eastAsia="Times New Roman" w:cs="Arial"/>
          <w:szCs w:val="20"/>
        </w:rPr>
        <w:t xml:space="preserve">Predlog ZPPDFT-2 je </w:t>
      </w:r>
      <w:r w:rsidRPr="00536235">
        <w:rPr>
          <w:rFonts w:eastAsia="Times New Roman" w:cs="Arial"/>
          <w:szCs w:val="20"/>
        </w:rPr>
        <w:t>vseb</w:t>
      </w:r>
      <w:r>
        <w:rPr>
          <w:rFonts w:eastAsia="Times New Roman" w:cs="Arial"/>
          <w:szCs w:val="20"/>
        </w:rPr>
        <w:t>oval</w:t>
      </w:r>
      <w:r w:rsidRPr="00536235">
        <w:rPr>
          <w:rFonts w:eastAsia="Times New Roman" w:cs="Arial"/>
          <w:szCs w:val="20"/>
        </w:rPr>
        <w:t xml:space="preserve"> vrsto izboljšav, ki v koncept ZPPDFT-1 oziroma v njegove temeljne določbe ne posegajo, temveč z odpravo določenih nedoslednosti in nejasnosti, omilitvijo določenih zahtev in uvedbo dodatnih orodij oziroma možnosti pri izvajanju ukrepov s strani zavezancev ter mehanizmov za nadzor nad izvajanjem zakona zagotavljajo učinkovitejše obvladovanje tveganja pranja denarja in financiranja terorizma s strani zavezancev in izvajanje nadzora s strani nadzornih organov.</w:t>
      </w:r>
    </w:p>
    <w:p w14:paraId="1AB914FD" w14:textId="77777777" w:rsidR="00313624" w:rsidRPr="00536235" w:rsidRDefault="00313624" w:rsidP="00313624">
      <w:pPr>
        <w:spacing w:after="0" w:line="260" w:lineRule="exact"/>
        <w:rPr>
          <w:rFonts w:eastAsia="Times New Roman" w:cs="Arial"/>
          <w:szCs w:val="20"/>
        </w:rPr>
      </w:pPr>
    </w:p>
    <w:p w14:paraId="4966F89D" w14:textId="4DC2C789" w:rsidR="00313624" w:rsidRPr="00536235" w:rsidRDefault="00313624" w:rsidP="00313624">
      <w:pPr>
        <w:spacing w:after="0" w:line="260" w:lineRule="exact"/>
        <w:rPr>
          <w:rFonts w:eastAsia="Times New Roman" w:cs="Arial"/>
          <w:szCs w:val="20"/>
        </w:rPr>
      </w:pPr>
      <w:r w:rsidRPr="00536235">
        <w:rPr>
          <w:rFonts w:eastAsia="Times New Roman" w:cs="Arial"/>
          <w:szCs w:val="20"/>
        </w:rPr>
        <w:t xml:space="preserve">S predlogom zakona se </w:t>
      </w:r>
      <w:r>
        <w:rPr>
          <w:rFonts w:eastAsia="Times New Roman" w:cs="Arial"/>
          <w:szCs w:val="20"/>
        </w:rPr>
        <w:t xml:space="preserve">je </w:t>
      </w:r>
      <w:r w:rsidRPr="00536235">
        <w:rPr>
          <w:rFonts w:eastAsia="Times New Roman" w:cs="Arial"/>
          <w:szCs w:val="20"/>
        </w:rPr>
        <w:t xml:space="preserve">dodatno </w:t>
      </w:r>
      <w:r w:rsidRPr="00B51B6A">
        <w:rPr>
          <w:rFonts w:eastAsia="Times New Roman" w:cs="Arial"/>
          <w:b/>
          <w:bCs/>
          <w:szCs w:val="20"/>
        </w:rPr>
        <w:t>preneslo</w:t>
      </w:r>
      <w:r w:rsidRPr="00B51B6A">
        <w:rPr>
          <w:rFonts w:eastAsia="Times New Roman" w:cs="Arial"/>
          <w:szCs w:val="20"/>
        </w:rPr>
        <w:t xml:space="preserve"> tudi del določb</w:t>
      </w:r>
      <w:r w:rsidRPr="00B51B6A">
        <w:rPr>
          <w:rFonts w:eastAsia="Times New Roman" w:cs="Arial"/>
          <w:b/>
          <w:bCs/>
          <w:szCs w:val="20"/>
        </w:rPr>
        <w:t xml:space="preserve"> Direktive (EU) 2019/1153</w:t>
      </w:r>
      <w:r w:rsidRPr="00536235">
        <w:rPr>
          <w:rFonts w:eastAsia="Times New Roman" w:cs="Arial"/>
          <w:szCs w:val="20"/>
        </w:rPr>
        <w:t xml:space="preserve"> Evropskega parlamenta in Sveta z dne 20. junija 2019 o določitvi pravil za lažjo uporabo finančnih in drugih informacij za namene preprečevanja, odkrivanja, preiskovanja ali pregona nekaterih kaznivih dejanj ter o razveljavitvi Sklepa Sveta 2000/642/PNZ (UL L št. 186 z dne 11. 7. 2019, str. 122) in </w:t>
      </w:r>
      <w:r w:rsidRPr="00B51B6A">
        <w:rPr>
          <w:rFonts w:eastAsia="Times New Roman" w:cs="Arial"/>
          <w:b/>
          <w:bCs/>
          <w:szCs w:val="20"/>
        </w:rPr>
        <w:t xml:space="preserve">Direktive (EU) 2019/2177 </w:t>
      </w:r>
      <w:r w:rsidRPr="00536235">
        <w:rPr>
          <w:rFonts w:eastAsia="Times New Roman" w:cs="Arial"/>
          <w:szCs w:val="20"/>
        </w:rPr>
        <w:t>Evropskega parlamenta in Sveta z dne 18. decembra 2019 o spremembi Direktive 2009/138/ES o začetku opravljanja in opravljanju dejavnosti zavarovanja in pozavarovanja (Solventnost II), Direktive 2014/65/EU o trgih finančnih instrumentov in Direktive (EU) 2015/849 o preprečevanju uporabe finančnega sistema za pranje denarja ali financiranje terorizma (Besedilo velja za EGP) (UL L št. 334 z dne 27. 12. 2019, št. 155</w:t>
      </w:r>
      <w:r>
        <w:rPr>
          <w:rFonts w:eastAsia="Times New Roman" w:cs="Arial"/>
          <w:szCs w:val="20"/>
        </w:rPr>
        <w:t>)</w:t>
      </w:r>
      <w:r w:rsidRPr="00536235">
        <w:rPr>
          <w:rFonts w:cs="Arial"/>
          <w:szCs w:val="20"/>
        </w:rPr>
        <w:t xml:space="preserve"> </w:t>
      </w:r>
      <w:r w:rsidRPr="00536235">
        <w:rPr>
          <w:rFonts w:eastAsia="Times New Roman" w:cs="Arial"/>
          <w:szCs w:val="20"/>
        </w:rPr>
        <w:t xml:space="preserve">ter na podrobnejše </w:t>
      </w:r>
      <w:r w:rsidRPr="00B51B6A">
        <w:rPr>
          <w:rFonts w:eastAsia="Times New Roman" w:cs="Arial"/>
          <w:b/>
          <w:bCs/>
          <w:szCs w:val="20"/>
        </w:rPr>
        <w:t>izvajanje Uredbe (EU) 2018/1672</w:t>
      </w:r>
      <w:r w:rsidRPr="00536235">
        <w:rPr>
          <w:rFonts w:eastAsia="Times New Roman" w:cs="Arial"/>
          <w:szCs w:val="20"/>
        </w:rPr>
        <w:t xml:space="preserve"> Evropskega parlamenta in Sveta z dne 23. oktobra 2018 o kontroli gotovine, ki se vnaša v Unijo ali iznaša iz nje, in razveljavitvi Uredbe (ES) št. 1889/2005 (UL L št. 284 z dne 12. 11. 2018, str. 6</w:t>
      </w:r>
      <w:r>
        <w:rPr>
          <w:rFonts w:eastAsia="Times New Roman" w:cs="Arial"/>
          <w:szCs w:val="20"/>
        </w:rPr>
        <w:t>)</w:t>
      </w:r>
      <w:r w:rsidRPr="00536235">
        <w:rPr>
          <w:rFonts w:eastAsia="Times New Roman" w:cs="Arial"/>
          <w:szCs w:val="20"/>
        </w:rPr>
        <w:t>.</w:t>
      </w:r>
    </w:p>
    <w:p w14:paraId="0E5C7C8D" w14:textId="77777777" w:rsidR="00313624" w:rsidRPr="00536235" w:rsidRDefault="00313624" w:rsidP="00313624">
      <w:pPr>
        <w:spacing w:after="0" w:line="260" w:lineRule="exact"/>
        <w:rPr>
          <w:rFonts w:eastAsia="Times New Roman" w:cs="Arial"/>
          <w:szCs w:val="20"/>
        </w:rPr>
      </w:pPr>
    </w:p>
    <w:p w14:paraId="0D22D4B7" w14:textId="2FAE9197" w:rsidR="00313624" w:rsidRDefault="00313624" w:rsidP="00313624">
      <w:pPr>
        <w:spacing w:after="0" w:line="260" w:lineRule="exact"/>
        <w:rPr>
          <w:rFonts w:eastAsia="Times New Roman" w:cs="Arial"/>
          <w:szCs w:val="20"/>
        </w:rPr>
      </w:pPr>
      <w:r w:rsidRPr="00536235">
        <w:rPr>
          <w:rFonts w:eastAsia="Times New Roman" w:cs="Arial"/>
          <w:szCs w:val="20"/>
        </w:rPr>
        <w:t xml:space="preserve">Poleg tega </w:t>
      </w:r>
      <w:r>
        <w:rPr>
          <w:rFonts w:eastAsia="Times New Roman" w:cs="Arial"/>
          <w:szCs w:val="20"/>
        </w:rPr>
        <w:t xml:space="preserve">je </w:t>
      </w:r>
      <w:r w:rsidRPr="00536235">
        <w:rPr>
          <w:rFonts w:eastAsia="Times New Roman" w:cs="Arial"/>
          <w:szCs w:val="20"/>
        </w:rPr>
        <w:t>predlog zakona na podlagi pripomb in predlogov zavezancev ter ugotovitev nadzornih organov po ZPPDFT-1</w:t>
      </w:r>
      <w:r>
        <w:rPr>
          <w:rFonts w:eastAsia="Times New Roman" w:cs="Arial"/>
          <w:szCs w:val="20"/>
        </w:rPr>
        <w:t xml:space="preserve"> </w:t>
      </w:r>
      <w:r w:rsidRPr="00536235">
        <w:rPr>
          <w:rFonts w:eastAsia="Times New Roman" w:cs="Arial"/>
          <w:szCs w:val="20"/>
        </w:rPr>
        <w:t>uv</w:t>
      </w:r>
      <w:r>
        <w:rPr>
          <w:rFonts w:eastAsia="Times New Roman" w:cs="Arial"/>
          <w:szCs w:val="20"/>
        </w:rPr>
        <w:t>edel</w:t>
      </w:r>
      <w:r w:rsidRPr="00536235">
        <w:rPr>
          <w:rFonts w:eastAsia="Times New Roman" w:cs="Arial"/>
          <w:szCs w:val="20"/>
        </w:rPr>
        <w:t xml:space="preserve"> tudi </w:t>
      </w:r>
      <w:r w:rsidRPr="00B51B6A">
        <w:rPr>
          <w:rFonts w:eastAsia="Times New Roman" w:cs="Arial"/>
          <w:b/>
          <w:bCs/>
          <w:szCs w:val="20"/>
        </w:rPr>
        <w:t>izboljšave v delovanju sistema preprečevanja pranja denarja</w:t>
      </w:r>
      <w:r w:rsidRPr="00536235">
        <w:rPr>
          <w:rFonts w:eastAsia="Times New Roman" w:cs="Arial"/>
          <w:szCs w:val="20"/>
        </w:rPr>
        <w:t>, in sicer</w:t>
      </w:r>
      <w:r>
        <w:rPr>
          <w:rFonts w:eastAsia="Times New Roman" w:cs="Arial"/>
          <w:szCs w:val="20"/>
        </w:rPr>
        <w:t>:</w:t>
      </w:r>
    </w:p>
    <w:p w14:paraId="571424FF" w14:textId="77777777" w:rsidR="00DD7DF0" w:rsidRPr="00536235" w:rsidRDefault="00DD7DF0" w:rsidP="00313624">
      <w:pPr>
        <w:spacing w:after="0" w:line="260" w:lineRule="exact"/>
        <w:rPr>
          <w:rFonts w:eastAsia="Times New Roman" w:cs="Arial"/>
          <w:szCs w:val="20"/>
        </w:rPr>
      </w:pPr>
    </w:p>
    <w:p w14:paraId="0C471965" w14:textId="2BDD3D92" w:rsidR="00313624" w:rsidRPr="009E181E" w:rsidRDefault="00313624" w:rsidP="009E181E">
      <w:pPr>
        <w:pStyle w:val="Odstavekseznama"/>
        <w:tabs>
          <w:tab w:val="left" w:pos="4536"/>
        </w:tabs>
        <w:ind w:left="851" w:hanging="284"/>
      </w:pPr>
      <w:r w:rsidRPr="009E181E">
        <w:t>jasnejšo dikcijo nekaterih obstoječih določb in nove določbe, ki odpravljajo nejasnosti, ki se pojavljajo v praksi pri zavezancih</w:t>
      </w:r>
      <w:r w:rsidR="00DD7DF0" w:rsidRPr="009E181E">
        <w:t>,</w:t>
      </w:r>
    </w:p>
    <w:p w14:paraId="1EA5F1EA" w14:textId="64630BBB" w:rsidR="00313624" w:rsidRPr="009E181E" w:rsidRDefault="00313624" w:rsidP="009E181E">
      <w:pPr>
        <w:pStyle w:val="Odstavekseznama"/>
        <w:tabs>
          <w:tab w:val="left" w:pos="4536"/>
        </w:tabs>
        <w:ind w:left="851" w:hanging="284"/>
      </w:pPr>
      <w:r w:rsidRPr="009E181E">
        <w:t>omilitev določenih obveznosti zavezancev, ki so v ZPPDFT-1 strožje od zahtev Direktive (EU) 2015/849 in drugih mednarodnih standardov ter glede na ugotovljena tveganja pranja denarja in financiranja terorizma nesorazmerne, s čimer se zagotavlja konkurenčnost zavezancev po tem zakonu v primerjavi z zavezanci iz drugih držav članic</w:t>
      </w:r>
      <w:r w:rsidR="00DD7DF0" w:rsidRPr="009E181E">
        <w:t>,</w:t>
      </w:r>
    </w:p>
    <w:p w14:paraId="5F3E56A7" w14:textId="359A8312" w:rsidR="00313624" w:rsidRPr="009E181E" w:rsidRDefault="00313624" w:rsidP="009E181E">
      <w:pPr>
        <w:pStyle w:val="Odstavekseznama"/>
        <w:tabs>
          <w:tab w:val="left" w:pos="4536"/>
        </w:tabs>
        <w:ind w:left="851" w:hanging="284"/>
      </w:pPr>
      <w:r w:rsidRPr="009E181E">
        <w:t>nove naloge in obveznosti zavezancev, kjer je v praksi prišlo do zaznavanja nezadostnega obvladovanja tveganja pranja denarja in financiranja terorizma</w:t>
      </w:r>
      <w:r w:rsidR="00DD7DF0" w:rsidRPr="009E181E">
        <w:t>,</w:t>
      </w:r>
    </w:p>
    <w:p w14:paraId="758F2ACB" w14:textId="21079AA6" w:rsidR="00313624" w:rsidRPr="009E181E" w:rsidRDefault="00313624" w:rsidP="009E181E">
      <w:pPr>
        <w:pStyle w:val="Odstavekseznama"/>
        <w:tabs>
          <w:tab w:val="left" w:pos="4536"/>
        </w:tabs>
        <w:ind w:left="851" w:hanging="284"/>
      </w:pPr>
      <w:r w:rsidRPr="009E181E">
        <w:t>uvedbo novih institutov oziroma orodij, s katerimi bodo zavezanci učinkoviteje izvajali obveznosti po tem zakonu ter obvladovali tveganja pranja denarja in financiranja terorizma, nadzorni organi pa učinkoviteje izvajali nadzor</w:t>
      </w:r>
      <w:r w:rsidR="00DD7DF0" w:rsidRPr="009E181E">
        <w:t>,</w:t>
      </w:r>
    </w:p>
    <w:p w14:paraId="10699DB1" w14:textId="487736A8" w:rsidR="00313624" w:rsidRPr="009E181E" w:rsidRDefault="00313624" w:rsidP="009E181E">
      <w:pPr>
        <w:pStyle w:val="Odstavekseznama"/>
        <w:tabs>
          <w:tab w:val="left" w:pos="4536"/>
        </w:tabs>
        <w:ind w:left="851" w:hanging="284"/>
      </w:pPr>
      <w:r w:rsidRPr="009E181E">
        <w:t>dodatne pristojnosti nadzornih organov z namenom učinkovitejšega nadzora nad izvajanjem tega zakona</w:t>
      </w:r>
      <w:r w:rsidR="00DD7DF0" w:rsidRPr="009E181E">
        <w:t>,</w:t>
      </w:r>
    </w:p>
    <w:p w14:paraId="3ED3512A" w14:textId="4E5CF311" w:rsidR="00313624" w:rsidRPr="009E181E" w:rsidRDefault="00313624" w:rsidP="009E181E">
      <w:pPr>
        <w:pStyle w:val="Odstavekseznama"/>
        <w:tabs>
          <w:tab w:val="left" w:pos="4536"/>
        </w:tabs>
        <w:ind w:left="851" w:hanging="284"/>
      </w:pPr>
      <w:r w:rsidRPr="009E181E">
        <w:t>prilagoditev prekrškovnih glob v skladu s splošnim ustavnim načelom sorazmernosti</w:t>
      </w:r>
      <w:r w:rsidR="00DD7DF0" w:rsidRPr="009E181E">
        <w:t>,</w:t>
      </w:r>
    </w:p>
    <w:p w14:paraId="4BDD8522" w14:textId="77777777" w:rsidR="00313624" w:rsidRPr="009E181E" w:rsidRDefault="00313624" w:rsidP="009E181E">
      <w:pPr>
        <w:pStyle w:val="Odstavekseznama"/>
        <w:tabs>
          <w:tab w:val="left" w:pos="4536"/>
        </w:tabs>
        <w:ind w:left="851" w:hanging="284"/>
      </w:pPr>
      <w:r w:rsidRPr="009E181E">
        <w:t>redakcijske izboljšave kot npr. popravke napačnih sklicev v ZPPDFT-1 in pravilnejša poimenovanja zavezancev ter institutov, ki so urejeni v področnih predpisih in na katere se ta zakon navezuje.</w:t>
      </w:r>
    </w:p>
    <w:p w14:paraId="212A1900" w14:textId="77777777" w:rsidR="00313624" w:rsidRDefault="00313624" w:rsidP="00CB3F55">
      <w:pPr>
        <w:ind w:left="851" w:hanging="284"/>
      </w:pPr>
    </w:p>
    <w:p w14:paraId="28ECCF0A" w14:textId="36BA5AD7" w:rsidR="00B65A09" w:rsidRDefault="00B65A09" w:rsidP="00B65A09">
      <w:pPr>
        <w:pStyle w:val="Naslov3"/>
      </w:pPr>
      <w:bookmarkStart w:id="43" w:name="_Toc119581715"/>
      <w:r>
        <w:lastRenderedPageBreak/>
        <w:t>Priprava podzakonskih predpisov</w:t>
      </w:r>
      <w:bookmarkEnd w:id="43"/>
    </w:p>
    <w:p w14:paraId="1FCF68CF" w14:textId="77777777" w:rsidR="00B65A09" w:rsidRDefault="00B65A09" w:rsidP="00B65A09"/>
    <w:p w14:paraId="7115B8E4" w14:textId="61C972AB" w:rsidR="006A23F3" w:rsidRDefault="006A23F3" w:rsidP="009B48C9">
      <w:r>
        <w:t>Urad je pripravil predloge novih podzakonskih predpisov, in sicer:</w:t>
      </w:r>
    </w:p>
    <w:p w14:paraId="67B17E83" w14:textId="5EE5B4E1" w:rsidR="006A23F3" w:rsidRPr="009E181E" w:rsidRDefault="006A23F3" w:rsidP="009E181E">
      <w:pPr>
        <w:pStyle w:val="Odstavekseznama"/>
        <w:tabs>
          <w:tab w:val="left" w:pos="4536"/>
        </w:tabs>
        <w:ind w:left="851" w:hanging="284"/>
      </w:pPr>
      <w:r w:rsidRPr="009E181E">
        <w:t xml:space="preserve">predlog </w:t>
      </w:r>
      <w:r w:rsidRPr="009E181E">
        <w:rPr>
          <w:b/>
          <w:bCs/>
        </w:rPr>
        <w:t>Pravilnika o vzpostavitvi in vodenju registra ponudnikov storitev menjav med virtualnimi in fiat valutami ter ponudnikov skrbniških denarnic</w:t>
      </w:r>
      <w:r w:rsidRPr="009E181E">
        <w:t xml:space="preserve"> (Uradni list RS, št. 41/21). S pravilnikom so podrobneje določena pravila o vzpostavitvi in vodenju registra ponudnikov storitev menjav med virtualnimi in fiat valutami ter ponudnikov skrbniških denarnic, ki ga vodi in vzdržuje urad;</w:t>
      </w:r>
    </w:p>
    <w:p w14:paraId="42AC3D14" w14:textId="59ECB71B" w:rsidR="006A23F3" w:rsidRPr="009E181E" w:rsidRDefault="006A23F3" w:rsidP="009E181E">
      <w:pPr>
        <w:pStyle w:val="Odstavekseznama"/>
        <w:tabs>
          <w:tab w:val="left" w:pos="4536"/>
        </w:tabs>
        <w:ind w:left="851" w:hanging="284"/>
      </w:pPr>
      <w:r w:rsidRPr="009E181E">
        <w:t xml:space="preserve">predlog </w:t>
      </w:r>
      <w:r w:rsidRPr="009E181E">
        <w:rPr>
          <w:b/>
          <w:bCs/>
        </w:rPr>
        <w:t>Pravilnika o tehničnih pogojih, ki jih morajo izpolnjevati sefi in videoelektronska identifikacijska sredstva oziroma sredstva, ki omogočajo identifikacijo stranke na podlagi njenih biometričnih značilnosti</w:t>
      </w:r>
      <w:r w:rsidRPr="009E181E">
        <w:t>. S pravilnikom se za namen preprečevanja pranja denarja in financiranja terorizma določajo minimalni tehnični pogoji, ki jih morajo izpolnjevati sefi, do katerih se pristopa na podlagi elektronske identifikacijske kartice, osebnega gesla za dostop in video elektronskega identifikacijskega sredstva oziroma sredstva, ki omogoča identifikacijo stranke na podlagi njenih biometričnih značilnosti, ter elektronske identifikacijske kartice, osebna gesla za dostop in video elektronska identifikacijska sredstva oziroma sredstva, ki omogočajo identifikacijo stranke na podlagi njenih biometričnih značilnosti, s katerimi se dostopa do omenjenih sefov;</w:t>
      </w:r>
    </w:p>
    <w:p w14:paraId="7010FFE6" w14:textId="0010369A" w:rsidR="009E181E" w:rsidRPr="009E181E" w:rsidRDefault="006A23F3" w:rsidP="009E181E">
      <w:pPr>
        <w:pStyle w:val="Odstavekseznama"/>
        <w:tabs>
          <w:tab w:val="left" w:pos="4536"/>
        </w:tabs>
        <w:ind w:left="851" w:hanging="284"/>
      </w:pPr>
      <w:r w:rsidRPr="009E181E">
        <w:t xml:space="preserve">pri pripravi predloga novega </w:t>
      </w:r>
      <w:r w:rsidRPr="009E181E">
        <w:rPr>
          <w:b/>
          <w:bCs/>
        </w:rPr>
        <w:t>Pravilnika o delovanju, vzdrževanju in upravljanju Registra dejanskih lastnikov</w:t>
      </w:r>
      <w:r w:rsidRPr="009E181E">
        <w:t xml:space="preserve"> je urad sodeloval tudi z Agencijo Republike Slovenije za javnopravne evidence in storitve (AJPES). S pravilnikom se določa način vpisa podatkov v register, šifrant o načinih nadzora dejanskega lastnika nad poslovnim subjektom, šifrant poslovnih subjektov, ki nimajo poslovnih deležev, način dostopa do podatkov, način vzdrževanja in upravljanja registra ter tehnične zahteve za delovanje registra</w:t>
      </w:r>
      <w:r w:rsidR="00CB3F55" w:rsidRPr="009E181E">
        <w:t>.</w:t>
      </w:r>
      <w:r w:rsidRPr="009E181E">
        <w:t xml:space="preserve"> </w:t>
      </w:r>
    </w:p>
    <w:p w14:paraId="70DE4159" w14:textId="77777777" w:rsidR="006A23F3" w:rsidRDefault="006A23F3" w:rsidP="009B48C9">
      <w:r>
        <w:t>Urad je sodeloval tudi pri pripravi in usklajevanju predpisov drugih pristojnih organov.</w:t>
      </w:r>
    </w:p>
    <w:p w14:paraId="0735E488" w14:textId="77777777" w:rsidR="00B65A09" w:rsidRDefault="00B65A09" w:rsidP="00B65A09"/>
    <w:p w14:paraId="4EDB8E6F" w14:textId="2F438505" w:rsidR="00651083" w:rsidRDefault="00B65A09" w:rsidP="00651083">
      <w:pPr>
        <w:pStyle w:val="Naslov3"/>
      </w:pPr>
      <w:bookmarkStart w:id="44" w:name="_Toc119581716"/>
      <w:r>
        <w:t xml:space="preserve">Priprava </w:t>
      </w:r>
      <w:r w:rsidR="00E943E8">
        <w:t>predloga odgovora na tehnični opomin Evropske komisije</w:t>
      </w:r>
      <w:bookmarkEnd w:id="44"/>
      <w:r w:rsidR="00E943E8">
        <w:t xml:space="preserve"> </w:t>
      </w:r>
    </w:p>
    <w:p w14:paraId="13863E65" w14:textId="77777777" w:rsidR="00651083" w:rsidRPr="00651083" w:rsidRDefault="00651083" w:rsidP="00651083"/>
    <w:p w14:paraId="338340B8" w14:textId="1817EBE8" w:rsidR="00E943E8" w:rsidRDefault="00E943E8" w:rsidP="00E943E8">
      <w:r>
        <w:t xml:space="preserve">Konec leta 2021 je Republika Slovenija prejela </w:t>
      </w:r>
      <w:r w:rsidRPr="00507680">
        <w:rPr>
          <w:b/>
          <w:bCs/>
        </w:rPr>
        <w:t>tehnični opomin Evropske komisije</w:t>
      </w:r>
      <w:r>
        <w:t xml:space="preserve">, ki se je nanašal na neprenos oziroma nepravilen prenos posameznih zahtev in obveznosti iz </w:t>
      </w:r>
      <w:r w:rsidR="00651083" w:rsidRPr="00651083">
        <w:t>Direktive (EU) 2018/843 Evropskega parlamenta in Sveta z dne 30. maja 2018 o spremembi Direktive (EU) 2015/849 o preprečevanju uporabe finančnega sistema za pranje denarja ali financiranje terorizma ter o spremembi direktiv 2009/138/ES in 2013/36/EU v pravni red RS</w:t>
      </w:r>
      <w:r>
        <w:t xml:space="preserve"> (Horizontal assessment of transposition of AMLD5).</w:t>
      </w:r>
    </w:p>
    <w:p w14:paraId="2F059FD4" w14:textId="0801C40D" w:rsidR="00E943E8" w:rsidRDefault="00E943E8" w:rsidP="00E943E8">
      <w:r>
        <w:t>Urad je pripravil predlog odgovora, v katerem je na vsak očitek Evropske komisije podal obširno pojasnilo.</w:t>
      </w:r>
    </w:p>
    <w:p w14:paraId="46CAE9DC" w14:textId="77777777" w:rsidR="0087346C" w:rsidRDefault="0087346C" w:rsidP="00E943E8"/>
    <w:p w14:paraId="5C518864" w14:textId="511D67F3" w:rsidR="00B65A09" w:rsidRDefault="00B65A09" w:rsidP="00B65A09">
      <w:pPr>
        <w:pStyle w:val="Naslov3"/>
      </w:pPr>
      <w:bookmarkStart w:id="45" w:name="_Toc119581717"/>
      <w:r>
        <w:t>Pisna mnenja in stališča v zvezi z izvajanjem ZPPDFT-1</w:t>
      </w:r>
      <w:bookmarkEnd w:id="45"/>
    </w:p>
    <w:p w14:paraId="7FBBC1D5" w14:textId="77777777" w:rsidR="00E943E8" w:rsidRDefault="00E943E8" w:rsidP="00E943E8"/>
    <w:p w14:paraId="0B46D900" w14:textId="29163650" w:rsidR="00E943E8" w:rsidRDefault="00E943E8" w:rsidP="00E943E8">
      <w:r>
        <w:t xml:space="preserve">V letu 2021 je urad podal pisna mnenja in stališča v zvezi z izvajanjem določb ZPPDFT-1 </w:t>
      </w:r>
      <w:r w:rsidRPr="00B51B6A">
        <w:rPr>
          <w:b/>
          <w:bCs/>
        </w:rPr>
        <w:t>v 82 zadevah</w:t>
      </w:r>
      <w:r>
        <w:t>.</w:t>
      </w:r>
    </w:p>
    <w:p w14:paraId="637C46F6" w14:textId="47B9BB94" w:rsidR="00E943E8" w:rsidRDefault="00E943E8" w:rsidP="00E943E8">
      <w:r>
        <w:t xml:space="preserve">V nekaterih primerih je bilo treba predhodno uskladiti stališče v zvezi z izvajanjem zakona v okviru sodelovanja med nadzornimi organi. Na splošno je prepoznano, da so postavljena vprašanja oziroma zaprosila za pomoč pri izvajanju zakonskih določb čedalje bolj zahtevna in kompleksna, kar na eni strani zahteva vključevanje več resursov v okviru urada, na drugi strani pa to kaže na kakovostni razvoj, vsaj v nekaterih kategorijah zavezancev, pri izvajanju ukrepov za preprečevanje pranja denarja in financiranja terorizma v okviru </w:t>
      </w:r>
      <w:r w:rsidR="009B48C9">
        <w:t>njihovih</w:t>
      </w:r>
      <w:r>
        <w:t xml:space="preserve"> poslovnih procesov. </w:t>
      </w:r>
    </w:p>
    <w:p w14:paraId="31BB39D0" w14:textId="77777777" w:rsidR="00E943E8" w:rsidRDefault="00E943E8" w:rsidP="00E943E8">
      <w:r>
        <w:t>Vsebinska področja, ki so bila posebej poudarjena pri izdaji mnenj in stališč v zvezi z izvajanjem ZPPDFT-1, so se nanašala na:</w:t>
      </w:r>
    </w:p>
    <w:p w14:paraId="76A5B05C" w14:textId="77777777" w:rsidR="00E943E8" w:rsidRDefault="00E943E8" w:rsidP="00CB3F55">
      <w:pPr>
        <w:pStyle w:val="Odstavekseznama"/>
        <w:ind w:left="851" w:hanging="284"/>
      </w:pPr>
      <w:r>
        <w:t>ugotavljanje dejanskega lastnika;</w:t>
      </w:r>
    </w:p>
    <w:p w14:paraId="4D6BA46B" w14:textId="77777777" w:rsidR="00E943E8" w:rsidRDefault="00E943E8" w:rsidP="00CB3F55">
      <w:pPr>
        <w:pStyle w:val="Odstavekseznama"/>
        <w:ind w:left="851" w:hanging="284"/>
      </w:pPr>
      <w:r>
        <w:lastRenderedPageBreak/>
        <w:t>izvajanje ukrepov pregleda stranke;</w:t>
      </w:r>
    </w:p>
    <w:p w14:paraId="358F8566" w14:textId="77777777" w:rsidR="00E943E8" w:rsidRDefault="00E943E8" w:rsidP="00CB3F55">
      <w:pPr>
        <w:pStyle w:val="Odstavekseznama"/>
        <w:ind w:left="851" w:hanging="284"/>
      </w:pPr>
      <w:r w:rsidRPr="00D52972">
        <w:t>pregled stranke prek tretje osebe;</w:t>
      </w:r>
    </w:p>
    <w:p w14:paraId="5BD03257" w14:textId="1D00D3FB" w:rsidR="00E943E8" w:rsidRPr="00D52972" w:rsidRDefault="00E943E8" w:rsidP="00CB3F55">
      <w:pPr>
        <w:pStyle w:val="Odstavekseznama"/>
        <w:ind w:left="851" w:hanging="284"/>
      </w:pPr>
      <w:r>
        <w:t>pregled stranke s sredstvi elektronske identifikacije;</w:t>
      </w:r>
    </w:p>
    <w:p w14:paraId="5D2824E5" w14:textId="77777777" w:rsidR="00E943E8" w:rsidRPr="00787E61" w:rsidRDefault="00E943E8" w:rsidP="00CB3F55">
      <w:pPr>
        <w:pStyle w:val="Odstavekseznama"/>
        <w:ind w:left="851" w:hanging="284"/>
      </w:pPr>
      <w:r w:rsidRPr="00130563">
        <w:t>vpis podatkov v register dejanskih lastnikov;</w:t>
      </w:r>
    </w:p>
    <w:p w14:paraId="681C579B" w14:textId="77777777" w:rsidR="00E943E8" w:rsidRPr="00787E61" w:rsidRDefault="00E943E8" w:rsidP="00CB3F55">
      <w:pPr>
        <w:pStyle w:val="Odstavekseznama"/>
        <w:ind w:left="851" w:hanging="284"/>
      </w:pPr>
      <w:r w:rsidRPr="00787E61">
        <w:t>obveznost registracije ponudnikov storitev menjav med virtualnimi in fiat valutami, ter ponudnikov skrbniških denarnic in postopek vpisa v register;</w:t>
      </w:r>
    </w:p>
    <w:p w14:paraId="2259BD29" w14:textId="77777777" w:rsidR="00E943E8" w:rsidRPr="00130563" w:rsidRDefault="00E943E8" w:rsidP="00CB3F55">
      <w:pPr>
        <w:pStyle w:val="Odstavekseznama"/>
        <w:ind w:left="851" w:hanging="284"/>
      </w:pPr>
      <w:r w:rsidRPr="00787E61">
        <w:t>ureditev virtualnih valut v Sloveniji;</w:t>
      </w:r>
    </w:p>
    <w:p w14:paraId="67BA9E4A" w14:textId="77777777" w:rsidR="00E943E8" w:rsidRPr="00130563" w:rsidRDefault="00E943E8" w:rsidP="00CB3F55">
      <w:pPr>
        <w:pStyle w:val="Odstavekseznama"/>
        <w:ind w:left="851" w:hanging="284"/>
      </w:pPr>
      <w:r w:rsidRPr="00130563">
        <w:t>zavezance, ki izvajajo dejavnost, povezano z virtualnimi valutami;</w:t>
      </w:r>
    </w:p>
    <w:p w14:paraId="7D577943" w14:textId="77777777" w:rsidR="00E943E8" w:rsidRPr="00787E61" w:rsidRDefault="00E943E8" w:rsidP="00CB3F55">
      <w:pPr>
        <w:pStyle w:val="Odstavekseznama"/>
        <w:ind w:left="851" w:hanging="284"/>
      </w:pPr>
      <w:r w:rsidRPr="00130563">
        <w:t>ugotavljanje politične izpostavljenosti;</w:t>
      </w:r>
    </w:p>
    <w:p w14:paraId="1FD3ED43" w14:textId="77777777" w:rsidR="00E943E8" w:rsidRPr="00130563" w:rsidRDefault="00E943E8" w:rsidP="00CB3F55">
      <w:pPr>
        <w:pStyle w:val="Odstavekseznama"/>
        <w:ind w:left="851" w:hanging="284"/>
      </w:pPr>
      <w:r w:rsidRPr="00130563">
        <w:t>izvajanje ukrepov po ZPPDFT-1;</w:t>
      </w:r>
    </w:p>
    <w:p w14:paraId="2041E8CD" w14:textId="77777777" w:rsidR="00E943E8" w:rsidRPr="00130563" w:rsidRDefault="00E943E8" w:rsidP="00CB3F55">
      <w:pPr>
        <w:pStyle w:val="Odstavekseznama"/>
        <w:ind w:left="851" w:hanging="284"/>
      </w:pPr>
      <w:r w:rsidRPr="00130563">
        <w:t>izvajanje pregleda stranke prek videoelektronske identifikacije;</w:t>
      </w:r>
    </w:p>
    <w:p w14:paraId="1B8CC290" w14:textId="77777777" w:rsidR="00E943E8" w:rsidRPr="00787E61" w:rsidRDefault="00E943E8" w:rsidP="00CB3F55">
      <w:pPr>
        <w:pStyle w:val="Odstavekseznama"/>
        <w:ind w:left="851" w:hanging="284"/>
      </w:pPr>
      <w:r w:rsidRPr="00130563">
        <w:t>izvajanje pregleda stranke prek zunanjega izvajalca;</w:t>
      </w:r>
    </w:p>
    <w:p w14:paraId="0210C9BC" w14:textId="77777777" w:rsidR="00E943E8" w:rsidRPr="00130563" w:rsidRDefault="00E943E8" w:rsidP="00CB3F55">
      <w:pPr>
        <w:pStyle w:val="Odstavekseznama"/>
        <w:ind w:left="851" w:hanging="284"/>
      </w:pPr>
      <w:r w:rsidRPr="00787E61">
        <w:t>tolmačenje pojma podjetja, ki je v večinski lasti države;</w:t>
      </w:r>
    </w:p>
    <w:p w14:paraId="5917E658" w14:textId="77777777" w:rsidR="00E943E8" w:rsidRPr="00594B79" w:rsidRDefault="00E943E8" w:rsidP="00CB3F55">
      <w:pPr>
        <w:pStyle w:val="Odstavekseznama"/>
        <w:ind w:left="851" w:hanging="284"/>
      </w:pPr>
      <w:r w:rsidRPr="00594B79">
        <w:t>imenovanje pooblaščenca in namestnika pooblaščenca;</w:t>
      </w:r>
    </w:p>
    <w:p w14:paraId="06FE210C" w14:textId="6FC0CCBA" w:rsidR="00E943E8" w:rsidRPr="005D7C19" w:rsidRDefault="00E943E8" w:rsidP="00CB3F55">
      <w:pPr>
        <w:pStyle w:val="Odstavekseznama"/>
        <w:ind w:left="851" w:hanging="284"/>
      </w:pPr>
      <w:r w:rsidRPr="00207995">
        <w:t>razloge za sum pranja denarja in financiranja terorizma;</w:t>
      </w:r>
    </w:p>
    <w:p w14:paraId="5E467005" w14:textId="77777777" w:rsidR="00E943E8" w:rsidRPr="00BD13F6" w:rsidRDefault="00E943E8" w:rsidP="00CB3F55">
      <w:pPr>
        <w:pStyle w:val="Odstavekseznama"/>
        <w:ind w:left="851" w:hanging="284"/>
      </w:pPr>
      <w:r w:rsidRPr="00BD13F6">
        <w:t>problematiko odpiranja in zapiranja bančnih računov;</w:t>
      </w:r>
    </w:p>
    <w:p w14:paraId="4F446587" w14:textId="77777777" w:rsidR="00E943E8" w:rsidRPr="00F00F29" w:rsidRDefault="00E943E8" w:rsidP="00CB3F55">
      <w:pPr>
        <w:pStyle w:val="Odstavekseznama"/>
        <w:ind w:left="851" w:hanging="284"/>
      </w:pPr>
      <w:r w:rsidRPr="00AC19B6">
        <w:t>nakazila v tvegane države</w:t>
      </w:r>
      <w:r w:rsidRPr="00F00F29">
        <w:t>;</w:t>
      </w:r>
    </w:p>
    <w:p w14:paraId="0DF7D399" w14:textId="77777777" w:rsidR="00E943E8" w:rsidRPr="00955E70" w:rsidRDefault="00E943E8" w:rsidP="00CB3F55">
      <w:pPr>
        <w:pStyle w:val="Odstavekseznama"/>
        <w:ind w:left="851" w:hanging="284"/>
      </w:pPr>
      <w:r w:rsidRPr="00F00F29">
        <w:t>omejitev gotovinskega poslovanj</w:t>
      </w:r>
      <w:r w:rsidRPr="00286A85">
        <w:t>a;</w:t>
      </w:r>
    </w:p>
    <w:p w14:paraId="777D491B" w14:textId="77777777" w:rsidR="00E943E8" w:rsidRPr="00955E70" w:rsidRDefault="00E943E8" w:rsidP="00CB3F55">
      <w:pPr>
        <w:pStyle w:val="Odstavekseznama"/>
        <w:ind w:left="851" w:hanging="284"/>
      </w:pPr>
      <w:r w:rsidRPr="00955E70">
        <w:t>delnice na prinosnika in</w:t>
      </w:r>
    </w:p>
    <w:p w14:paraId="73CD1E1C" w14:textId="0EE197B0" w:rsidR="00FC7122" w:rsidRDefault="00E943E8" w:rsidP="00CB3F55">
      <w:pPr>
        <w:pStyle w:val="Odstavekseznama"/>
        <w:ind w:left="851" w:hanging="284"/>
      </w:pPr>
      <w:r w:rsidRPr="00AD361E">
        <w:t>hrambo podatkov in dokumentacije.</w:t>
      </w:r>
    </w:p>
    <w:p w14:paraId="7F84EEEF" w14:textId="5AC8890C" w:rsidR="00FC7122" w:rsidRDefault="00FC7122" w:rsidP="00FC7122"/>
    <w:p w14:paraId="3BFC5C93" w14:textId="61F6B849" w:rsidR="00FC7122" w:rsidRDefault="00FC7122" w:rsidP="00FC7122">
      <w:pPr>
        <w:pStyle w:val="Naslov3"/>
      </w:pPr>
      <w:bookmarkStart w:id="46" w:name="_Toc104797182"/>
      <w:bookmarkStart w:id="47" w:name="_Toc119581718"/>
      <w:r>
        <w:t>Register ponudnikov storitev virtualnih valut ter pregled stanja na področju virtualnih valut</w:t>
      </w:r>
      <w:bookmarkEnd w:id="46"/>
      <w:bookmarkEnd w:id="47"/>
      <w:r>
        <w:t xml:space="preserve"> </w:t>
      </w:r>
    </w:p>
    <w:p w14:paraId="30ABC628" w14:textId="48DDC638" w:rsidR="00FC7122" w:rsidRDefault="00FC7122" w:rsidP="00FC7122"/>
    <w:p w14:paraId="259B39D9" w14:textId="77777777" w:rsidR="00275F52" w:rsidRPr="008B02E7" w:rsidRDefault="00275F52" w:rsidP="00275F52">
      <w:pPr>
        <w:spacing w:after="0"/>
        <w:rPr>
          <w:rFonts w:cs="Arial"/>
          <w:szCs w:val="20"/>
        </w:rPr>
      </w:pPr>
      <w:r>
        <w:rPr>
          <w:rFonts w:cs="Arial"/>
          <w:szCs w:val="20"/>
        </w:rPr>
        <w:t>V skladu s</w:t>
      </w:r>
      <w:r w:rsidRPr="008B02E7">
        <w:rPr>
          <w:rFonts w:cs="Arial"/>
          <w:szCs w:val="20"/>
        </w:rPr>
        <w:t xml:space="preserve"> Pravilnik</w:t>
      </w:r>
      <w:r>
        <w:rPr>
          <w:rFonts w:cs="Arial"/>
          <w:szCs w:val="20"/>
        </w:rPr>
        <w:t>om</w:t>
      </w:r>
      <w:r w:rsidRPr="008B02E7">
        <w:rPr>
          <w:rFonts w:cs="Arial"/>
          <w:szCs w:val="20"/>
        </w:rPr>
        <w:t xml:space="preserve"> o vzpostavitvi in vodenju registra ponudnikov storitev menjav med virtualnimi in fiat valutami ter ponudnikov skrbniških denarnic (Uradni list RS, št. 41/21) </w:t>
      </w:r>
      <w:r>
        <w:rPr>
          <w:rFonts w:cs="Arial"/>
          <w:szCs w:val="20"/>
        </w:rPr>
        <w:t>je bil dne</w:t>
      </w:r>
      <w:r w:rsidRPr="008B02E7">
        <w:rPr>
          <w:rFonts w:cs="Arial"/>
          <w:szCs w:val="20"/>
        </w:rPr>
        <w:t xml:space="preserve"> 20. 3. 2021 na </w:t>
      </w:r>
      <w:r>
        <w:rPr>
          <w:rFonts w:cs="Arial"/>
          <w:szCs w:val="20"/>
        </w:rPr>
        <w:t>u</w:t>
      </w:r>
      <w:r w:rsidRPr="008B02E7">
        <w:rPr>
          <w:rFonts w:cs="Arial"/>
          <w:szCs w:val="20"/>
        </w:rPr>
        <w:t xml:space="preserve">radu </w:t>
      </w:r>
      <w:r w:rsidRPr="00507680">
        <w:rPr>
          <w:rFonts w:cs="Arial"/>
          <w:b/>
          <w:bCs/>
          <w:szCs w:val="20"/>
        </w:rPr>
        <w:t>vzpostavljen register ponudnikov storitev menjav med virtualnimi in fiat valutami ter ponudnikov skrbniških denarnic.</w:t>
      </w:r>
      <w:r w:rsidRPr="008B02E7">
        <w:rPr>
          <w:rFonts w:cs="Arial"/>
          <w:szCs w:val="20"/>
        </w:rPr>
        <w:t xml:space="preserve"> Urad je na svoji spletni strani objavil tudi obrazec zahteve za vpis v register.</w:t>
      </w:r>
    </w:p>
    <w:p w14:paraId="4F0708F5" w14:textId="77777777" w:rsidR="00275F52" w:rsidRPr="008B02E7" w:rsidRDefault="00275F52" w:rsidP="00275F52">
      <w:pPr>
        <w:spacing w:after="0"/>
        <w:rPr>
          <w:rFonts w:cs="Arial"/>
          <w:szCs w:val="20"/>
        </w:rPr>
      </w:pPr>
    </w:p>
    <w:p w14:paraId="5BEF71A6" w14:textId="77777777" w:rsidR="00275F52" w:rsidRPr="008B02E7" w:rsidRDefault="00275F52" w:rsidP="00275F52">
      <w:pPr>
        <w:spacing w:after="0"/>
        <w:rPr>
          <w:rFonts w:cs="Arial"/>
          <w:szCs w:val="20"/>
        </w:rPr>
      </w:pPr>
      <w:r w:rsidRPr="008B02E7">
        <w:rPr>
          <w:rFonts w:cs="Arial"/>
          <w:szCs w:val="20"/>
        </w:rPr>
        <w:t xml:space="preserve">V letu 2021 je </w:t>
      </w:r>
      <w:r>
        <w:rPr>
          <w:rFonts w:cs="Arial"/>
          <w:szCs w:val="20"/>
        </w:rPr>
        <w:t>u</w:t>
      </w:r>
      <w:r w:rsidRPr="008B02E7">
        <w:rPr>
          <w:rFonts w:cs="Arial"/>
          <w:szCs w:val="20"/>
        </w:rPr>
        <w:t xml:space="preserve">rad prejel osem zahtev za vpis v register, na podlagi katerih je </w:t>
      </w:r>
      <w:r w:rsidRPr="007A53D5">
        <w:rPr>
          <w:rFonts w:cs="Arial"/>
          <w:b/>
          <w:bCs/>
          <w:szCs w:val="20"/>
        </w:rPr>
        <w:t>izdal osem odločb o vpisu</w:t>
      </w:r>
      <w:r w:rsidRPr="008B02E7">
        <w:rPr>
          <w:rFonts w:cs="Arial"/>
          <w:szCs w:val="20"/>
        </w:rPr>
        <w:t xml:space="preserve"> v register. Prav tako je </w:t>
      </w:r>
      <w:r>
        <w:rPr>
          <w:rFonts w:cs="Arial"/>
          <w:szCs w:val="20"/>
        </w:rPr>
        <w:t>u</w:t>
      </w:r>
      <w:r w:rsidRPr="008B02E7">
        <w:rPr>
          <w:rFonts w:cs="Arial"/>
          <w:szCs w:val="20"/>
        </w:rPr>
        <w:t xml:space="preserve">rad v istem letu s strani enega od vpisanih ponudnikov storitev menjav med virtualnimi in fiat valutami ter ponudnikov skrbniških denarnic prejel obvestilo o prenehanju opravljanja storitev menjav med virtualnimi in fiat valutami ter ponujanja skrbniških denarnic. Na podlagi navedenega obvestila je </w:t>
      </w:r>
      <w:r>
        <w:rPr>
          <w:rFonts w:cs="Arial"/>
          <w:szCs w:val="20"/>
        </w:rPr>
        <w:t>u</w:t>
      </w:r>
      <w:r w:rsidRPr="008B02E7">
        <w:rPr>
          <w:rFonts w:cs="Arial"/>
          <w:szCs w:val="20"/>
        </w:rPr>
        <w:t>rad ponudnika v skladu z 2. točko prvega odstavka 4.b člena ZPPDFT-1 izbrisal iz registra</w:t>
      </w:r>
      <w:r>
        <w:rPr>
          <w:rFonts w:cs="Arial"/>
          <w:szCs w:val="20"/>
        </w:rPr>
        <w:t xml:space="preserve">. </w:t>
      </w:r>
    </w:p>
    <w:p w14:paraId="0BE7D48F" w14:textId="77777777" w:rsidR="00275F52" w:rsidRPr="008B02E7" w:rsidRDefault="00275F52" w:rsidP="00275F52">
      <w:pPr>
        <w:spacing w:after="0"/>
        <w:rPr>
          <w:rFonts w:cs="Arial"/>
          <w:szCs w:val="20"/>
        </w:rPr>
      </w:pPr>
    </w:p>
    <w:p w14:paraId="2AE5B37E" w14:textId="046A3FE8" w:rsidR="00D62FFA" w:rsidRPr="00B23BD7" w:rsidRDefault="00275F52" w:rsidP="00B23BD7">
      <w:pPr>
        <w:spacing w:after="0"/>
        <w:rPr>
          <w:rFonts w:cs="Arial"/>
          <w:szCs w:val="20"/>
        </w:rPr>
      </w:pPr>
      <w:r w:rsidRPr="008B02E7">
        <w:rPr>
          <w:rFonts w:cs="Arial"/>
          <w:szCs w:val="20"/>
        </w:rPr>
        <w:t xml:space="preserve">Urad je v septembru 2021 pripravil </w:t>
      </w:r>
      <w:r w:rsidRPr="00507680">
        <w:rPr>
          <w:rFonts w:cs="Arial"/>
          <w:szCs w:val="20"/>
        </w:rPr>
        <w:t>pregled stanja in preliminarno</w:t>
      </w:r>
      <w:r w:rsidRPr="00507680">
        <w:rPr>
          <w:rFonts w:cs="Arial"/>
          <w:b/>
          <w:bCs/>
          <w:szCs w:val="20"/>
        </w:rPr>
        <w:t xml:space="preserve"> analizo tveganj na področju virtualnih sredstev in pranja denarja ter financiranja terorizma v Republiki Sloveniji.</w:t>
      </w:r>
      <w:r w:rsidRPr="008B02E7">
        <w:rPr>
          <w:rFonts w:cs="Arial"/>
          <w:szCs w:val="20"/>
        </w:rPr>
        <w:t xml:space="preserve"> Z analizo je </w:t>
      </w:r>
      <w:r w:rsidR="007A53D5">
        <w:rPr>
          <w:rFonts w:cs="Arial"/>
          <w:szCs w:val="20"/>
        </w:rPr>
        <w:t>bil pripravljen</w:t>
      </w:r>
      <w:r w:rsidRPr="008B02E7">
        <w:rPr>
          <w:rFonts w:cs="Arial"/>
          <w:szCs w:val="20"/>
        </w:rPr>
        <w:t xml:space="preserve"> celovit pregled nad stanjem na področju virtualnih sredstev, zakonodajnimi in nadzornimi mehanizmi ter oceno tveganosti področja za pranje denarja in financiranje terorizma v R</w:t>
      </w:r>
      <w:r w:rsidR="007A53D5">
        <w:rPr>
          <w:rFonts w:cs="Arial"/>
          <w:szCs w:val="20"/>
        </w:rPr>
        <w:t>S</w:t>
      </w:r>
      <w:r w:rsidRPr="008B02E7">
        <w:rPr>
          <w:rFonts w:cs="Arial"/>
          <w:szCs w:val="20"/>
        </w:rPr>
        <w:t xml:space="preserve">. Navedena analiza oziroma njeni zaključki so naslovili tudi določene pomanjkljivosti glede upoštevanja FATF priporočila št. 1 v zvezi s priporočilom št. 15. Na podlagi zbranih podatkov in ob upoštevanju parametrov, ki jih za oceno tveganja opredeljuje metodološko orodje Svetovne banke, je </w:t>
      </w:r>
      <w:r>
        <w:rPr>
          <w:rFonts w:cs="Arial"/>
          <w:szCs w:val="20"/>
        </w:rPr>
        <w:t>u</w:t>
      </w:r>
      <w:r w:rsidRPr="008B02E7">
        <w:rPr>
          <w:rFonts w:cs="Arial"/>
          <w:szCs w:val="20"/>
        </w:rPr>
        <w:t xml:space="preserve">rad ocenil, da je stopnja ranljivosti področja ponudnikov storitev virtualnih valut za pranje denarja in financiranje terorizma srednje visoka. </w:t>
      </w:r>
    </w:p>
    <w:p w14:paraId="4923AE4F" w14:textId="77777777" w:rsidR="00D62FFA" w:rsidRDefault="00D62FFA" w:rsidP="00D62FFA"/>
    <w:p w14:paraId="6660C3FC" w14:textId="23062B24" w:rsidR="00150ACE" w:rsidRDefault="00150ACE" w:rsidP="00150ACE">
      <w:pPr>
        <w:pStyle w:val="Naslov2"/>
      </w:pPr>
      <w:bookmarkStart w:id="48" w:name="_Toc104797183"/>
      <w:bookmarkStart w:id="49" w:name="_Toc119581719"/>
      <w:r>
        <w:lastRenderedPageBreak/>
        <w:t>OBVEŠČANJE JAVNOSTI PREK MEDIJEV IN SPLETNE STRANI URADA</w:t>
      </w:r>
      <w:bookmarkEnd w:id="48"/>
      <w:bookmarkEnd w:id="49"/>
    </w:p>
    <w:p w14:paraId="294B950E" w14:textId="77777777" w:rsidR="00150ACE" w:rsidRDefault="00150ACE" w:rsidP="00150ACE"/>
    <w:p w14:paraId="53A21340" w14:textId="7E100999" w:rsidR="00150ACE" w:rsidRDefault="00150ACE" w:rsidP="00150ACE">
      <w:r>
        <w:t xml:space="preserve">Urad obvešča javnost oziroma komunicira z mediji prek Službe za odnose z javnostmi Ministrstva za finance. Slednja je v letu 2021 uradu poslala </w:t>
      </w:r>
      <w:r w:rsidRPr="009E4431">
        <w:rPr>
          <w:b/>
          <w:bCs/>
        </w:rPr>
        <w:t xml:space="preserve">22 </w:t>
      </w:r>
      <w:r w:rsidR="009E4431">
        <w:rPr>
          <w:b/>
          <w:bCs/>
        </w:rPr>
        <w:t xml:space="preserve">novinarskih </w:t>
      </w:r>
      <w:r w:rsidRPr="009E4431">
        <w:rPr>
          <w:b/>
          <w:bCs/>
        </w:rPr>
        <w:t>vprašanj</w:t>
      </w:r>
      <w:r>
        <w:t xml:space="preserve"> različnih TV-postaj, dnevnikov, tednikov itd. Vprašanja so se nanašala na naslednja področja oziroma teme:</w:t>
      </w:r>
    </w:p>
    <w:p w14:paraId="0BC95DF0" w14:textId="77777777" w:rsidR="00150ACE" w:rsidRDefault="00150ACE" w:rsidP="00C65DDD">
      <w:pPr>
        <w:pStyle w:val="Odstavekseznama"/>
        <w:ind w:left="851" w:hanging="284"/>
      </w:pPr>
      <w:r>
        <w:t>virtualne valute;</w:t>
      </w:r>
    </w:p>
    <w:p w14:paraId="472571F1" w14:textId="77777777" w:rsidR="00150ACE" w:rsidRDefault="00150ACE" w:rsidP="00C65DDD">
      <w:pPr>
        <w:pStyle w:val="Odstavekseznama"/>
        <w:ind w:left="851" w:hanging="284"/>
      </w:pPr>
      <w:r>
        <w:t>število zaposlenih na uradu in status zaposlenih v času epidemije;</w:t>
      </w:r>
    </w:p>
    <w:p w14:paraId="0290F569" w14:textId="77777777" w:rsidR="00150ACE" w:rsidRDefault="00150ACE" w:rsidP="00C65DDD">
      <w:pPr>
        <w:pStyle w:val="Odstavekseznama"/>
        <w:ind w:left="851" w:hanging="284"/>
      </w:pPr>
      <w:r>
        <w:t>pogodbe za PR svetovanje, naročnine na časopise in revije;</w:t>
      </w:r>
    </w:p>
    <w:p w14:paraId="0E235BDE" w14:textId="77777777" w:rsidR="00150ACE" w:rsidRDefault="00150ACE" w:rsidP="00C65DDD">
      <w:pPr>
        <w:pStyle w:val="Odstavekseznama"/>
        <w:ind w:left="851" w:hanging="284"/>
      </w:pPr>
      <w:r>
        <w:t>cepljenje zaposlenih;</w:t>
      </w:r>
    </w:p>
    <w:p w14:paraId="7D881941" w14:textId="77777777" w:rsidR="00150ACE" w:rsidRDefault="00150ACE" w:rsidP="00C65DDD">
      <w:pPr>
        <w:pStyle w:val="Odstavekseznama"/>
        <w:ind w:left="851" w:hanging="284"/>
      </w:pPr>
      <w:r>
        <w:t>seznam tveganih držav;</w:t>
      </w:r>
    </w:p>
    <w:p w14:paraId="693DE000" w14:textId="77777777" w:rsidR="00150ACE" w:rsidRDefault="00150ACE" w:rsidP="00C65DDD">
      <w:pPr>
        <w:pStyle w:val="Odstavekseznama"/>
        <w:ind w:left="851" w:hanging="284"/>
      </w:pPr>
      <w:r>
        <w:t>pristojnosti urada;</w:t>
      </w:r>
    </w:p>
    <w:p w14:paraId="05C756EA" w14:textId="77777777" w:rsidR="00150ACE" w:rsidRDefault="00150ACE" w:rsidP="00C65DDD">
      <w:pPr>
        <w:pStyle w:val="Odstavekseznama"/>
        <w:ind w:left="851" w:hanging="284"/>
      </w:pPr>
      <w:r>
        <w:t>prenos arhiva dokumentarnega gradiva;</w:t>
      </w:r>
    </w:p>
    <w:p w14:paraId="4B5E0C99" w14:textId="77777777" w:rsidR="00150ACE" w:rsidRDefault="00150ACE" w:rsidP="00C65DDD">
      <w:pPr>
        <w:pStyle w:val="Odstavekseznama"/>
        <w:ind w:left="851" w:hanging="284"/>
      </w:pPr>
      <w:r>
        <w:t>obravnavo anonimnih prijav;</w:t>
      </w:r>
    </w:p>
    <w:p w14:paraId="72162F42" w14:textId="77777777" w:rsidR="00150ACE" w:rsidRDefault="00150ACE" w:rsidP="00C65DDD">
      <w:pPr>
        <w:pStyle w:val="Odstavekseznama"/>
        <w:ind w:left="851" w:hanging="284"/>
      </w:pPr>
      <w:r>
        <w:t>slovenska podjetja v lastni Ukrajincev;</w:t>
      </w:r>
    </w:p>
    <w:p w14:paraId="581FE379" w14:textId="77777777" w:rsidR="00150ACE" w:rsidRDefault="00150ACE" w:rsidP="00C65DDD">
      <w:pPr>
        <w:pStyle w:val="Odstavekseznama"/>
        <w:ind w:left="851" w:hanging="284"/>
      </w:pPr>
      <w:r>
        <w:t>oglaševanje projektov v medijih;</w:t>
      </w:r>
    </w:p>
    <w:p w14:paraId="5A667365" w14:textId="77777777" w:rsidR="00150ACE" w:rsidRDefault="00150ACE" w:rsidP="00C65DDD">
      <w:pPr>
        <w:pStyle w:val="Odstavekseznama"/>
        <w:ind w:left="851" w:hanging="284"/>
      </w:pPr>
      <w:r>
        <w:t>število sumljivih transakcij;</w:t>
      </w:r>
    </w:p>
    <w:p w14:paraId="2765CCC0" w14:textId="77777777" w:rsidR="00150ACE" w:rsidRDefault="00150ACE" w:rsidP="00C65DDD">
      <w:pPr>
        <w:pStyle w:val="Odstavekseznama"/>
        <w:ind w:left="851" w:hanging="284"/>
      </w:pPr>
      <w:r>
        <w:t>število prijav sumov kršitev oziroma kaznivih dejanj s strani odvetnikov;</w:t>
      </w:r>
    </w:p>
    <w:p w14:paraId="076C9A2D" w14:textId="77777777" w:rsidR="00150ACE" w:rsidRDefault="00150ACE" w:rsidP="00C65DDD">
      <w:pPr>
        <w:pStyle w:val="Odstavekseznama"/>
        <w:ind w:left="851" w:hanging="284"/>
      </w:pPr>
      <w:r>
        <w:t>izpolnjevanje pogoja PC pri zaposlenih,</w:t>
      </w:r>
    </w:p>
    <w:p w14:paraId="6C635B34" w14:textId="77777777" w:rsidR="00150ACE" w:rsidRDefault="00150ACE" w:rsidP="00C65DDD">
      <w:pPr>
        <w:pStyle w:val="Odstavekseznama"/>
        <w:ind w:left="851" w:hanging="284"/>
      </w:pPr>
      <w:r>
        <w:t>sedež novega nadzornega organa AMLA,</w:t>
      </w:r>
    </w:p>
    <w:p w14:paraId="3AAED633" w14:textId="77777777" w:rsidR="00150ACE" w:rsidRDefault="00150ACE" w:rsidP="00C65DDD">
      <w:pPr>
        <w:pStyle w:val="Odstavekseznama"/>
        <w:ind w:left="851" w:hanging="284"/>
      </w:pPr>
      <w:r>
        <w:t>nove zaposlitve na uradu;</w:t>
      </w:r>
    </w:p>
    <w:p w14:paraId="49BEDF46" w14:textId="6240C7E9" w:rsidR="00150ACE" w:rsidRDefault="00150ACE" w:rsidP="0087346C">
      <w:pPr>
        <w:pStyle w:val="Odstavekseznama"/>
        <w:ind w:left="851" w:hanging="284"/>
      </w:pPr>
      <w:r>
        <w:t>inšpekcijske nadzore.</w:t>
      </w:r>
    </w:p>
    <w:p w14:paraId="1C74954F" w14:textId="77777777" w:rsidR="00150ACE" w:rsidRDefault="00150ACE" w:rsidP="00150ACE">
      <w:r>
        <w:t xml:space="preserve">Urad je v letu 2021 prejel tudi vprašanja, ki so se nanašala na točno določene primere, zato je v zvezi z njimi lahko dal le pojasnilo, da ne more razkrivati podatkov o konkretnih zadevah, ki so označene z ustrezno stopnjo tajnosti po Zakonu o tajnih podatkih. </w:t>
      </w:r>
    </w:p>
    <w:p w14:paraId="50095682" w14:textId="2349FE7D" w:rsidR="00B01022" w:rsidRDefault="00B01022" w:rsidP="00B01022">
      <w:r>
        <w:t>O pomembnih novostih na področju preprečevanja pranja denarja in financiranja terorizma je urad javnost obveščal tudi prek svoje spletne strani v okviru rubrike »Novice«.</w:t>
      </w:r>
    </w:p>
    <w:p w14:paraId="4C917DCB" w14:textId="77777777" w:rsidR="00D62FFA" w:rsidRDefault="00D62FFA" w:rsidP="00D62FFA"/>
    <w:p w14:paraId="0493A3F3" w14:textId="1FC9B887" w:rsidR="00D62FFA" w:rsidRDefault="00D62FFA" w:rsidP="00D62FFA">
      <w:pPr>
        <w:pStyle w:val="Naslov2"/>
      </w:pPr>
      <w:bookmarkStart w:id="50" w:name="_Toc119581720"/>
      <w:r>
        <w:t>INFORMACIJE JAVNEGA ZNAČAJA</w:t>
      </w:r>
      <w:bookmarkEnd w:id="50"/>
    </w:p>
    <w:p w14:paraId="6F315AFB" w14:textId="77777777" w:rsidR="00B23BD7" w:rsidRDefault="00B23BD7" w:rsidP="00B23BD7"/>
    <w:p w14:paraId="730297AC" w14:textId="537C4199" w:rsidR="00B23BD7" w:rsidRDefault="00B23BD7" w:rsidP="00B23BD7">
      <w:r>
        <w:t xml:space="preserve">Skladno s 4. členom Zakona o dostopu do informacij javnega značaja (Uradni list RS, št. 51/06 – uradno prečiščeno besedilo, 117/06 – ZDavP-2, 23/14, 50/14, 19/15 – odl. US, 102/15 in 7/18; v nadaljevanju: ZDIJZ) je informacija javnega značaja vsaka informacija, ki izvira z delovnega področja organa, in je v obliki dokumenta, zadeve, dosjeja, registra, evidence ali drugega dokumentarnega gradiva, ki ga je organ izdelal sam, v sodelovanju z drugim organom ali pridobil od drugih oseb. </w:t>
      </w:r>
    </w:p>
    <w:p w14:paraId="151CBD0A" w14:textId="60ED7282" w:rsidR="00B23BD7" w:rsidRDefault="00B23BD7" w:rsidP="00B23BD7">
      <w:r>
        <w:t xml:space="preserve">Na podlagi 5. člena ZDIJZ so informacije javnega značaja prosto dostopne pravnim ali  fizičnim osebam, pri čemer ima vsak prosilec na svojo zahtevo pravico pridobiti od organa informacijo javnega značaja tako, da jo pridobi na vpogled, ali pa pridobi njen prepis, fotokopijo ali njen elektronski zapis. Organ lahko v skladu z določbo 26. člena ZDIJZ v celoti ali delno zavrne zahtevo prosilca, če ugotovi, da zahtevani podatek oziroma dokument pomeni izjemo iz 5.a in 6. člena ZDIJZ, razen če je javni interes glede razkritja informacije močnejši od javnega interesa ali interesa drugih oseb za omejitev dostopa do zahtevane informacije. </w:t>
      </w:r>
    </w:p>
    <w:p w14:paraId="5C126B3E" w14:textId="104EBC99" w:rsidR="00B23BD7" w:rsidRDefault="00B23BD7" w:rsidP="00B23BD7">
      <w:r>
        <w:t>V skladu s 37. členom ZDIJZ in 27. členom Uredbe o posredovanju in ponovni uporabi informacij javnega značaja (Uradni list RS, št. 24/16) ima urad do konca januarja tekočega leta dolžnost pripraviti letno poročilo o izvajanju ZDIJZ za preteklo leto.</w:t>
      </w:r>
    </w:p>
    <w:p w14:paraId="2F055488" w14:textId="49A919EA" w:rsidR="00D62FFA" w:rsidRDefault="00B23BD7" w:rsidP="00B23BD7">
      <w:r>
        <w:lastRenderedPageBreak/>
        <w:t xml:space="preserve">Urad je v letu 2021 prejel </w:t>
      </w:r>
      <w:r w:rsidRPr="00D16B63">
        <w:rPr>
          <w:b/>
          <w:bCs/>
        </w:rPr>
        <w:t>dve zahtevi za posredovanje informacij javnega značaja</w:t>
      </w:r>
      <w:r>
        <w:t>, o katerih sta bili na podlagi ZDIJZ izdani dve odločbi.</w:t>
      </w:r>
    </w:p>
    <w:p w14:paraId="421FC95B" w14:textId="35C8968C" w:rsidR="001D3CC6" w:rsidRDefault="001D3CC6">
      <w:pPr>
        <w:jc w:val="left"/>
      </w:pPr>
      <w:r>
        <w:br w:type="page"/>
      </w:r>
    </w:p>
    <w:p w14:paraId="6B4454A5" w14:textId="77777777" w:rsidR="00B65A09" w:rsidRDefault="00B65A09" w:rsidP="00B65A09"/>
    <w:p w14:paraId="1A9F9F86" w14:textId="27EC06BC" w:rsidR="00D62FFA" w:rsidRDefault="00D62FFA" w:rsidP="00D62FFA">
      <w:pPr>
        <w:pStyle w:val="Naslov1"/>
      </w:pPr>
      <w:bookmarkStart w:id="51" w:name="_Toc119581721"/>
      <w:r>
        <w:t>INŠPEKCIJA</w:t>
      </w:r>
      <w:bookmarkEnd w:id="51"/>
    </w:p>
    <w:p w14:paraId="591F80F2" w14:textId="77777777" w:rsidR="00D62FFA" w:rsidRPr="00D62FFA" w:rsidRDefault="00D62FFA" w:rsidP="00D62FFA"/>
    <w:p w14:paraId="3093AAA3" w14:textId="41D39B0A" w:rsidR="00B65A09" w:rsidRDefault="00D62FFA" w:rsidP="00D62FFA">
      <w:pPr>
        <w:pStyle w:val="Naslov2"/>
      </w:pPr>
      <w:bookmarkStart w:id="52" w:name="_Toc119581722"/>
      <w:r>
        <w:t>I</w:t>
      </w:r>
      <w:r w:rsidR="001E6FD5">
        <w:t>NŠPEKCIJSKI POSTOPKI</w:t>
      </w:r>
      <w:bookmarkEnd w:id="52"/>
    </w:p>
    <w:p w14:paraId="4345FC99" w14:textId="5D117503" w:rsidR="00B65A09" w:rsidRDefault="00B65A09" w:rsidP="00B65A09"/>
    <w:p w14:paraId="514F21B9" w14:textId="77777777" w:rsidR="00DE5D2B" w:rsidRDefault="00DE5D2B" w:rsidP="00DE5D2B">
      <w:r>
        <w:t xml:space="preserve">V uradu je bila na področju inšpekcijskega nadzora leta 2021 izvedena reorganizacija z ustanovitvijo  novega samostojnega sektorja Inšpekcije, katerega primarna naloga je izvajanje nalog inšpekcijskega nadzora in sodelovanje z drugimi inšpekcijskimi organi, ki so zadolženi za izvajanje nadzora po ZPPDFT-1 (Banka Slovenije, Agencija za trg vrednostnih papirjev, Agencija za zavarovalni nadzor, Finančna uprava RS, Tržni inšpektorat RS, Agencija za javni  nadzor nad revidiranjem, Odvetniška zbornica in Notarska zbornica). </w:t>
      </w:r>
      <w:r w:rsidRPr="007A53D5">
        <w:rPr>
          <w:b/>
          <w:bCs/>
        </w:rPr>
        <w:t>Urad ima kot osrednji nacionalni organ za področje preprečevanja pranja denarja in financiranja terorizma nadzorne pristojnosti nad vsemi zavezanci iz 4. člena ZPPDFT-1</w:t>
      </w:r>
      <w:r>
        <w:t>, za posamezne zavezance pa so poleg urada pristojni tudi drugi inšpekcijski organi. V letu 2021 je bil nadzor urada osredotočen predvsem na zavezance,  za katere drugi inšpekcijski organi niso pristojni in jih je urad določil v skladu s Strateškimi usmeritvami in prioritetami Inšpekcije.</w:t>
      </w:r>
    </w:p>
    <w:p w14:paraId="63CD925E" w14:textId="77777777" w:rsidR="00DE5D2B" w:rsidRDefault="00DE5D2B" w:rsidP="00DE5D2B">
      <w:r>
        <w:t>V skladu z ZPPDFT-1 imajo zavezanci iz finančnega in nefinančnega sektorja posebne zadolžitve pri odkrivanju in preprečevanja pranja denarja. Ti zavezanci so dolžni v procese izvajanja svojih dejavnosti vgraditi predpisane preventivne ukrepe, s katerimi zmanjšajo možnost tveganja zlorabe za pranje denarja ali financiranje terorizma. Obvezne naloge, ki jih morajo izvajati zavezanci zaradi odkrivanja ter</w:t>
      </w:r>
    </w:p>
    <w:p w14:paraId="050E54E9" w14:textId="7B2249F8" w:rsidR="00DE5D2B" w:rsidRDefault="00DE5D2B" w:rsidP="00DE5D2B">
      <w:r>
        <w:t>preprečevanja pranja denarja in financiranja terorizma, zajemajo:</w:t>
      </w:r>
    </w:p>
    <w:p w14:paraId="11DC2220" w14:textId="532B561A" w:rsidR="00DE5D2B" w:rsidRDefault="00DE5D2B" w:rsidP="00CB3F55">
      <w:pPr>
        <w:pStyle w:val="Odstavekseznama"/>
        <w:ind w:left="851" w:hanging="284"/>
      </w:pPr>
      <w:r>
        <w:t>izdelavo ocene tveganja pranja denarja in financiranja terorizma</w:t>
      </w:r>
      <w:r w:rsidR="007A53D5">
        <w:t>,</w:t>
      </w:r>
    </w:p>
    <w:p w14:paraId="4515D0EF" w14:textId="63141F4B" w:rsidR="00DE5D2B" w:rsidRDefault="00DE5D2B" w:rsidP="00CB3F55">
      <w:pPr>
        <w:pStyle w:val="Odstavekseznama"/>
        <w:ind w:left="851" w:hanging="284"/>
      </w:pPr>
      <w:r>
        <w:t>vzpostavitev politik, kontrol in postopkov za učinkovito ublažitev in obvladovanje tveganj pranja denarja in financiranja terorizma</w:t>
      </w:r>
      <w:r w:rsidR="007A53D5">
        <w:t>,</w:t>
      </w:r>
    </w:p>
    <w:p w14:paraId="70FD3A36" w14:textId="4D8508AE" w:rsidR="00DE5D2B" w:rsidRDefault="00DE5D2B" w:rsidP="00CB3F55">
      <w:pPr>
        <w:pStyle w:val="Odstavekseznama"/>
        <w:ind w:left="851" w:hanging="284"/>
      </w:pPr>
      <w:r>
        <w:t>izvajanje ukrepov za poznavanje stranke (v nadaljnjem besedilu: pregled stranke)</w:t>
      </w:r>
      <w:r w:rsidR="007A53D5">
        <w:t>,</w:t>
      </w:r>
    </w:p>
    <w:p w14:paraId="3DAF1E35" w14:textId="06101CFD" w:rsidR="00DE5D2B" w:rsidRDefault="00DE5D2B" w:rsidP="00CB3F55">
      <w:pPr>
        <w:pStyle w:val="Odstavekseznama"/>
        <w:ind w:left="851" w:hanging="284"/>
      </w:pPr>
      <w:r>
        <w:t>sporočanje predpisanih in zahtevanih podatkov ter predložitev dokumentacije uradu;</w:t>
      </w:r>
    </w:p>
    <w:p w14:paraId="0226A303" w14:textId="4CD018FB" w:rsidR="00DE5D2B" w:rsidRDefault="00DE5D2B" w:rsidP="00CB3F55">
      <w:pPr>
        <w:pStyle w:val="Odstavekseznama"/>
        <w:ind w:left="851" w:hanging="284"/>
      </w:pPr>
      <w:r>
        <w:t>imenovanje pooblaščenca in namestnikov pooblaščenca ter zagotovitev pogojev za njihovo delo</w:t>
      </w:r>
      <w:r w:rsidR="007A53D5">
        <w:t>,</w:t>
      </w:r>
    </w:p>
    <w:p w14:paraId="1F484FB5" w14:textId="514AA052" w:rsidR="00DE5D2B" w:rsidRDefault="00DE5D2B" w:rsidP="00CB3F55">
      <w:pPr>
        <w:pStyle w:val="Odstavekseznama"/>
        <w:ind w:left="851" w:hanging="284"/>
      </w:pPr>
      <w:r>
        <w:t>skrb za redno strokovno usposabljanje zaposlenih ter zagotovitev redne notranje kontrole nad opravljanjem nalog</w:t>
      </w:r>
      <w:r w:rsidR="007A53D5">
        <w:t>,</w:t>
      </w:r>
    </w:p>
    <w:p w14:paraId="34268D47" w14:textId="7927D50E" w:rsidR="00DE5D2B" w:rsidRDefault="00DE5D2B" w:rsidP="00CB3F55">
      <w:pPr>
        <w:pStyle w:val="Odstavekseznama"/>
        <w:ind w:left="851" w:hanging="284"/>
      </w:pPr>
      <w:r>
        <w:t>pripravo seznama indikatorjev za prepoznavanje strank in transakcij, v zvezi s katerimi obstajajo razlogi za sum pranja denarja ali financiranja terorizma</w:t>
      </w:r>
      <w:r w:rsidR="007A53D5">
        <w:t>,</w:t>
      </w:r>
    </w:p>
    <w:p w14:paraId="4606A1F4" w14:textId="2013832B" w:rsidR="00DE5D2B" w:rsidRDefault="00DE5D2B" w:rsidP="00CB3F55">
      <w:pPr>
        <w:pStyle w:val="Odstavekseznama"/>
        <w:ind w:left="851" w:hanging="284"/>
      </w:pPr>
      <w:r>
        <w:t>zagotovitev varstva in hrambe podatkov ter upravljanje z zakonom predpisanih evidenc</w:t>
      </w:r>
      <w:r w:rsidR="007A53D5">
        <w:t>,</w:t>
      </w:r>
    </w:p>
    <w:p w14:paraId="63F061D5" w14:textId="1CCB0F3E" w:rsidR="007A53D5" w:rsidRDefault="00DE5D2B" w:rsidP="007A53D5">
      <w:pPr>
        <w:pStyle w:val="Odstavekseznama"/>
        <w:ind w:left="851" w:hanging="284"/>
      </w:pPr>
      <w:r>
        <w:t xml:space="preserve">izvajanje politik in postopkov skupine ter ukrepov odkrivanja in preprečevanja pranja denarja in financiranja terorizma v lastnih podružnicah in hčerinskih družbah v večinski lasti v državah članicah in v tretjih državah. </w:t>
      </w:r>
    </w:p>
    <w:p w14:paraId="043CE4CE" w14:textId="5A289050" w:rsidR="00DE5D2B" w:rsidRDefault="00DE5D2B" w:rsidP="00DE5D2B">
      <w:r>
        <w:t>Ker imajo zavezanci pomembno vlogo pri odkrivanju in preprečevanju pranja denarja, je potrebno njihovo dejavnost skrbno spremljati in nadzorovati, ter jih ob tem tudi usposabljati. Ocena tveganja in dobro poznavanje stranke in njenih namenov predstavljata ključna elementa v sistemu odkrivanja in preprečevanja pranja denarja. Zavezanec s pregledom stranke na verodostojen način ugotovi in potrdi identiteto stranke ter spozna namen transakcije oz</w:t>
      </w:r>
      <w:r w:rsidR="0035326B">
        <w:t>iroma</w:t>
      </w:r>
      <w:r>
        <w:t xml:space="preserve"> predvideno naravo poslovnega razmerja. Zavezanec z izvajanjem predpisanega pregleda stranke zmanjšuje tveganje poslovanja s stranko, ki bi njegove storitve poskušala izrabiti za pranje denarja ali financiranje terorizma. V okviru pregleda stranke se izvaja tudi ugotavljanje dejanskega lastnika in ugotavljanje politično izpostavljenih oseb. Kadar zavezanec oceni, da je poslovanje stranke povezano s pranjem denarja ali financiranjem terorizma, mora o tem obvestiti </w:t>
      </w:r>
      <w:r w:rsidR="006A0CA8">
        <w:t>u</w:t>
      </w:r>
      <w:r>
        <w:t xml:space="preserve">rad in izvršiti druge predpisane postopke. Zavezanci morajo poskrbeti, da s svojo dejavnostjo ne omogočajo vnosa sredstev, ki izvirajo iz kriminala, v zakonit finančni sistem, saj ne smejo opravljati transakcij, ki so povezane s pranjem denarja ali financiranjem terorizma. S skrbnim </w:t>
      </w:r>
      <w:r>
        <w:lastRenderedPageBreak/>
        <w:t>evidentiranjem vseh transakcij pa poskrbijo za ohranitev dokazov, ki so potrebni pri potencialnem dokazovanju kaznivega dejanja pranja denarja in financiranja terorizma.</w:t>
      </w:r>
    </w:p>
    <w:p w14:paraId="558DDECD" w14:textId="77777777" w:rsidR="00DE5D2B" w:rsidRDefault="00DE5D2B" w:rsidP="00DE5D2B">
      <w:r>
        <w:t xml:space="preserve">V letu 2021 je urad skladno s sprejetimi Strateškimi usmeritvami in prednostnimi nalogami inšpekcijskega nadzora </w:t>
      </w:r>
      <w:r w:rsidRPr="006A0CA8">
        <w:rPr>
          <w:b/>
          <w:bCs/>
        </w:rPr>
        <w:t>izvajal okrepljene inšpekcijske nadzore pri zavezancih, ki opravljajo računovodske storitve, storitve davčnega svetovanja ter podjetniških ali fiduciarnih storitev.</w:t>
      </w:r>
      <w:r>
        <w:t xml:space="preserve"> Ta skupina poklicev spada med zavezance že od začetka vzpostavitve sistema preprečevanja pranja denarja in financiranja terorizma, vendar nadzorne pristojnosti nad njimi dolgo niso bile določene, zaradi česar tudi nadzor nad njimi ni bil izveden v zadostni meri. Za to skupino zavezancev je značilno, da imajo podroben vpogled v poslovanje svojih strank in imajo s tega vidika pomembno vlogo pri odkrivanju in preprečevanju pranja denarja, vendar se pogosto zaradi neobveščenosti tega ne zavedajo. </w:t>
      </w:r>
    </w:p>
    <w:p w14:paraId="3EA95370" w14:textId="77777777" w:rsidR="00DE5D2B" w:rsidRPr="006A0CA8" w:rsidRDefault="00DE5D2B" w:rsidP="00DE5D2B">
      <w:pPr>
        <w:rPr>
          <w:b/>
          <w:bCs/>
        </w:rPr>
      </w:pPr>
      <w:r w:rsidRPr="006A0CA8">
        <w:rPr>
          <w:b/>
          <w:bCs/>
        </w:rPr>
        <w:t xml:space="preserve">V letu 2021 je Urad izvedel 133 samostojnih nadzorov, in sicer 71 posrednih nadzorov, 34 samostojnih inšpekcijskih nadzorov na terenu, </w:t>
      </w:r>
      <w:r w:rsidRPr="0035326B">
        <w:rPr>
          <w:b/>
          <w:bCs/>
        </w:rPr>
        <w:t>večinoma pri zgoraj omenjenih kategorijah zavezancev, 2 sistemska nadzora pri prirediteljih i</w:t>
      </w:r>
      <w:r w:rsidRPr="006A0CA8">
        <w:rPr>
          <w:b/>
          <w:bCs/>
        </w:rPr>
        <w:t xml:space="preserve">ger na srečo ter 1 nadzor pri zavezancu iz finančnega sektorja. </w:t>
      </w:r>
    </w:p>
    <w:p w14:paraId="6F940F20" w14:textId="738F8DCC" w:rsidR="00DE5D2B" w:rsidRDefault="00DE5D2B" w:rsidP="00DE5D2B">
      <w:r>
        <w:t xml:space="preserve">Inšpektorji urada so v letu 2021 opravili tudi </w:t>
      </w:r>
      <w:r w:rsidRPr="006503BD">
        <w:rPr>
          <w:b/>
          <w:bCs/>
        </w:rPr>
        <w:t>144 COVID nadzorov</w:t>
      </w:r>
      <w:r>
        <w:t xml:space="preserve"> nad spoštovanjem določb Zakona o nalezljivih boleznih (Uradni list RS, št. 33/06 – uradno prečiščeno besedilo, 49/20 – ZIUZEOP, 142/20 in 175/20 – ZIUOPDVE) in sicer izključno pri zavezancih, pri katerih se opravlja nadzor že v skladu z ZPPDFT-1.</w:t>
      </w:r>
    </w:p>
    <w:p w14:paraId="653FC158" w14:textId="77777777" w:rsidR="00C65DDD" w:rsidRDefault="00C65DDD" w:rsidP="00DE5D2B"/>
    <w:p w14:paraId="78F39FB2" w14:textId="69AB5513" w:rsidR="00B65A09" w:rsidRDefault="001E6FD5" w:rsidP="00D62FFA">
      <w:pPr>
        <w:pStyle w:val="Naslov2"/>
      </w:pPr>
      <w:bookmarkStart w:id="53" w:name="_Toc119581723"/>
      <w:r>
        <w:t>URAD KOT PREKRŠKOVNI ORGAN</w:t>
      </w:r>
      <w:bookmarkEnd w:id="53"/>
    </w:p>
    <w:p w14:paraId="354272DD" w14:textId="77777777" w:rsidR="00B65A09" w:rsidRDefault="00B65A09" w:rsidP="00B65A09"/>
    <w:p w14:paraId="06786B68" w14:textId="59E93F15" w:rsidR="00DE5D2B" w:rsidRDefault="00DE5D2B" w:rsidP="00DE5D2B">
      <w:r>
        <w:t xml:space="preserve">ZPPDFT-1 vsebuje podrobno opredeljene kršitve zakona, pri čemer je krog oseb, katerih ravnanja so sankcionirana, natančno določen (kršitve zavezancev, kršitve poslovnih subjektov v zvezi s podatki o dejanskem lastniku, kršitve dejanskih lastnikov, posebne kršitve računovodskih in revizijskih družb ter družb s področja davčnega svetovanja, kršitve odvetnikov in notarjev, kršitve ponudnikov storitev virtualnih valut itd.). </w:t>
      </w:r>
    </w:p>
    <w:p w14:paraId="54BD35AB" w14:textId="77777777" w:rsidR="00DE5D2B" w:rsidRDefault="00DE5D2B" w:rsidP="00DE5D2B">
      <w:r>
        <w:t>Kršitve ZPPDFT-1 so razvrščene glede na težo prekrška na:</w:t>
      </w:r>
    </w:p>
    <w:p w14:paraId="79C0C67F" w14:textId="77777777" w:rsidR="00DE5D2B" w:rsidRDefault="00DE5D2B" w:rsidP="00C65DDD">
      <w:pPr>
        <w:pStyle w:val="Odstavekseznama"/>
        <w:ind w:left="851" w:hanging="284"/>
      </w:pPr>
      <w:r>
        <w:t xml:space="preserve">najtežje (zagrožena globa za pravno osebo je od 12.000 do 120.000 EUR, za odgovorno osebo je od 800 do 4.000 EUR, za samostojnega podjetnika posameznika oziroma posameznika, ki samostojno opravlja dejavnost, pa je od 4.000 do 40.000 EUR), </w:t>
      </w:r>
    </w:p>
    <w:p w14:paraId="738BED1F" w14:textId="77777777" w:rsidR="00DE5D2B" w:rsidRDefault="00DE5D2B" w:rsidP="00C65DDD">
      <w:pPr>
        <w:pStyle w:val="Odstavekseznama"/>
        <w:ind w:left="851" w:hanging="284"/>
      </w:pPr>
      <w:r>
        <w:t xml:space="preserve">težje (zagrožena globa za pravno osebo je od 6.000 do 60.000 EUR, za odgovorno osebo je od 400 do 2.000 EUR, za samostojnega podjetnika posameznika oziroma posameznika, ki samostojno opravlja dejavnost, pa je od 2.000 do 20.000 EUR), </w:t>
      </w:r>
    </w:p>
    <w:p w14:paraId="5A14A92F" w14:textId="77777777" w:rsidR="00DE5D2B" w:rsidRDefault="00DE5D2B" w:rsidP="00C65DDD">
      <w:pPr>
        <w:pStyle w:val="Odstavekseznama"/>
        <w:ind w:left="851" w:hanging="284"/>
      </w:pPr>
      <w:r>
        <w:t>in lažje kršitve (zagrožena globa za pravno osebo je od 3.000 do 30.000 EUR, za odgovorno osebo je od 200 do 1.000 EUR, za samostojnega podjetnika posameznika oziroma posameznika, ki samostojno opravlja dejavnost, pa je od 1.000 do 10.000 EUR).</w:t>
      </w:r>
    </w:p>
    <w:p w14:paraId="23145C3B" w14:textId="63D39454" w:rsidR="00DE5D2B" w:rsidRDefault="00DE5D2B" w:rsidP="00DE5D2B">
      <w:r>
        <w:t>Skladno z evropsko direktivo so zagrožene sankcije pri najtežjih kršitvah v določenih okoliščinah oziroma za določene kategorije zavezancev v ZPPDFT-1 opredeljene še višje. Posebej so izpostavljeni prekrški, ki so posebno hude narave, ali so povzročili izrazito višino škode oziroma protipravno pridobljene premoženjske koristi, ali so posebni zaradi storilčevega naklepa oziroma njegovega namena koristoljubnosti, ali zaradi ponavljanja ali sistematičnosti njegove storitve prekrška. Ob ugotovitvi tovrstnih okoliščin je pravna oseba lahko kaznovana z globo do 1 milijona evrov (samostojni podjetnik posameznik ali posameznik, ki samostojno opravlja dejavnost, pa z globo do pol milijona evrov) ali do dvakratnega zneska premoženjske koristi. Višje globe so določene tudi za odgovorne osebe.</w:t>
      </w:r>
    </w:p>
    <w:p w14:paraId="5F832AFB" w14:textId="46EE3481" w:rsidR="00DE5D2B" w:rsidRDefault="00DE5D2B" w:rsidP="00DE5D2B">
      <w:r>
        <w:t>Če je v teh primerih storilec prekrška pravna oseba, ki je kreditna ali finančna institucija, je zagrožena kazen še višja, in sicer znaša do 5 milijonov evrov ali do deset odstotkov skupnega letnega prometa v predhodnem poslovnem letu, če je ta znesek višji. Dodatna sankcija predstavlja poleg izreka globe tudi trajen ali začasen umik dovoljenja za opravljanje dejavnosti in zoper odgovorno osebo tudi začasna prepoved izvrševanja vodstvenih nalog.</w:t>
      </w:r>
    </w:p>
    <w:p w14:paraId="4614D2CC" w14:textId="41329BFE" w:rsidR="00DE5D2B" w:rsidRDefault="00DE5D2B" w:rsidP="00DE5D2B">
      <w:r>
        <w:lastRenderedPageBreak/>
        <w:t>Naloge inšpekcijskega nadzora urada opravljajo uradne osebe, inšpektorji za preprečevanje pranja denarja, ki samostojno opravljajo naloge nadzora po ZPPDFT-1, vodijo postopke ter izdajajo odločbe in sklepe v upravnem in prekrškovnem postopku. Pooblastila inšpektorjev izhajajo iz 146. člena ZPPDFT</w:t>
      </w:r>
      <w:r w:rsidR="00D64E07">
        <w:noBreakHyphen/>
      </w:r>
      <w:r>
        <w:t xml:space="preserve">1. </w:t>
      </w:r>
    </w:p>
    <w:p w14:paraId="529290DD" w14:textId="77777777" w:rsidR="00EA665D" w:rsidRDefault="00EA665D" w:rsidP="00B65A09"/>
    <w:p w14:paraId="476D5557" w14:textId="73AD5147" w:rsidR="00B65A09" w:rsidRPr="00D62FFA" w:rsidRDefault="00B65A09" w:rsidP="00D62FFA">
      <w:pPr>
        <w:pStyle w:val="Naslov3"/>
      </w:pPr>
      <w:bookmarkStart w:id="54" w:name="_Toc119581724"/>
      <w:r w:rsidRPr="00D62FFA">
        <w:t>Zaznane kršitve</w:t>
      </w:r>
      <w:bookmarkEnd w:id="54"/>
    </w:p>
    <w:p w14:paraId="486FD35B" w14:textId="59870AF1" w:rsidR="00B65A09" w:rsidRDefault="00B65A09" w:rsidP="00B65A09"/>
    <w:p w14:paraId="6F4FF443" w14:textId="77777777" w:rsidR="00D64E07" w:rsidRDefault="00D64E07" w:rsidP="00B65A09">
      <w:r>
        <w:t xml:space="preserve">Urad  je pristojen tudi za </w:t>
      </w:r>
      <w:r w:rsidRPr="00D64E07">
        <w:rPr>
          <w:b/>
          <w:bCs/>
        </w:rPr>
        <w:t>nadzor nad vpisi dejanskih lastnikov v Register dejanskih lastnikov</w:t>
      </w:r>
      <w:r>
        <w:t xml:space="preserve">. Kriminalne strukture pri pranju denarja pogosto uporabljajo družbe nabiralnike in slamnate lastnike za prikrivanje izvora s kaznivimi dejanji pridobljenega premoženja in pravega ekonomskega lastnika tega premoženja. Zaradi preprečevanja tovrstnih ravnanj je bila sprejeta ureditev, ki določa obveznost vpisa podatkov o dejanskih lastnikih v Register dejanskih lastnikov in določeni so bili postopki za preverjanje teh podatkov.  </w:t>
      </w:r>
    </w:p>
    <w:p w14:paraId="6E473912" w14:textId="65CD7057" w:rsidR="00D64E07" w:rsidRDefault="00D64E07" w:rsidP="00B65A09">
      <w:r w:rsidRPr="00D64E07">
        <w:t>V zvezi z registrom dejanskih lastnikov</w:t>
      </w:r>
      <w:r w:rsidRPr="006503BD">
        <w:rPr>
          <w:b/>
          <w:bCs/>
        </w:rPr>
        <w:t xml:space="preserve"> </w:t>
      </w:r>
      <w:r w:rsidRPr="00D64E07">
        <w:t xml:space="preserve">je </w:t>
      </w:r>
      <w:r>
        <w:t>urad</w:t>
      </w:r>
      <w:r w:rsidRPr="006503BD">
        <w:t xml:space="preserve"> leta 2021 pri poslovnih subjektih oprav</w:t>
      </w:r>
      <w:r>
        <w:t>il</w:t>
      </w:r>
      <w:r w:rsidRPr="006503BD">
        <w:rPr>
          <w:b/>
          <w:bCs/>
        </w:rPr>
        <w:t xml:space="preserve"> 25 inšpekcijskih nadzorov, pri čemer so</w:t>
      </w:r>
      <w:r>
        <w:rPr>
          <w:b/>
          <w:bCs/>
        </w:rPr>
        <w:t xml:space="preserve"> bile ugotovljene kršitve v 16 primerih. </w:t>
      </w:r>
      <w:r w:rsidRPr="00D64E07">
        <w:t xml:space="preserve">V zvezi s kršitvami je bilo izrečenih 13 opozoril po ZP-1, v treh primerih pa druge sankcije. </w:t>
      </w:r>
    </w:p>
    <w:p w14:paraId="155BB743" w14:textId="77777777" w:rsidR="00D64E07" w:rsidRDefault="00D64E07" w:rsidP="00B65A09"/>
    <w:p w14:paraId="1073A73E" w14:textId="16AC7397" w:rsidR="00D64E07" w:rsidRPr="00D64E07" w:rsidRDefault="001E6FD5" w:rsidP="001E6FD5">
      <w:pPr>
        <w:pStyle w:val="Naslov2"/>
      </w:pPr>
      <w:bookmarkStart w:id="55" w:name="_Toc119581725"/>
      <w:r>
        <w:t>DRUGI NADZORNI ORGANI</w:t>
      </w:r>
      <w:bookmarkEnd w:id="55"/>
    </w:p>
    <w:p w14:paraId="33E7FC79" w14:textId="77777777" w:rsidR="00D64E07" w:rsidRDefault="00D64E07" w:rsidP="00B65A09"/>
    <w:p w14:paraId="2CBB9D4A" w14:textId="6794009A" w:rsidR="00DE5D2B" w:rsidRDefault="00DE5D2B" w:rsidP="00B65A09">
      <w:r w:rsidRPr="00D02F79">
        <w:t>V skladu z ZPPDFT-1 urad ni edini nadzornik nad izvajanjem določil zakona pri zavezancih, ampak so nadzorniki tudi organi, ki izvajajo t. i. primarni nadzor na podlagi področne zakonodaje posameznih skupin zavezancev. Drugi nadzorni organi so Banka Slovenije, Agencija za trg vrednostnih papirjev, Agencija za zavarovalni nadzor, Finančna uprava RS, Tržni inšpektorat RS, Agencija za javno revidiranje, Odvetniška zbornica Slovenije in Notarska zbornica Slovenije, ki v skladu s svojimi pooblastili nadzirajo poslovanje in posledično tudi ustrezno izvajanje določil ZPPDFT-1 pri posameznem segmentu zavezancev. Nadzorniki imajo pristojnost</w:t>
      </w:r>
      <w:r>
        <w:t>, da</w:t>
      </w:r>
      <w:r w:rsidRPr="00D02F79">
        <w:t xml:space="preserve"> pri ugotovljenih kršitvah zakonodaje s področja preprečevanja pranja denarja in financiranja terorizma odredi</w:t>
      </w:r>
      <w:r>
        <w:t>jo</w:t>
      </w:r>
      <w:r w:rsidRPr="00D02F79">
        <w:t xml:space="preserve"> ukrepe za odpravo nepravilnosti in pomanjkljivosti, pri čemer lahko izvedejo tudi prekrškovni postopek, in morajo o vseh svojih ukrepih s področ</w:t>
      </w:r>
      <w:r>
        <w:t>j</w:t>
      </w:r>
      <w:r w:rsidRPr="00D02F79">
        <w:t>a ZPPDFT-1 obvestiti urad.</w:t>
      </w:r>
      <w:r>
        <w:t xml:space="preserve"> </w:t>
      </w:r>
      <w:r w:rsidRPr="001D3CC6">
        <w:rPr>
          <w:b/>
          <w:bCs/>
        </w:rPr>
        <w:t>Urad je v letu 2021</w:t>
      </w:r>
      <w:r w:rsidRPr="001D3CC6">
        <w:t xml:space="preserve"> </w:t>
      </w:r>
      <w:r w:rsidRPr="001D3CC6">
        <w:rPr>
          <w:b/>
          <w:bCs/>
        </w:rPr>
        <w:t xml:space="preserve">od drugih pristojnih nadzornih organov </w:t>
      </w:r>
      <w:r w:rsidR="00ED751B" w:rsidRPr="001D3CC6">
        <w:rPr>
          <w:b/>
          <w:bCs/>
        </w:rPr>
        <w:t>prejel</w:t>
      </w:r>
      <w:r w:rsidR="00ED751B" w:rsidRPr="001D3CC6">
        <w:t xml:space="preserve"> </w:t>
      </w:r>
      <w:r w:rsidRPr="001D3CC6">
        <w:rPr>
          <w:b/>
          <w:bCs/>
        </w:rPr>
        <w:t>podatke o opravljenih 19 nadzorih po ZPPDFT-1.</w:t>
      </w:r>
      <w:r w:rsidRPr="005B7A6C">
        <w:t xml:space="preserve"> </w:t>
      </w:r>
    </w:p>
    <w:p w14:paraId="20F5C49B" w14:textId="37702B56" w:rsidR="001D3CC6" w:rsidRDefault="001D3CC6">
      <w:pPr>
        <w:jc w:val="left"/>
      </w:pPr>
      <w:bookmarkStart w:id="56" w:name="_Hlk105396420"/>
      <w:r>
        <w:br w:type="page"/>
      </w:r>
    </w:p>
    <w:p w14:paraId="653B6392" w14:textId="77777777" w:rsidR="00B65A09" w:rsidRDefault="00B65A09" w:rsidP="00B65A09"/>
    <w:p w14:paraId="0F842097" w14:textId="483BAE1B" w:rsidR="00B65A09" w:rsidRDefault="00B65A09" w:rsidP="00E02BEB">
      <w:pPr>
        <w:pStyle w:val="Naslov1"/>
      </w:pPr>
      <w:bookmarkStart w:id="57" w:name="_Toc119581726"/>
      <w:r>
        <w:t>MEDNARODNO SODELOVANJE</w:t>
      </w:r>
      <w:bookmarkEnd w:id="57"/>
    </w:p>
    <w:p w14:paraId="5AE2EFC2" w14:textId="77777777" w:rsidR="00B65A09" w:rsidRDefault="00B65A09" w:rsidP="00B65A09"/>
    <w:p w14:paraId="6E0CE947" w14:textId="3B611879" w:rsidR="00B65A09" w:rsidRDefault="00B65A09" w:rsidP="00B65A09">
      <w:r>
        <w:t>Pravna podlaga za mednarodno delovanje urada je določena s 105., 106. in 108. členom ZPPDFT-1, ki pooblaščajo urad, da izmenjuje podatke s tujimi organi, pristojnimi za preprečevanje pranja denarja in financiranje terorizma. Poglavje tega zakona, ki se nanaša na mednarodno sodelovanje, tudi določa pogoje, pod katerimi lahko urad začasno ustavi transakcijo na pobudo tujega organa oziroma mu omogoča, da v okviru svojih nalog preprečevanja pranja denarja in financiranja terorizma pošlje pisno pobudo tujemu organu za ustavitev transakcije ob utemeljenem sumu pranja denarja ali financiranja terorizma.</w:t>
      </w:r>
    </w:p>
    <w:p w14:paraId="3CB8A9A9" w14:textId="5B399688" w:rsidR="00B65A09" w:rsidRDefault="00B65A09" w:rsidP="00B65A09">
      <w:r>
        <w:t xml:space="preserve">Urad ima določene pristojnosti tudi na podlagi Konvencije Sveta Evrope št. 198 o pranju, odkrivanju, zasegu in odvzemu premoženjske koristi, pridobljene s kaznivim dejanjem, in o financiranju terorizma, ki jo je Slovenija podpisala 28. marca 2007, ratificirala 26. aprila 2010, veljati pa je začela 1. avgusta 2010. Urad je v konvenciji predviden kot osrednji organ, prek katerega </w:t>
      </w:r>
      <w:r w:rsidR="005D4ABA">
        <w:t xml:space="preserve">naj </w:t>
      </w:r>
      <w:r>
        <w:t xml:space="preserve">bi šla vsa zaprosila in zahtevki, ki se nanašajo na pranje denarja, odkrivanje, zaseg in odvzem premoženjske koristi, pridobljene s kaznivim dejanjem pranja denarja in financiranjem terorizma. </w:t>
      </w:r>
    </w:p>
    <w:p w14:paraId="13518247" w14:textId="66BAAA4C" w:rsidR="00B65A09" w:rsidRDefault="00B65A09" w:rsidP="00B65A09">
      <w:r>
        <w:t xml:space="preserve">V nadaljevanju </w:t>
      </w:r>
      <w:r w:rsidR="00FF29A4">
        <w:t>so prikazane</w:t>
      </w:r>
      <w:r>
        <w:t xml:space="preserve"> aktivnosti urada na področju mednarodnega sodelovanja, in sicer ločeno za področje večstranskega in dvostranskega sodelovanja.</w:t>
      </w:r>
    </w:p>
    <w:p w14:paraId="38FFA367" w14:textId="77777777" w:rsidR="00B65A09" w:rsidRDefault="00B65A09" w:rsidP="00B65A09"/>
    <w:p w14:paraId="422C7671" w14:textId="34930A57" w:rsidR="00B65A09" w:rsidRDefault="00B65A09" w:rsidP="00E02BEB">
      <w:pPr>
        <w:pStyle w:val="Naslov2"/>
      </w:pPr>
      <w:bookmarkStart w:id="58" w:name="_Toc119581727"/>
      <w:r>
        <w:t>VEČSTRANSKO SODELOVANJE</w:t>
      </w:r>
      <w:bookmarkEnd w:id="58"/>
    </w:p>
    <w:p w14:paraId="3EC8A697" w14:textId="77777777" w:rsidR="00B65A09" w:rsidRDefault="00B65A09" w:rsidP="00B65A09"/>
    <w:p w14:paraId="0CAC3F85" w14:textId="611EEA7B" w:rsidR="005543F3" w:rsidRPr="000F0441" w:rsidRDefault="00B65A09" w:rsidP="00B65A09">
      <w:pPr>
        <w:rPr>
          <w:color w:val="000000" w:themeColor="text1"/>
        </w:rPr>
      </w:pPr>
      <w:r w:rsidRPr="000F0441">
        <w:rPr>
          <w:color w:val="000000" w:themeColor="text1"/>
        </w:rPr>
        <w:t xml:space="preserve">V tem delu </w:t>
      </w:r>
      <w:r w:rsidR="00FF29A4">
        <w:rPr>
          <w:color w:val="000000" w:themeColor="text1"/>
        </w:rPr>
        <w:t>so predstavljene</w:t>
      </w:r>
      <w:r w:rsidRPr="000F0441">
        <w:rPr>
          <w:color w:val="000000" w:themeColor="text1"/>
        </w:rPr>
        <w:t xml:space="preserve"> aktivnosti urada, ki so se leta 202</w:t>
      </w:r>
      <w:r w:rsidR="00845090" w:rsidRPr="000F0441">
        <w:rPr>
          <w:color w:val="000000" w:themeColor="text1"/>
        </w:rPr>
        <w:t>1</w:t>
      </w:r>
      <w:r w:rsidRPr="000F0441">
        <w:rPr>
          <w:color w:val="000000" w:themeColor="text1"/>
        </w:rPr>
        <w:t xml:space="preserve"> (kot tudi v preteklih letih) nanašale predvsem na sodelovanje v mednarodni skupini EGMONT, </w:t>
      </w:r>
      <w:r w:rsidR="00845090" w:rsidRPr="000F0441">
        <w:rPr>
          <w:color w:val="000000" w:themeColor="text1"/>
        </w:rPr>
        <w:t xml:space="preserve">Svetu Evrope in </w:t>
      </w:r>
      <w:r w:rsidR="000F0441" w:rsidRPr="000F0441">
        <w:rPr>
          <w:color w:val="000000" w:themeColor="text1"/>
        </w:rPr>
        <w:t xml:space="preserve">v telesih </w:t>
      </w:r>
      <w:r w:rsidR="00845090" w:rsidRPr="000F0441">
        <w:rPr>
          <w:color w:val="000000" w:themeColor="text1"/>
        </w:rPr>
        <w:t>Evropsk</w:t>
      </w:r>
      <w:r w:rsidR="000F0441" w:rsidRPr="000F0441">
        <w:rPr>
          <w:color w:val="000000" w:themeColor="text1"/>
        </w:rPr>
        <w:t>e unije</w:t>
      </w:r>
      <w:r w:rsidR="00845090" w:rsidRPr="000F0441">
        <w:rPr>
          <w:color w:val="000000" w:themeColor="text1"/>
        </w:rPr>
        <w:t>.</w:t>
      </w:r>
    </w:p>
    <w:p w14:paraId="26BB4366" w14:textId="77777777" w:rsidR="000F0441" w:rsidRPr="00C65DDD" w:rsidRDefault="000F0441" w:rsidP="00B65A09">
      <w:pPr>
        <w:rPr>
          <w:color w:val="FF0000"/>
        </w:rPr>
      </w:pPr>
    </w:p>
    <w:p w14:paraId="03355D3F" w14:textId="58592AF3" w:rsidR="00B65A09" w:rsidRPr="000F0441" w:rsidRDefault="000F0441" w:rsidP="000F0441">
      <w:pPr>
        <w:pStyle w:val="Naslov3"/>
      </w:pPr>
      <w:bookmarkStart w:id="59" w:name="_Toc119581728"/>
      <w:r w:rsidRPr="000F0441">
        <w:t xml:space="preserve">Mednarodna skupina </w:t>
      </w:r>
      <w:r w:rsidR="00B65A09" w:rsidRPr="000F0441">
        <w:t>EGMONT</w:t>
      </w:r>
      <w:bookmarkEnd w:id="59"/>
    </w:p>
    <w:p w14:paraId="56C184C1" w14:textId="77777777" w:rsidR="000F0441" w:rsidRDefault="000F0441" w:rsidP="00B65A09">
      <w:pPr>
        <w:rPr>
          <w:color w:val="FF0000"/>
        </w:rPr>
      </w:pPr>
    </w:p>
    <w:p w14:paraId="26C20ECE" w14:textId="3CDD43AE" w:rsidR="00845090" w:rsidRPr="000F0441" w:rsidRDefault="00B65A09" w:rsidP="00B65A09">
      <w:pPr>
        <w:rPr>
          <w:color w:val="000000" w:themeColor="text1"/>
        </w:rPr>
      </w:pPr>
      <w:r w:rsidRPr="000F0441">
        <w:rPr>
          <w:color w:val="000000" w:themeColor="text1"/>
        </w:rPr>
        <w:t>V letu 202</w:t>
      </w:r>
      <w:r w:rsidR="00845090" w:rsidRPr="000F0441">
        <w:rPr>
          <w:color w:val="000000" w:themeColor="text1"/>
        </w:rPr>
        <w:t>1 je bil</w:t>
      </w:r>
      <w:r w:rsidR="00FF29A4">
        <w:rPr>
          <w:color w:val="000000" w:themeColor="text1"/>
        </w:rPr>
        <w:t>o</w:t>
      </w:r>
      <w:r w:rsidR="00845090" w:rsidRPr="000F0441">
        <w:rPr>
          <w:color w:val="000000" w:themeColor="text1"/>
        </w:rPr>
        <w:t xml:space="preserve"> od 5. 7. </w:t>
      </w:r>
      <w:r w:rsidR="00C720FC">
        <w:rPr>
          <w:color w:val="000000" w:themeColor="text1"/>
        </w:rPr>
        <w:t xml:space="preserve">do </w:t>
      </w:r>
      <w:r w:rsidR="00845090" w:rsidRPr="000F0441">
        <w:rPr>
          <w:color w:val="000000" w:themeColor="text1"/>
        </w:rPr>
        <w:t>9. 7. 2021 organizirano plenarno zasedanje</w:t>
      </w:r>
      <w:r w:rsidR="00FF29A4">
        <w:rPr>
          <w:color w:val="000000" w:themeColor="text1"/>
        </w:rPr>
        <w:t xml:space="preserve"> skupine EGMONT</w:t>
      </w:r>
      <w:r w:rsidR="00845090" w:rsidRPr="000F0441">
        <w:rPr>
          <w:color w:val="000000" w:themeColor="text1"/>
        </w:rPr>
        <w:t xml:space="preserve">, ki je zaradi pandemije covida-19 potekalo virtualno. </w:t>
      </w:r>
    </w:p>
    <w:p w14:paraId="6EFB6238" w14:textId="683A781F" w:rsidR="008B1D4B" w:rsidRPr="000F0441" w:rsidRDefault="00845090" w:rsidP="008B1D4B">
      <w:pPr>
        <w:rPr>
          <w:color w:val="000000" w:themeColor="text1"/>
        </w:rPr>
      </w:pPr>
      <w:r w:rsidRPr="000F0441">
        <w:rPr>
          <w:color w:val="000000" w:themeColor="text1"/>
        </w:rPr>
        <w:t xml:space="preserve">Na zasedanju je </w:t>
      </w:r>
      <w:r w:rsidR="007C3F0D" w:rsidRPr="000F0441">
        <w:rPr>
          <w:color w:val="000000" w:themeColor="text1"/>
        </w:rPr>
        <w:t xml:space="preserve">bilo predstavljeno poročilo aktivnosti skupine EGMONT za obdobje 2020-2021, poleg tega pa tudi  </w:t>
      </w:r>
      <w:r w:rsidRPr="000F0441">
        <w:rPr>
          <w:color w:val="000000" w:themeColor="text1"/>
        </w:rPr>
        <w:t xml:space="preserve">predviden proračun skupine EGMONT za obdobje 2021-2022, v katerega niso vključeni stroški delovanja ECOFEL (izobraževalnega centra v okviru EGMONTa), </w:t>
      </w:r>
      <w:r w:rsidR="007C3F0D" w:rsidRPr="000F0441">
        <w:rPr>
          <w:color w:val="000000" w:themeColor="text1"/>
        </w:rPr>
        <w:t>saj</w:t>
      </w:r>
      <w:r w:rsidRPr="000F0441">
        <w:rPr>
          <w:color w:val="000000" w:themeColor="text1"/>
        </w:rPr>
        <w:t xml:space="preserve"> ima </w:t>
      </w:r>
      <w:r w:rsidR="007C3F0D" w:rsidRPr="000F0441">
        <w:rPr>
          <w:color w:val="000000" w:themeColor="text1"/>
        </w:rPr>
        <w:t xml:space="preserve">slednji </w:t>
      </w:r>
      <w:r w:rsidRPr="000F0441">
        <w:rPr>
          <w:color w:val="000000" w:themeColor="text1"/>
        </w:rPr>
        <w:t xml:space="preserve">ločen proračun. </w:t>
      </w:r>
      <w:r w:rsidR="004348B0" w:rsidRPr="000F0441">
        <w:rPr>
          <w:color w:val="000000" w:themeColor="text1"/>
        </w:rPr>
        <w:t>V skupino EGMONT je bil sprejet tudi urad Bo</w:t>
      </w:r>
      <w:r w:rsidR="007C3F0D" w:rsidRPr="000F0441">
        <w:rPr>
          <w:color w:val="000000" w:themeColor="text1"/>
        </w:rPr>
        <w:t>c</w:t>
      </w:r>
      <w:r w:rsidR="004348B0" w:rsidRPr="000F0441">
        <w:rPr>
          <w:color w:val="000000" w:themeColor="text1"/>
        </w:rPr>
        <w:t>vane, tako da se je skupno število uradov v tej skupini pov</w:t>
      </w:r>
      <w:r w:rsidR="005543F3" w:rsidRPr="000F0441">
        <w:rPr>
          <w:color w:val="000000" w:themeColor="text1"/>
        </w:rPr>
        <w:t>zpelo</w:t>
      </w:r>
      <w:r w:rsidR="004348B0" w:rsidRPr="000F0441">
        <w:rPr>
          <w:color w:val="000000" w:themeColor="text1"/>
        </w:rPr>
        <w:t xml:space="preserve"> na 167. Pripravljen je bil tudi načrt plenarnih zasedanj skupine EGMONT za obdobje 2022- 2023 ter strateški načrt delovanja te skupine v prihodnje. Status opazovalca je bil odobren The Camden Asset Recovery Interagency Network, medtem ko je za članstvo zaprosila </w:t>
      </w:r>
      <w:r w:rsidR="00B46640" w:rsidRPr="000F0441">
        <w:rPr>
          <w:color w:val="000000" w:themeColor="text1"/>
        </w:rPr>
        <w:t xml:space="preserve">tudi </w:t>
      </w:r>
      <w:r w:rsidR="004348B0" w:rsidRPr="000F0441">
        <w:rPr>
          <w:color w:val="000000" w:themeColor="text1"/>
        </w:rPr>
        <w:t xml:space="preserve">World Customs Organization. </w:t>
      </w:r>
      <w:r w:rsidR="008B1D4B" w:rsidRPr="000F0441">
        <w:rPr>
          <w:color w:val="000000" w:themeColor="text1"/>
        </w:rPr>
        <w:t>Na plenarnem zasedanju je bila izražena podpora za nadaljnje delo na prenovi IT podpore, ki predstavlja enega pomembnejših projektov skupine E</w:t>
      </w:r>
      <w:r w:rsidR="001D4280">
        <w:rPr>
          <w:color w:val="000000" w:themeColor="text1"/>
        </w:rPr>
        <w:t>GMONT</w:t>
      </w:r>
      <w:r w:rsidR="008B1D4B" w:rsidRPr="000F0441">
        <w:rPr>
          <w:color w:val="000000" w:themeColor="text1"/>
        </w:rPr>
        <w:t xml:space="preserve"> za prihodnje obdobje.</w:t>
      </w:r>
    </w:p>
    <w:p w14:paraId="170C6E13" w14:textId="4E57789E" w:rsidR="00845090" w:rsidRDefault="008B1D4B" w:rsidP="008B1D4B">
      <w:pPr>
        <w:rPr>
          <w:color w:val="000000" w:themeColor="text1"/>
        </w:rPr>
      </w:pPr>
      <w:r w:rsidRPr="000F0441">
        <w:rPr>
          <w:color w:val="000000" w:themeColor="text1"/>
        </w:rPr>
        <w:t>Regionalna skupina Europe I, katere članica je Slovenija, se je virtualno sestala v marcu in juliju 2021. Obravnavane teme so se nanašale na napredek projektov in dela posameznih delovnih skupin, poleg revidiranja IT podpore predvsem izdelava kataloga informacij, ki jih posamezne finančne obveščevalne enote lahko posredujejo v povezavi z virtualnimi valutami, pregled tipologij financiranja terorizma in aktualno stanje v odprtih postopkih za ugotavljanje dejstev glede morebitnih kršitev načel skupine E</w:t>
      </w:r>
      <w:r w:rsidR="001D4280">
        <w:rPr>
          <w:color w:val="000000" w:themeColor="text1"/>
        </w:rPr>
        <w:t>GMONT</w:t>
      </w:r>
      <w:r w:rsidRPr="000F0441">
        <w:rPr>
          <w:color w:val="000000" w:themeColor="text1"/>
        </w:rPr>
        <w:t>. Zaradi aktualnosti zadev s področja Evropske unije, je bila pozornost namenjena tudi migraciji evropske mreže za izmenjavo podatkov FIU.net ter vsebini novega predloga Evropske komisije za sprejem štirih zakonodajnih predlogov (AML paket), ki se nanaša na vzpostavitev posebnega koordinacijskega in podpornega mehanizma za sodelovanje finančnih obveščevalnih enot.</w:t>
      </w:r>
    </w:p>
    <w:p w14:paraId="543987EB" w14:textId="77777777" w:rsidR="000F0441" w:rsidRPr="000F0441" w:rsidRDefault="000F0441" w:rsidP="008B1D4B">
      <w:pPr>
        <w:rPr>
          <w:color w:val="000000" w:themeColor="text1"/>
        </w:rPr>
      </w:pPr>
    </w:p>
    <w:p w14:paraId="2957B3BC" w14:textId="77777777" w:rsidR="000F0441" w:rsidRDefault="000F0441" w:rsidP="000F0441">
      <w:pPr>
        <w:pStyle w:val="Naslov3"/>
      </w:pPr>
      <w:bookmarkStart w:id="60" w:name="_Toc119581729"/>
      <w:r>
        <w:t>Svet Evrope</w:t>
      </w:r>
      <w:bookmarkEnd w:id="60"/>
    </w:p>
    <w:p w14:paraId="24970100" w14:textId="77777777" w:rsidR="000F0441" w:rsidRDefault="000F0441" w:rsidP="000F0441"/>
    <w:p w14:paraId="500E1E56" w14:textId="77777777" w:rsidR="000F0441" w:rsidRPr="008B1D4B" w:rsidRDefault="000F0441" w:rsidP="000F0441">
      <w:r w:rsidRPr="008B1D4B">
        <w:t>Delo urada je bilo v letu 2021 v veliki meri osredotočeno na delovanje Odbora strokovnjakov Sveta Evrope za ocenjevanje učinkovitosti ukrepov preprečevanja pranja denarja in financiranja terorizma (MONEYVAL).</w:t>
      </w:r>
    </w:p>
    <w:p w14:paraId="48AEB211" w14:textId="77777777" w:rsidR="000F0441" w:rsidRDefault="000F0441" w:rsidP="000F0441"/>
    <w:p w14:paraId="70F2146F" w14:textId="77777777" w:rsidR="000F0441" w:rsidRDefault="000F0441" w:rsidP="000F0441">
      <w:pPr>
        <w:pStyle w:val="Naslov4"/>
      </w:pPr>
      <w:bookmarkStart w:id="61" w:name="_Toc119581730"/>
      <w:r>
        <w:t>Odbor strokovnjakov Sveta Evrope za ocenjevanje ukrepov s področja preprečevanja pranja denarja in financiranja terorizma (MONEYVAL)</w:t>
      </w:r>
      <w:bookmarkEnd w:id="61"/>
    </w:p>
    <w:p w14:paraId="1206D37F" w14:textId="77777777" w:rsidR="000F0441" w:rsidRPr="008B1D4B" w:rsidRDefault="000F0441" w:rsidP="000F0441"/>
    <w:p w14:paraId="2AEC7BA4" w14:textId="5838BF99" w:rsidR="000F0441" w:rsidRPr="008B1D4B" w:rsidRDefault="000F0441" w:rsidP="000F0441">
      <w:r w:rsidRPr="008B1D4B">
        <w:t>V letu 2021  sta potekal</w:t>
      </w:r>
      <w:r w:rsidR="001D4280">
        <w:t>a</w:t>
      </w:r>
      <w:r w:rsidRPr="008B1D4B">
        <w:t xml:space="preserve"> 61. in 62. plenarno zasedanje odbora MONEYVAL, ki sta zaradi  pandemije covida-19 potekal</w:t>
      </w:r>
      <w:r w:rsidR="001D4280">
        <w:t>a</w:t>
      </w:r>
      <w:r w:rsidRPr="008B1D4B">
        <w:t xml:space="preserve"> večinoma virtualno. Njuna vsebina je podrobneje prikazana v nadaljevanju</w:t>
      </w:r>
      <w:r w:rsidR="001D4280">
        <w:t>.</w:t>
      </w:r>
    </w:p>
    <w:p w14:paraId="4D500783" w14:textId="67CCDB41" w:rsidR="000F0441" w:rsidRPr="008B1D4B" w:rsidRDefault="00D34B67" w:rsidP="000F0441">
      <w:r>
        <w:t>Enainšestdeseto</w:t>
      </w:r>
      <w:r w:rsidR="000F0441" w:rsidRPr="008B1D4B">
        <w:t xml:space="preserve"> plenarno zasedanje je potekalo od 26. 4.</w:t>
      </w:r>
      <w:r w:rsidR="001D4280">
        <w:t>do</w:t>
      </w:r>
      <w:r w:rsidR="000F0441" w:rsidRPr="008B1D4B">
        <w:t xml:space="preserve"> 30. 4. 2021. Na njem sta se obravnavali in bili sprejeti poročili 5. kroga ocenjevanja San Marina in Vatikana – Svetega sedeža. Poleg tega je več držav predstavilo svoja poročila o napredku (Malta, Albanija in Madžarska) ter tudi Slovenija</w:t>
      </w:r>
      <w:r w:rsidR="001D4280">
        <w:t>.</w:t>
      </w:r>
    </w:p>
    <w:p w14:paraId="123D0AA1" w14:textId="1848E606" w:rsidR="000F0441" w:rsidRPr="008B1D4B" w:rsidRDefault="000F0441" w:rsidP="000F0441">
      <w:r w:rsidRPr="008B1D4B">
        <w:t xml:space="preserve">Naši državi je uspelo od zadnjega poročanja odboru MONEYVAL v decembru 2019, </w:t>
      </w:r>
      <w:r w:rsidRPr="00277073">
        <w:rPr>
          <w:b/>
          <w:bCs/>
        </w:rPr>
        <w:t>zvišati ocene na »v veliki meri skladno« (LC- largely compliant) pri naslednjih FATF priporočilih: R. 6, R.7, R.8, R.13, R.26 ter R. 28.</w:t>
      </w:r>
      <w:r w:rsidRPr="008B1D4B">
        <w:t xml:space="preserve"> Za </w:t>
      </w:r>
      <w:r w:rsidR="001D4280">
        <w:t>razpravo</w:t>
      </w:r>
      <w:r w:rsidRPr="008B1D4B">
        <w:t xml:space="preserve"> na plenarnem zasedanju je bilo (na podlagi pripomb FATF) uvrščeno le priporočilo R.8, vendar so bile pripombe le proceduralne narave, zaradi česar ni prišlo do spremembe ocene. </w:t>
      </w:r>
    </w:p>
    <w:p w14:paraId="4ACD7464" w14:textId="3F81F76A" w:rsidR="000F0441" w:rsidRPr="008B1D4B" w:rsidRDefault="000F0441" w:rsidP="000F0441">
      <w:r w:rsidRPr="008B1D4B">
        <w:t xml:space="preserve">Slovenija je predstavila </w:t>
      </w:r>
      <w:r w:rsidR="001D4280">
        <w:t xml:space="preserve">še </w:t>
      </w:r>
      <w:r w:rsidRPr="008B1D4B">
        <w:t xml:space="preserve">aktivnosti v zvezi s štirimi FATF priporočili, pri katerih ima še oceno »delno skladno« (PC – partially compliant): R.1, R.5, R.15 ter R.32. Slovenija bo morala MONEYVALu zopet poročati o svojem napredku čez eno leto, do takrat pa bo morala zagotovo odpraviti pomanjkljivosti pri FATF priporočilu R.5 (»Inkriminacija financiranja terorizma«), ki je eno izmed ključnih priporočil. V nasprotnem primeru bo  uvrščena v strožji postopek (»Compliance Enhancing Procedure«) MONEYVALa. </w:t>
      </w:r>
    </w:p>
    <w:p w14:paraId="46F6F91E" w14:textId="0681E695" w:rsidR="000F0441" w:rsidRPr="008B1D4B" w:rsidRDefault="00D34B67" w:rsidP="000F0441">
      <w:pPr>
        <w:rPr>
          <w:szCs w:val="20"/>
        </w:rPr>
      </w:pPr>
      <w:r>
        <w:t>Dvainšestdeseto</w:t>
      </w:r>
      <w:r w:rsidR="000F0441" w:rsidRPr="008B1D4B">
        <w:t xml:space="preserve"> plenarno zasedanje je potekalo od 13. 12. </w:t>
      </w:r>
      <w:r w:rsidR="001D4280">
        <w:t>do</w:t>
      </w:r>
      <w:r w:rsidR="000F0441" w:rsidRPr="008B1D4B">
        <w:t xml:space="preserve"> 17. 12. 2021. Na njem sta se obravnavali in bili sprejeti poročili 5. kroga ocenjevanja Hrvaške in Poljske ter poročilo o napredku Cipra. Poročila o napredku </w:t>
      </w:r>
      <w:r w:rsidR="000F0441" w:rsidRPr="008B1D4B">
        <w:rPr>
          <w:szCs w:val="20"/>
        </w:rPr>
        <w:t xml:space="preserve">Andore, Češke, Gibraltarja in Srbije so bila obravnavana že pred plenarnim zasedanjem v okviru »pisnega postopka«. Nanje ni bilo nobenih pripomb, zaradi česar niso bila uvrščena na dnevni red zasedanja. </w:t>
      </w:r>
    </w:p>
    <w:p w14:paraId="0BBFD71B" w14:textId="76B0D9C5" w:rsidR="000F0441" w:rsidRPr="008B1D4B" w:rsidRDefault="000F0441" w:rsidP="000F0441">
      <w:pPr>
        <w:contextualSpacing/>
        <w:rPr>
          <w:rFonts w:eastAsia="Times New Roman" w:cs="Arial"/>
          <w:szCs w:val="20"/>
          <w:lang w:eastAsia="sl-SI"/>
        </w:rPr>
      </w:pPr>
      <w:r w:rsidRPr="008B1D4B">
        <w:rPr>
          <w:szCs w:val="20"/>
        </w:rPr>
        <w:t xml:space="preserve">Na tem plenarnem zasedanju so potekale tudi volitve predstavnikov odbora MONEYVAL in sicer so bili izvoljeni </w:t>
      </w:r>
      <w:r w:rsidRPr="008B1D4B">
        <w:rPr>
          <w:rFonts w:eastAsia="Times New Roman" w:cs="Arial"/>
          <w:szCs w:val="20"/>
          <w:lang w:eastAsia="sl-SI"/>
        </w:rPr>
        <w:t>Ela F</w:t>
      </w:r>
      <w:r w:rsidR="001D4280">
        <w:rPr>
          <w:rFonts w:eastAsia="Times New Roman" w:cs="Arial"/>
          <w:szCs w:val="20"/>
          <w:lang w:eastAsia="sl-SI"/>
        </w:rPr>
        <w:t>rankow</w:t>
      </w:r>
      <w:r w:rsidRPr="008B1D4B">
        <w:rPr>
          <w:rFonts w:eastAsia="Times New Roman" w:cs="Arial"/>
          <w:szCs w:val="20"/>
          <w:lang w:eastAsia="sl-SI"/>
        </w:rPr>
        <w:t xml:space="preserve"> J</w:t>
      </w:r>
      <w:r w:rsidR="001D4280">
        <w:rPr>
          <w:rFonts w:eastAsia="Times New Roman" w:cs="Arial"/>
          <w:szCs w:val="20"/>
          <w:lang w:eastAsia="sl-SI"/>
        </w:rPr>
        <w:t>askiewicz</w:t>
      </w:r>
      <w:r w:rsidRPr="008B1D4B">
        <w:rPr>
          <w:rFonts w:eastAsia="Times New Roman" w:cs="Arial"/>
          <w:szCs w:val="20"/>
          <w:lang w:eastAsia="sl-SI"/>
        </w:rPr>
        <w:t>, Poljska (predsednica), Astghik K</w:t>
      </w:r>
      <w:r w:rsidR="001D4280">
        <w:rPr>
          <w:rFonts w:eastAsia="Times New Roman" w:cs="Arial"/>
          <w:szCs w:val="20"/>
          <w:lang w:eastAsia="sl-SI"/>
        </w:rPr>
        <w:t>aramanukyan</w:t>
      </w:r>
      <w:r w:rsidRPr="008B1D4B">
        <w:rPr>
          <w:rFonts w:eastAsia="Times New Roman" w:cs="Arial"/>
          <w:szCs w:val="20"/>
          <w:lang w:eastAsia="sl-SI"/>
        </w:rPr>
        <w:t>, Armenija ter Richard W</w:t>
      </w:r>
      <w:r w:rsidR="001D4280">
        <w:rPr>
          <w:rFonts w:eastAsia="Times New Roman" w:cs="Arial"/>
          <w:szCs w:val="20"/>
          <w:lang w:eastAsia="sl-SI"/>
        </w:rPr>
        <w:t>alker</w:t>
      </w:r>
      <w:r w:rsidRPr="008B1D4B">
        <w:rPr>
          <w:rFonts w:eastAsia="Times New Roman" w:cs="Arial"/>
          <w:szCs w:val="20"/>
          <w:lang w:eastAsia="sl-SI"/>
        </w:rPr>
        <w:t>, Guernsey (podpredsednika) ter Matis M</w:t>
      </w:r>
      <w:r w:rsidR="001D4280">
        <w:rPr>
          <w:rFonts w:eastAsia="Times New Roman" w:cs="Arial"/>
          <w:szCs w:val="20"/>
          <w:lang w:eastAsia="sl-SI"/>
        </w:rPr>
        <w:t>aeker</w:t>
      </w:r>
      <w:r w:rsidRPr="008B1D4B">
        <w:rPr>
          <w:rFonts w:eastAsia="Times New Roman" w:cs="Arial"/>
          <w:szCs w:val="20"/>
          <w:lang w:eastAsia="sl-SI"/>
        </w:rPr>
        <w:t>, Estonija in Ladislav M</w:t>
      </w:r>
      <w:r w:rsidR="001D4280">
        <w:rPr>
          <w:rFonts w:eastAsia="Times New Roman" w:cs="Arial"/>
          <w:szCs w:val="20"/>
          <w:lang w:eastAsia="sl-SI"/>
        </w:rPr>
        <w:t>ajernik</w:t>
      </w:r>
      <w:r w:rsidRPr="008B1D4B">
        <w:rPr>
          <w:rFonts w:eastAsia="Times New Roman" w:cs="Arial"/>
          <w:szCs w:val="20"/>
          <w:lang w:eastAsia="sl-SI"/>
        </w:rPr>
        <w:t>, Slovaška (člana biroja).</w:t>
      </w:r>
    </w:p>
    <w:p w14:paraId="59ABED2A" w14:textId="77777777" w:rsidR="000F0441" w:rsidRPr="008B1D4B" w:rsidRDefault="000F0441" w:rsidP="000F0441">
      <w:pPr>
        <w:spacing w:after="0" w:line="240" w:lineRule="auto"/>
        <w:contextualSpacing/>
        <w:rPr>
          <w:rFonts w:eastAsia="Times New Roman" w:cs="Arial"/>
          <w:szCs w:val="20"/>
          <w:lang w:eastAsia="sl-SI"/>
        </w:rPr>
      </w:pPr>
    </w:p>
    <w:p w14:paraId="33B6539A" w14:textId="77777777" w:rsidR="000F0441" w:rsidRPr="008B1D4B" w:rsidRDefault="000F0441" w:rsidP="000F0441">
      <w:pPr>
        <w:spacing w:after="0" w:line="240" w:lineRule="auto"/>
        <w:contextualSpacing/>
        <w:rPr>
          <w:rFonts w:eastAsia="Times New Roman" w:cs="Arial"/>
          <w:szCs w:val="20"/>
          <w:lang w:eastAsia="sl-SI"/>
        </w:rPr>
      </w:pPr>
      <w:r w:rsidRPr="008B1D4B">
        <w:rPr>
          <w:rFonts w:eastAsia="Times New Roman" w:cs="Arial"/>
          <w:szCs w:val="20"/>
          <w:lang w:eastAsia="sl-SI"/>
        </w:rPr>
        <w:t xml:space="preserve">Na plenarnem zasedanju je bila predstavljena še strategija MONEYVALa za obdobje 2020-2022 in njegov proračun, pri čemer je bilo poudarjeno, da kar 88% sredstev prispevajo države, članice FATF. </w:t>
      </w:r>
    </w:p>
    <w:p w14:paraId="74B211A2" w14:textId="77777777" w:rsidR="000F0441" w:rsidRPr="008B1D4B" w:rsidRDefault="000F0441" w:rsidP="000F0441">
      <w:pPr>
        <w:spacing w:after="0" w:line="240" w:lineRule="auto"/>
        <w:ind w:left="720"/>
        <w:contextualSpacing/>
        <w:rPr>
          <w:rFonts w:eastAsia="Times New Roman" w:cs="Arial"/>
          <w:szCs w:val="20"/>
          <w:lang w:eastAsia="sl-SI"/>
        </w:rPr>
      </w:pPr>
    </w:p>
    <w:p w14:paraId="6E5B7A1F" w14:textId="77777777" w:rsidR="000F0441" w:rsidRPr="008B1D4B" w:rsidRDefault="000F0441" w:rsidP="000F0441">
      <w:pPr>
        <w:spacing w:after="0" w:line="240" w:lineRule="auto"/>
        <w:contextualSpacing/>
        <w:rPr>
          <w:rFonts w:eastAsia="Times New Roman" w:cs="Arial"/>
          <w:szCs w:val="20"/>
          <w:lang w:eastAsia="sl-SI"/>
        </w:rPr>
      </w:pPr>
      <w:r w:rsidRPr="008B1D4B">
        <w:rPr>
          <w:rFonts w:eastAsia="Times New Roman" w:cs="Arial"/>
          <w:szCs w:val="20"/>
          <w:lang w:eastAsia="sl-SI"/>
        </w:rPr>
        <w:t>Naslednje, 63. plenarno zasedanje naj bi potekalo predvidoma v maju 2022, kjer bo morala svoje četrto poročilo o napredku predstaviti tudi Slovenija.</w:t>
      </w:r>
    </w:p>
    <w:p w14:paraId="4668E448" w14:textId="77777777" w:rsidR="000F0441" w:rsidRDefault="000F0441" w:rsidP="000F0441"/>
    <w:p w14:paraId="410A8316" w14:textId="77777777" w:rsidR="000F0441" w:rsidRDefault="000F0441" w:rsidP="000F0441">
      <w:pPr>
        <w:pStyle w:val="Naslov4"/>
      </w:pPr>
      <w:bookmarkStart w:id="62" w:name="_Toc119581731"/>
      <w:r>
        <w:t>Konvencija Sveta Evrope o pranju, odkrivanju, zasegu in zaplembi premoženjske koristi, pridobljene s kaznivim dejanjem, in o financiranju terorizma</w:t>
      </w:r>
      <w:bookmarkEnd w:id="62"/>
    </w:p>
    <w:p w14:paraId="4B53B02B" w14:textId="77777777" w:rsidR="000F0441" w:rsidRDefault="000F0441" w:rsidP="000F0441"/>
    <w:p w14:paraId="649A3EE8" w14:textId="77777777" w:rsidR="000F0441" w:rsidRDefault="000F0441" w:rsidP="000F0441">
      <w:r>
        <w:t xml:space="preserve">V okviru Sveta Evrope sprejeta Konvencija o pranju, odkrivanju, zasegu in zaplembi premoženjske koristi, pridobljene s kaznivim dejanjem, in o financiranju terorizma (v nadaljevanju: Konvencija SE 198), ki jo je Slovenija ratificirala leta 2010, je namenjena boju proti pranju denarja in financiranju terorizma. </w:t>
      </w:r>
      <w:r>
        <w:lastRenderedPageBreak/>
        <w:t>Vsebuje temeljno načelo, da morajo države podpisnice sprejeti take ukrepe, da se lahko odkrijejo, sledijo, prepoznajo, zamrznejo, zasežejo in odvzamejo predmeti, premoženjska korist ali premoženje nezakonitega izvora, ki se uporablja ali je v celoti ali delno in na kakršen koli način namenjeno za financiranje terorizma, ali premoženjsko korist iz tega kaznivega dejanja, in da v ta namen zagotovi sodelovanje v najširšem možnem obsegu. Eden njenih temeljnih elementov je tudi, da podpira neposredno komuniciranje med državami pogodbenicami in njihovimi strokovnimi organi ter predpisuje dolžnost obveščanja med sodelujočimi organi držav pogodbenic. V Sloveniji je osrednji organ, ki je odgovoren za pošiljanje zaprosil v okviru IV. poglavja (mednarodno sodelovanje) in odgovorov nanje, za izvršitev zaprosil ali za njihovo pošiljanje organom, pristojnim za njihovo izvršitev, Urad RS za preprečevanje pranja denarja.</w:t>
      </w:r>
    </w:p>
    <w:p w14:paraId="0C6C2998" w14:textId="77777777" w:rsidR="000F0441" w:rsidRDefault="000F0441" w:rsidP="000F0441">
      <w:r>
        <w:t>V maju 2021 je potekalo izredno virtualno plenarno zasedanje, ki je bilo v prvi vrsti namenjeno obravnavi vsebine vprašalnika o virtualnih sredstvih, ki je bil sicer predstavljen na predhodnem plenarnem zasedanju. Posebej je bila predstavljena Resolucija Skupščine Sveta Evrope o nujnosti okrepitve finančnih obveščevalnih enot in potrebnosti učinkovitejših orodij za izboljšanje zaplembe premoženja nezakonitega izvora, in projektna naloga za izvajanje aktivnosti 1.5 v okviru Strategije Sveta Evrope za boj proti terorizmu – “Financiranje terorizma (FT)”, ki se nanaša na potrebo po preučitvi možnosti za posodobitev obstoječih standardov v zvezi s financiranjem terorizma. Glede revidirane pojasnjevalne opombe za četrti odstavek 3. člena Konvencije v zvezi s pomenom besedne zveze „hudo kaznivo dejanje“ je tekla razprava o razmerju med režimom obvezne zaplembe in obrnjenim dokaznim bremenom glede na pojem „hudo kaznivo dejanje“. Znanstveni strokovnjak je pripravil revidirano opombo in pojasnil, da uporaba določbe četrtega odstavka 3. člena temelji na pojmu »hudo kaznivo dejanje«, ki je navedeno v istem odstavku, vendar ni vključeno na seznam opredelitev v 2. členu konvencije. Ta referenca je ločena in zato načeloma drugačna od kategorije kaznivih dejanj v drugem odstavku 3. člena, za katere velja splošni režim obvezne zaplembe. Da bi pravilno kvalificirali pojem „hudo kaznivo dejanje“ za namene četrtega odstavka 3. člena, je pomembno poudariti, da je mehanizem zaplembe, ki temelji na obrnjenem dokaznem bremenu, strožji od običajnega režima zaplembe iz prvega in drugega odstavka 3. člena. Za oboje se lahko šteje, da sta v razmerju posebnega do splošnega. To pojasnjuje razlike med pravnimi sredstvi v več pomembnih vidikih režimov, ki se uporabljajo v skladu s Konvencijo. Posledično države lahko uporabijo poseben režim zaplembe za tista "huda kazniva dejanja", kot jih opredeljuje nacionalna zakonodaja. V opombo se je vključilo več dodatnih pojasnil in s tem je bila revidirana pojasnjevalna opomba sprejeta. Poleg te je bila sprejeta še pojasnjevalna opomba k tretjemu odstavku 9. člena glede krivde, ki jo je treba dokazati, da se doseže obsodba za pranje denarja (tj. ali storilec je vedel za nezakonito naravo premoženjske koristi, pridobljene s kaznivim dejanjem). V zvezi z vprašalnikom o virtualnih sredstvih so bili predstavljeni splošni trendi glede njihove uporabe tako v javnem kot zasebnem sektorju, ter glede njihove uporabe za skrivanje premoženja, ki izvira iz kaznivih dejanj. Iz tega izhaja potreba po razumevanju pravnih sistemov različnih držav, pooblastil za zaseg kriptovalut, možnosti mednarodnega sodelovanja pri preiskavah in zasegu ter dobrih praks, ki so se v posameznih državah oblikovale. Vprašalnik  je bil sprejet in analiza odgovorov nanj je bila obravnava na naslednjem, t.j. rednem jesenskem zasedanju.</w:t>
      </w:r>
    </w:p>
    <w:p w14:paraId="6D9CFE3B" w14:textId="07C85AAB" w:rsidR="000F0441" w:rsidRDefault="000F0441" w:rsidP="000F0441">
      <w:r>
        <w:t>V novembru 2021 je v virtualni obliki potekala redna 13. konferenca držav pogodbenic Konvencije SE 198. Na njej je bilo obravnavano in sprejeto Tematsko poročilo o spremljanju izvajanja Konvencije SE 198 s strani držav pogodbenic v zvezi s prvim in drugim odstavkom 10. člena. Ob upoštevanju razprave je bil sprejet tudi predlog, da se pripravi pojasnjevalno opombo o tem členu za naslednjo plenarno sejo. Predstavljen je bil napredek pri izvajanju aktivnosti glede financiranja terorizma v okviru Sveta Evrope. V okviru FATF so bili prikazani rezultati poročil o tehnični skladnosti in učinkovitosti izvajanja FATF standardov ter s tem povezani izzivi pri odvzemu premoženja nezakonitega izvora. V zvezi z virtualnimi valutami so bile predstavljene ključne ugotovitve analize prejetih odgovorov na vprašalnik v zvezi z regulativnim okvirom (tj. opredelitev virtualnih sredstev, ponudnikov storitev virtualnih sredstev in ponudnikov storitev denarnic), možnostjo zasega in zaplembe virtualnega premoženja ter zaplembe brez obsodbe, mednarodnim sodelovanjem na tem področju in inkriminacijo vseh nezakonitih dejanj, ki vključujejo virtualno premoženje. Predstavljenih je bilo tudi nekaj praktičnih primerov implementacije določb Konvencije.</w:t>
      </w:r>
    </w:p>
    <w:p w14:paraId="2C4B0453" w14:textId="77777777" w:rsidR="000F0441" w:rsidRDefault="000F0441" w:rsidP="000F0441"/>
    <w:p w14:paraId="3AD20702" w14:textId="77777777" w:rsidR="000F0441" w:rsidRDefault="000F0441" w:rsidP="000F0441">
      <w:pPr>
        <w:pStyle w:val="Naslov3"/>
      </w:pPr>
      <w:bookmarkStart w:id="63" w:name="_Toc119581732"/>
      <w:r>
        <w:lastRenderedPageBreak/>
        <w:t>Evropska unija</w:t>
      </w:r>
      <w:bookmarkEnd w:id="63"/>
    </w:p>
    <w:p w14:paraId="2663AF05" w14:textId="77777777" w:rsidR="000F0441" w:rsidRDefault="000F0441" w:rsidP="000F0441"/>
    <w:p w14:paraId="593E1DBE" w14:textId="2716C685" w:rsidR="000F0441" w:rsidRDefault="00E85C28" w:rsidP="007B1A45">
      <w:pPr>
        <w:pStyle w:val="Naslov4"/>
      </w:pPr>
      <w:bookmarkStart w:id="64" w:name="_Toc119581733"/>
      <w:r>
        <w:t>Svet Evropske unije</w:t>
      </w:r>
      <w:r w:rsidR="000F0441">
        <w:t xml:space="preserve"> in </w:t>
      </w:r>
      <w:r w:rsidR="000F0441" w:rsidRPr="007B1A45">
        <w:t>Evropska</w:t>
      </w:r>
      <w:r w:rsidR="000F0441">
        <w:t xml:space="preserve"> komisija</w:t>
      </w:r>
      <w:bookmarkEnd w:id="64"/>
    </w:p>
    <w:p w14:paraId="3F07F470" w14:textId="77777777" w:rsidR="000F0441" w:rsidRPr="00D44A88" w:rsidRDefault="000F0441" w:rsidP="000F0441"/>
    <w:p w14:paraId="2F39548A" w14:textId="3D8389FF" w:rsidR="000F0441" w:rsidRDefault="000F0441" w:rsidP="000F0441">
      <w:r>
        <w:t>V skladu s sprejetim akcijskim načrtom iz maja 2020 je Evropska komisija julija 2021 objavila sveženj štirih zakonodajnih predlogov (AML paket) s področja preprečevanja pranja denarja in financiranja terorizma na ravni EU, in sicer</w:t>
      </w:r>
      <w:r w:rsidR="00080FE3">
        <w:t>:</w:t>
      </w:r>
    </w:p>
    <w:p w14:paraId="456D0288" w14:textId="4204F63A" w:rsidR="000F0441" w:rsidRPr="00080FE3" w:rsidRDefault="000F0441" w:rsidP="00080FE3">
      <w:pPr>
        <w:pStyle w:val="Odstavekseznama"/>
        <w:numPr>
          <w:ilvl w:val="0"/>
          <w:numId w:val="31"/>
        </w:numPr>
        <w:rPr>
          <w:b/>
          <w:bCs/>
        </w:rPr>
      </w:pPr>
      <w:r w:rsidRPr="00080FE3">
        <w:rPr>
          <w:b/>
          <w:bCs/>
        </w:rPr>
        <w:t>Uredbo o preprečevanju uporabe finančnega sistema za pranje denarja ali financiranje terorizma</w:t>
      </w:r>
      <w:r w:rsidR="00E9405C">
        <w:rPr>
          <w:b/>
          <w:bCs/>
        </w:rPr>
        <w:t>,</w:t>
      </w:r>
    </w:p>
    <w:p w14:paraId="0206F16E" w14:textId="4D4CD9CF" w:rsidR="000F0441" w:rsidRPr="00080FE3" w:rsidRDefault="000F0441" w:rsidP="00080FE3">
      <w:pPr>
        <w:pStyle w:val="Odstavekseznama"/>
        <w:numPr>
          <w:ilvl w:val="0"/>
          <w:numId w:val="31"/>
        </w:numPr>
        <w:rPr>
          <w:b/>
          <w:bCs/>
        </w:rPr>
      </w:pPr>
      <w:r w:rsidRPr="00080FE3">
        <w:rPr>
          <w:b/>
          <w:bCs/>
        </w:rPr>
        <w:t>Direktivo o mehanizmih, ki jih morajo vzpostaviti države članice za preprečevanje uporabe finančnega sistema za pranje denarja ali financiranje terorizma</w:t>
      </w:r>
      <w:r w:rsidR="00E9405C">
        <w:rPr>
          <w:b/>
          <w:bCs/>
        </w:rPr>
        <w:t>,</w:t>
      </w:r>
    </w:p>
    <w:p w14:paraId="5F68AA27" w14:textId="184CBD08" w:rsidR="000F0441" w:rsidRPr="00080FE3" w:rsidRDefault="000F0441" w:rsidP="00080FE3">
      <w:pPr>
        <w:pStyle w:val="Odstavekseznama"/>
        <w:numPr>
          <w:ilvl w:val="0"/>
          <w:numId w:val="31"/>
        </w:numPr>
        <w:rPr>
          <w:b/>
          <w:bCs/>
        </w:rPr>
      </w:pPr>
      <w:r w:rsidRPr="00080FE3">
        <w:rPr>
          <w:b/>
          <w:bCs/>
        </w:rPr>
        <w:t>Uredbo o ustanovitvi organa za preprečevanje pranja denarja in financiranja terorizma</w:t>
      </w:r>
      <w:r w:rsidR="00E9405C">
        <w:rPr>
          <w:b/>
          <w:bCs/>
        </w:rPr>
        <w:t>,</w:t>
      </w:r>
      <w:r w:rsidRPr="00080FE3">
        <w:rPr>
          <w:b/>
          <w:bCs/>
        </w:rPr>
        <w:t xml:space="preserve"> </w:t>
      </w:r>
    </w:p>
    <w:p w14:paraId="4B388192" w14:textId="0951570A" w:rsidR="00080FE3" w:rsidRDefault="000F0441" w:rsidP="005A0CAB">
      <w:pPr>
        <w:pStyle w:val="Odstavekseznama"/>
        <w:numPr>
          <w:ilvl w:val="0"/>
          <w:numId w:val="31"/>
        </w:numPr>
      </w:pPr>
      <w:r w:rsidRPr="00080FE3">
        <w:rPr>
          <w:b/>
          <w:bCs/>
        </w:rPr>
        <w:t>Uredbo o informacijah, ki spremljajo prenose sredstev in nekaterih kriptosredstev</w:t>
      </w:r>
      <w:r>
        <w:t xml:space="preserve"> (prenovitev)</w:t>
      </w:r>
      <w:r w:rsidR="00080FE3">
        <w:t>.</w:t>
      </w:r>
    </w:p>
    <w:p w14:paraId="1084CFC3" w14:textId="77777777" w:rsidR="00576507" w:rsidRDefault="00576507" w:rsidP="00576507">
      <w:pPr>
        <w:pStyle w:val="Odstavekseznama"/>
        <w:numPr>
          <w:ilvl w:val="0"/>
          <w:numId w:val="0"/>
        </w:numPr>
        <w:ind w:left="720"/>
      </w:pPr>
    </w:p>
    <w:p w14:paraId="3EA25A7E" w14:textId="737E315C" w:rsidR="000F0441" w:rsidRDefault="000F0441" w:rsidP="00080FE3">
      <w:r>
        <w:t xml:space="preserve">Predlogi temeljijo na več v preteklih letih sprejetih sklepih Sveta EU, nadnacionalnih ocen tveganj Evropske komisije, štirih posebnih poročil Evropske komisije iz julija 2019 in njenem Akcijskem načrtu iz maja 2020. Akcijski načrt temelji na šestih stebrih, novi paket pa naslavlja neposredno tri od teh stebrov. Namen teh predlogov je predvsem poenotiti izvajanje ukrepov zavezancev na območju EU, vzpostaviti novega EU nadzornika ter okrepiti sodelovanje med finančnimi obveščevalnimi enotami držav članic EU. Poenotenje pravil EU za področje preprečevanja pranja denarja in financiranja terorizma se namerava doseči s prenosom delov Direktive (EU) 2015/849 o preprečevanju uporabe finančnega sistema za pranje denarja ali financiranje terorizma v neposredno uporabljivo uredbo in s tem vzpostaviti enake konkurenčne pogoje na skupnem trgu in zagotoviti enako uporabo določb po vsej EU v smislu harmonizacije pravil za zasebni sektor. </w:t>
      </w:r>
    </w:p>
    <w:p w14:paraId="7576709B" w14:textId="77777777" w:rsidR="000F0441" w:rsidRDefault="000F0441" w:rsidP="000F0441">
      <w:r>
        <w:t xml:space="preserve">Predlagana nova uredba vključuje vse neposredno uporabljive zahteve za zavezance (pregled stranke, določbe v zvezi z ugotavljanjem dejanskih lastnikov, obveznost poročanja itd.). Predlagana nova direktiva, ki bo že šesta po vrsti, se nanaša na naloge in pristojnosti nadzornih organov in FIU-jev, pravila glede izmenjave informacij, javni nadzor samoregulativnih organov, pristojnosti preverjanja podatkov v registru dejanskih lastnikov in povezovanje registrov transakcijskih računov. </w:t>
      </w:r>
    </w:p>
    <w:p w14:paraId="5BCAEC88" w14:textId="77777777" w:rsidR="000F0441" w:rsidRDefault="000F0441" w:rsidP="000F0441">
      <w:r>
        <w:t>Pravila za vzpostavitev novega nadzornika za področje preprečevanja pranja denarja na ravni EU, ki bo osrednji del integriranega sistema in bo vključeval tudi nacionalne nadzornike, so določena v posebni uredbi. Novi nadzorni organ bo poleg direktnega izvajanja nadzorov pri najbolj tveganih zavezancih s področja finančnega sektorja usklajeval in usmerjal delo nacionalnih nadzornih organov. Njegove glavne naloge so vzpostavitev skupnih nadzorniških metodologij, neposredni nadzor najbolj tveganih finančnih institucij, in podpora sodelovanju in skupnim analizam FIU-jev.</w:t>
      </w:r>
    </w:p>
    <w:p w14:paraId="12E111EC" w14:textId="77777777" w:rsidR="000F0441" w:rsidRDefault="000F0441" w:rsidP="000F0441">
      <w:r>
        <w:t>Del novega  zakonodajnega paketa je tudi sprememba veljavne Uredbe 2015/847/EU o informacijah, ki spremljajo prenose sredstev, ki  določa pravila o informacijah o plačnikih in prejemnikih plačil, ki spremljajo prenose sredstev. Ta namreč ne vključuje prenosov kripto imetja, ki pa predstavlja primerljivo tveganje za pranje denarja in financiranje terorizma kot gotovina in elektronski denar. S tem bo zagotovljen tudi prenos revidiranega priporočila 15 FATF standardov v evropski pravni red.</w:t>
      </w:r>
    </w:p>
    <w:p w14:paraId="5F794F84" w14:textId="6896C432" w:rsidR="000F0441" w:rsidRDefault="000F0441" w:rsidP="000F0441">
      <w:r>
        <w:t xml:space="preserve">Uslužbenci urada so bili v obravnavo AML paketa še posebej vključeni z vidika priprave sestankov Delovne skupine Sveta za finančne storitve, v okviru katere so se začela in nadaljevala pogajanja </w:t>
      </w:r>
      <w:r w:rsidRPr="00080FE3">
        <w:rPr>
          <w:b/>
          <w:bCs/>
        </w:rPr>
        <w:t>pod slovenskim predsedovanjem</w:t>
      </w:r>
      <w:r w:rsidR="00080FE3">
        <w:rPr>
          <w:b/>
          <w:bCs/>
        </w:rPr>
        <w:t xml:space="preserve"> Svetu EU</w:t>
      </w:r>
      <w:r>
        <w:t>. Pripravljena so bila gradiva za 8 sej delovne skupine, hkrati je potekala vrsta bilateralnih sestankov. Navkljub obsežnosti gradiva je bila pod slovenskim predsedovanjem opravljena prva obravnava vseh štirih predlogov in dosežen splošni pristop Sveta</w:t>
      </w:r>
      <w:r w:rsidR="00080FE3">
        <w:t xml:space="preserve"> EU</w:t>
      </w:r>
      <w:r>
        <w:t xml:space="preserve"> za Uredbo o informacijah, ki spremljajo prenose sredstev in nekaterih kriptosredstev.</w:t>
      </w:r>
    </w:p>
    <w:p w14:paraId="4BEC716A" w14:textId="77777777" w:rsidR="000F0441" w:rsidRDefault="000F0441" w:rsidP="000F0441"/>
    <w:p w14:paraId="48C7D004" w14:textId="77777777" w:rsidR="000F0441" w:rsidRDefault="000F0441" w:rsidP="000F0441">
      <w:pPr>
        <w:pStyle w:val="Naslov4"/>
      </w:pPr>
      <w:bookmarkStart w:id="65" w:name="_Toc119581734"/>
      <w:r>
        <w:lastRenderedPageBreak/>
        <w:t>Skupina strokovnjakov za preprečevanje pranja denarja in financiranja terorizma – EGMLTF</w:t>
      </w:r>
      <w:bookmarkEnd w:id="65"/>
    </w:p>
    <w:p w14:paraId="3484017F" w14:textId="77777777" w:rsidR="000F0441" w:rsidRDefault="000F0441" w:rsidP="000F0441"/>
    <w:p w14:paraId="473A2906" w14:textId="77777777" w:rsidR="000F0441" w:rsidRDefault="000F0441" w:rsidP="000F0441">
      <w:r>
        <w:t xml:space="preserve">Predstavniki urada so se v letu 2021 udeležili šestih zasedanj Skupine strokovnjakov za preprečevanje pranja denarja in financiranja terorizma (»Expert Group on Money Laundering and Terorist Financing« – EGMLTF) pri Evropski komisiji. </w:t>
      </w:r>
    </w:p>
    <w:p w14:paraId="1D449463" w14:textId="77777777" w:rsidR="000F0441" w:rsidRDefault="000F0441" w:rsidP="000F0441">
      <w:r>
        <w:t>Obravnavane vsebine zasedanj so se med drugim nanašale na:</w:t>
      </w:r>
    </w:p>
    <w:p w14:paraId="6AFD5F32" w14:textId="5959CDCB" w:rsidR="000F0441" w:rsidRDefault="000F0441" w:rsidP="000F0441">
      <w:pPr>
        <w:pStyle w:val="Odstavekseznama"/>
        <w:ind w:left="851" w:hanging="284"/>
      </w:pPr>
      <w:r>
        <w:t>opredelitev visoko tveganih tretjih držav, ki jo Evropska komisija sprejme z delegirano uredbo,</w:t>
      </w:r>
    </w:p>
    <w:p w14:paraId="1539FB13" w14:textId="6538B897" w:rsidR="000F0441" w:rsidRDefault="000F0441" w:rsidP="000F0441">
      <w:pPr>
        <w:pStyle w:val="Odstavekseznama"/>
        <w:ind w:left="851" w:hanging="284"/>
      </w:pPr>
      <w:r>
        <w:t>povezovanje nacionalnih registrov dejanskih lastnikov v sistem BORIS,</w:t>
      </w:r>
    </w:p>
    <w:p w14:paraId="6C61CFC2" w14:textId="4C0E5C82" w:rsidR="000F0441" w:rsidRDefault="000F0441" w:rsidP="000F0441">
      <w:pPr>
        <w:pStyle w:val="Odstavekseznama"/>
        <w:ind w:left="851" w:hanging="284"/>
      </w:pPr>
      <w:r>
        <w:t>napredek pri izvajanju študije in pripravi končnega poročila o učinkovitosti implementacije t.im. četrte AML direktive,</w:t>
      </w:r>
    </w:p>
    <w:p w14:paraId="7F6C26BB" w14:textId="5DFFD765" w:rsidR="000F0441" w:rsidRDefault="000F0441" w:rsidP="000F0441">
      <w:pPr>
        <w:pStyle w:val="Odstavekseznama"/>
        <w:ind w:left="851" w:hanging="284"/>
      </w:pPr>
      <w:r>
        <w:t>priprava smernic za sklepanje javno-zasebnih partnerstev na področju preprečevanja pranja denarja in financiranja terorizma,</w:t>
      </w:r>
    </w:p>
    <w:p w14:paraId="7316CB71" w14:textId="3AF7144F" w:rsidR="000F0441" w:rsidRDefault="000F0441" w:rsidP="000F0441">
      <w:pPr>
        <w:pStyle w:val="Odstavekseznama"/>
        <w:ind w:left="851" w:hanging="284"/>
      </w:pPr>
      <w:r>
        <w:t>poročilo Evropskega računskega sodišča o razdrobljenosti in nezadostni implementaciji AML zakonodaje v bančnem sektorju,</w:t>
      </w:r>
    </w:p>
    <w:p w14:paraId="4C87A377" w14:textId="33D2F3A4" w:rsidR="000F0441" w:rsidRDefault="000F0441" w:rsidP="000F0441">
      <w:pPr>
        <w:pStyle w:val="Odstavekseznama"/>
        <w:ind w:left="851" w:hanging="284"/>
      </w:pPr>
      <w:r>
        <w:t>prenos FIU.net-a z Europola na Evropsko komisijo,</w:t>
      </w:r>
    </w:p>
    <w:p w14:paraId="0A96D7FD" w14:textId="2933525A" w:rsidR="000F0441" w:rsidRDefault="000F0441" w:rsidP="000F0441">
      <w:pPr>
        <w:pStyle w:val="Odstavekseznama"/>
        <w:ind w:left="851" w:hanging="284"/>
      </w:pPr>
      <w:r>
        <w:t>priprave na plenarna zasedanja FATF in Moneyval.</w:t>
      </w:r>
    </w:p>
    <w:p w14:paraId="57E8AA86" w14:textId="644FE0E5" w:rsidR="000F0441" w:rsidRDefault="000F0441" w:rsidP="000F0441">
      <w:r>
        <w:t xml:space="preserve">Ključna vsebina pa se je nanašala na uresničevanje akcijskega načrta Evropske komisije za celovito politiko EU na področju </w:t>
      </w:r>
      <w:r w:rsidR="00B07B1A">
        <w:t>pranja denarja in financiranja terorizma,</w:t>
      </w:r>
      <w:r>
        <w:t xml:space="preserve"> kot predlog odprave ugotovljenih slabosti obstoječega zakonodajnega okvira. V zvezi s tem so bile obravnavne teme omejitev gotovinskega poslovanja, ustanovitev EU nadzornika, seznam zavezancev, ukrepi pregleda stranke, dejansko lastništvo in podpora sodelovanju finančnih obveščevalnih enot. Te razprave so med drugim prispevale h končnemu oblikovanju svežnja štirih zakonodajnih paketov, ki jih je Evropska komisija objavila v juliju 2021.</w:t>
      </w:r>
    </w:p>
    <w:p w14:paraId="13E2B791" w14:textId="77777777" w:rsidR="000F0441" w:rsidRDefault="000F0441" w:rsidP="000F0441"/>
    <w:p w14:paraId="7BA8E3D4" w14:textId="77777777" w:rsidR="000F0441" w:rsidRDefault="000F0441" w:rsidP="000F0441">
      <w:pPr>
        <w:pStyle w:val="Naslov4"/>
      </w:pPr>
      <w:bookmarkStart w:id="66" w:name="_Toc119581735"/>
      <w:r>
        <w:t>Platforma FIU (Financial Intelligence Unit)</w:t>
      </w:r>
      <w:bookmarkEnd w:id="66"/>
    </w:p>
    <w:p w14:paraId="19393806" w14:textId="77777777" w:rsidR="000F0441" w:rsidRDefault="000F0441" w:rsidP="000F0441"/>
    <w:p w14:paraId="43270955" w14:textId="3A3AB9F9" w:rsidR="000F0441" w:rsidRDefault="000F0441" w:rsidP="000F0441">
      <w:r>
        <w:t>V okviru strokovne skupine FIUs Platform so v letu 2021 potekali štirje redni in en izredni virtualni sestanek predstavnikov finančnih obveščevalnih enot v organizaciji Evropske komisije</w:t>
      </w:r>
      <w:r w:rsidR="00325377">
        <w:t>, ki so se jih udeležili tudi predstavniki urada</w:t>
      </w:r>
      <w:r>
        <w:t>. Ključne obravnavane vsebine so se nanašale na:</w:t>
      </w:r>
    </w:p>
    <w:p w14:paraId="4B9DE2D6" w14:textId="5FB562E7" w:rsidR="000F0441" w:rsidRDefault="000F0441" w:rsidP="008246A6">
      <w:pPr>
        <w:pStyle w:val="Odstavekseznama"/>
        <w:ind w:left="851" w:hanging="284"/>
      </w:pPr>
      <w:r>
        <w:t>oblikovanje mehanizma za koordinacijo in podporo sodelovanju FIU-jev v okviru novoustanovljenega organa za preprečevanje pranja denarja in financiranja terorizma na ravni EU</w:t>
      </w:r>
      <w:r w:rsidR="008246A6">
        <w:t>,</w:t>
      </w:r>
    </w:p>
    <w:p w14:paraId="0314073C" w14:textId="4CA0343A" w:rsidR="000F0441" w:rsidRDefault="000F0441" w:rsidP="008246A6">
      <w:pPr>
        <w:pStyle w:val="Odstavekseznama"/>
        <w:ind w:left="851" w:hanging="284"/>
      </w:pPr>
      <w:r>
        <w:t>dostop FIU-jev do sistema CIS (Customs Information System)</w:t>
      </w:r>
      <w:r w:rsidR="008246A6">
        <w:t>,</w:t>
      </w:r>
    </w:p>
    <w:p w14:paraId="326633F5" w14:textId="39006CAA" w:rsidR="000F0441" w:rsidRDefault="000F0441" w:rsidP="008246A6">
      <w:pPr>
        <w:pStyle w:val="Odstavekseznama"/>
        <w:ind w:left="851" w:hanging="284"/>
      </w:pPr>
      <w:r>
        <w:t>strategija EU za učinkovit boj proti kriminalu</w:t>
      </w:r>
      <w:r w:rsidR="008246A6">
        <w:t>,</w:t>
      </w:r>
    </w:p>
    <w:p w14:paraId="15E40976" w14:textId="60557632" w:rsidR="000F0441" w:rsidRDefault="000F0441" w:rsidP="008246A6">
      <w:pPr>
        <w:pStyle w:val="Odstavekseznama"/>
        <w:ind w:left="851" w:hanging="284"/>
      </w:pPr>
      <w:r>
        <w:t>odnosi in sodelovanje FIU-jev z bonitetnimi nadzorniki</w:t>
      </w:r>
      <w:r w:rsidR="008246A6">
        <w:t>,</w:t>
      </w:r>
    </w:p>
    <w:p w14:paraId="684BBAF9" w14:textId="49A43E18" w:rsidR="000F0441" w:rsidRDefault="000F0441" w:rsidP="008246A6">
      <w:pPr>
        <w:pStyle w:val="Odstavekseznama"/>
        <w:ind w:left="851" w:hanging="284"/>
      </w:pPr>
      <w:r>
        <w:t>priprava smernic za sklepanje javno-zasebnih partnerstev na področju preprečevanja pranja denarja in financiranja terorizma</w:t>
      </w:r>
      <w:r w:rsidR="008246A6">
        <w:t>,</w:t>
      </w:r>
    </w:p>
    <w:p w14:paraId="3C50CAC2" w14:textId="3CEF0812" w:rsidR="000F0441" w:rsidRDefault="000F0441" w:rsidP="008246A6">
      <w:pPr>
        <w:pStyle w:val="Odstavekseznama"/>
        <w:ind w:left="851" w:hanging="284"/>
      </w:pPr>
      <w:r>
        <w:t>Europolov center za gospodarski in finančni kriminal ter aktivnosti v okviru javno-zasebnega partnerstva</w:t>
      </w:r>
      <w:r w:rsidR="008246A6">
        <w:t>,</w:t>
      </w:r>
    </w:p>
    <w:p w14:paraId="027F4853" w14:textId="032FC397" w:rsidR="000F0441" w:rsidRDefault="000F0441" w:rsidP="008246A6">
      <w:pPr>
        <w:pStyle w:val="Odstavekseznama"/>
        <w:ind w:left="851" w:hanging="284"/>
      </w:pPr>
      <w:r>
        <w:t>prenos FIU.net-a z Europola na Evropsko komisijo, priprava pravnih podlag, delo posebne strokovne skupine, sprotno reševanje tehničnih vprašanj.</w:t>
      </w:r>
    </w:p>
    <w:p w14:paraId="68065571" w14:textId="77777777" w:rsidR="000F0441" w:rsidRDefault="000F0441" w:rsidP="000F0441">
      <w:r>
        <w:t>Poseben sestanek je bil namenjen pripravi delovnega načrta te strokovne skupine za obdobje 2022-2023 ter pripravi Evropske komisije na naslednjo nadnacionalno oceno tveganja.</w:t>
      </w:r>
    </w:p>
    <w:p w14:paraId="5608C038" w14:textId="77777777" w:rsidR="000F0441" w:rsidRDefault="000F0441" w:rsidP="000F0441"/>
    <w:p w14:paraId="28C311F7" w14:textId="77777777" w:rsidR="000F0441" w:rsidRDefault="000F0441" w:rsidP="000F0441">
      <w:pPr>
        <w:pStyle w:val="Naslov4"/>
      </w:pPr>
      <w:bookmarkStart w:id="67" w:name="_Toc119581736"/>
      <w:r>
        <w:lastRenderedPageBreak/>
        <w:t>Odbor za preprečevanje pranja denarja in financiranja terorizma za povezovanje registrov dejanskih lastnikov – BORIS</w:t>
      </w:r>
      <w:bookmarkEnd w:id="67"/>
    </w:p>
    <w:p w14:paraId="5E95009A" w14:textId="77777777" w:rsidR="000F0441" w:rsidRDefault="000F0441" w:rsidP="000F0441"/>
    <w:p w14:paraId="154505EA" w14:textId="77777777" w:rsidR="000F0441" w:rsidRDefault="000F0441" w:rsidP="000F0441">
      <w:r>
        <w:t>Predstavniki urada in Agencije Republike Slovenije za javnopravne evidence storitve (AJPES) so se v letu 2021 udeležili petih zasedanj komitološke skupine Odbora za preprečevanje pranja denarja in financiranja terorizma za povezovanje registrov dejanskih lastnikov (CPMLTF – Committee on Prevention of Money Laundering and Terrorist Financing – Interconnection of BO registers).Vsi sestanki so potekali na daljavo preko videokonference.</w:t>
      </w:r>
    </w:p>
    <w:p w14:paraId="7708D57B" w14:textId="1261967A" w:rsidR="000F0441" w:rsidRDefault="00217995" w:rsidP="000F0441">
      <w:r>
        <w:t>Prvega</w:t>
      </w:r>
      <w:r w:rsidR="000F0441">
        <w:t xml:space="preserve"> marca 2021 je bila sprejeta </w:t>
      </w:r>
      <w:r w:rsidR="000F0441" w:rsidRPr="00217995">
        <w:rPr>
          <w:b/>
          <w:bCs/>
        </w:rPr>
        <w:t xml:space="preserve">Izvedbena uredba Komisije (EU) 2021/369 </w:t>
      </w:r>
      <w:r w:rsidR="000F0441" w:rsidRPr="00217995">
        <w:t xml:space="preserve">o določitvi tehničnih specifikacij in postopkov, potrebnih za </w:t>
      </w:r>
      <w:r w:rsidR="000F0441" w:rsidRPr="00217995">
        <w:rPr>
          <w:b/>
          <w:bCs/>
        </w:rPr>
        <w:t>sistem povezovanja osrednjih registrov</w:t>
      </w:r>
      <w:r w:rsidR="000F0441" w:rsidRPr="00217995">
        <w:t xml:space="preserve"> iz Direktive (EU) 2015/849</w:t>
      </w:r>
      <w:r w:rsidR="000F0441">
        <w:t xml:space="preserve"> Evropskega parlamenta in Sveta.</w:t>
      </w:r>
      <w:r>
        <w:t xml:space="preserve"> </w:t>
      </w:r>
      <w:r w:rsidR="000F0441">
        <w:t xml:space="preserve">Besedilo uredbe določa načine komunikacije, komunikacijske protokole, varnostne standarde, podatke, ki se izmenjujejo v okviru sistema BORIS (Beneficial ownership register interconnection system – sistem povezovanja registrov dejanskega lastništva), strukturo standardnega formata za sporočila, podatke za platformo, načine delovanja sistema in storitev informacijske tehnologije, ki jih omogoča platforma, iskalne kriterije, načine plačila in spletno prijavo ter razpoložljivost storitev. </w:t>
      </w:r>
    </w:p>
    <w:p w14:paraId="28F2C9D2" w14:textId="77777777" w:rsidR="000F0441" w:rsidRDefault="000F0441" w:rsidP="000F0441">
      <w:r>
        <w:t>V okviru odbora je aktivnejšo vlogo prevzela podskupina za informacijsko tehnologijo, ki je zadolžena za pripravo podrobnih tehničnih specifikacij za povezavo registrov dejanskih lastnikov držav članic in postopke povezovanja, kar zajema vrsto in strukturo podatkov, metode in protokole komunikacije, varnostne standarde in načine plačila.</w:t>
      </w:r>
    </w:p>
    <w:p w14:paraId="053533C4" w14:textId="0CB735C9" w:rsidR="000F0441" w:rsidRDefault="000F0441" w:rsidP="000F0441">
      <w:r>
        <w:t>Delovanje BORISA se izvaja stopenjsko. Uvedli so se VIP1 in VIP2 dostopi, kar prinaša različne pravice in vpoglede različnim vrstam uporabnikov. Ti se razlikujejo tako glede dostopa do vrste podatkov, avtentikacije in avtorizacije ter plačila.</w:t>
      </w:r>
      <w:r w:rsidR="00217995">
        <w:t xml:space="preserve"> Devetindvajsetega</w:t>
      </w:r>
      <w:r>
        <w:t xml:space="preserve"> oktobra 2021 je bila vzpostavljena in je začela delovati prva verzija BORISa, kar je pomemben mejnik saj so se preko portala eJustice vzpostavile prve povezave z nacionalnimi registri dejanskih lastnikov.</w:t>
      </w:r>
    </w:p>
    <w:p w14:paraId="650F9BB3" w14:textId="77777777" w:rsidR="000F0441" w:rsidRDefault="000F0441" w:rsidP="000F0441"/>
    <w:p w14:paraId="22D51665" w14:textId="77777777" w:rsidR="000F0441" w:rsidRDefault="000F0441" w:rsidP="000F0441">
      <w:pPr>
        <w:pStyle w:val="Naslov4"/>
      </w:pPr>
      <w:bookmarkStart w:id="68" w:name="_Toc119581737"/>
      <w:r>
        <w:t>Odbor za preprečevanje pranja denarja in financiranja pri EBA (AMLSC)</w:t>
      </w:r>
      <w:bookmarkEnd w:id="68"/>
    </w:p>
    <w:p w14:paraId="63C8D789" w14:textId="77777777" w:rsidR="000F0441" w:rsidRDefault="000F0441" w:rsidP="000F0441"/>
    <w:p w14:paraId="2B01A17A" w14:textId="0CF5310D" w:rsidR="000F0441" w:rsidRDefault="000F0441" w:rsidP="000F0441">
      <w:r>
        <w:t xml:space="preserve">Evropski bančni organ (EBA) ima poleg ostalih nadzornih nalog v evropskem bančnem sektorju tudi pristojnosti na področju preprečevanja pranja denarja in financiranja terorizma. V okviru Odbora za preprečevanje pranja denarja in financiranja terorizma (AMLSC) sodeluje tudi urad kot eden od </w:t>
      </w:r>
      <w:r w:rsidR="00D94831">
        <w:t xml:space="preserve">slovenskih </w:t>
      </w:r>
      <w:r>
        <w:t>nadzornikov finančnega sektorja na področju preprečevanja pranja denarja in financiranja terorizma. V odboru sodelujejo tudi ostali primarni nadzorniki finančnega sektorja: Banka Slovenije, Agencija za trg vrednostnih papirjev in Agencija za zavarovalni nadzor.</w:t>
      </w:r>
    </w:p>
    <w:p w14:paraId="789C7EB6" w14:textId="77777777" w:rsidR="000F0441" w:rsidRDefault="000F0441" w:rsidP="000F0441">
      <w:r>
        <w:t>V okviru odbora AMLSC je v letu 2021 potekalo 9 virtualnih srečanj.</w:t>
      </w:r>
    </w:p>
    <w:p w14:paraId="26B61191" w14:textId="77777777" w:rsidR="000F0441" w:rsidRDefault="000F0441" w:rsidP="000F0441">
      <w:r>
        <w:t>Ključne obravnavane vsebine so se nanašale na:</w:t>
      </w:r>
    </w:p>
    <w:p w14:paraId="31CCAE7C" w14:textId="595D3087" w:rsidR="000F0441" w:rsidRDefault="000F0441" w:rsidP="009822DC">
      <w:pPr>
        <w:pStyle w:val="Odstavekseznama"/>
        <w:ind w:left="851" w:hanging="284"/>
      </w:pPr>
      <w:r>
        <w:t xml:space="preserve">vzpostavitev novega evropskega registra na področju preprečevanja pranja denarja in financiranja terorizma </w:t>
      </w:r>
      <w:r w:rsidR="00D94831">
        <w:t xml:space="preserve">za finančni sektor </w:t>
      </w:r>
      <w:r w:rsidRPr="00163459">
        <w:t xml:space="preserve">(European Reporting system for material CFT and AML weaknesses </w:t>
      </w:r>
      <w:r>
        <w:t xml:space="preserve">- </w:t>
      </w:r>
      <w:r w:rsidRPr="00163459">
        <w:t>EuReCA)</w:t>
      </w:r>
      <w:r w:rsidR="009822DC">
        <w:t>,</w:t>
      </w:r>
    </w:p>
    <w:p w14:paraId="144E977A" w14:textId="3FBEE498" w:rsidR="000F0441" w:rsidRDefault="000F0441" w:rsidP="009822DC">
      <w:pPr>
        <w:pStyle w:val="Odstavekseznama"/>
        <w:ind w:left="851" w:hanging="284"/>
      </w:pPr>
      <w:r>
        <w:t>pripravo smernic za nadzor, ki temelji na oceni tveganja</w:t>
      </w:r>
      <w:r w:rsidR="009822DC">
        <w:t>,</w:t>
      </w:r>
    </w:p>
    <w:p w14:paraId="2615E14A" w14:textId="195478F5" w:rsidR="000F0441" w:rsidRDefault="000F0441" w:rsidP="009822DC">
      <w:pPr>
        <w:pStyle w:val="Odstavekseznama"/>
        <w:ind w:left="851" w:hanging="284"/>
      </w:pPr>
      <w:r>
        <w:t>pripravo smernic o indikatorjih tveganja</w:t>
      </w:r>
      <w:r w:rsidR="009822DC">
        <w:t>,</w:t>
      </w:r>
    </w:p>
    <w:p w14:paraId="30708FAD" w14:textId="58B10B65" w:rsidR="000F0441" w:rsidRDefault="000F0441" w:rsidP="009822DC">
      <w:pPr>
        <w:pStyle w:val="Odstavekseznama"/>
        <w:ind w:left="851" w:hanging="284"/>
      </w:pPr>
      <w:r>
        <w:t>pripravo smernic o vlogi pooblaščenca za preprečevanje pranja denarja in financiranja terorizma</w:t>
      </w:r>
      <w:r w:rsidR="009822DC">
        <w:t>,</w:t>
      </w:r>
    </w:p>
    <w:p w14:paraId="6944B7BD" w14:textId="1B0F0AF8" w:rsidR="000F0441" w:rsidRDefault="000F0441" w:rsidP="009822DC">
      <w:pPr>
        <w:pStyle w:val="Odstavekseznama"/>
        <w:ind w:left="851" w:hanging="284"/>
      </w:pPr>
      <w:r>
        <w:t>pripravo smernic o sodelovanju nadzornikov na področju preprečevanja pranja denarja z bonitetnimi nadzorniki in finančnimi obveščevalnimi enotami (FIU)</w:t>
      </w:r>
      <w:r w:rsidR="009822DC">
        <w:t>,</w:t>
      </w:r>
    </w:p>
    <w:p w14:paraId="0C49A9FA" w14:textId="2B248770" w:rsidR="000F0441" w:rsidRDefault="000F0441" w:rsidP="009822DC">
      <w:pPr>
        <w:pStyle w:val="Odstavekseznama"/>
        <w:ind w:left="851" w:hanging="284"/>
      </w:pPr>
      <w:r>
        <w:t>pripravo smernic za oddaljeno pridobivanje strank</w:t>
      </w:r>
      <w:r w:rsidR="009822DC">
        <w:t>,</w:t>
      </w:r>
    </w:p>
    <w:p w14:paraId="010A86E9" w14:textId="336CA822" w:rsidR="000F0441" w:rsidRDefault="000F0441" w:rsidP="009822DC">
      <w:pPr>
        <w:pStyle w:val="Odstavekseznama"/>
        <w:ind w:left="851" w:hanging="284"/>
      </w:pPr>
      <w:r>
        <w:lastRenderedPageBreak/>
        <w:t>obravnavo novega zakonodajnega paketa EU na področju preprečevanja pranja denarja in financiranja terorizma</w:t>
      </w:r>
      <w:r w:rsidR="009822DC">
        <w:t>,</w:t>
      </w:r>
    </w:p>
    <w:p w14:paraId="19CFD7CC" w14:textId="617E7004" w:rsidR="000F0441" w:rsidRDefault="000F0441" w:rsidP="000F0441">
      <w:pPr>
        <w:pStyle w:val="Odstavekseznama"/>
        <w:ind w:left="851" w:hanging="284"/>
      </w:pPr>
      <w:r>
        <w:t>obravnavo vprašanj, vezanih na ponudnike virtualnih valut ter varstva osebnih podatkov</w:t>
      </w:r>
      <w:r w:rsidR="009822DC">
        <w:t>.</w:t>
      </w:r>
    </w:p>
    <w:p w14:paraId="47D64116" w14:textId="77777777" w:rsidR="00B65A09" w:rsidRDefault="00B65A09" w:rsidP="00B65A09"/>
    <w:p w14:paraId="018BB799" w14:textId="08007EDB" w:rsidR="00B65A09" w:rsidRDefault="00B65A09" w:rsidP="00E02BEB">
      <w:pPr>
        <w:pStyle w:val="Naslov2"/>
      </w:pPr>
      <w:bookmarkStart w:id="69" w:name="_Toc119581738"/>
      <w:r>
        <w:t>DVOSTRANSKO SODELOVANJE</w:t>
      </w:r>
      <w:bookmarkEnd w:id="69"/>
    </w:p>
    <w:p w14:paraId="680F0A73" w14:textId="77777777" w:rsidR="00B65A09" w:rsidRPr="00D44A88" w:rsidRDefault="00B65A09" w:rsidP="00B65A09"/>
    <w:p w14:paraId="30F67ED0" w14:textId="3B46B243" w:rsidR="00B65A09" w:rsidRDefault="00B65A09" w:rsidP="00B65A09">
      <w:r w:rsidRPr="008B1D4B">
        <w:t>V skladu z dosedanjo prakso so bili za dvostransko sodelovanje v letu 202</w:t>
      </w:r>
      <w:r w:rsidR="00767568" w:rsidRPr="008B1D4B">
        <w:t>1</w:t>
      </w:r>
      <w:r w:rsidRPr="008B1D4B">
        <w:t xml:space="preserve"> prav tako značilni številni stiki med uradom ter sorodnimi uradi iz drugih držav z namenom izmenjave podatkov v konkretnih zadevah, kot sledi v nadaljevanju.</w:t>
      </w:r>
    </w:p>
    <w:p w14:paraId="22319154" w14:textId="77777777" w:rsidR="00D44A88" w:rsidRDefault="00D44A88" w:rsidP="00B65A09"/>
    <w:p w14:paraId="7B6BAC74" w14:textId="6A2C37C6" w:rsidR="00B65A09" w:rsidRDefault="00B65A09" w:rsidP="00E02BEB">
      <w:pPr>
        <w:pStyle w:val="Naslov3"/>
      </w:pPr>
      <w:bookmarkStart w:id="70" w:name="_Toc119581739"/>
      <w:r>
        <w:t>Mednarodno sodelovanje na podlagi določil Zakona o preprečevanju pranja denarja in financiranja terorizma</w:t>
      </w:r>
      <w:bookmarkEnd w:id="70"/>
    </w:p>
    <w:p w14:paraId="6CC3D580" w14:textId="77777777" w:rsidR="00B65A09" w:rsidRDefault="00B65A09" w:rsidP="00B65A09"/>
    <w:p w14:paraId="2FE276FA" w14:textId="61D52983" w:rsidR="00B65A09" w:rsidRPr="008B1D4B" w:rsidRDefault="00B65A09" w:rsidP="00B65A09">
      <w:bookmarkStart w:id="71" w:name="_Hlk97804083"/>
      <w:r w:rsidRPr="008B1D4B">
        <w:t>Leta 202</w:t>
      </w:r>
      <w:r w:rsidR="0096505D" w:rsidRPr="008B1D4B">
        <w:t>1</w:t>
      </w:r>
      <w:r w:rsidRPr="008B1D4B">
        <w:t xml:space="preserve"> je urad na podlagi 105. člena ZPPDFT-1 </w:t>
      </w:r>
      <w:r w:rsidRPr="004F463D">
        <w:rPr>
          <w:b/>
          <w:bCs/>
        </w:rPr>
        <w:t>poslal 35</w:t>
      </w:r>
      <w:r w:rsidR="0096505D" w:rsidRPr="004F463D">
        <w:rPr>
          <w:b/>
          <w:bCs/>
        </w:rPr>
        <w:t>4</w:t>
      </w:r>
      <w:r w:rsidRPr="004F463D">
        <w:rPr>
          <w:b/>
          <w:bCs/>
        </w:rPr>
        <w:t xml:space="preserve"> zaprosil v 5</w:t>
      </w:r>
      <w:r w:rsidR="0096505D" w:rsidRPr="004F463D">
        <w:rPr>
          <w:b/>
          <w:bCs/>
        </w:rPr>
        <w:t>4</w:t>
      </w:r>
      <w:r w:rsidRPr="004F463D">
        <w:rPr>
          <w:b/>
          <w:bCs/>
        </w:rPr>
        <w:t xml:space="preserve"> držav</w:t>
      </w:r>
      <w:r w:rsidRPr="008B1D4B">
        <w:t xml:space="preserve"> (v letu 20</w:t>
      </w:r>
      <w:r w:rsidR="0096505D" w:rsidRPr="008B1D4B">
        <w:t>20 345 zaprosil v 52 držav)</w:t>
      </w:r>
      <w:r w:rsidRPr="008B1D4B">
        <w:t xml:space="preserve">, poleg tega pa na podlagi 108. člena ZPPDFT-1 še </w:t>
      </w:r>
      <w:r w:rsidR="0096505D" w:rsidRPr="00576507">
        <w:rPr>
          <w:b/>
          <w:bCs/>
        </w:rPr>
        <w:t xml:space="preserve">271 </w:t>
      </w:r>
      <w:r w:rsidRPr="00576507">
        <w:rPr>
          <w:b/>
          <w:bCs/>
        </w:rPr>
        <w:t xml:space="preserve">spontanih informacij v </w:t>
      </w:r>
      <w:r w:rsidR="0096505D" w:rsidRPr="00576507">
        <w:rPr>
          <w:b/>
          <w:bCs/>
        </w:rPr>
        <w:t>57</w:t>
      </w:r>
      <w:r w:rsidRPr="00576507">
        <w:rPr>
          <w:b/>
          <w:bCs/>
        </w:rPr>
        <w:t xml:space="preserve"> držav </w:t>
      </w:r>
      <w:r w:rsidRPr="008B1D4B">
        <w:t>(v letu 2</w:t>
      </w:r>
      <w:r w:rsidR="0096505D" w:rsidRPr="008B1D4B">
        <w:t>02</w:t>
      </w:r>
      <w:r w:rsidR="00546DE7">
        <w:t>0</w:t>
      </w:r>
      <w:r w:rsidRPr="008B1D4B">
        <w:t xml:space="preserve"> 1</w:t>
      </w:r>
      <w:r w:rsidR="0096505D" w:rsidRPr="008B1D4B">
        <w:t>68</w:t>
      </w:r>
      <w:r w:rsidRPr="008B1D4B">
        <w:t xml:space="preserve"> spontanih informacij v </w:t>
      </w:r>
      <w:r w:rsidR="0096505D" w:rsidRPr="008B1D4B">
        <w:t>38</w:t>
      </w:r>
      <w:r w:rsidRPr="008B1D4B">
        <w:t xml:space="preserve"> držav).</w:t>
      </w:r>
    </w:p>
    <w:p w14:paraId="1DFB28D1" w14:textId="77777777" w:rsidR="00B65A09" w:rsidRPr="008B1D4B" w:rsidRDefault="00B65A09" w:rsidP="00B65A09"/>
    <w:p w14:paraId="4759A527" w14:textId="5A451504" w:rsidR="00B65A09" w:rsidRPr="008B1D4B" w:rsidRDefault="00B65A09" w:rsidP="00B65A09">
      <w:r w:rsidRPr="008B1D4B">
        <w:t>V primerjavi z letom 20</w:t>
      </w:r>
      <w:r w:rsidR="0096505D" w:rsidRPr="008B1D4B">
        <w:t>20</w:t>
      </w:r>
      <w:r w:rsidRPr="008B1D4B">
        <w:t xml:space="preserve"> </w:t>
      </w:r>
      <w:r w:rsidR="00F22316">
        <w:t>je bilo poslanih</w:t>
      </w:r>
      <w:r w:rsidRPr="008B1D4B">
        <w:t xml:space="preserve"> </w:t>
      </w:r>
      <w:r w:rsidR="0096505D" w:rsidRPr="008B1D4B">
        <w:t>skoraj enako število zaprosil urada</w:t>
      </w:r>
      <w:r w:rsidR="00F22316">
        <w:t>, kar za</w:t>
      </w:r>
      <w:r w:rsidR="00B46640" w:rsidRPr="008B1D4B">
        <w:t xml:space="preserve"> </w:t>
      </w:r>
      <w:r w:rsidR="00490BC2" w:rsidRPr="008B1D4B">
        <w:t>62</w:t>
      </w:r>
      <w:r w:rsidRPr="008B1D4B">
        <w:t xml:space="preserve"> %</w:t>
      </w:r>
      <w:r w:rsidR="00F22316">
        <w:t xml:space="preserve"> pa je</w:t>
      </w:r>
      <w:r w:rsidRPr="008B1D4B">
        <w:t xml:space="preserve"> </w:t>
      </w:r>
      <w:r w:rsidR="004F463D">
        <w:t xml:space="preserve">bilo </w:t>
      </w:r>
      <w:r w:rsidRPr="008B1D4B">
        <w:t xml:space="preserve">višje število </w:t>
      </w:r>
      <w:r w:rsidR="00F22316">
        <w:t xml:space="preserve">poslanih </w:t>
      </w:r>
      <w:r w:rsidRPr="008B1D4B">
        <w:t>spontanih informacij urada.</w:t>
      </w:r>
    </w:p>
    <w:p w14:paraId="0893BD17" w14:textId="12F98400" w:rsidR="00B65A09" w:rsidRPr="008B1D4B" w:rsidRDefault="00B65A09" w:rsidP="00B65A09">
      <w:r w:rsidRPr="008B1D4B">
        <w:t>Na podlagi 106. člena ZPPDFT-1 je urad v letu 202</w:t>
      </w:r>
      <w:r w:rsidR="00490BC2" w:rsidRPr="008B1D4B">
        <w:t>1</w:t>
      </w:r>
      <w:r w:rsidRPr="008B1D4B">
        <w:t xml:space="preserve"> </w:t>
      </w:r>
      <w:r w:rsidRPr="004F463D">
        <w:rPr>
          <w:b/>
          <w:bCs/>
        </w:rPr>
        <w:t xml:space="preserve">prejel 141 zaprosil iz </w:t>
      </w:r>
      <w:r w:rsidR="00490BC2" w:rsidRPr="004F463D">
        <w:rPr>
          <w:b/>
          <w:bCs/>
        </w:rPr>
        <w:t>41</w:t>
      </w:r>
      <w:r w:rsidRPr="004F463D">
        <w:rPr>
          <w:b/>
          <w:bCs/>
        </w:rPr>
        <w:t xml:space="preserve"> držav</w:t>
      </w:r>
      <w:r w:rsidRPr="008B1D4B">
        <w:t xml:space="preserve"> (v letu 20</w:t>
      </w:r>
      <w:r w:rsidR="00490BC2" w:rsidRPr="008B1D4B">
        <w:t>20 ravno tako 141 zaprosil iz 38 držav</w:t>
      </w:r>
      <w:r w:rsidRPr="008B1D4B">
        <w:t xml:space="preserve">) in </w:t>
      </w:r>
      <w:r w:rsidR="00490BC2" w:rsidRPr="00576507">
        <w:rPr>
          <w:b/>
          <w:bCs/>
        </w:rPr>
        <w:t>108</w:t>
      </w:r>
      <w:r w:rsidRPr="00576507">
        <w:rPr>
          <w:b/>
          <w:bCs/>
        </w:rPr>
        <w:t xml:space="preserve"> spontanih informacij iz 2</w:t>
      </w:r>
      <w:r w:rsidR="00490BC2" w:rsidRPr="00576507">
        <w:rPr>
          <w:b/>
          <w:bCs/>
        </w:rPr>
        <w:t>6</w:t>
      </w:r>
      <w:r w:rsidRPr="00576507">
        <w:rPr>
          <w:b/>
          <w:bCs/>
        </w:rPr>
        <w:t xml:space="preserve"> držav</w:t>
      </w:r>
      <w:r w:rsidRPr="008B1D4B">
        <w:t xml:space="preserve"> (v letu 20</w:t>
      </w:r>
      <w:r w:rsidR="00490BC2" w:rsidRPr="008B1D4B">
        <w:t>20</w:t>
      </w:r>
      <w:r w:rsidRPr="008B1D4B">
        <w:t xml:space="preserve"> </w:t>
      </w:r>
      <w:r w:rsidR="00490BC2" w:rsidRPr="008B1D4B">
        <w:t>85 spo</w:t>
      </w:r>
      <w:r w:rsidRPr="008B1D4B">
        <w:t xml:space="preserve">ntanih informacij iz </w:t>
      </w:r>
      <w:r w:rsidR="00490BC2" w:rsidRPr="008B1D4B">
        <w:t>24</w:t>
      </w:r>
      <w:r w:rsidRPr="008B1D4B">
        <w:t xml:space="preserve"> držav).</w:t>
      </w:r>
    </w:p>
    <w:p w14:paraId="0535B3BF" w14:textId="5E7731CE" w:rsidR="00D44A88" w:rsidRDefault="00B65A09" w:rsidP="00B65A09">
      <w:r w:rsidRPr="008B1D4B">
        <w:t>V primerjavi z letom 20</w:t>
      </w:r>
      <w:r w:rsidR="007B6EF6" w:rsidRPr="008B1D4B">
        <w:t>20</w:t>
      </w:r>
      <w:r w:rsidRPr="008B1D4B">
        <w:t xml:space="preserve"> </w:t>
      </w:r>
      <w:r w:rsidR="009D34B2">
        <w:t>je ostalo</w:t>
      </w:r>
      <w:r w:rsidR="007B6EF6" w:rsidRPr="008B1D4B">
        <w:t xml:space="preserve"> število</w:t>
      </w:r>
      <w:r w:rsidRPr="008B1D4B">
        <w:t xml:space="preserve"> prejetih zaprosil tujih uradov</w:t>
      </w:r>
      <w:r w:rsidR="009D34B2">
        <w:t xml:space="preserve"> enako</w:t>
      </w:r>
      <w:r w:rsidRPr="008B1D4B">
        <w:t xml:space="preserve">, medtem ko se je število prejetih spontanih informacij povišalo </w:t>
      </w:r>
      <w:r w:rsidR="007B6EF6" w:rsidRPr="008B1D4B">
        <w:t>za skoraj 8%.</w:t>
      </w:r>
      <w:bookmarkEnd w:id="71"/>
    </w:p>
    <w:p w14:paraId="57F9ADB7" w14:textId="77777777" w:rsidR="009822DC" w:rsidRPr="009822DC" w:rsidRDefault="009822DC" w:rsidP="00B65A09"/>
    <w:p w14:paraId="42BC3C3D" w14:textId="2B4B5CD9" w:rsidR="00B65A09" w:rsidRPr="009822DC" w:rsidRDefault="00B65A09" w:rsidP="009822DC">
      <w:pPr>
        <w:spacing w:line="276" w:lineRule="auto"/>
        <w:ind w:left="1418" w:right="-22" w:hanging="1418"/>
        <w:rPr>
          <w:b/>
          <w:bCs/>
          <w:i/>
          <w:iCs/>
          <w:sz w:val="18"/>
          <w:szCs w:val="18"/>
        </w:rPr>
      </w:pPr>
      <w:r w:rsidRPr="009822DC">
        <w:rPr>
          <w:b/>
          <w:bCs/>
          <w:i/>
          <w:iCs/>
          <w:sz w:val="18"/>
          <w:szCs w:val="18"/>
        </w:rPr>
        <w:t xml:space="preserve">Preglednica 13: </w:t>
      </w:r>
      <w:r w:rsidRPr="009822DC">
        <w:rPr>
          <w:b/>
          <w:bCs/>
          <w:i/>
          <w:iCs/>
          <w:sz w:val="18"/>
          <w:szCs w:val="18"/>
        </w:rPr>
        <w:tab/>
        <w:t>Število zaprosil/spontanih informacij, ki jih je UPPD leta 202</w:t>
      </w:r>
      <w:r w:rsidR="007B6EF6" w:rsidRPr="009822DC">
        <w:rPr>
          <w:b/>
          <w:bCs/>
          <w:i/>
          <w:iCs/>
          <w:sz w:val="18"/>
          <w:szCs w:val="18"/>
        </w:rPr>
        <w:t>1</w:t>
      </w:r>
      <w:r w:rsidRPr="009822DC">
        <w:rPr>
          <w:b/>
          <w:bCs/>
          <w:i/>
          <w:iCs/>
          <w:sz w:val="18"/>
          <w:szCs w:val="18"/>
        </w:rPr>
        <w:t xml:space="preserve"> na podlagi določil ZPPDFT-1 poslal/prejel po posameznih državah</w:t>
      </w:r>
    </w:p>
    <w:tbl>
      <w:tblPr>
        <w:tblStyle w:val="Tabelatemnamrea5poudarek5"/>
        <w:tblW w:w="9163" w:type="dxa"/>
        <w:tblLayout w:type="fixed"/>
        <w:tblLook w:val="02A0" w:firstRow="1" w:lastRow="0" w:firstColumn="1" w:lastColumn="0" w:noHBand="1" w:noVBand="0"/>
      </w:tblPr>
      <w:tblGrid>
        <w:gridCol w:w="709"/>
        <w:gridCol w:w="1862"/>
        <w:gridCol w:w="1994"/>
        <w:gridCol w:w="993"/>
        <w:gridCol w:w="1842"/>
        <w:gridCol w:w="1763"/>
      </w:tblGrid>
      <w:tr w:rsidR="008B1D4B" w:rsidRPr="008B1D4B" w14:paraId="7DCC03A7" w14:textId="77777777" w:rsidTr="00A72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Align w:val="center"/>
          </w:tcPr>
          <w:p w14:paraId="0FE55E99" w14:textId="77777777" w:rsidR="00034615" w:rsidRPr="0043591A" w:rsidRDefault="00034615" w:rsidP="00C55968">
            <w:pPr>
              <w:spacing w:line="360" w:lineRule="auto"/>
              <w:jc w:val="center"/>
              <w:rPr>
                <w:b w:val="0"/>
                <w:color w:val="auto"/>
                <w:sz w:val="18"/>
                <w:szCs w:val="18"/>
              </w:rPr>
            </w:pPr>
            <w:bookmarkStart w:id="72" w:name="_Hlk73006194"/>
            <w:r w:rsidRPr="0043591A">
              <w:rPr>
                <w:color w:val="auto"/>
                <w:sz w:val="18"/>
                <w:szCs w:val="18"/>
              </w:rPr>
              <w:t>Zap. št.</w:t>
            </w:r>
          </w:p>
        </w:tc>
        <w:tc>
          <w:tcPr>
            <w:cnfStyle w:val="000010000000" w:firstRow="0" w:lastRow="0" w:firstColumn="0" w:lastColumn="0" w:oddVBand="1" w:evenVBand="0" w:oddHBand="0" w:evenHBand="0" w:firstRowFirstColumn="0" w:firstRowLastColumn="0" w:lastRowFirstColumn="0" w:lastRowLastColumn="0"/>
            <w:tcW w:w="1862" w:type="dxa"/>
            <w:vAlign w:val="center"/>
          </w:tcPr>
          <w:p w14:paraId="6D6ACCAD" w14:textId="77777777" w:rsidR="00034615" w:rsidRPr="0043591A" w:rsidRDefault="00034615" w:rsidP="00C55968">
            <w:pPr>
              <w:spacing w:line="360" w:lineRule="auto"/>
              <w:rPr>
                <w:b w:val="0"/>
                <w:color w:val="auto"/>
                <w:sz w:val="18"/>
                <w:szCs w:val="18"/>
              </w:rPr>
            </w:pPr>
          </w:p>
          <w:p w14:paraId="353AF26C" w14:textId="77777777" w:rsidR="00034615" w:rsidRPr="0043591A" w:rsidRDefault="00034615" w:rsidP="00C55968">
            <w:pPr>
              <w:spacing w:line="360" w:lineRule="auto"/>
              <w:rPr>
                <w:b w:val="0"/>
                <w:color w:val="auto"/>
                <w:sz w:val="18"/>
                <w:szCs w:val="18"/>
              </w:rPr>
            </w:pPr>
            <w:r w:rsidRPr="0043591A">
              <w:rPr>
                <w:color w:val="auto"/>
                <w:sz w:val="18"/>
                <w:szCs w:val="18"/>
              </w:rPr>
              <w:t>Država/Organ</w:t>
            </w:r>
          </w:p>
          <w:p w14:paraId="3172F087" w14:textId="77777777" w:rsidR="00034615" w:rsidRPr="0043591A" w:rsidRDefault="00034615" w:rsidP="00C55968">
            <w:pPr>
              <w:spacing w:line="360" w:lineRule="auto"/>
              <w:rPr>
                <w:b w:val="0"/>
                <w:color w:val="auto"/>
                <w:sz w:val="18"/>
                <w:szCs w:val="18"/>
              </w:rPr>
            </w:pPr>
          </w:p>
        </w:tc>
        <w:tc>
          <w:tcPr>
            <w:tcW w:w="1994" w:type="dxa"/>
            <w:vAlign w:val="center"/>
          </w:tcPr>
          <w:p w14:paraId="218235F9" w14:textId="77777777" w:rsidR="00034615" w:rsidRPr="0043591A" w:rsidRDefault="00034615" w:rsidP="00C55968">
            <w:pPr>
              <w:spacing w:line="360" w:lineRule="auto"/>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43591A">
              <w:rPr>
                <w:color w:val="auto"/>
                <w:sz w:val="18"/>
                <w:szCs w:val="18"/>
              </w:rPr>
              <w:t>Skupno število POSLANIH zaprosil/spontanih informacij v to državo</w:t>
            </w:r>
          </w:p>
        </w:tc>
        <w:tc>
          <w:tcPr>
            <w:cnfStyle w:val="000010000000" w:firstRow="0" w:lastRow="0" w:firstColumn="0" w:lastColumn="0" w:oddVBand="1" w:evenVBand="0" w:oddHBand="0" w:evenHBand="0" w:firstRowFirstColumn="0" w:firstRowLastColumn="0" w:lastRowFirstColumn="0" w:lastRowLastColumn="0"/>
            <w:tcW w:w="993" w:type="dxa"/>
            <w:vAlign w:val="center"/>
          </w:tcPr>
          <w:p w14:paraId="1B5D5D83" w14:textId="72FCFD1C" w:rsidR="00034615" w:rsidRPr="0043591A" w:rsidRDefault="00034615" w:rsidP="00C55968">
            <w:pPr>
              <w:spacing w:line="360" w:lineRule="auto"/>
              <w:jc w:val="center"/>
              <w:rPr>
                <w:b w:val="0"/>
                <w:color w:val="auto"/>
                <w:sz w:val="18"/>
                <w:szCs w:val="18"/>
              </w:rPr>
            </w:pPr>
            <w:r w:rsidRPr="0043591A">
              <w:rPr>
                <w:color w:val="auto"/>
                <w:sz w:val="18"/>
                <w:szCs w:val="18"/>
              </w:rPr>
              <w:t>Število</w:t>
            </w:r>
          </w:p>
          <w:p w14:paraId="67D92C13" w14:textId="77777777" w:rsidR="00034615" w:rsidRPr="0043591A" w:rsidRDefault="00034615" w:rsidP="00C55968">
            <w:pPr>
              <w:spacing w:line="360" w:lineRule="auto"/>
              <w:jc w:val="center"/>
              <w:rPr>
                <w:bCs w:val="0"/>
                <w:color w:val="auto"/>
                <w:sz w:val="18"/>
                <w:szCs w:val="18"/>
              </w:rPr>
            </w:pPr>
            <w:r w:rsidRPr="0043591A">
              <w:rPr>
                <w:color w:val="auto"/>
                <w:sz w:val="18"/>
                <w:szCs w:val="18"/>
              </w:rPr>
              <w:t>zadev</w:t>
            </w:r>
          </w:p>
        </w:tc>
        <w:tc>
          <w:tcPr>
            <w:tcW w:w="1842" w:type="dxa"/>
            <w:vAlign w:val="center"/>
          </w:tcPr>
          <w:p w14:paraId="117CCBAB" w14:textId="77777777" w:rsidR="00034615" w:rsidRPr="0043591A" w:rsidRDefault="00034615" w:rsidP="00C55968">
            <w:pPr>
              <w:spacing w:line="360" w:lineRule="auto"/>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43591A">
              <w:rPr>
                <w:color w:val="auto"/>
                <w:sz w:val="18"/>
                <w:szCs w:val="18"/>
              </w:rPr>
              <w:t>Skupno število PREJETIH zaprosil/spontanih informacij iz te države</w:t>
            </w:r>
          </w:p>
        </w:tc>
        <w:tc>
          <w:tcPr>
            <w:cnfStyle w:val="000010000000" w:firstRow="0" w:lastRow="0" w:firstColumn="0" w:lastColumn="0" w:oddVBand="1" w:evenVBand="0" w:oddHBand="0" w:evenHBand="0" w:firstRowFirstColumn="0" w:firstRowLastColumn="0" w:lastRowFirstColumn="0" w:lastRowLastColumn="0"/>
            <w:tcW w:w="1763" w:type="dxa"/>
            <w:vAlign w:val="center"/>
          </w:tcPr>
          <w:p w14:paraId="7B9E0EC6" w14:textId="77777777" w:rsidR="00034615" w:rsidRPr="0043591A" w:rsidRDefault="00034615" w:rsidP="00C55968">
            <w:pPr>
              <w:spacing w:line="360" w:lineRule="auto"/>
              <w:jc w:val="center"/>
              <w:rPr>
                <w:b w:val="0"/>
                <w:color w:val="auto"/>
                <w:sz w:val="18"/>
                <w:szCs w:val="18"/>
              </w:rPr>
            </w:pPr>
            <w:r w:rsidRPr="0043591A">
              <w:rPr>
                <w:color w:val="auto"/>
                <w:sz w:val="18"/>
                <w:szCs w:val="18"/>
              </w:rPr>
              <w:t>Število</w:t>
            </w:r>
          </w:p>
          <w:p w14:paraId="79A9AFD9" w14:textId="77777777" w:rsidR="00034615" w:rsidRPr="0043591A" w:rsidRDefault="00034615" w:rsidP="00C55968">
            <w:pPr>
              <w:spacing w:line="360" w:lineRule="auto"/>
              <w:jc w:val="center"/>
              <w:rPr>
                <w:bCs w:val="0"/>
                <w:color w:val="auto"/>
                <w:sz w:val="18"/>
                <w:szCs w:val="18"/>
              </w:rPr>
            </w:pPr>
            <w:r w:rsidRPr="0043591A">
              <w:rPr>
                <w:color w:val="auto"/>
                <w:sz w:val="18"/>
                <w:szCs w:val="18"/>
              </w:rPr>
              <w:t>Zadev</w:t>
            </w:r>
          </w:p>
        </w:tc>
      </w:tr>
      <w:tr w:rsidR="008B1D4B" w:rsidRPr="008B1D4B" w14:paraId="15419E1A" w14:textId="77777777" w:rsidTr="00A726AE">
        <w:trPr>
          <w:trHeight w:val="348"/>
        </w:trPr>
        <w:tc>
          <w:tcPr>
            <w:cnfStyle w:val="001000000000" w:firstRow="0" w:lastRow="0" w:firstColumn="1" w:lastColumn="0" w:oddVBand="0" w:evenVBand="0" w:oddHBand="0" w:evenHBand="0" w:firstRowFirstColumn="0" w:firstRowLastColumn="0" w:lastRowFirstColumn="0" w:lastRowLastColumn="0"/>
            <w:tcW w:w="709" w:type="dxa"/>
          </w:tcPr>
          <w:p w14:paraId="16B50632" w14:textId="722C1307" w:rsidR="00034615" w:rsidRPr="0043591A" w:rsidRDefault="001605E4" w:rsidP="00C55968">
            <w:pPr>
              <w:spacing w:line="360" w:lineRule="auto"/>
              <w:rPr>
                <w:bCs w:val="0"/>
                <w:color w:val="auto"/>
                <w:sz w:val="18"/>
                <w:szCs w:val="18"/>
              </w:rPr>
            </w:pPr>
            <w:r w:rsidRPr="0043591A">
              <w:rPr>
                <w:color w:val="auto"/>
                <w:sz w:val="18"/>
                <w:szCs w:val="18"/>
              </w:rPr>
              <w:t>1</w:t>
            </w:r>
          </w:p>
        </w:tc>
        <w:tc>
          <w:tcPr>
            <w:cnfStyle w:val="000010000000" w:firstRow="0" w:lastRow="0" w:firstColumn="0" w:lastColumn="0" w:oddVBand="1" w:evenVBand="0" w:oddHBand="0" w:evenHBand="0" w:firstRowFirstColumn="0" w:firstRowLastColumn="0" w:lastRowFirstColumn="0" w:lastRowLastColumn="0"/>
            <w:tcW w:w="1862" w:type="dxa"/>
          </w:tcPr>
          <w:p w14:paraId="668FCE62" w14:textId="6FCB4D1E" w:rsidR="00034615" w:rsidRPr="0043591A" w:rsidRDefault="007B6EF6" w:rsidP="00C55968">
            <w:pPr>
              <w:spacing w:line="360" w:lineRule="auto"/>
              <w:rPr>
                <w:b/>
                <w:sz w:val="18"/>
                <w:szCs w:val="18"/>
              </w:rPr>
            </w:pPr>
            <w:r w:rsidRPr="0043591A">
              <w:rPr>
                <w:b/>
                <w:sz w:val="18"/>
                <w:szCs w:val="18"/>
              </w:rPr>
              <w:t>AVSTRIJA</w:t>
            </w:r>
          </w:p>
        </w:tc>
        <w:tc>
          <w:tcPr>
            <w:tcW w:w="1994" w:type="dxa"/>
          </w:tcPr>
          <w:p w14:paraId="35ED72C6" w14:textId="5B878623" w:rsidR="00034615" w:rsidRPr="0043591A" w:rsidRDefault="007B6EF6"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13</w:t>
            </w:r>
          </w:p>
        </w:tc>
        <w:tc>
          <w:tcPr>
            <w:cnfStyle w:val="000010000000" w:firstRow="0" w:lastRow="0" w:firstColumn="0" w:lastColumn="0" w:oddVBand="1" w:evenVBand="0" w:oddHBand="0" w:evenHBand="0" w:firstRowFirstColumn="0" w:firstRowLastColumn="0" w:lastRowFirstColumn="0" w:lastRowLastColumn="0"/>
            <w:tcW w:w="993" w:type="dxa"/>
          </w:tcPr>
          <w:p w14:paraId="7158E25B" w14:textId="09583C32" w:rsidR="00034615" w:rsidRPr="0043591A" w:rsidRDefault="007B6EF6" w:rsidP="00C55968">
            <w:pPr>
              <w:spacing w:line="360" w:lineRule="auto"/>
              <w:jc w:val="center"/>
              <w:rPr>
                <w:b/>
                <w:bCs/>
                <w:sz w:val="18"/>
                <w:szCs w:val="18"/>
              </w:rPr>
            </w:pPr>
            <w:r w:rsidRPr="0043591A">
              <w:rPr>
                <w:b/>
                <w:bCs/>
                <w:sz w:val="18"/>
                <w:szCs w:val="18"/>
              </w:rPr>
              <w:t>13</w:t>
            </w:r>
          </w:p>
        </w:tc>
        <w:tc>
          <w:tcPr>
            <w:tcW w:w="1842" w:type="dxa"/>
          </w:tcPr>
          <w:p w14:paraId="79F0A162" w14:textId="190A0609" w:rsidR="00034615" w:rsidRPr="0043591A" w:rsidRDefault="007B6EF6"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6</w:t>
            </w:r>
          </w:p>
        </w:tc>
        <w:tc>
          <w:tcPr>
            <w:cnfStyle w:val="000010000000" w:firstRow="0" w:lastRow="0" w:firstColumn="0" w:lastColumn="0" w:oddVBand="1" w:evenVBand="0" w:oddHBand="0" w:evenHBand="0" w:firstRowFirstColumn="0" w:firstRowLastColumn="0" w:lastRowFirstColumn="0" w:lastRowLastColumn="0"/>
            <w:tcW w:w="1763" w:type="dxa"/>
          </w:tcPr>
          <w:p w14:paraId="1F6C3533" w14:textId="30963FC4" w:rsidR="00034615" w:rsidRPr="0043591A" w:rsidRDefault="007B6EF6" w:rsidP="00C55968">
            <w:pPr>
              <w:spacing w:line="360" w:lineRule="auto"/>
              <w:jc w:val="center"/>
              <w:rPr>
                <w:b/>
                <w:bCs/>
                <w:sz w:val="18"/>
                <w:szCs w:val="18"/>
              </w:rPr>
            </w:pPr>
            <w:r w:rsidRPr="0043591A">
              <w:rPr>
                <w:b/>
                <w:bCs/>
                <w:sz w:val="18"/>
                <w:szCs w:val="18"/>
              </w:rPr>
              <w:t>6</w:t>
            </w:r>
          </w:p>
        </w:tc>
      </w:tr>
      <w:tr w:rsidR="008B1D4B" w:rsidRPr="008B1D4B" w14:paraId="63F21F93" w14:textId="77777777" w:rsidTr="00A726AE">
        <w:trPr>
          <w:trHeight w:val="432"/>
        </w:trPr>
        <w:tc>
          <w:tcPr>
            <w:cnfStyle w:val="001000000000" w:firstRow="0" w:lastRow="0" w:firstColumn="1" w:lastColumn="0" w:oddVBand="0" w:evenVBand="0" w:oddHBand="0" w:evenHBand="0" w:firstRowFirstColumn="0" w:firstRowLastColumn="0" w:lastRowFirstColumn="0" w:lastRowLastColumn="0"/>
            <w:tcW w:w="709" w:type="dxa"/>
          </w:tcPr>
          <w:p w14:paraId="0FED18ED" w14:textId="1FE2EF8D" w:rsidR="000E0325" w:rsidRPr="0043591A" w:rsidRDefault="001605E4" w:rsidP="00C55968">
            <w:pPr>
              <w:spacing w:line="360" w:lineRule="auto"/>
              <w:rPr>
                <w:bCs w:val="0"/>
                <w:color w:val="auto"/>
                <w:sz w:val="18"/>
                <w:szCs w:val="18"/>
              </w:rPr>
            </w:pPr>
            <w:r w:rsidRPr="0043591A">
              <w:rPr>
                <w:color w:val="auto"/>
                <w:sz w:val="18"/>
                <w:szCs w:val="18"/>
              </w:rPr>
              <w:t>2</w:t>
            </w:r>
          </w:p>
        </w:tc>
        <w:tc>
          <w:tcPr>
            <w:cnfStyle w:val="000010000000" w:firstRow="0" w:lastRow="0" w:firstColumn="0" w:lastColumn="0" w:oddVBand="1" w:evenVBand="0" w:oddHBand="0" w:evenHBand="0" w:firstRowFirstColumn="0" w:firstRowLastColumn="0" w:lastRowFirstColumn="0" w:lastRowLastColumn="0"/>
            <w:tcW w:w="1862" w:type="dxa"/>
          </w:tcPr>
          <w:p w14:paraId="15E1F3FF" w14:textId="1E4E9E1E" w:rsidR="000E0325" w:rsidRPr="0043591A" w:rsidRDefault="000E0325" w:rsidP="00C55968">
            <w:pPr>
              <w:spacing w:line="360" w:lineRule="auto"/>
              <w:rPr>
                <w:b/>
                <w:sz w:val="18"/>
                <w:szCs w:val="18"/>
              </w:rPr>
            </w:pPr>
            <w:r w:rsidRPr="0043591A">
              <w:rPr>
                <w:b/>
                <w:sz w:val="18"/>
                <w:szCs w:val="18"/>
              </w:rPr>
              <w:t>ARGENTINA</w:t>
            </w:r>
          </w:p>
        </w:tc>
        <w:tc>
          <w:tcPr>
            <w:tcW w:w="1994" w:type="dxa"/>
          </w:tcPr>
          <w:p w14:paraId="185A4472" w14:textId="4914A603" w:rsidR="000E0325" w:rsidRPr="0043591A" w:rsidRDefault="000E0325"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w:t>
            </w:r>
          </w:p>
        </w:tc>
        <w:tc>
          <w:tcPr>
            <w:cnfStyle w:val="000010000000" w:firstRow="0" w:lastRow="0" w:firstColumn="0" w:lastColumn="0" w:oddVBand="1" w:evenVBand="0" w:oddHBand="0" w:evenHBand="0" w:firstRowFirstColumn="0" w:firstRowLastColumn="0" w:lastRowFirstColumn="0" w:lastRowLastColumn="0"/>
            <w:tcW w:w="993" w:type="dxa"/>
          </w:tcPr>
          <w:p w14:paraId="5A0095D7" w14:textId="38319503" w:rsidR="000E0325" w:rsidRPr="0043591A" w:rsidRDefault="000E0325" w:rsidP="00C55968">
            <w:pPr>
              <w:spacing w:line="360" w:lineRule="auto"/>
              <w:jc w:val="center"/>
              <w:rPr>
                <w:b/>
                <w:bCs/>
                <w:sz w:val="18"/>
                <w:szCs w:val="18"/>
              </w:rPr>
            </w:pPr>
            <w:r w:rsidRPr="0043591A">
              <w:rPr>
                <w:b/>
                <w:bCs/>
                <w:sz w:val="18"/>
                <w:szCs w:val="18"/>
              </w:rPr>
              <w:t>-</w:t>
            </w:r>
          </w:p>
        </w:tc>
        <w:tc>
          <w:tcPr>
            <w:tcW w:w="1842" w:type="dxa"/>
          </w:tcPr>
          <w:p w14:paraId="63813D6F" w14:textId="612E5859" w:rsidR="000E0325" w:rsidRPr="0043591A" w:rsidRDefault="000E0325"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2</w:t>
            </w:r>
          </w:p>
        </w:tc>
        <w:tc>
          <w:tcPr>
            <w:cnfStyle w:val="000010000000" w:firstRow="0" w:lastRow="0" w:firstColumn="0" w:lastColumn="0" w:oddVBand="1" w:evenVBand="0" w:oddHBand="0" w:evenHBand="0" w:firstRowFirstColumn="0" w:firstRowLastColumn="0" w:lastRowFirstColumn="0" w:lastRowLastColumn="0"/>
            <w:tcW w:w="1763" w:type="dxa"/>
          </w:tcPr>
          <w:p w14:paraId="701EAD7A" w14:textId="4A003A61" w:rsidR="000E0325" w:rsidRPr="0043591A" w:rsidRDefault="000E0325" w:rsidP="00C55968">
            <w:pPr>
              <w:spacing w:line="360" w:lineRule="auto"/>
              <w:jc w:val="center"/>
              <w:rPr>
                <w:b/>
                <w:bCs/>
                <w:sz w:val="18"/>
                <w:szCs w:val="18"/>
              </w:rPr>
            </w:pPr>
            <w:r w:rsidRPr="0043591A">
              <w:rPr>
                <w:b/>
                <w:bCs/>
                <w:sz w:val="18"/>
                <w:szCs w:val="18"/>
              </w:rPr>
              <w:t>2</w:t>
            </w:r>
          </w:p>
        </w:tc>
      </w:tr>
      <w:tr w:rsidR="008B1D4B" w:rsidRPr="008B1D4B" w14:paraId="3896D6D5" w14:textId="77777777" w:rsidTr="00A726AE">
        <w:trPr>
          <w:trHeight w:val="234"/>
        </w:trPr>
        <w:tc>
          <w:tcPr>
            <w:cnfStyle w:val="001000000000" w:firstRow="0" w:lastRow="0" w:firstColumn="1" w:lastColumn="0" w:oddVBand="0" w:evenVBand="0" w:oddHBand="0" w:evenHBand="0" w:firstRowFirstColumn="0" w:firstRowLastColumn="0" w:lastRowFirstColumn="0" w:lastRowLastColumn="0"/>
            <w:tcW w:w="709" w:type="dxa"/>
          </w:tcPr>
          <w:p w14:paraId="115B043E" w14:textId="600CBF60" w:rsidR="00034615" w:rsidRPr="0043591A" w:rsidRDefault="001605E4" w:rsidP="00C55968">
            <w:pPr>
              <w:spacing w:line="360" w:lineRule="auto"/>
              <w:rPr>
                <w:bCs w:val="0"/>
                <w:color w:val="auto"/>
                <w:sz w:val="18"/>
                <w:szCs w:val="18"/>
              </w:rPr>
            </w:pPr>
            <w:r w:rsidRPr="0043591A">
              <w:rPr>
                <w:color w:val="auto"/>
                <w:sz w:val="18"/>
                <w:szCs w:val="18"/>
              </w:rPr>
              <w:t>3</w:t>
            </w:r>
          </w:p>
        </w:tc>
        <w:tc>
          <w:tcPr>
            <w:cnfStyle w:val="000010000000" w:firstRow="0" w:lastRow="0" w:firstColumn="0" w:lastColumn="0" w:oddVBand="1" w:evenVBand="0" w:oddHBand="0" w:evenHBand="0" w:firstRowFirstColumn="0" w:firstRowLastColumn="0" w:lastRowFirstColumn="0" w:lastRowLastColumn="0"/>
            <w:tcW w:w="1862" w:type="dxa"/>
          </w:tcPr>
          <w:p w14:paraId="6BBE8C39" w14:textId="4DFE31EC" w:rsidR="00034615" w:rsidRPr="0043591A" w:rsidRDefault="007B6EF6" w:rsidP="00C55968">
            <w:pPr>
              <w:spacing w:line="360" w:lineRule="auto"/>
              <w:rPr>
                <w:b/>
                <w:sz w:val="18"/>
                <w:szCs w:val="18"/>
              </w:rPr>
            </w:pPr>
            <w:r w:rsidRPr="0043591A">
              <w:rPr>
                <w:b/>
                <w:sz w:val="18"/>
                <w:szCs w:val="18"/>
              </w:rPr>
              <w:t>BELGIJA</w:t>
            </w:r>
          </w:p>
        </w:tc>
        <w:tc>
          <w:tcPr>
            <w:tcW w:w="1994" w:type="dxa"/>
          </w:tcPr>
          <w:p w14:paraId="5ACAD49B" w14:textId="2BCE0300" w:rsidR="00034615" w:rsidRPr="0043591A" w:rsidRDefault="007B6EF6"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9</w:t>
            </w:r>
          </w:p>
        </w:tc>
        <w:tc>
          <w:tcPr>
            <w:cnfStyle w:val="000010000000" w:firstRow="0" w:lastRow="0" w:firstColumn="0" w:lastColumn="0" w:oddVBand="1" w:evenVBand="0" w:oddHBand="0" w:evenHBand="0" w:firstRowFirstColumn="0" w:firstRowLastColumn="0" w:lastRowFirstColumn="0" w:lastRowLastColumn="0"/>
            <w:tcW w:w="993" w:type="dxa"/>
          </w:tcPr>
          <w:p w14:paraId="0693D3DA" w14:textId="3176BB15" w:rsidR="00034615" w:rsidRPr="0043591A" w:rsidRDefault="007B6EF6" w:rsidP="00C55968">
            <w:pPr>
              <w:spacing w:line="360" w:lineRule="auto"/>
              <w:jc w:val="center"/>
              <w:rPr>
                <w:b/>
                <w:bCs/>
                <w:sz w:val="18"/>
                <w:szCs w:val="18"/>
              </w:rPr>
            </w:pPr>
            <w:r w:rsidRPr="0043591A">
              <w:rPr>
                <w:b/>
                <w:bCs/>
                <w:sz w:val="18"/>
                <w:szCs w:val="18"/>
              </w:rPr>
              <w:t>9</w:t>
            </w:r>
          </w:p>
        </w:tc>
        <w:tc>
          <w:tcPr>
            <w:tcW w:w="1842" w:type="dxa"/>
          </w:tcPr>
          <w:p w14:paraId="6E6AE04E" w14:textId="32F3D31F" w:rsidR="00034615" w:rsidRPr="0043591A" w:rsidRDefault="007B6EF6"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1763" w:type="dxa"/>
          </w:tcPr>
          <w:p w14:paraId="5205839C" w14:textId="4EF71278" w:rsidR="00034615" w:rsidRPr="0043591A" w:rsidRDefault="007B6EF6" w:rsidP="00C55968">
            <w:pPr>
              <w:spacing w:line="360" w:lineRule="auto"/>
              <w:jc w:val="center"/>
              <w:rPr>
                <w:b/>
                <w:bCs/>
                <w:sz w:val="18"/>
                <w:szCs w:val="18"/>
              </w:rPr>
            </w:pPr>
            <w:r w:rsidRPr="0043591A">
              <w:rPr>
                <w:b/>
                <w:bCs/>
                <w:sz w:val="18"/>
                <w:szCs w:val="18"/>
              </w:rPr>
              <w:t>1</w:t>
            </w:r>
          </w:p>
        </w:tc>
      </w:tr>
      <w:tr w:rsidR="008B1D4B" w:rsidRPr="008B1D4B" w14:paraId="1A4237FE" w14:textId="77777777" w:rsidTr="00A726AE">
        <w:trPr>
          <w:trHeight w:val="348"/>
        </w:trPr>
        <w:tc>
          <w:tcPr>
            <w:cnfStyle w:val="001000000000" w:firstRow="0" w:lastRow="0" w:firstColumn="1" w:lastColumn="0" w:oddVBand="0" w:evenVBand="0" w:oddHBand="0" w:evenHBand="0" w:firstRowFirstColumn="0" w:firstRowLastColumn="0" w:lastRowFirstColumn="0" w:lastRowLastColumn="0"/>
            <w:tcW w:w="709" w:type="dxa"/>
          </w:tcPr>
          <w:p w14:paraId="0DBC7715" w14:textId="6416A6D5" w:rsidR="00034615" w:rsidRPr="0043591A" w:rsidRDefault="001605E4" w:rsidP="00C55968">
            <w:pPr>
              <w:spacing w:line="360" w:lineRule="auto"/>
              <w:rPr>
                <w:bCs w:val="0"/>
                <w:color w:val="auto"/>
                <w:sz w:val="18"/>
                <w:szCs w:val="18"/>
              </w:rPr>
            </w:pPr>
            <w:r w:rsidRPr="0043591A">
              <w:rPr>
                <w:color w:val="auto"/>
                <w:sz w:val="18"/>
                <w:szCs w:val="18"/>
              </w:rPr>
              <w:t>4</w:t>
            </w:r>
          </w:p>
        </w:tc>
        <w:tc>
          <w:tcPr>
            <w:cnfStyle w:val="000010000000" w:firstRow="0" w:lastRow="0" w:firstColumn="0" w:lastColumn="0" w:oddVBand="1" w:evenVBand="0" w:oddHBand="0" w:evenHBand="0" w:firstRowFirstColumn="0" w:firstRowLastColumn="0" w:lastRowFirstColumn="0" w:lastRowLastColumn="0"/>
            <w:tcW w:w="1862" w:type="dxa"/>
          </w:tcPr>
          <w:p w14:paraId="123121F8" w14:textId="136033B9" w:rsidR="00034615" w:rsidRPr="0043591A" w:rsidRDefault="007B6EF6" w:rsidP="00C55968">
            <w:pPr>
              <w:spacing w:line="360" w:lineRule="auto"/>
              <w:rPr>
                <w:b/>
                <w:sz w:val="18"/>
                <w:szCs w:val="18"/>
              </w:rPr>
            </w:pPr>
            <w:r w:rsidRPr="0043591A">
              <w:rPr>
                <w:b/>
                <w:sz w:val="18"/>
                <w:szCs w:val="18"/>
              </w:rPr>
              <w:t>BELORUSIJA</w:t>
            </w:r>
          </w:p>
        </w:tc>
        <w:tc>
          <w:tcPr>
            <w:tcW w:w="1994" w:type="dxa"/>
          </w:tcPr>
          <w:p w14:paraId="01F0E98F" w14:textId="6CACECF0" w:rsidR="00034615" w:rsidRPr="0043591A" w:rsidRDefault="007B6EF6"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993" w:type="dxa"/>
          </w:tcPr>
          <w:p w14:paraId="123CCAD9" w14:textId="410A9DE3" w:rsidR="00034615" w:rsidRPr="0043591A" w:rsidRDefault="007B6EF6" w:rsidP="00C55968">
            <w:pPr>
              <w:spacing w:line="360" w:lineRule="auto"/>
              <w:jc w:val="center"/>
              <w:rPr>
                <w:b/>
                <w:bCs/>
                <w:sz w:val="18"/>
                <w:szCs w:val="18"/>
              </w:rPr>
            </w:pPr>
            <w:r w:rsidRPr="0043591A">
              <w:rPr>
                <w:b/>
                <w:bCs/>
                <w:sz w:val="18"/>
                <w:szCs w:val="18"/>
              </w:rPr>
              <w:t>1</w:t>
            </w:r>
          </w:p>
        </w:tc>
        <w:tc>
          <w:tcPr>
            <w:tcW w:w="1842" w:type="dxa"/>
          </w:tcPr>
          <w:p w14:paraId="413EADA4" w14:textId="4F57DA1E" w:rsidR="00034615" w:rsidRPr="0043591A" w:rsidRDefault="007B6EF6"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1763" w:type="dxa"/>
          </w:tcPr>
          <w:p w14:paraId="1C985003" w14:textId="785783C4" w:rsidR="00034615" w:rsidRPr="0043591A" w:rsidRDefault="007B6EF6" w:rsidP="00C55968">
            <w:pPr>
              <w:spacing w:line="360" w:lineRule="auto"/>
              <w:jc w:val="center"/>
              <w:rPr>
                <w:b/>
                <w:bCs/>
                <w:sz w:val="18"/>
                <w:szCs w:val="18"/>
              </w:rPr>
            </w:pPr>
            <w:r w:rsidRPr="0043591A">
              <w:rPr>
                <w:b/>
                <w:bCs/>
                <w:sz w:val="18"/>
                <w:szCs w:val="18"/>
              </w:rPr>
              <w:t>1</w:t>
            </w:r>
          </w:p>
        </w:tc>
      </w:tr>
      <w:tr w:rsidR="008B1D4B" w:rsidRPr="008B1D4B" w14:paraId="26077BC7" w14:textId="77777777" w:rsidTr="00A726AE">
        <w:trPr>
          <w:trHeight w:val="256"/>
        </w:trPr>
        <w:tc>
          <w:tcPr>
            <w:cnfStyle w:val="001000000000" w:firstRow="0" w:lastRow="0" w:firstColumn="1" w:lastColumn="0" w:oddVBand="0" w:evenVBand="0" w:oddHBand="0" w:evenHBand="0" w:firstRowFirstColumn="0" w:firstRowLastColumn="0" w:lastRowFirstColumn="0" w:lastRowLastColumn="0"/>
            <w:tcW w:w="709" w:type="dxa"/>
          </w:tcPr>
          <w:p w14:paraId="796AC7E3" w14:textId="540B14DE" w:rsidR="00034615" w:rsidRPr="0043591A" w:rsidRDefault="001605E4" w:rsidP="00C55968">
            <w:pPr>
              <w:spacing w:line="360" w:lineRule="auto"/>
              <w:rPr>
                <w:bCs w:val="0"/>
                <w:color w:val="auto"/>
                <w:sz w:val="18"/>
                <w:szCs w:val="18"/>
              </w:rPr>
            </w:pPr>
            <w:r w:rsidRPr="0043591A">
              <w:rPr>
                <w:color w:val="auto"/>
                <w:sz w:val="18"/>
                <w:szCs w:val="18"/>
              </w:rPr>
              <w:t>5</w:t>
            </w:r>
          </w:p>
        </w:tc>
        <w:tc>
          <w:tcPr>
            <w:cnfStyle w:val="000010000000" w:firstRow="0" w:lastRow="0" w:firstColumn="0" w:lastColumn="0" w:oddVBand="1" w:evenVBand="0" w:oddHBand="0" w:evenHBand="0" w:firstRowFirstColumn="0" w:firstRowLastColumn="0" w:lastRowFirstColumn="0" w:lastRowLastColumn="0"/>
            <w:tcW w:w="1862" w:type="dxa"/>
          </w:tcPr>
          <w:p w14:paraId="1846884A" w14:textId="0FE633E2" w:rsidR="00034615" w:rsidRPr="0043591A" w:rsidRDefault="007B6EF6" w:rsidP="00C55968">
            <w:pPr>
              <w:spacing w:line="360" w:lineRule="auto"/>
              <w:rPr>
                <w:b/>
                <w:sz w:val="18"/>
                <w:szCs w:val="18"/>
              </w:rPr>
            </w:pPr>
            <w:r w:rsidRPr="0043591A">
              <w:rPr>
                <w:b/>
                <w:sz w:val="18"/>
                <w:szCs w:val="18"/>
              </w:rPr>
              <w:t>BENIN</w:t>
            </w:r>
          </w:p>
        </w:tc>
        <w:tc>
          <w:tcPr>
            <w:tcW w:w="1994" w:type="dxa"/>
          </w:tcPr>
          <w:p w14:paraId="64E72E16" w14:textId="3A32C23F" w:rsidR="00034615" w:rsidRPr="0043591A" w:rsidRDefault="007B6EF6"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993" w:type="dxa"/>
          </w:tcPr>
          <w:p w14:paraId="13DFEC78" w14:textId="4852AFAC" w:rsidR="00034615" w:rsidRPr="0043591A" w:rsidRDefault="007B6EF6" w:rsidP="00C55968">
            <w:pPr>
              <w:spacing w:line="360" w:lineRule="auto"/>
              <w:jc w:val="center"/>
              <w:rPr>
                <w:b/>
                <w:bCs/>
                <w:sz w:val="18"/>
                <w:szCs w:val="18"/>
              </w:rPr>
            </w:pPr>
            <w:r w:rsidRPr="0043591A">
              <w:rPr>
                <w:b/>
                <w:bCs/>
                <w:sz w:val="18"/>
                <w:szCs w:val="18"/>
              </w:rPr>
              <w:t>1</w:t>
            </w:r>
          </w:p>
        </w:tc>
        <w:tc>
          <w:tcPr>
            <w:tcW w:w="1842" w:type="dxa"/>
          </w:tcPr>
          <w:p w14:paraId="107F6F58" w14:textId="28065A42" w:rsidR="00034615" w:rsidRPr="0043591A" w:rsidRDefault="00034615" w:rsidP="00C55968">
            <w:pPr>
              <w:pStyle w:val="Odstavekseznama"/>
              <w:numPr>
                <w:ilvl w:val="0"/>
                <w:numId w:val="3"/>
              </w:num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p>
        </w:tc>
        <w:tc>
          <w:tcPr>
            <w:cnfStyle w:val="000010000000" w:firstRow="0" w:lastRow="0" w:firstColumn="0" w:lastColumn="0" w:oddVBand="1" w:evenVBand="0" w:oddHBand="0" w:evenHBand="0" w:firstRowFirstColumn="0" w:firstRowLastColumn="0" w:lastRowFirstColumn="0" w:lastRowLastColumn="0"/>
            <w:tcW w:w="1763" w:type="dxa"/>
          </w:tcPr>
          <w:p w14:paraId="03DF3BD8" w14:textId="232F6D24" w:rsidR="00034615" w:rsidRPr="0043591A" w:rsidRDefault="007B6EF6" w:rsidP="00C55968">
            <w:pPr>
              <w:spacing w:line="360" w:lineRule="auto"/>
              <w:jc w:val="center"/>
              <w:rPr>
                <w:b/>
                <w:bCs/>
                <w:sz w:val="18"/>
                <w:szCs w:val="18"/>
              </w:rPr>
            </w:pPr>
            <w:r w:rsidRPr="0043591A">
              <w:rPr>
                <w:b/>
                <w:bCs/>
                <w:sz w:val="18"/>
                <w:szCs w:val="18"/>
              </w:rPr>
              <w:t>-</w:t>
            </w:r>
          </w:p>
        </w:tc>
      </w:tr>
      <w:tr w:rsidR="008B1D4B" w:rsidRPr="008B1D4B" w14:paraId="4C6B23C4" w14:textId="77777777" w:rsidTr="00A726AE">
        <w:trPr>
          <w:trHeight w:val="372"/>
        </w:trPr>
        <w:tc>
          <w:tcPr>
            <w:cnfStyle w:val="001000000000" w:firstRow="0" w:lastRow="0" w:firstColumn="1" w:lastColumn="0" w:oddVBand="0" w:evenVBand="0" w:oddHBand="0" w:evenHBand="0" w:firstRowFirstColumn="0" w:firstRowLastColumn="0" w:lastRowFirstColumn="0" w:lastRowLastColumn="0"/>
            <w:tcW w:w="709" w:type="dxa"/>
          </w:tcPr>
          <w:p w14:paraId="08243E83" w14:textId="482C5A2C" w:rsidR="00034615" w:rsidRPr="0043591A" w:rsidRDefault="001605E4" w:rsidP="00C55968">
            <w:pPr>
              <w:spacing w:line="360" w:lineRule="auto"/>
              <w:rPr>
                <w:bCs w:val="0"/>
                <w:color w:val="auto"/>
                <w:sz w:val="18"/>
                <w:szCs w:val="18"/>
              </w:rPr>
            </w:pPr>
            <w:r w:rsidRPr="0043591A">
              <w:rPr>
                <w:color w:val="auto"/>
                <w:sz w:val="18"/>
                <w:szCs w:val="18"/>
              </w:rPr>
              <w:t>6</w:t>
            </w:r>
          </w:p>
        </w:tc>
        <w:tc>
          <w:tcPr>
            <w:cnfStyle w:val="000010000000" w:firstRow="0" w:lastRow="0" w:firstColumn="0" w:lastColumn="0" w:oddVBand="1" w:evenVBand="0" w:oddHBand="0" w:evenHBand="0" w:firstRowFirstColumn="0" w:firstRowLastColumn="0" w:lastRowFirstColumn="0" w:lastRowLastColumn="0"/>
            <w:tcW w:w="1862" w:type="dxa"/>
          </w:tcPr>
          <w:p w14:paraId="717EEA6C" w14:textId="6DA490A7" w:rsidR="00034615" w:rsidRPr="0043591A" w:rsidRDefault="007B6EF6" w:rsidP="00C55968">
            <w:pPr>
              <w:spacing w:line="360" w:lineRule="auto"/>
              <w:rPr>
                <w:b/>
                <w:sz w:val="18"/>
                <w:szCs w:val="18"/>
              </w:rPr>
            </w:pPr>
            <w:r w:rsidRPr="0043591A">
              <w:rPr>
                <w:b/>
                <w:sz w:val="18"/>
                <w:szCs w:val="18"/>
              </w:rPr>
              <w:t>BIH</w:t>
            </w:r>
          </w:p>
        </w:tc>
        <w:tc>
          <w:tcPr>
            <w:tcW w:w="1994" w:type="dxa"/>
          </w:tcPr>
          <w:p w14:paraId="2CF43256" w14:textId="1FF1CB93" w:rsidR="00034615" w:rsidRPr="0043591A" w:rsidRDefault="007B6EF6"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11</w:t>
            </w:r>
          </w:p>
        </w:tc>
        <w:tc>
          <w:tcPr>
            <w:cnfStyle w:val="000010000000" w:firstRow="0" w:lastRow="0" w:firstColumn="0" w:lastColumn="0" w:oddVBand="1" w:evenVBand="0" w:oddHBand="0" w:evenHBand="0" w:firstRowFirstColumn="0" w:firstRowLastColumn="0" w:lastRowFirstColumn="0" w:lastRowLastColumn="0"/>
            <w:tcW w:w="993" w:type="dxa"/>
          </w:tcPr>
          <w:p w14:paraId="2F3BE5E2" w14:textId="2BE5D57D" w:rsidR="00034615" w:rsidRPr="0043591A" w:rsidRDefault="007B6EF6" w:rsidP="00C55968">
            <w:pPr>
              <w:spacing w:line="360" w:lineRule="auto"/>
              <w:jc w:val="center"/>
              <w:rPr>
                <w:b/>
                <w:bCs/>
                <w:sz w:val="18"/>
                <w:szCs w:val="18"/>
              </w:rPr>
            </w:pPr>
            <w:r w:rsidRPr="0043591A">
              <w:rPr>
                <w:b/>
                <w:bCs/>
                <w:sz w:val="18"/>
                <w:szCs w:val="18"/>
              </w:rPr>
              <w:t>11</w:t>
            </w:r>
          </w:p>
        </w:tc>
        <w:tc>
          <w:tcPr>
            <w:tcW w:w="1842" w:type="dxa"/>
          </w:tcPr>
          <w:p w14:paraId="27EEE45F" w14:textId="2B3BE5FE" w:rsidR="00034615" w:rsidRPr="0043591A" w:rsidRDefault="007B6EF6"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9</w:t>
            </w:r>
          </w:p>
        </w:tc>
        <w:tc>
          <w:tcPr>
            <w:cnfStyle w:val="000010000000" w:firstRow="0" w:lastRow="0" w:firstColumn="0" w:lastColumn="0" w:oddVBand="1" w:evenVBand="0" w:oddHBand="0" w:evenHBand="0" w:firstRowFirstColumn="0" w:firstRowLastColumn="0" w:lastRowFirstColumn="0" w:lastRowLastColumn="0"/>
            <w:tcW w:w="1763" w:type="dxa"/>
          </w:tcPr>
          <w:p w14:paraId="12BBDF1D" w14:textId="33F302FD" w:rsidR="00034615" w:rsidRPr="0043591A" w:rsidRDefault="007B6EF6" w:rsidP="00C55968">
            <w:pPr>
              <w:spacing w:line="360" w:lineRule="auto"/>
              <w:jc w:val="center"/>
              <w:rPr>
                <w:b/>
                <w:bCs/>
                <w:sz w:val="18"/>
                <w:szCs w:val="18"/>
              </w:rPr>
            </w:pPr>
            <w:r w:rsidRPr="0043591A">
              <w:rPr>
                <w:b/>
                <w:bCs/>
                <w:sz w:val="18"/>
                <w:szCs w:val="18"/>
              </w:rPr>
              <w:t>9</w:t>
            </w:r>
          </w:p>
        </w:tc>
      </w:tr>
      <w:tr w:rsidR="008B1D4B" w:rsidRPr="008B1D4B" w14:paraId="4A3A3AAE" w14:textId="77777777" w:rsidTr="00A726AE">
        <w:trPr>
          <w:trHeight w:val="50"/>
        </w:trPr>
        <w:tc>
          <w:tcPr>
            <w:cnfStyle w:val="001000000000" w:firstRow="0" w:lastRow="0" w:firstColumn="1" w:lastColumn="0" w:oddVBand="0" w:evenVBand="0" w:oddHBand="0" w:evenHBand="0" w:firstRowFirstColumn="0" w:firstRowLastColumn="0" w:lastRowFirstColumn="0" w:lastRowLastColumn="0"/>
            <w:tcW w:w="709" w:type="dxa"/>
          </w:tcPr>
          <w:p w14:paraId="4547F3F0" w14:textId="688C156F" w:rsidR="00034615" w:rsidRPr="0043591A" w:rsidRDefault="001605E4" w:rsidP="00C55968">
            <w:pPr>
              <w:spacing w:line="360" w:lineRule="auto"/>
              <w:rPr>
                <w:bCs w:val="0"/>
                <w:color w:val="auto"/>
                <w:sz w:val="18"/>
                <w:szCs w:val="18"/>
              </w:rPr>
            </w:pPr>
            <w:r w:rsidRPr="0043591A">
              <w:rPr>
                <w:color w:val="auto"/>
                <w:sz w:val="18"/>
                <w:szCs w:val="18"/>
              </w:rPr>
              <w:t>7</w:t>
            </w:r>
          </w:p>
        </w:tc>
        <w:tc>
          <w:tcPr>
            <w:cnfStyle w:val="000010000000" w:firstRow="0" w:lastRow="0" w:firstColumn="0" w:lastColumn="0" w:oddVBand="1" w:evenVBand="0" w:oddHBand="0" w:evenHBand="0" w:firstRowFirstColumn="0" w:firstRowLastColumn="0" w:lastRowFirstColumn="0" w:lastRowLastColumn="0"/>
            <w:tcW w:w="1862" w:type="dxa"/>
          </w:tcPr>
          <w:p w14:paraId="0D0AA6D4" w14:textId="3E7398D4" w:rsidR="00034615" w:rsidRPr="0043591A" w:rsidRDefault="007B6EF6" w:rsidP="00C55968">
            <w:pPr>
              <w:spacing w:line="360" w:lineRule="auto"/>
              <w:rPr>
                <w:b/>
                <w:sz w:val="18"/>
                <w:szCs w:val="18"/>
              </w:rPr>
            </w:pPr>
            <w:r w:rsidRPr="0043591A">
              <w:rPr>
                <w:b/>
                <w:sz w:val="18"/>
                <w:szCs w:val="18"/>
              </w:rPr>
              <w:t>BOLGARIJA</w:t>
            </w:r>
          </w:p>
        </w:tc>
        <w:tc>
          <w:tcPr>
            <w:tcW w:w="1994" w:type="dxa"/>
          </w:tcPr>
          <w:p w14:paraId="6CAECE6E" w14:textId="73BADC9F" w:rsidR="00034615" w:rsidRPr="0043591A" w:rsidRDefault="007B6EF6"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3</w:t>
            </w:r>
          </w:p>
        </w:tc>
        <w:tc>
          <w:tcPr>
            <w:cnfStyle w:val="000010000000" w:firstRow="0" w:lastRow="0" w:firstColumn="0" w:lastColumn="0" w:oddVBand="1" w:evenVBand="0" w:oddHBand="0" w:evenHBand="0" w:firstRowFirstColumn="0" w:firstRowLastColumn="0" w:lastRowFirstColumn="0" w:lastRowLastColumn="0"/>
            <w:tcW w:w="993" w:type="dxa"/>
          </w:tcPr>
          <w:p w14:paraId="093253BE" w14:textId="62AEB745" w:rsidR="00034615" w:rsidRPr="0043591A" w:rsidRDefault="007B6EF6" w:rsidP="00C55968">
            <w:pPr>
              <w:spacing w:line="360" w:lineRule="auto"/>
              <w:jc w:val="center"/>
              <w:rPr>
                <w:b/>
                <w:bCs/>
                <w:sz w:val="18"/>
                <w:szCs w:val="18"/>
              </w:rPr>
            </w:pPr>
            <w:r w:rsidRPr="0043591A">
              <w:rPr>
                <w:b/>
                <w:bCs/>
                <w:sz w:val="18"/>
                <w:szCs w:val="18"/>
              </w:rPr>
              <w:t>3</w:t>
            </w:r>
          </w:p>
        </w:tc>
        <w:tc>
          <w:tcPr>
            <w:tcW w:w="1842" w:type="dxa"/>
          </w:tcPr>
          <w:p w14:paraId="6AC34436" w14:textId="63B9C77A" w:rsidR="00034615" w:rsidRPr="0043591A" w:rsidRDefault="007B6EF6"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1763" w:type="dxa"/>
          </w:tcPr>
          <w:p w14:paraId="601CC18D" w14:textId="6926855C" w:rsidR="00034615" w:rsidRPr="0043591A" w:rsidRDefault="007B6EF6" w:rsidP="00C55968">
            <w:pPr>
              <w:spacing w:line="360" w:lineRule="auto"/>
              <w:jc w:val="center"/>
              <w:rPr>
                <w:b/>
                <w:bCs/>
                <w:sz w:val="18"/>
                <w:szCs w:val="18"/>
              </w:rPr>
            </w:pPr>
            <w:r w:rsidRPr="0043591A">
              <w:rPr>
                <w:b/>
                <w:bCs/>
                <w:sz w:val="18"/>
                <w:szCs w:val="18"/>
              </w:rPr>
              <w:t>1</w:t>
            </w:r>
          </w:p>
        </w:tc>
      </w:tr>
      <w:tr w:rsidR="008B1D4B" w:rsidRPr="008B1D4B" w14:paraId="66181D3B" w14:textId="77777777" w:rsidTr="00A726AE">
        <w:trPr>
          <w:trHeight w:val="50"/>
        </w:trPr>
        <w:tc>
          <w:tcPr>
            <w:cnfStyle w:val="001000000000" w:firstRow="0" w:lastRow="0" w:firstColumn="1" w:lastColumn="0" w:oddVBand="0" w:evenVBand="0" w:oddHBand="0" w:evenHBand="0" w:firstRowFirstColumn="0" w:firstRowLastColumn="0" w:lastRowFirstColumn="0" w:lastRowLastColumn="0"/>
            <w:tcW w:w="709" w:type="dxa"/>
          </w:tcPr>
          <w:p w14:paraId="36E9F3BD" w14:textId="611F4027" w:rsidR="00034615" w:rsidRPr="0043591A" w:rsidRDefault="001605E4" w:rsidP="00C55968">
            <w:pPr>
              <w:spacing w:line="360" w:lineRule="auto"/>
              <w:rPr>
                <w:bCs w:val="0"/>
                <w:color w:val="auto"/>
                <w:sz w:val="18"/>
                <w:szCs w:val="18"/>
              </w:rPr>
            </w:pPr>
            <w:r w:rsidRPr="0043591A">
              <w:rPr>
                <w:color w:val="auto"/>
                <w:sz w:val="18"/>
                <w:szCs w:val="18"/>
              </w:rPr>
              <w:t>8</w:t>
            </w:r>
          </w:p>
        </w:tc>
        <w:tc>
          <w:tcPr>
            <w:cnfStyle w:val="000010000000" w:firstRow="0" w:lastRow="0" w:firstColumn="0" w:lastColumn="0" w:oddVBand="1" w:evenVBand="0" w:oddHBand="0" w:evenHBand="0" w:firstRowFirstColumn="0" w:firstRowLastColumn="0" w:lastRowFirstColumn="0" w:lastRowLastColumn="0"/>
            <w:tcW w:w="1862" w:type="dxa"/>
          </w:tcPr>
          <w:p w14:paraId="3504F197" w14:textId="61FD8AE4" w:rsidR="00034615" w:rsidRPr="0043591A" w:rsidRDefault="007B6EF6" w:rsidP="00C55968">
            <w:pPr>
              <w:spacing w:line="360" w:lineRule="auto"/>
              <w:rPr>
                <w:b/>
                <w:sz w:val="18"/>
                <w:szCs w:val="18"/>
              </w:rPr>
            </w:pPr>
            <w:r w:rsidRPr="0043591A">
              <w:rPr>
                <w:b/>
                <w:sz w:val="18"/>
                <w:szCs w:val="18"/>
              </w:rPr>
              <w:t>CIPER</w:t>
            </w:r>
          </w:p>
        </w:tc>
        <w:tc>
          <w:tcPr>
            <w:tcW w:w="1994" w:type="dxa"/>
          </w:tcPr>
          <w:p w14:paraId="19B5103D" w14:textId="56C632E1" w:rsidR="00034615" w:rsidRPr="0043591A" w:rsidRDefault="007B6EF6"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8</w:t>
            </w:r>
          </w:p>
        </w:tc>
        <w:tc>
          <w:tcPr>
            <w:cnfStyle w:val="000010000000" w:firstRow="0" w:lastRow="0" w:firstColumn="0" w:lastColumn="0" w:oddVBand="1" w:evenVBand="0" w:oddHBand="0" w:evenHBand="0" w:firstRowFirstColumn="0" w:firstRowLastColumn="0" w:lastRowFirstColumn="0" w:lastRowLastColumn="0"/>
            <w:tcW w:w="993" w:type="dxa"/>
          </w:tcPr>
          <w:p w14:paraId="523CBA98" w14:textId="0C9ACAB7" w:rsidR="00034615" w:rsidRPr="0043591A" w:rsidRDefault="007B6EF6" w:rsidP="00C55968">
            <w:pPr>
              <w:spacing w:line="360" w:lineRule="auto"/>
              <w:jc w:val="center"/>
              <w:rPr>
                <w:b/>
                <w:bCs/>
                <w:sz w:val="18"/>
                <w:szCs w:val="18"/>
              </w:rPr>
            </w:pPr>
            <w:r w:rsidRPr="0043591A">
              <w:rPr>
                <w:b/>
                <w:bCs/>
                <w:sz w:val="18"/>
                <w:szCs w:val="18"/>
              </w:rPr>
              <w:t>7</w:t>
            </w:r>
          </w:p>
        </w:tc>
        <w:tc>
          <w:tcPr>
            <w:tcW w:w="1842" w:type="dxa"/>
          </w:tcPr>
          <w:p w14:paraId="7ECF292A" w14:textId="295F9451" w:rsidR="00034615" w:rsidRPr="0043591A" w:rsidRDefault="007B6EF6"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3</w:t>
            </w:r>
          </w:p>
        </w:tc>
        <w:tc>
          <w:tcPr>
            <w:cnfStyle w:val="000010000000" w:firstRow="0" w:lastRow="0" w:firstColumn="0" w:lastColumn="0" w:oddVBand="1" w:evenVBand="0" w:oddHBand="0" w:evenHBand="0" w:firstRowFirstColumn="0" w:firstRowLastColumn="0" w:lastRowFirstColumn="0" w:lastRowLastColumn="0"/>
            <w:tcW w:w="1763" w:type="dxa"/>
          </w:tcPr>
          <w:p w14:paraId="6C6B2931" w14:textId="52C9A5FD" w:rsidR="00034615" w:rsidRPr="0043591A" w:rsidRDefault="007B6EF6" w:rsidP="00C55968">
            <w:pPr>
              <w:spacing w:line="360" w:lineRule="auto"/>
              <w:jc w:val="center"/>
              <w:rPr>
                <w:b/>
                <w:bCs/>
                <w:sz w:val="18"/>
                <w:szCs w:val="18"/>
              </w:rPr>
            </w:pPr>
            <w:r w:rsidRPr="0043591A">
              <w:rPr>
                <w:b/>
                <w:bCs/>
                <w:sz w:val="18"/>
                <w:szCs w:val="18"/>
              </w:rPr>
              <w:t>3</w:t>
            </w:r>
          </w:p>
        </w:tc>
      </w:tr>
      <w:tr w:rsidR="008B1D4B" w:rsidRPr="008B1D4B" w14:paraId="4A947696" w14:textId="77777777" w:rsidTr="00A726AE">
        <w:tc>
          <w:tcPr>
            <w:cnfStyle w:val="001000000000" w:firstRow="0" w:lastRow="0" w:firstColumn="1" w:lastColumn="0" w:oddVBand="0" w:evenVBand="0" w:oddHBand="0" w:evenHBand="0" w:firstRowFirstColumn="0" w:firstRowLastColumn="0" w:lastRowFirstColumn="0" w:lastRowLastColumn="0"/>
            <w:tcW w:w="709" w:type="dxa"/>
          </w:tcPr>
          <w:p w14:paraId="462657F2" w14:textId="06ED098A" w:rsidR="00034615" w:rsidRPr="0043591A" w:rsidRDefault="001605E4" w:rsidP="00C55968">
            <w:pPr>
              <w:spacing w:line="360" w:lineRule="auto"/>
              <w:rPr>
                <w:bCs w:val="0"/>
                <w:color w:val="auto"/>
                <w:sz w:val="18"/>
                <w:szCs w:val="18"/>
              </w:rPr>
            </w:pPr>
            <w:r w:rsidRPr="0043591A">
              <w:rPr>
                <w:color w:val="auto"/>
                <w:sz w:val="18"/>
                <w:szCs w:val="18"/>
              </w:rPr>
              <w:t>9</w:t>
            </w:r>
          </w:p>
        </w:tc>
        <w:tc>
          <w:tcPr>
            <w:cnfStyle w:val="000010000000" w:firstRow="0" w:lastRow="0" w:firstColumn="0" w:lastColumn="0" w:oddVBand="1" w:evenVBand="0" w:oddHBand="0" w:evenHBand="0" w:firstRowFirstColumn="0" w:firstRowLastColumn="0" w:lastRowFirstColumn="0" w:lastRowLastColumn="0"/>
            <w:tcW w:w="1862" w:type="dxa"/>
          </w:tcPr>
          <w:p w14:paraId="1003C88A" w14:textId="5AE2AF03" w:rsidR="00034615" w:rsidRPr="0043591A" w:rsidRDefault="007B6EF6" w:rsidP="00C55968">
            <w:pPr>
              <w:spacing w:line="360" w:lineRule="auto"/>
              <w:rPr>
                <w:b/>
                <w:sz w:val="18"/>
                <w:szCs w:val="18"/>
              </w:rPr>
            </w:pPr>
            <w:r w:rsidRPr="0043591A">
              <w:rPr>
                <w:b/>
                <w:sz w:val="18"/>
                <w:szCs w:val="18"/>
              </w:rPr>
              <w:t>ČEŠKA</w:t>
            </w:r>
          </w:p>
        </w:tc>
        <w:tc>
          <w:tcPr>
            <w:tcW w:w="1994" w:type="dxa"/>
          </w:tcPr>
          <w:p w14:paraId="7C311F42" w14:textId="4560EFAA" w:rsidR="00034615" w:rsidRPr="0043591A" w:rsidRDefault="007B6EF6"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6</w:t>
            </w:r>
          </w:p>
        </w:tc>
        <w:tc>
          <w:tcPr>
            <w:cnfStyle w:val="000010000000" w:firstRow="0" w:lastRow="0" w:firstColumn="0" w:lastColumn="0" w:oddVBand="1" w:evenVBand="0" w:oddHBand="0" w:evenHBand="0" w:firstRowFirstColumn="0" w:firstRowLastColumn="0" w:lastRowFirstColumn="0" w:lastRowLastColumn="0"/>
            <w:tcW w:w="993" w:type="dxa"/>
          </w:tcPr>
          <w:p w14:paraId="038931F9" w14:textId="32D723FA" w:rsidR="00034615" w:rsidRPr="0043591A" w:rsidRDefault="007B6EF6" w:rsidP="00C55968">
            <w:pPr>
              <w:spacing w:line="360" w:lineRule="auto"/>
              <w:jc w:val="center"/>
              <w:rPr>
                <w:b/>
                <w:bCs/>
                <w:sz w:val="18"/>
                <w:szCs w:val="18"/>
              </w:rPr>
            </w:pPr>
            <w:r w:rsidRPr="0043591A">
              <w:rPr>
                <w:b/>
                <w:bCs/>
                <w:sz w:val="18"/>
                <w:szCs w:val="18"/>
              </w:rPr>
              <w:t>6</w:t>
            </w:r>
          </w:p>
        </w:tc>
        <w:tc>
          <w:tcPr>
            <w:tcW w:w="1842" w:type="dxa"/>
          </w:tcPr>
          <w:p w14:paraId="414ECED6" w14:textId="028BF1C9" w:rsidR="00034615" w:rsidRPr="0043591A" w:rsidRDefault="007B6EF6"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2</w:t>
            </w:r>
          </w:p>
        </w:tc>
        <w:tc>
          <w:tcPr>
            <w:cnfStyle w:val="000010000000" w:firstRow="0" w:lastRow="0" w:firstColumn="0" w:lastColumn="0" w:oddVBand="1" w:evenVBand="0" w:oddHBand="0" w:evenHBand="0" w:firstRowFirstColumn="0" w:firstRowLastColumn="0" w:lastRowFirstColumn="0" w:lastRowLastColumn="0"/>
            <w:tcW w:w="1763" w:type="dxa"/>
          </w:tcPr>
          <w:p w14:paraId="0761B61F" w14:textId="4DC755D4" w:rsidR="00034615" w:rsidRPr="0043591A" w:rsidRDefault="007B6EF6" w:rsidP="00C55968">
            <w:pPr>
              <w:spacing w:line="360" w:lineRule="auto"/>
              <w:jc w:val="center"/>
              <w:rPr>
                <w:b/>
                <w:bCs/>
                <w:sz w:val="18"/>
                <w:szCs w:val="18"/>
              </w:rPr>
            </w:pPr>
            <w:r w:rsidRPr="0043591A">
              <w:rPr>
                <w:b/>
                <w:bCs/>
                <w:sz w:val="18"/>
                <w:szCs w:val="18"/>
              </w:rPr>
              <w:t>2</w:t>
            </w:r>
          </w:p>
        </w:tc>
      </w:tr>
      <w:tr w:rsidR="008B1D4B" w:rsidRPr="008B1D4B" w14:paraId="24221CA2" w14:textId="77777777" w:rsidTr="00A726AE">
        <w:tc>
          <w:tcPr>
            <w:cnfStyle w:val="001000000000" w:firstRow="0" w:lastRow="0" w:firstColumn="1" w:lastColumn="0" w:oddVBand="0" w:evenVBand="0" w:oddHBand="0" w:evenHBand="0" w:firstRowFirstColumn="0" w:firstRowLastColumn="0" w:lastRowFirstColumn="0" w:lastRowLastColumn="0"/>
            <w:tcW w:w="709" w:type="dxa"/>
          </w:tcPr>
          <w:p w14:paraId="3C964297" w14:textId="1065EC1E" w:rsidR="00034615" w:rsidRPr="0043591A" w:rsidRDefault="001605E4" w:rsidP="00C55968">
            <w:pPr>
              <w:spacing w:line="360" w:lineRule="auto"/>
              <w:rPr>
                <w:bCs w:val="0"/>
                <w:color w:val="auto"/>
                <w:sz w:val="18"/>
                <w:szCs w:val="18"/>
              </w:rPr>
            </w:pPr>
            <w:r w:rsidRPr="0043591A">
              <w:rPr>
                <w:color w:val="auto"/>
                <w:sz w:val="18"/>
                <w:szCs w:val="18"/>
              </w:rPr>
              <w:lastRenderedPageBreak/>
              <w:t>10</w:t>
            </w:r>
          </w:p>
        </w:tc>
        <w:tc>
          <w:tcPr>
            <w:cnfStyle w:val="000010000000" w:firstRow="0" w:lastRow="0" w:firstColumn="0" w:lastColumn="0" w:oddVBand="1" w:evenVBand="0" w:oddHBand="0" w:evenHBand="0" w:firstRowFirstColumn="0" w:firstRowLastColumn="0" w:lastRowFirstColumn="0" w:lastRowLastColumn="0"/>
            <w:tcW w:w="1862" w:type="dxa"/>
          </w:tcPr>
          <w:p w14:paraId="7B0594E2" w14:textId="76FF73E7" w:rsidR="00034615" w:rsidRPr="0043591A" w:rsidRDefault="007B6EF6" w:rsidP="00C55968">
            <w:pPr>
              <w:spacing w:line="360" w:lineRule="auto"/>
              <w:rPr>
                <w:b/>
                <w:sz w:val="18"/>
                <w:szCs w:val="18"/>
              </w:rPr>
            </w:pPr>
            <w:r w:rsidRPr="0043591A">
              <w:rPr>
                <w:b/>
                <w:sz w:val="18"/>
                <w:szCs w:val="18"/>
              </w:rPr>
              <w:t>ČRNA GORA</w:t>
            </w:r>
          </w:p>
        </w:tc>
        <w:tc>
          <w:tcPr>
            <w:tcW w:w="1994" w:type="dxa"/>
          </w:tcPr>
          <w:p w14:paraId="202D9B6A" w14:textId="410E69FE" w:rsidR="00034615" w:rsidRPr="0043591A" w:rsidRDefault="007B6EF6"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9</w:t>
            </w:r>
          </w:p>
        </w:tc>
        <w:tc>
          <w:tcPr>
            <w:cnfStyle w:val="000010000000" w:firstRow="0" w:lastRow="0" w:firstColumn="0" w:lastColumn="0" w:oddVBand="1" w:evenVBand="0" w:oddHBand="0" w:evenHBand="0" w:firstRowFirstColumn="0" w:firstRowLastColumn="0" w:lastRowFirstColumn="0" w:lastRowLastColumn="0"/>
            <w:tcW w:w="993" w:type="dxa"/>
          </w:tcPr>
          <w:p w14:paraId="10AFE7FC" w14:textId="6104FF87" w:rsidR="00034615" w:rsidRPr="0043591A" w:rsidRDefault="007B6EF6" w:rsidP="00C55968">
            <w:pPr>
              <w:spacing w:line="360" w:lineRule="auto"/>
              <w:jc w:val="center"/>
              <w:rPr>
                <w:b/>
                <w:bCs/>
                <w:sz w:val="18"/>
                <w:szCs w:val="18"/>
              </w:rPr>
            </w:pPr>
            <w:r w:rsidRPr="0043591A">
              <w:rPr>
                <w:b/>
                <w:bCs/>
                <w:sz w:val="18"/>
                <w:szCs w:val="18"/>
              </w:rPr>
              <w:t>8</w:t>
            </w:r>
          </w:p>
        </w:tc>
        <w:tc>
          <w:tcPr>
            <w:tcW w:w="1842" w:type="dxa"/>
          </w:tcPr>
          <w:p w14:paraId="4763640C" w14:textId="17CBB81C" w:rsidR="00034615" w:rsidRPr="0043591A" w:rsidRDefault="007B6EF6"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8</w:t>
            </w:r>
          </w:p>
        </w:tc>
        <w:tc>
          <w:tcPr>
            <w:cnfStyle w:val="000010000000" w:firstRow="0" w:lastRow="0" w:firstColumn="0" w:lastColumn="0" w:oddVBand="1" w:evenVBand="0" w:oddHBand="0" w:evenHBand="0" w:firstRowFirstColumn="0" w:firstRowLastColumn="0" w:lastRowFirstColumn="0" w:lastRowLastColumn="0"/>
            <w:tcW w:w="1763" w:type="dxa"/>
          </w:tcPr>
          <w:p w14:paraId="4B01EE5C" w14:textId="7D62CA62" w:rsidR="00034615" w:rsidRPr="0043591A" w:rsidRDefault="007B6EF6" w:rsidP="00C55968">
            <w:pPr>
              <w:spacing w:line="360" w:lineRule="auto"/>
              <w:jc w:val="center"/>
              <w:rPr>
                <w:b/>
                <w:bCs/>
                <w:sz w:val="18"/>
                <w:szCs w:val="18"/>
              </w:rPr>
            </w:pPr>
            <w:r w:rsidRPr="0043591A">
              <w:rPr>
                <w:b/>
                <w:bCs/>
                <w:sz w:val="18"/>
                <w:szCs w:val="18"/>
              </w:rPr>
              <w:t>7</w:t>
            </w:r>
          </w:p>
        </w:tc>
      </w:tr>
      <w:tr w:rsidR="008B1D4B" w:rsidRPr="008B1D4B" w14:paraId="210D6BFC" w14:textId="77777777" w:rsidTr="00A726AE">
        <w:trPr>
          <w:trHeight w:val="408"/>
        </w:trPr>
        <w:tc>
          <w:tcPr>
            <w:cnfStyle w:val="001000000000" w:firstRow="0" w:lastRow="0" w:firstColumn="1" w:lastColumn="0" w:oddVBand="0" w:evenVBand="0" w:oddHBand="0" w:evenHBand="0" w:firstRowFirstColumn="0" w:firstRowLastColumn="0" w:lastRowFirstColumn="0" w:lastRowLastColumn="0"/>
            <w:tcW w:w="709" w:type="dxa"/>
          </w:tcPr>
          <w:p w14:paraId="4BB14B31" w14:textId="2FACDA32" w:rsidR="00034615" w:rsidRPr="0043591A" w:rsidRDefault="001605E4" w:rsidP="00C55968">
            <w:pPr>
              <w:spacing w:line="360" w:lineRule="auto"/>
              <w:rPr>
                <w:bCs w:val="0"/>
                <w:color w:val="auto"/>
                <w:sz w:val="18"/>
                <w:szCs w:val="18"/>
              </w:rPr>
            </w:pPr>
            <w:r w:rsidRPr="0043591A">
              <w:rPr>
                <w:color w:val="auto"/>
                <w:sz w:val="18"/>
                <w:szCs w:val="18"/>
              </w:rPr>
              <w:t>11</w:t>
            </w:r>
          </w:p>
        </w:tc>
        <w:tc>
          <w:tcPr>
            <w:cnfStyle w:val="000010000000" w:firstRow="0" w:lastRow="0" w:firstColumn="0" w:lastColumn="0" w:oddVBand="1" w:evenVBand="0" w:oddHBand="0" w:evenHBand="0" w:firstRowFirstColumn="0" w:firstRowLastColumn="0" w:lastRowFirstColumn="0" w:lastRowLastColumn="0"/>
            <w:tcW w:w="1862" w:type="dxa"/>
          </w:tcPr>
          <w:p w14:paraId="39372B09" w14:textId="267449BA" w:rsidR="000E0325" w:rsidRPr="0043591A" w:rsidRDefault="007B6EF6" w:rsidP="00C55968">
            <w:pPr>
              <w:spacing w:line="360" w:lineRule="auto"/>
              <w:rPr>
                <w:b/>
                <w:sz w:val="18"/>
                <w:szCs w:val="18"/>
              </w:rPr>
            </w:pPr>
            <w:r w:rsidRPr="0043591A">
              <w:rPr>
                <w:b/>
                <w:sz w:val="18"/>
                <w:szCs w:val="18"/>
              </w:rPr>
              <w:t>DANSKA</w:t>
            </w:r>
          </w:p>
        </w:tc>
        <w:tc>
          <w:tcPr>
            <w:tcW w:w="1994" w:type="dxa"/>
          </w:tcPr>
          <w:p w14:paraId="147ABF14" w14:textId="5CF8CAF3" w:rsidR="00034615" w:rsidRPr="0043591A" w:rsidRDefault="007B6EF6"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3</w:t>
            </w:r>
          </w:p>
        </w:tc>
        <w:tc>
          <w:tcPr>
            <w:cnfStyle w:val="000010000000" w:firstRow="0" w:lastRow="0" w:firstColumn="0" w:lastColumn="0" w:oddVBand="1" w:evenVBand="0" w:oddHBand="0" w:evenHBand="0" w:firstRowFirstColumn="0" w:firstRowLastColumn="0" w:lastRowFirstColumn="0" w:lastRowLastColumn="0"/>
            <w:tcW w:w="993" w:type="dxa"/>
          </w:tcPr>
          <w:p w14:paraId="44012EB1" w14:textId="4F8EB374" w:rsidR="00034615" w:rsidRPr="0043591A" w:rsidRDefault="007B6EF6" w:rsidP="00C55968">
            <w:pPr>
              <w:spacing w:line="360" w:lineRule="auto"/>
              <w:jc w:val="center"/>
              <w:rPr>
                <w:b/>
                <w:bCs/>
                <w:sz w:val="18"/>
                <w:szCs w:val="18"/>
              </w:rPr>
            </w:pPr>
            <w:r w:rsidRPr="0043591A">
              <w:rPr>
                <w:b/>
                <w:bCs/>
                <w:sz w:val="18"/>
                <w:szCs w:val="18"/>
              </w:rPr>
              <w:t>3</w:t>
            </w:r>
          </w:p>
        </w:tc>
        <w:tc>
          <w:tcPr>
            <w:tcW w:w="1842" w:type="dxa"/>
          </w:tcPr>
          <w:p w14:paraId="7C6920A0" w14:textId="3087478D" w:rsidR="00034615" w:rsidRPr="0043591A" w:rsidRDefault="007B6EF6"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1763" w:type="dxa"/>
          </w:tcPr>
          <w:p w14:paraId="6815A2A4" w14:textId="50D0C0F7" w:rsidR="00034615" w:rsidRPr="0043591A" w:rsidRDefault="007B6EF6" w:rsidP="00C55968">
            <w:pPr>
              <w:spacing w:line="360" w:lineRule="auto"/>
              <w:jc w:val="center"/>
              <w:rPr>
                <w:b/>
                <w:bCs/>
                <w:sz w:val="18"/>
                <w:szCs w:val="18"/>
              </w:rPr>
            </w:pPr>
            <w:r w:rsidRPr="0043591A">
              <w:rPr>
                <w:b/>
                <w:bCs/>
                <w:sz w:val="18"/>
                <w:szCs w:val="18"/>
              </w:rPr>
              <w:t>1</w:t>
            </w:r>
          </w:p>
        </w:tc>
      </w:tr>
      <w:tr w:rsidR="008B1D4B" w:rsidRPr="008B1D4B" w14:paraId="6BDF1FCC" w14:textId="77777777" w:rsidTr="00A726AE">
        <w:trPr>
          <w:trHeight w:val="408"/>
        </w:trPr>
        <w:tc>
          <w:tcPr>
            <w:cnfStyle w:val="001000000000" w:firstRow="0" w:lastRow="0" w:firstColumn="1" w:lastColumn="0" w:oddVBand="0" w:evenVBand="0" w:oddHBand="0" w:evenHBand="0" w:firstRowFirstColumn="0" w:firstRowLastColumn="0" w:lastRowFirstColumn="0" w:lastRowLastColumn="0"/>
            <w:tcW w:w="709" w:type="dxa"/>
          </w:tcPr>
          <w:p w14:paraId="4EE215CE" w14:textId="2815FAF1" w:rsidR="000E0325" w:rsidRPr="0043591A" w:rsidRDefault="001605E4" w:rsidP="00C55968">
            <w:pPr>
              <w:spacing w:line="360" w:lineRule="auto"/>
              <w:rPr>
                <w:bCs w:val="0"/>
                <w:color w:val="auto"/>
                <w:sz w:val="18"/>
                <w:szCs w:val="18"/>
              </w:rPr>
            </w:pPr>
            <w:r w:rsidRPr="0043591A">
              <w:rPr>
                <w:color w:val="auto"/>
                <w:sz w:val="18"/>
                <w:szCs w:val="18"/>
              </w:rPr>
              <w:t>12</w:t>
            </w:r>
          </w:p>
        </w:tc>
        <w:tc>
          <w:tcPr>
            <w:cnfStyle w:val="000010000000" w:firstRow="0" w:lastRow="0" w:firstColumn="0" w:lastColumn="0" w:oddVBand="1" w:evenVBand="0" w:oddHBand="0" w:evenHBand="0" w:firstRowFirstColumn="0" w:firstRowLastColumn="0" w:lastRowFirstColumn="0" w:lastRowLastColumn="0"/>
            <w:tcW w:w="1862" w:type="dxa"/>
          </w:tcPr>
          <w:p w14:paraId="526B692F" w14:textId="0E182490" w:rsidR="000E0325" w:rsidRPr="0043591A" w:rsidRDefault="000E0325" w:rsidP="00C55968">
            <w:pPr>
              <w:spacing w:line="360" w:lineRule="auto"/>
              <w:rPr>
                <w:b/>
                <w:sz w:val="18"/>
                <w:szCs w:val="18"/>
              </w:rPr>
            </w:pPr>
            <w:r w:rsidRPr="0043591A">
              <w:rPr>
                <w:b/>
                <w:sz w:val="18"/>
                <w:szCs w:val="18"/>
              </w:rPr>
              <w:t>DOMINIKANSKA REPUBLIKA</w:t>
            </w:r>
          </w:p>
        </w:tc>
        <w:tc>
          <w:tcPr>
            <w:tcW w:w="1994" w:type="dxa"/>
          </w:tcPr>
          <w:p w14:paraId="7DAF18BF" w14:textId="4F3F6F1E" w:rsidR="000E0325" w:rsidRPr="0043591A" w:rsidRDefault="000E0325"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w:t>
            </w:r>
          </w:p>
        </w:tc>
        <w:tc>
          <w:tcPr>
            <w:cnfStyle w:val="000010000000" w:firstRow="0" w:lastRow="0" w:firstColumn="0" w:lastColumn="0" w:oddVBand="1" w:evenVBand="0" w:oddHBand="0" w:evenHBand="0" w:firstRowFirstColumn="0" w:firstRowLastColumn="0" w:lastRowFirstColumn="0" w:lastRowLastColumn="0"/>
            <w:tcW w:w="993" w:type="dxa"/>
          </w:tcPr>
          <w:p w14:paraId="41554E13" w14:textId="4F96C4B0" w:rsidR="000E0325" w:rsidRPr="0043591A" w:rsidRDefault="000E0325" w:rsidP="00C55968">
            <w:pPr>
              <w:spacing w:line="360" w:lineRule="auto"/>
              <w:jc w:val="center"/>
              <w:rPr>
                <w:b/>
                <w:bCs/>
                <w:sz w:val="18"/>
                <w:szCs w:val="18"/>
              </w:rPr>
            </w:pPr>
            <w:r w:rsidRPr="0043591A">
              <w:rPr>
                <w:b/>
                <w:bCs/>
                <w:sz w:val="18"/>
                <w:szCs w:val="18"/>
              </w:rPr>
              <w:t>-</w:t>
            </w:r>
          </w:p>
        </w:tc>
        <w:tc>
          <w:tcPr>
            <w:tcW w:w="1842" w:type="dxa"/>
          </w:tcPr>
          <w:p w14:paraId="00A0FDF5" w14:textId="66047844" w:rsidR="000E0325" w:rsidRPr="0043591A" w:rsidRDefault="000E0325"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1763" w:type="dxa"/>
          </w:tcPr>
          <w:p w14:paraId="3B3B4552" w14:textId="5486AADC" w:rsidR="000E0325" w:rsidRPr="0043591A" w:rsidRDefault="000E0325" w:rsidP="00C55968">
            <w:pPr>
              <w:spacing w:line="360" w:lineRule="auto"/>
              <w:jc w:val="center"/>
              <w:rPr>
                <w:b/>
                <w:bCs/>
                <w:sz w:val="18"/>
                <w:szCs w:val="18"/>
              </w:rPr>
            </w:pPr>
            <w:r w:rsidRPr="0043591A">
              <w:rPr>
                <w:b/>
                <w:bCs/>
                <w:sz w:val="18"/>
                <w:szCs w:val="18"/>
              </w:rPr>
              <w:t>1</w:t>
            </w:r>
          </w:p>
        </w:tc>
      </w:tr>
      <w:tr w:rsidR="008B1D4B" w:rsidRPr="008B1D4B" w14:paraId="25F2E3EE" w14:textId="77777777" w:rsidTr="00A726AE">
        <w:trPr>
          <w:trHeight w:val="324"/>
        </w:trPr>
        <w:tc>
          <w:tcPr>
            <w:cnfStyle w:val="001000000000" w:firstRow="0" w:lastRow="0" w:firstColumn="1" w:lastColumn="0" w:oddVBand="0" w:evenVBand="0" w:oddHBand="0" w:evenHBand="0" w:firstRowFirstColumn="0" w:firstRowLastColumn="0" w:lastRowFirstColumn="0" w:lastRowLastColumn="0"/>
            <w:tcW w:w="709" w:type="dxa"/>
          </w:tcPr>
          <w:p w14:paraId="1AF4666F" w14:textId="77E48432" w:rsidR="00034615" w:rsidRPr="0043591A" w:rsidRDefault="001605E4" w:rsidP="00C55968">
            <w:pPr>
              <w:spacing w:line="360" w:lineRule="auto"/>
              <w:rPr>
                <w:bCs w:val="0"/>
                <w:color w:val="auto"/>
                <w:sz w:val="18"/>
                <w:szCs w:val="18"/>
              </w:rPr>
            </w:pPr>
            <w:r w:rsidRPr="0043591A">
              <w:rPr>
                <w:color w:val="auto"/>
                <w:sz w:val="18"/>
                <w:szCs w:val="18"/>
              </w:rPr>
              <w:t>13</w:t>
            </w:r>
          </w:p>
        </w:tc>
        <w:tc>
          <w:tcPr>
            <w:cnfStyle w:val="000010000000" w:firstRow="0" w:lastRow="0" w:firstColumn="0" w:lastColumn="0" w:oddVBand="1" w:evenVBand="0" w:oddHBand="0" w:evenHBand="0" w:firstRowFirstColumn="0" w:firstRowLastColumn="0" w:lastRowFirstColumn="0" w:lastRowLastColumn="0"/>
            <w:tcW w:w="1862" w:type="dxa"/>
          </w:tcPr>
          <w:p w14:paraId="05E51BA5" w14:textId="6CDCAEB7" w:rsidR="000E0325" w:rsidRPr="0043591A" w:rsidRDefault="007B6EF6" w:rsidP="00C55968">
            <w:pPr>
              <w:spacing w:line="360" w:lineRule="auto"/>
              <w:rPr>
                <w:b/>
                <w:sz w:val="18"/>
                <w:szCs w:val="18"/>
              </w:rPr>
            </w:pPr>
            <w:r w:rsidRPr="0043591A">
              <w:rPr>
                <w:b/>
                <w:sz w:val="18"/>
                <w:szCs w:val="18"/>
              </w:rPr>
              <w:t>ESTONIJA</w:t>
            </w:r>
          </w:p>
        </w:tc>
        <w:tc>
          <w:tcPr>
            <w:tcW w:w="1994" w:type="dxa"/>
          </w:tcPr>
          <w:p w14:paraId="41623620" w14:textId="1931BFE8" w:rsidR="00034615" w:rsidRPr="0043591A" w:rsidRDefault="007B6EF6"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21</w:t>
            </w:r>
          </w:p>
        </w:tc>
        <w:tc>
          <w:tcPr>
            <w:cnfStyle w:val="000010000000" w:firstRow="0" w:lastRow="0" w:firstColumn="0" w:lastColumn="0" w:oddVBand="1" w:evenVBand="0" w:oddHBand="0" w:evenHBand="0" w:firstRowFirstColumn="0" w:firstRowLastColumn="0" w:lastRowFirstColumn="0" w:lastRowLastColumn="0"/>
            <w:tcW w:w="993" w:type="dxa"/>
          </w:tcPr>
          <w:p w14:paraId="6FC33167" w14:textId="0D4EB1AF" w:rsidR="00034615" w:rsidRPr="0043591A" w:rsidRDefault="007B6EF6" w:rsidP="00C55968">
            <w:pPr>
              <w:spacing w:line="360" w:lineRule="auto"/>
              <w:jc w:val="center"/>
              <w:rPr>
                <w:b/>
                <w:bCs/>
                <w:sz w:val="18"/>
                <w:szCs w:val="18"/>
              </w:rPr>
            </w:pPr>
            <w:r w:rsidRPr="0043591A">
              <w:rPr>
                <w:b/>
                <w:bCs/>
                <w:sz w:val="18"/>
                <w:szCs w:val="18"/>
              </w:rPr>
              <w:t>21</w:t>
            </w:r>
          </w:p>
        </w:tc>
        <w:tc>
          <w:tcPr>
            <w:tcW w:w="1842" w:type="dxa"/>
          </w:tcPr>
          <w:p w14:paraId="2E4B3D12" w14:textId="1F032E5D" w:rsidR="00034615" w:rsidRPr="0043591A" w:rsidRDefault="007B6EF6"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w:t>
            </w:r>
          </w:p>
        </w:tc>
        <w:tc>
          <w:tcPr>
            <w:cnfStyle w:val="000010000000" w:firstRow="0" w:lastRow="0" w:firstColumn="0" w:lastColumn="0" w:oddVBand="1" w:evenVBand="0" w:oddHBand="0" w:evenHBand="0" w:firstRowFirstColumn="0" w:firstRowLastColumn="0" w:lastRowFirstColumn="0" w:lastRowLastColumn="0"/>
            <w:tcW w:w="1763" w:type="dxa"/>
          </w:tcPr>
          <w:p w14:paraId="1772B0BC" w14:textId="58166A91" w:rsidR="00034615" w:rsidRPr="0043591A" w:rsidRDefault="007B6EF6" w:rsidP="00C55968">
            <w:pPr>
              <w:spacing w:line="360" w:lineRule="auto"/>
              <w:jc w:val="center"/>
              <w:rPr>
                <w:b/>
                <w:bCs/>
                <w:sz w:val="18"/>
                <w:szCs w:val="18"/>
              </w:rPr>
            </w:pPr>
            <w:r w:rsidRPr="0043591A">
              <w:rPr>
                <w:b/>
                <w:bCs/>
                <w:sz w:val="18"/>
                <w:szCs w:val="18"/>
              </w:rPr>
              <w:t>-</w:t>
            </w:r>
          </w:p>
        </w:tc>
      </w:tr>
      <w:tr w:rsidR="008B1D4B" w:rsidRPr="008B1D4B" w14:paraId="6997FF1F" w14:textId="77777777" w:rsidTr="00A726AE">
        <w:trPr>
          <w:trHeight w:val="480"/>
        </w:trPr>
        <w:tc>
          <w:tcPr>
            <w:cnfStyle w:val="001000000000" w:firstRow="0" w:lastRow="0" w:firstColumn="1" w:lastColumn="0" w:oddVBand="0" w:evenVBand="0" w:oddHBand="0" w:evenHBand="0" w:firstRowFirstColumn="0" w:firstRowLastColumn="0" w:lastRowFirstColumn="0" w:lastRowLastColumn="0"/>
            <w:tcW w:w="709" w:type="dxa"/>
          </w:tcPr>
          <w:p w14:paraId="5B173678" w14:textId="51B87F88" w:rsidR="000E0325" w:rsidRPr="0043591A" w:rsidRDefault="001605E4" w:rsidP="00C55968">
            <w:pPr>
              <w:spacing w:line="360" w:lineRule="auto"/>
              <w:rPr>
                <w:bCs w:val="0"/>
                <w:color w:val="auto"/>
                <w:sz w:val="18"/>
                <w:szCs w:val="18"/>
              </w:rPr>
            </w:pPr>
            <w:r w:rsidRPr="0043591A">
              <w:rPr>
                <w:color w:val="auto"/>
                <w:sz w:val="18"/>
                <w:szCs w:val="18"/>
              </w:rPr>
              <w:t>14</w:t>
            </w:r>
          </w:p>
        </w:tc>
        <w:tc>
          <w:tcPr>
            <w:cnfStyle w:val="000010000000" w:firstRow="0" w:lastRow="0" w:firstColumn="0" w:lastColumn="0" w:oddVBand="1" w:evenVBand="0" w:oddHBand="0" w:evenHBand="0" w:firstRowFirstColumn="0" w:firstRowLastColumn="0" w:lastRowFirstColumn="0" w:lastRowLastColumn="0"/>
            <w:tcW w:w="1862" w:type="dxa"/>
          </w:tcPr>
          <w:p w14:paraId="24917A41" w14:textId="40599CD5" w:rsidR="000E0325" w:rsidRPr="0043591A" w:rsidRDefault="000E0325" w:rsidP="00C55968">
            <w:pPr>
              <w:spacing w:line="360" w:lineRule="auto"/>
              <w:rPr>
                <w:b/>
                <w:sz w:val="18"/>
                <w:szCs w:val="18"/>
              </w:rPr>
            </w:pPr>
            <w:r w:rsidRPr="0043591A">
              <w:rPr>
                <w:b/>
                <w:sz w:val="18"/>
                <w:szCs w:val="18"/>
              </w:rPr>
              <w:t>EUROPOL</w:t>
            </w:r>
          </w:p>
        </w:tc>
        <w:tc>
          <w:tcPr>
            <w:tcW w:w="1994" w:type="dxa"/>
          </w:tcPr>
          <w:p w14:paraId="7C0BCF39" w14:textId="48E25F76" w:rsidR="000E0325" w:rsidRPr="0043591A" w:rsidRDefault="000E0325"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w:t>
            </w:r>
          </w:p>
        </w:tc>
        <w:tc>
          <w:tcPr>
            <w:cnfStyle w:val="000010000000" w:firstRow="0" w:lastRow="0" w:firstColumn="0" w:lastColumn="0" w:oddVBand="1" w:evenVBand="0" w:oddHBand="0" w:evenHBand="0" w:firstRowFirstColumn="0" w:firstRowLastColumn="0" w:lastRowFirstColumn="0" w:lastRowLastColumn="0"/>
            <w:tcW w:w="993" w:type="dxa"/>
          </w:tcPr>
          <w:p w14:paraId="6C19C613" w14:textId="2F7501AB" w:rsidR="000E0325" w:rsidRPr="0043591A" w:rsidRDefault="000E0325" w:rsidP="00C55968">
            <w:pPr>
              <w:spacing w:line="360" w:lineRule="auto"/>
              <w:jc w:val="center"/>
              <w:rPr>
                <w:b/>
                <w:bCs/>
                <w:sz w:val="18"/>
                <w:szCs w:val="18"/>
              </w:rPr>
            </w:pPr>
            <w:r w:rsidRPr="0043591A">
              <w:rPr>
                <w:b/>
                <w:bCs/>
                <w:sz w:val="18"/>
                <w:szCs w:val="18"/>
              </w:rPr>
              <w:t>-</w:t>
            </w:r>
          </w:p>
        </w:tc>
        <w:tc>
          <w:tcPr>
            <w:tcW w:w="1842" w:type="dxa"/>
          </w:tcPr>
          <w:p w14:paraId="33D0B739" w14:textId="36CDC1C2" w:rsidR="000E0325" w:rsidRPr="0043591A" w:rsidRDefault="000E0325"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4</w:t>
            </w:r>
          </w:p>
        </w:tc>
        <w:tc>
          <w:tcPr>
            <w:cnfStyle w:val="000010000000" w:firstRow="0" w:lastRow="0" w:firstColumn="0" w:lastColumn="0" w:oddVBand="1" w:evenVBand="0" w:oddHBand="0" w:evenHBand="0" w:firstRowFirstColumn="0" w:firstRowLastColumn="0" w:lastRowFirstColumn="0" w:lastRowLastColumn="0"/>
            <w:tcW w:w="1763" w:type="dxa"/>
          </w:tcPr>
          <w:p w14:paraId="6911C3F8" w14:textId="0E8EF1A4" w:rsidR="000E0325" w:rsidRPr="0043591A" w:rsidRDefault="000E0325" w:rsidP="00C55968">
            <w:pPr>
              <w:spacing w:line="360" w:lineRule="auto"/>
              <w:jc w:val="center"/>
              <w:rPr>
                <w:b/>
                <w:bCs/>
                <w:sz w:val="18"/>
                <w:szCs w:val="18"/>
              </w:rPr>
            </w:pPr>
            <w:r w:rsidRPr="0043591A">
              <w:rPr>
                <w:b/>
                <w:bCs/>
                <w:sz w:val="18"/>
                <w:szCs w:val="18"/>
              </w:rPr>
              <w:t>4</w:t>
            </w:r>
          </w:p>
        </w:tc>
      </w:tr>
      <w:tr w:rsidR="008B1D4B" w:rsidRPr="008B1D4B" w14:paraId="0B4E7D61" w14:textId="77777777" w:rsidTr="00A726AE">
        <w:tc>
          <w:tcPr>
            <w:cnfStyle w:val="001000000000" w:firstRow="0" w:lastRow="0" w:firstColumn="1" w:lastColumn="0" w:oddVBand="0" w:evenVBand="0" w:oddHBand="0" w:evenHBand="0" w:firstRowFirstColumn="0" w:firstRowLastColumn="0" w:lastRowFirstColumn="0" w:lastRowLastColumn="0"/>
            <w:tcW w:w="709" w:type="dxa"/>
          </w:tcPr>
          <w:p w14:paraId="721EEDCF" w14:textId="050DCE20" w:rsidR="00034615" w:rsidRPr="0043591A" w:rsidRDefault="001605E4" w:rsidP="00C55968">
            <w:pPr>
              <w:spacing w:line="360" w:lineRule="auto"/>
              <w:rPr>
                <w:bCs w:val="0"/>
                <w:color w:val="auto"/>
                <w:sz w:val="18"/>
                <w:szCs w:val="18"/>
              </w:rPr>
            </w:pPr>
            <w:r w:rsidRPr="0043591A">
              <w:rPr>
                <w:color w:val="auto"/>
                <w:sz w:val="18"/>
                <w:szCs w:val="18"/>
              </w:rPr>
              <w:t>15</w:t>
            </w:r>
          </w:p>
        </w:tc>
        <w:tc>
          <w:tcPr>
            <w:cnfStyle w:val="000010000000" w:firstRow="0" w:lastRow="0" w:firstColumn="0" w:lastColumn="0" w:oddVBand="1" w:evenVBand="0" w:oddHBand="0" w:evenHBand="0" w:firstRowFirstColumn="0" w:firstRowLastColumn="0" w:lastRowFirstColumn="0" w:lastRowLastColumn="0"/>
            <w:tcW w:w="1862" w:type="dxa"/>
          </w:tcPr>
          <w:p w14:paraId="45A04129" w14:textId="669777B3" w:rsidR="00034615" w:rsidRPr="0043591A" w:rsidRDefault="006E157F" w:rsidP="00C55968">
            <w:pPr>
              <w:spacing w:line="360" w:lineRule="auto"/>
              <w:rPr>
                <w:b/>
                <w:sz w:val="18"/>
                <w:szCs w:val="18"/>
              </w:rPr>
            </w:pPr>
            <w:r w:rsidRPr="0043591A">
              <w:rPr>
                <w:b/>
                <w:sz w:val="18"/>
                <w:szCs w:val="18"/>
              </w:rPr>
              <w:t>FILIPINI</w:t>
            </w:r>
          </w:p>
        </w:tc>
        <w:tc>
          <w:tcPr>
            <w:tcW w:w="1994" w:type="dxa"/>
          </w:tcPr>
          <w:p w14:paraId="2FF0A759" w14:textId="5BD7F1FB"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993" w:type="dxa"/>
          </w:tcPr>
          <w:p w14:paraId="3E50D8EC" w14:textId="066B0FDD" w:rsidR="00034615" w:rsidRPr="0043591A" w:rsidRDefault="006E157F" w:rsidP="00C55968">
            <w:pPr>
              <w:spacing w:line="360" w:lineRule="auto"/>
              <w:jc w:val="center"/>
              <w:rPr>
                <w:b/>
                <w:bCs/>
                <w:sz w:val="18"/>
                <w:szCs w:val="18"/>
              </w:rPr>
            </w:pPr>
            <w:r w:rsidRPr="0043591A">
              <w:rPr>
                <w:b/>
                <w:bCs/>
                <w:sz w:val="18"/>
                <w:szCs w:val="18"/>
              </w:rPr>
              <w:t>1</w:t>
            </w:r>
          </w:p>
        </w:tc>
        <w:tc>
          <w:tcPr>
            <w:tcW w:w="1842" w:type="dxa"/>
          </w:tcPr>
          <w:p w14:paraId="3E9EBC89" w14:textId="544C576B"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1763" w:type="dxa"/>
          </w:tcPr>
          <w:p w14:paraId="6AB3B5B3" w14:textId="0FC27E50" w:rsidR="00034615" w:rsidRPr="0043591A" w:rsidRDefault="006E157F" w:rsidP="00C55968">
            <w:pPr>
              <w:spacing w:line="360" w:lineRule="auto"/>
              <w:jc w:val="center"/>
              <w:rPr>
                <w:b/>
                <w:bCs/>
                <w:sz w:val="18"/>
                <w:szCs w:val="18"/>
              </w:rPr>
            </w:pPr>
            <w:r w:rsidRPr="0043591A">
              <w:rPr>
                <w:b/>
                <w:bCs/>
                <w:sz w:val="18"/>
                <w:szCs w:val="18"/>
              </w:rPr>
              <w:t>1</w:t>
            </w:r>
          </w:p>
        </w:tc>
      </w:tr>
      <w:tr w:rsidR="008B1D4B" w:rsidRPr="008B1D4B" w14:paraId="04F5B49A" w14:textId="77777777" w:rsidTr="00A726AE">
        <w:trPr>
          <w:trHeight w:val="150"/>
        </w:trPr>
        <w:tc>
          <w:tcPr>
            <w:cnfStyle w:val="001000000000" w:firstRow="0" w:lastRow="0" w:firstColumn="1" w:lastColumn="0" w:oddVBand="0" w:evenVBand="0" w:oddHBand="0" w:evenHBand="0" w:firstRowFirstColumn="0" w:firstRowLastColumn="0" w:lastRowFirstColumn="0" w:lastRowLastColumn="0"/>
            <w:tcW w:w="709" w:type="dxa"/>
          </w:tcPr>
          <w:p w14:paraId="5D2CB48C" w14:textId="61F0D21C" w:rsidR="00034615" w:rsidRPr="0043591A" w:rsidRDefault="001605E4" w:rsidP="00C55968">
            <w:pPr>
              <w:spacing w:line="360" w:lineRule="auto"/>
              <w:rPr>
                <w:bCs w:val="0"/>
                <w:color w:val="auto"/>
                <w:sz w:val="18"/>
                <w:szCs w:val="18"/>
              </w:rPr>
            </w:pPr>
            <w:r w:rsidRPr="0043591A">
              <w:rPr>
                <w:color w:val="auto"/>
                <w:sz w:val="18"/>
                <w:szCs w:val="18"/>
              </w:rPr>
              <w:t>16</w:t>
            </w:r>
          </w:p>
        </w:tc>
        <w:tc>
          <w:tcPr>
            <w:cnfStyle w:val="000010000000" w:firstRow="0" w:lastRow="0" w:firstColumn="0" w:lastColumn="0" w:oddVBand="1" w:evenVBand="0" w:oddHBand="0" w:evenHBand="0" w:firstRowFirstColumn="0" w:firstRowLastColumn="0" w:lastRowFirstColumn="0" w:lastRowLastColumn="0"/>
            <w:tcW w:w="1862" w:type="dxa"/>
          </w:tcPr>
          <w:p w14:paraId="7539AAE8" w14:textId="6C293041" w:rsidR="00034615" w:rsidRPr="0043591A" w:rsidRDefault="006E157F" w:rsidP="00C55968">
            <w:pPr>
              <w:spacing w:line="360" w:lineRule="auto"/>
              <w:rPr>
                <w:b/>
                <w:sz w:val="18"/>
                <w:szCs w:val="18"/>
              </w:rPr>
            </w:pPr>
            <w:r w:rsidRPr="0043591A">
              <w:rPr>
                <w:b/>
                <w:sz w:val="18"/>
                <w:szCs w:val="18"/>
              </w:rPr>
              <w:t>FINSKA</w:t>
            </w:r>
          </w:p>
        </w:tc>
        <w:tc>
          <w:tcPr>
            <w:tcW w:w="1994" w:type="dxa"/>
          </w:tcPr>
          <w:p w14:paraId="405E7853" w14:textId="032D0EB9"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993" w:type="dxa"/>
          </w:tcPr>
          <w:p w14:paraId="033ACD51" w14:textId="729A9244" w:rsidR="00034615" w:rsidRPr="0043591A" w:rsidRDefault="006E157F" w:rsidP="00C55968">
            <w:pPr>
              <w:spacing w:line="360" w:lineRule="auto"/>
              <w:jc w:val="center"/>
              <w:rPr>
                <w:b/>
                <w:bCs/>
                <w:sz w:val="18"/>
                <w:szCs w:val="18"/>
              </w:rPr>
            </w:pPr>
            <w:r w:rsidRPr="0043591A">
              <w:rPr>
                <w:b/>
                <w:bCs/>
                <w:sz w:val="18"/>
                <w:szCs w:val="18"/>
              </w:rPr>
              <w:t>1</w:t>
            </w:r>
          </w:p>
        </w:tc>
        <w:tc>
          <w:tcPr>
            <w:tcW w:w="1842" w:type="dxa"/>
          </w:tcPr>
          <w:p w14:paraId="01E342A5" w14:textId="2EEA2A5A"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w:t>
            </w:r>
          </w:p>
        </w:tc>
        <w:tc>
          <w:tcPr>
            <w:cnfStyle w:val="000010000000" w:firstRow="0" w:lastRow="0" w:firstColumn="0" w:lastColumn="0" w:oddVBand="1" w:evenVBand="0" w:oddHBand="0" w:evenHBand="0" w:firstRowFirstColumn="0" w:firstRowLastColumn="0" w:lastRowFirstColumn="0" w:lastRowLastColumn="0"/>
            <w:tcW w:w="1763" w:type="dxa"/>
          </w:tcPr>
          <w:p w14:paraId="0680597D" w14:textId="68677B9C" w:rsidR="00034615" w:rsidRPr="0043591A" w:rsidRDefault="006E157F" w:rsidP="00C55968">
            <w:pPr>
              <w:spacing w:line="360" w:lineRule="auto"/>
              <w:jc w:val="center"/>
              <w:rPr>
                <w:b/>
                <w:bCs/>
                <w:sz w:val="18"/>
                <w:szCs w:val="18"/>
              </w:rPr>
            </w:pPr>
            <w:r w:rsidRPr="0043591A">
              <w:rPr>
                <w:b/>
                <w:bCs/>
                <w:sz w:val="18"/>
                <w:szCs w:val="18"/>
              </w:rPr>
              <w:t>-</w:t>
            </w:r>
          </w:p>
        </w:tc>
      </w:tr>
      <w:tr w:rsidR="008B1D4B" w:rsidRPr="008B1D4B" w14:paraId="6F2CD62D" w14:textId="77777777" w:rsidTr="00A726AE">
        <w:trPr>
          <w:trHeight w:val="150"/>
        </w:trPr>
        <w:tc>
          <w:tcPr>
            <w:cnfStyle w:val="001000000000" w:firstRow="0" w:lastRow="0" w:firstColumn="1" w:lastColumn="0" w:oddVBand="0" w:evenVBand="0" w:oddHBand="0" w:evenHBand="0" w:firstRowFirstColumn="0" w:firstRowLastColumn="0" w:lastRowFirstColumn="0" w:lastRowLastColumn="0"/>
            <w:tcW w:w="709" w:type="dxa"/>
          </w:tcPr>
          <w:p w14:paraId="611E1987" w14:textId="5A7E1C39" w:rsidR="00034615" w:rsidRPr="0043591A" w:rsidRDefault="001605E4" w:rsidP="00C55968">
            <w:pPr>
              <w:spacing w:line="360" w:lineRule="auto"/>
              <w:rPr>
                <w:bCs w:val="0"/>
                <w:color w:val="auto"/>
                <w:sz w:val="18"/>
                <w:szCs w:val="18"/>
              </w:rPr>
            </w:pPr>
            <w:r w:rsidRPr="0043591A">
              <w:rPr>
                <w:color w:val="auto"/>
                <w:sz w:val="18"/>
                <w:szCs w:val="18"/>
              </w:rPr>
              <w:t>17</w:t>
            </w:r>
          </w:p>
        </w:tc>
        <w:tc>
          <w:tcPr>
            <w:cnfStyle w:val="000010000000" w:firstRow="0" w:lastRow="0" w:firstColumn="0" w:lastColumn="0" w:oddVBand="1" w:evenVBand="0" w:oddHBand="0" w:evenHBand="0" w:firstRowFirstColumn="0" w:firstRowLastColumn="0" w:lastRowFirstColumn="0" w:lastRowLastColumn="0"/>
            <w:tcW w:w="1862" w:type="dxa"/>
          </w:tcPr>
          <w:p w14:paraId="7F17B8AD" w14:textId="7301CB8F" w:rsidR="00034615" w:rsidRPr="0043591A" w:rsidRDefault="006E157F" w:rsidP="00C55968">
            <w:pPr>
              <w:spacing w:line="360" w:lineRule="auto"/>
              <w:rPr>
                <w:b/>
                <w:sz w:val="18"/>
                <w:szCs w:val="18"/>
              </w:rPr>
            </w:pPr>
            <w:r w:rsidRPr="0043591A">
              <w:rPr>
                <w:b/>
                <w:sz w:val="18"/>
                <w:szCs w:val="18"/>
              </w:rPr>
              <w:t>FRANCIJA</w:t>
            </w:r>
          </w:p>
        </w:tc>
        <w:tc>
          <w:tcPr>
            <w:tcW w:w="1994" w:type="dxa"/>
          </w:tcPr>
          <w:p w14:paraId="4C14C93F" w14:textId="26EB353F"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2</w:t>
            </w:r>
          </w:p>
        </w:tc>
        <w:tc>
          <w:tcPr>
            <w:cnfStyle w:val="000010000000" w:firstRow="0" w:lastRow="0" w:firstColumn="0" w:lastColumn="0" w:oddVBand="1" w:evenVBand="0" w:oddHBand="0" w:evenHBand="0" w:firstRowFirstColumn="0" w:firstRowLastColumn="0" w:lastRowFirstColumn="0" w:lastRowLastColumn="0"/>
            <w:tcW w:w="993" w:type="dxa"/>
          </w:tcPr>
          <w:p w14:paraId="54794E3A" w14:textId="286674F3" w:rsidR="00034615" w:rsidRPr="0043591A" w:rsidRDefault="006E157F" w:rsidP="00C55968">
            <w:pPr>
              <w:spacing w:line="360" w:lineRule="auto"/>
              <w:jc w:val="center"/>
              <w:rPr>
                <w:b/>
                <w:bCs/>
                <w:sz w:val="18"/>
                <w:szCs w:val="18"/>
              </w:rPr>
            </w:pPr>
            <w:r w:rsidRPr="0043591A">
              <w:rPr>
                <w:b/>
                <w:bCs/>
                <w:sz w:val="18"/>
                <w:szCs w:val="18"/>
              </w:rPr>
              <w:t>2</w:t>
            </w:r>
          </w:p>
        </w:tc>
        <w:tc>
          <w:tcPr>
            <w:tcW w:w="1842" w:type="dxa"/>
          </w:tcPr>
          <w:p w14:paraId="4CBAE6D4" w14:textId="7DA1578E"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2</w:t>
            </w:r>
          </w:p>
        </w:tc>
        <w:tc>
          <w:tcPr>
            <w:cnfStyle w:val="000010000000" w:firstRow="0" w:lastRow="0" w:firstColumn="0" w:lastColumn="0" w:oddVBand="1" w:evenVBand="0" w:oddHBand="0" w:evenHBand="0" w:firstRowFirstColumn="0" w:firstRowLastColumn="0" w:lastRowFirstColumn="0" w:lastRowLastColumn="0"/>
            <w:tcW w:w="1763" w:type="dxa"/>
          </w:tcPr>
          <w:p w14:paraId="3936321A" w14:textId="31A8D527" w:rsidR="00034615" w:rsidRPr="0043591A" w:rsidRDefault="006E157F" w:rsidP="00C55968">
            <w:pPr>
              <w:spacing w:line="360" w:lineRule="auto"/>
              <w:jc w:val="center"/>
              <w:rPr>
                <w:b/>
                <w:bCs/>
                <w:sz w:val="18"/>
                <w:szCs w:val="18"/>
              </w:rPr>
            </w:pPr>
            <w:r w:rsidRPr="0043591A">
              <w:rPr>
                <w:b/>
                <w:bCs/>
                <w:sz w:val="18"/>
                <w:szCs w:val="18"/>
              </w:rPr>
              <w:t>2</w:t>
            </w:r>
          </w:p>
        </w:tc>
      </w:tr>
      <w:tr w:rsidR="008B1D4B" w:rsidRPr="008B1D4B" w14:paraId="12C3535F" w14:textId="77777777" w:rsidTr="00A726AE">
        <w:trPr>
          <w:trHeight w:val="255"/>
        </w:trPr>
        <w:tc>
          <w:tcPr>
            <w:cnfStyle w:val="001000000000" w:firstRow="0" w:lastRow="0" w:firstColumn="1" w:lastColumn="0" w:oddVBand="0" w:evenVBand="0" w:oddHBand="0" w:evenHBand="0" w:firstRowFirstColumn="0" w:firstRowLastColumn="0" w:lastRowFirstColumn="0" w:lastRowLastColumn="0"/>
            <w:tcW w:w="709" w:type="dxa"/>
          </w:tcPr>
          <w:p w14:paraId="2621682C" w14:textId="2A4C9E16" w:rsidR="00034615" w:rsidRPr="0043591A" w:rsidRDefault="001605E4" w:rsidP="00C55968">
            <w:pPr>
              <w:spacing w:line="360" w:lineRule="auto"/>
              <w:rPr>
                <w:bCs w:val="0"/>
                <w:color w:val="auto"/>
                <w:sz w:val="18"/>
                <w:szCs w:val="18"/>
              </w:rPr>
            </w:pPr>
            <w:r w:rsidRPr="0043591A">
              <w:rPr>
                <w:color w:val="auto"/>
                <w:sz w:val="18"/>
                <w:szCs w:val="18"/>
              </w:rPr>
              <w:t>18</w:t>
            </w:r>
          </w:p>
        </w:tc>
        <w:tc>
          <w:tcPr>
            <w:cnfStyle w:val="000010000000" w:firstRow="0" w:lastRow="0" w:firstColumn="0" w:lastColumn="0" w:oddVBand="1" w:evenVBand="0" w:oddHBand="0" w:evenHBand="0" w:firstRowFirstColumn="0" w:firstRowLastColumn="0" w:lastRowFirstColumn="0" w:lastRowLastColumn="0"/>
            <w:tcW w:w="1862" w:type="dxa"/>
          </w:tcPr>
          <w:p w14:paraId="0278CE32" w14:textId="502CF4C4" w:rsidR="00034615" w:rsidRPr="0043591A" w:rsidRDefault="006E157F" w:rsidP="00C55968">
            <w:pPr>
              <w:spacing w:line="360" w:lineRule="auto"/>
              <w:rPr>
                <w:b/>
                <w:sz w:val="18"/>
                <w:szCs w:val="18"/>
              </w:rPr>
            </w:pPr>
            <w:r w:rsidRPr="0043591A">
              <w:rPr>
                <w:b/>
                <w:sz w:val="18"/>
                <w:szCs w:val="18"/>
              </w:rPr>
              <w:t>GRČIJA</w:t>
            </w:r>
          </w:p>
        </w:tc>
        <w:tc>
          <w:tcPr>
            <w:tcW w:w="1994" w:type="dxa"/>
          </w:tcPr>
          <w:p w14:paraId="6F8B0517" w14:textId="67B6EE20"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993" w:type="dxa"/>
          </w:tcPr>
          <w:p w14:paraId="434F34A6" w14:textId="6FDA232E" w:rsidR="00034615" w:rsidRPr="0043591A" w:rsidRDefault="006E157F" w:rsidP="00C55968">
            <w:pPr>
              <w:spacing w:line="360" w:lineRule="auto"/>
              <w:jc w:val="center"/>
              <w:rPr>
                <w:b/>
                <w:bCs/>
                <w:sz w:val="18"/>
                <w:szCs w:val="18"/>
              </w:rPr>
            </w:pPr>
            <w:r w:rsidRPr="0043591A">
              <w:rPr>
                <w:b/>
                <w:bCs/>
                <w:sz w:val="18"/>
                <w:szCs w:val="18"/>
              </w:rPr>
              <w:t>1</w:t>
            </w:r>
          </w:p>
        </w:tc>
        <w:tc>
          <w:tcPr>
            <w:tcW w:w="1842" w:type="dxa"/>
          </w:tcPr>
          <w:p w14:paraId="50A3A76F" w14:textId="1E848896"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w:t>
            </w:r>
          </w:p>
        </w:tc>
        <w:tc>
          <w:tcPr>
            <w:cnfStyle w:val="000010000000" w:firstRow="0" w:lastRow="0" w:firstColumn="0" w:lastColumn="0" w:oddVBand="1" w:evenVBand="0" w:oddHBand="0" w:evenHBand="0" w:firstRowFirstColumn="0" w:firstRowLastColumn="0" w:lastRowFirstColumn="0" w:lastRowLastColumn="0"/>
            <w:tcW w:w="1763" w:type="dxa"/>
          </w:tcPr>
          <w:p w14:paraId="315B3314" w14:textId="5D78931F" w:rsidR="00034615" w:rsidRPr="0043591A" w:rsidRDefault="006E157F" w:rsidP="00C55968">
            <w:pPr>
              <w:spacing w:line="360" w:lineRule="auto"/>
              <w:jc w:val="center"/>
              <w:rPr>
                <w:b/>
                <w:bCs/>
                <w:sz w:val="18"/>
                <w:szCs w:val="18"/>
              </w:rPr>
            </w:pPr>
            <w:r w:rsidRPr="0043591A">
              <w:rPr>
                <w:b/>
                <w:bCs/>
                <w:sz w:val="18"/>
                <w:szCs w:val="18"/>
              </w:rPr>
              <w:t>-</w:t>
            </w:r>
          </w:p>
        </w:tc>
      </w:tr>
      <w:tr w:rsidR="008B1D4B" w:rsidRPr="008B1D4B" w14:paraId="14B363ED" w14:textId="77777777" w:rsidTr="00A726AE">
        <w:trPr>
          <w:trHeight w:val="135"/>
        </w:trPr>
        <w:tc>
          <w:tcPr>
            <w:cnfStyle w:val="001000000000" w:firstRow="0" w:lastRow="0" w:firstColumn="1" w:lastColumn="0" w:oddVBand="0" w:evenVBand="0" w:oddHBand="0" w:evenHBand="0" w:firstRowFirstColumn="0" w:firstRowLastColumn="0" w:lastRowFirstColumn="0" w:lastRowLastColumn="0"/>
            <w:tcW w:w="709" w:type="dxa"/>
          </w:tcPr>
          <w:p w14:paraId="6A621377" w14:textId="7A2EABE6" w:rsidR="00034615" w:rsidRPr="0043591A" w:rsidRDefault="001605E4" w:rsidP="00C55968">
            <w:pPr>
              <w:spacing w:line="360" w:lineRule="auto"/>
              <w:rPr>
                <w:bCs w:val="0"/>
                <w:color w:val="auto"/>
                <w:sz w:val="18"/>
                <w:szCs w:val="18"/>
              </w:rPr>
            </w:pPr>
            <w:r w:rsidRPr="0043591A">
              <w:rPr>
                <w:color w:val="auto"/>
                <w:sz w:val="18"/>
                <w:szCs w:val="18"/>
              </w:rPr>
              <w:t>19</w:t>
            </w:r>
          </w:p>
        </w:tc>
        <w:tc>
          <w:tcPr>
            <w:cnfStyle w:val="000010000000" w:firstRow="0" w:lastRow="0" w:firstColumn="0" w:lastColumn="0" w:oddVBand="1" w:evenVBand="0" w:oddHBand="0" w:evenHBand="0" w:firstRowFirstColumn="0" w:firstRowLastColumn="0" w:lastRowFirstColumn="0" w:lastRowLastColumn="0"/>
            <w:tcW w:w="1862" w:type="dxa"/>
          </w:tcPr>
          <w:p w14:paraId="20A6F1A9" w14:textId="516C0EE9" w:rsidR="00034615" w:rsidRPr="0043591A" w:rsidRDefault="006E157F" w:rsidP="00C55968">
            <w:pPr>
              <w:spacing w:line="360" w:lineRule="auto"/>
              <w:rPr>
                <w:b/>
                <w:sz w:val="18"/>
                <w:szCs w:val="18"/>
              </w:rPr>
            </w:pPr>
            <w:r w:rsidRPr="0043591A">
              <w:rPr>
                <w:b/>
                <w:sz w:val="18"/>
                <w:szCs w:val="18"/>
              </w:rPr>
              <w:t>GRUZIJA</w:t>
            </w:r>
          </w:p>
        </w:tc>
        <w:tc>
          <w:tcPr>
            <w:tcW w:w="1994" w:type="dxa"/>
          </w:tcPr>
          <w:p w14:paraId="3F919D03" w14:textId="3984E5E0"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993" w:type="dxa"/>
          </w:tcPr>
          <w:p w14:paraId="504153E8" w14:textId="3A738510" w:rsidR="00034615" w:rsidRPr="0043591A" w:rsidRDefault="006E157F" w:rsidP="00C55968">
            <w:pPr>
              <w:spacing w:line="360" w:lineRule="auto"/>
              <w:jc w:val="center"/>
              <w:rPr>
                <w:b/>
                <w:bCs/>
                <w:sz w:val="18"/>
                <w:szCs w:val="18"/>
              </w:rPr>
            </w:pPr>
            <w:r w:rsidRPr="0043591A">
              <w:rPr>
                <w:b/>
                <w:bCs/>
                <w:sz w:val="18"/>
                <w:szCs w:val="18"/>
              </w:rPr>
              <w:t>1</w:t>
            </w:r>
          </w:p>
        </w:tc>
        <w:tc>
          <w:tcPr>
            <w:tcW w:w="1842" w:type="dxa"/>
          </w:tcPr>
          <w:p w14:paraId="753CC09F" w14:textId="7CC4839C"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w:t>
            </w:r>
          </w:p>
        </w:tc>
        <w:tc>
          <w:tcPr>
            <w:cnfStyle w:val="000010000000" w:firstRow="0" w:lastRow="0" w:firstColumn="0" w:lastColumn="0" w:oddVBand="1" w:evenVBand="0" w:oddHBand="0" w:evenHBand="0" w:firstRowFirstColumn="0" w:firstRowLastColumn="0" w:lastRowFirstColumn="0" w:lastRowLastColumn="0"/>
            <w:tcW w:w="1763" w:type="dxa"/>
          </w:tcPr>
          <w:p w14:paraId="36B68FB2" w14:textId="19F9FED8" w:rsidR="00034615" w:rsidRPr="0043591A" w:rsidRDefault="006E157F" w:rsidP="00C55968">
            <w:pPr>
              <w:spacing w:line="360" w:lineRule="auto"/>
              <w:jc w:val="center"/>
              <w:rPr>
                <w:b/>
                <w:bCs/>
                <w:sz w:val="18"/>
                <w:szCs w:val="18"/>
              </w:rPr>
            </w:pPr>
            <w:r w:rsidRPr="0043591A">
              <w:rPr>
                <w:b/>
                <w:bCs/>
                <w:sz w:val="18"/>
                <w:szCs w:val="18"/>
              </w:rPr>
              <w:t>-</w:t>
            </w:r>
          </w:p>
        </w:tc>
      </w:tr>
      <w:tr w:rsidR="008B1D4B" w:rsidRPr="008B1D4B" w14:paraId="5911D10E" w14:textId="77777777" w:rsidTr="00A726AE">
        <w:trPr>
          <w:trHeight w:val="58"/>
        </w:trPr>
        <w:tc>
          <w:tcPr>
            <w:cnfStyle w:val="001000000000" w:firstRow="0" w:lastRow="0" w:firstColumn="1" w:lastColumn="0" w:oddVBand="0" w:evenVBand="0" w:oddHBand="0" w:evenHBand="0" w:firstRowFirstColumn="0" w:firstRowLastColumn="0" w:lastRowFirstColumn="0" w:lastRowLastColumn="0"/>
            <w:tcW w:w="709" w:type="dxa"/>
          </w:tcPr>
          <w:p w14:paraId="410D40C8" w14:textId="7D6E73CF" w:rsidR="00034615" w:rsidRPr="0043591A" w:rsidRDefault="001605E4" w:rsidP="00C55968">
            <w:pPr>
              <w:spacing w:line="360" w:lineRule="auto"/>
              <w:rPr>
                <w:bCs w:val="0"/>
                <w:color w:val="auto"/>
                <w:sz w:val="18"/>
                <w:szCs w:val="18"/>
              </w:rPr>
            </w:pPr>
            <w:r w:rsidRPr="0043591A">
              <w:rPr>
                <w:color w:val="auto"/>
                <w:sz w:val="18"/>
                <w:szCs w:val="18"/>
              </w:rPr>
              <w:t>20</w:t>
            </w:r>
          </w:p>
        </w:tc>
        <w:tc>
          <w:tcPr>
            <w:cnfStyle w:val="000010000000" w:firstRow="0" w:lastRow="0" w:firstColumn="0" w:lastColumn="0" w:oddVBand="1" w:evenVBand="0" w:oddHBand="0" w:evenHBand="0" w:firstRowFirstColumn="0" w:firstRowLastColumn="0" w:lastRowFirstColumn="0" w:lastRowLastColumn="0"/>
            <w:tcW w:w="1862" w:type="dxa"/>
          </w:tcPr>
          <w:p w14:paraId="701428B8" w14:textId="3DD2A544" w:rsidR="00034615" w:rsidRPr="0043591A" w:rsidRDefault="006E157F" w:rsidP="00C55968">
            <w:pPr>
              <w:spacing w:line="360" w:lineRule="auto"/>
              <w:rPr>
                <w:b/>
                <w:sz w:val="18"/>
                <w:szCs w:val="18"/>
              </w:rPr>
            </w:pPr>
            <w:r w:rsidRPr="0043591A">
              <w:rPr>
                <w:b/>
                <w:sz w:val="18"/>
                <w:szCs w:val="18"/>
              </w:rPr>
              <w:t>HONG KONG</w:t>
            </w:r>
          </w:p>
        </w:tc>
        <w:tc>
          <w:tcPr>
            <w:tcW w:w="1994" w:type="dxa"/>
          </w:tcPr>
          <w:p w14:paraId="506B1DBE" w14:textId="551AEB48"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2</w:t>
            </w:r>
          </w:p>
        </w:tc>
        <w:tc>
          <w:tcPr>
            <w:cnfStyle w:val="000010000000" w:firstRow="0" w:lastRow="0" w:firstColumn="0" w:lastColumn="0" w:oddVBand="1" w:evenVBand="0" w:oddHBand="0" w:evenHBand="0" w:firstRowFirstColumn="0" w:firstRowLastColumn="0" w:lastRowFirstColumn="0" w:lastRowLastColumn="0"/>
            <w:tcW w:w="993" w:type="dxa"/>
          </w:tcPr>
          <w:p w14:paraId="3860E874" w14:textId="04C1113C" w:rsidR="00034615" w:rsidRPr="0043591A" w:rsidRDefault="006E157F" w:rsidP="00C55968">
            <w:pPr>
              <w:spacing w:line="360" w:lineRule="auto"/>
              <w:jc w:val="center"/>
              <w:rPr>
                <w:b/>
                <w:bCs/>
                <w:sz w:val="18"/>
                <w:szCs w:val="18"/>
              </w:rPr>
            </w:pPr>
            <w:r w:rsidRPr="0043591A">
              <w:rPr>
                <w:b/>
                <w:bCs/>
                <w:sz w:val="18"/>
                <w:szCs w:val="18"/>
              </w:rPr>
              <w:t>2</w:t>
            </w:r>
          </w:p>
        </w:tc>
        <w:tc>
          <w:tcPr>
            <w:tcW w:w="1842" w:type="dxa"/>
          </w:tcPr>
          <w:p w14:paraId="78C2693A" w14:textId="7DBEE9BC"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w:t>
            </w:r>
          </w:p>
        </w:tc>
        <w:tc>
          <w:tcPr>
            <w:cnfStyle w:val="000010000000" w:firstRow="0" w:lastRow="0" w:firstColumn="0" w:lastColumn="0" w:oddVBand="1" w:evenVBand="0" w:oddHBand="0" w:evenHBand="0" w:firstRowFirstColumn="0" w:firstRowLastColumn="0" w:lastRowFirstColumn="0" w:lastRowLastColumn="0"/>
            <w:tcW w:w="1763" w:type="dxa"/>
          </w:tcPr>
          <w:p w14:paraId="554BD406" w14:textId="2019C151" w:rsidR="00034615" w:rsidRPr="0043591A" w:rsidRDefault="006E157F" w:rsidP="00C55968">
            <w:pPr>
              <w:spacing w:line="360" w:lineRule="auto"/>
              <w:jc w:val="center"/>
              <w:rPr>
                <w:b/>
                <w:bCs/>
                <w:sz w:val="18"/>
                <w:szCs w:val="18"/>
              </w:rPr>
            </w:pPr>
            <w:r w:rsidRPr="0043591A">
              <w:rPr>
                <w:b/>
                <w:bCs/>
                <w:sz w:val="18"/>
                <w:szCs w:val="18"/>
              </w:rPr>
              <w:t>-</w:t>
            </w:r>
          </w:p>
        </w:tc>
      </w:tr>
      <w:tr w:rsidR="008B1D4B" w:rsidRPr="008B1D4B" w14:paraId="310F2E7C" w14:textId="77777777" w:rsidTr="00A726AE">
        <w:trPr>
          <w:trHeight w:val="240"/>
        </w:trPr>
        <w:tc>
          <w:tcPr>
            <w:cnfStyle w:val="001000000000" w:firstRow="0" w:lastRow="0" w:firstColumn="1" w:lastColumn="0" w:oddVBand="0" w:evenVBand="0" w:oddHBand="0" w:evenHBand="0" w:firstRowFirstColumn="0" w:firstRowLastColumn="0" w:lastRowFirstColumn="0" w:lastRowLastColumn="0"/>
            <w:tcW w:w="709" w:type="dxa"/>
          </w:tcPr>
          <w:p w14:paraId="1B8DEEFD" w14:textId="55356BA6" w:rsidR="00034615" w:rsidRPr="0043591A" w:rsidRDefault="001605E4" w:rsidP="00C55968">
            <w:pPr>
              <w:spacing w:line="360" w:lineRule="auto"/>
              <w:rPr>
                <w:bCs w:val="0"/>
                <w:color w:val="auto"/>
                <w:sz w:val="18"/>
                <w:szCs w:val="18"/>
              </w:rPr>
            </w:pPr>
            <w:r w:rsidRPr="0043591A">
              <w:rPr>
                <w:color w:val="auto"/>
                <w:sz w:val="18"/>
                <w:szCs w:val="18"/>
              </w:rPr>
              <w:t>21</w:t>
            </w:r>
          </w:p>
        </w:tc>
        <w:tc>
          <w:tcPr>
            <w:cnfStyle w:val="000010000000" w:firstRow="0" w:lastRow="0" w:firstColumn="0" w:lastColumn="0" w:oddVBand="1" w:evenVBand="0" w:oddHBand="0" w:evenHBand="0" w:firstRowFirstColumn="0" w:firstRowLastColumn="0" w:lastRowFirstColumn="0" w:lastRowLastColumn="0"/>
            <w:tcW w:w="1862" w:type="dxa"/>
          </w:tcPr>
          <w:p w14:paraId="7EA77AFA" w14:textId="598FB5AB" w:rsidR="00034615" w:rsidRPr="0043591A" w:rsidRDefault="006E157F" w:rsidP="00C55968">
            <w:pPr>
              <w:spacing w:line="360" w:lineRule="auto"/>
              <w:rPr>
                <w:b/>
                <w:sz w:val="18"/>
                <w:szCs w:val="18"/>
              </w:rPr>
            </w:pPr>
            <w:r w:rsidRPr="0043591A">
              <w:rPr>
                <w:b/>
                <w:sz w:val="18"/>
                <w:szCs w:val="18"/>
              </w:rPr>
              <w:t>HRVAŠKA</w:t>
            </w:r>
          </w:p>
        </w:tc>
        <w:tc>
          <w:tcPr>
            <w:tcW w:w="1994" w:type="dxa"/>
          </w:tcPr>
          <w:p w14:paraId="7A25BBFB" w14:textId="2685FF49"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48</w:t>
            </w:r>
          </w:p>
        </w:tc>
        <w:tc>
          <w:tcPr>
            <w:cnfStyle w:val="000010000000" w:firstRow="0" w:lastRow="0" w:firstColumn="0" w:lastColumn="0" w:oddVBand="1" w:evenVBand="0" w:oddHBand="0" w:evenHBand="0" w:firstRowFirstColumn="0" w:firstRowLastColumn="0" w:lastRowFirstColumn="0" w:lastRowLastColumn="0"/>
            <w:tcW w:w="993" w:type="dxa"/>
          </w:tcPr>
          <w:p w14:paraId="14A9936F" w14:textId="67EE3732" w:rsidR="00034615" w:rsidRPr="0043591A" w:rsidRDefault="006E157F" w:rsidP="00C55968">
            <w:pPr>
              <w:spacing w:line="360" w:lineRule="auto"/>
              <w:jc w:val="center"/>
              <w:rPr>
                <w:b/>
                <w:bCs/>
                <w:sz w:val="18"/>
                <w:szCs w:val="18"/>
              </w:rPr>
            </w:pPr>
            <w:r w:rsidRPr="0043591A">
              <w:rPr>
                <w:b/>
                <w:bCs/>
                <w:sz w:val="18"/>
                <w:szCs w:val="18"/>
              </w:rPr>
              <w:t>45</w:t>
            </w:r>
          </w:p>
        </w:tc>
        <w:tc>
          <w:tcPr>
            <w:tcW w:w="1842" w:type="dxa"/>
          </w:tcPr>
          <w:p w14:paraId="4889B78E" w14:textId="7B6C7945"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15</w:t>
            </w:r>
          </w:p>
        </w:tc>
        <w:tc>
          <w:tcPr>
            <w:cnfStyle w:val="000010000000" w:firstRow="0" w:lastRow="0" w:firstColumn="0" w:lastColumn="0" w:oddVBand="1" w:evenVBand="0" w:oddHBand="0" w:evenHBand="0" w:firstRowFirstColumn="0" w:firstRowLastColumn="0" w:lastRowFirstColumn="0" w:lastRowLastColumn="0"/>
            <w:tcW w:w="1763" w:type="dxa"/>
          </w:tcPr>
          <w:p w14:paraId="66539F32" w14:textId="2BCE1DE7" w:rsidR="00034615" w:rsidRPr="0043591A" w:rsidRDefault="006E157F" w:rsidP="00C55968">
            <w:pPr>
              <w:spacing w:line="360" w:lineRule="auto"/>
              <w:jc w:val="center"/>
              <w:rPr>
                <w:b/>
                <w:bCs/>
                <w:sz w:val="18"/>
                <w:szCs w:val="18"/>
              </w:rPr>
            </w:pPr>
            <w:r w:rsidRPr="0043591A">
              <w:rPr>
                <w:b/>
                <w:bCs/>
                <w:sz w:val="18"/>
                <w:szCs w:val="18"/>
              </w:rPr>
              <w:t>15</w:t>
            </w:r>
          </w:p>
        </w:tc>
      </w:tr>
      <w:tr w:rsidR="008B1D4B" w:rsidRPr="008B1D4B" w14:paraId="6EF4133C" w14:textId="77777777" w:rsidTr="00A726AE">
        <w:trPr>
          <w:trHeight w:val="444"/>
        </w:trPr>
        <w:tc>
          <w:tcPr>
            <w:cnfStyle w:val="001000000000" w:firstRow="0" w:lastRow="0" w:firstColumn="1" w:lastColumn="0" w:oddVBand="0" w:evenVBand="0" w:oddHBand="0" w:evenHBand="0" w:firstRowFirstColumn="0" w:firstRowLastColumn="0" w:lastRowFirstColumn="0" w:lastRowLastColumn="0"/>
            <w:tcW w:w="709" w:type="dxa"/>
          </w:tcPr>
          <w:p w14:paraId="2E772569" w14:textId="3E7B04CB" w:rsidR="00034615" w:rsidRPr="0043591A" w:rsidRDefault="001605E4" w:rsidP="00C55968">
            <w:pPr>
              <w:spacing w:line="360" w:lineRule="auto"/>
              <w:rPr>
                <w:bCs w:val="0"/>
                <w:color w:val="auto"/>
                <w:sz w:val="18"/>
                <w:szCs w:val="18"/>
              </w:rPr>
            </w:pPr>
            <w:r w:rsidRPr="0043591A">
              <w:rPr>
                <w:color w:val="auto"/>
                <w:sz w:val="18"/>
                <w:szCs w:val="18"/>
              </w:rPr>
              <w:t>22</w:t>
            </w:r>
          </w:p>
        </w:tc>
        <w:tc>
          <w:tcPr>
            <w:cnfStyle w:val="000010000000" w:firstRow="0" w:lastRow="0" w:firstColumn="0" w:lastColumn="0" w:oddVBand="1" w:evenVBand="0" w:oddHBand="0" w:evenHBand="0" w:firstRowFirstColumn="0" w:firstRowLastColumn="0" w:lastRowFirstColumn="0" w:lastRowLastColumn="0"/>
            <w:tcW w:w="1862" w:type="dxa"/>
          </w:tcPr>
          <w:p w14:paraId="2BE3093C" w14:textId="7EB4016D" w:rsidR="00F07D43" w:rsidRPr="0043591A" w:rsidRDefault="006E157F" w:rsidP="00C55968">
            <w:pPr>
              <w:spacing w:line="360" w:lineRule="auto"/>
              <w:rPr>
                <w:b/>
                <w:sz w:val="18"/>
                <w:szCs w:val="18"/>
              </w:rPr>
            </w:pPr>
            <w:r w:rsidRPr="0043591A">
              <w:rPr>
                <w:b/>
                <w:sz w:val="18"/>
                <w:szCs w:val="18"/>
              </w:rPr>
              <w:t>IRSKA</w:t>
            </w:r>
          </w:p>
        </w:tc>
        <w:tc>
          <w:tcPr>
            <w:tcW w:w="1994" w:type="dxa"/>
          </w:tcPr>
          <w:p w14:paraId="3FE5FF57" w14:textId="45CC6F23"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3</w:t>
            </w:r>
          </w:p>
        </w:tc>
        <w:tc>
          <w:tcPr>
            <w:cnfStyle w:val="000010000000" w:firstRow="0" w:lastRow="0" w:firstColumn="0" w:lastColumn="0" w:oddVBand="1" w:evenVBand="0" w:oddHBand="0" w:evenHBand="0" w:firstRowFirstColumn="0" w:firstRowLastColumn="0" w:lastRowFirstColumn="0" w:lastRowLastColumn="0"/>
            <w:tcW w:w="993" w:type="dxa"/>
          </w:tcPr>
          <w:p w14:paraId="75817D73" w14:textId="4ED07BF6" w:rsidR="00034615" w:rsidRPr="0043591A" w:rsidRDefault="006E157F" w:rsidP="00C55968">
            <w:pPr>
              <w:spacing w:line="360" w:lineRule="auto"/>
              <w:jc w:val="center"/>
              <w:rPr>
                <w:b/>
                <w:bCs/>
                <w:sz w:val="18"/>
                <w:szCs w:val="18"/>
              </w:rPr>
            </w:pPr>
            <w:r w:rsidRPr="0043591A">
              <w:rPr>
                <w:b/>
                <w:bCs/>
                <w:sz w:val="18"/>
                <w:szCs w:val="18"/>
              </w:rPr>
              <w:t>3</w:t>
            </w:r>
          </w:p>
        </w:tc>
        <w:tc>
          <w:tcPr>
            <w:tcW w:w="1842" w:type="dxa"/>
          </w:tcPr>
          <w:p w14:paraId="03B6A49C" w14:textId="2F307BF0"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2</w:t>
            </w:r>
          </w:p>
        </w:tc>
        <w:tc>
          <w:tcPr>
            <w:cnfStyle w:val="000010000000" w:firstRow="0" w:lastRow="0" w:firstColumn="0" w:lastColumn="0" w:oddVBand="1" w:evenVBand="0" w:oddHBand="0" w:evenHBand="0" w:firstRowFirstColumn="0" w:firstRowLastColumn="0" w:lastRowFirstColumn="0" w:lastRowLastColumn="0"/>
            <w:tcW w:w="1763" w:type="dxa"/>
          </w:tcPr>
          <w:p w14:paraId="10D5A3A8" w14:textId="720F6B6B" w:rsidR="00034615" w:rsidRPr="0043591A" w:rsidRDefault="006E157F" w:rsidP="00C55968">
            <w:pPr>
              <w:spacing w:line="360" w:lineRule="auto"/>
              <w:jc w:val="center"/>
              <w:rPr>
                <w:b/>
                <w:bCs/>
                <w:sz w:val="18"/>
                <w:szCs w:val="18"/>
              </w:rPr>
            </w:pPr>
            <w:r w:rsidRPr="0043591A">
              <w:rPr>
                <w:b/>
                <w:bCs/>
                <w:sz w:val="18"/>
                <w:szCs w:val="18"/>
              </w:rPr>
              <w:t>2</w:t>
            </w:r>
          </w:p>
        </w:tc>
      </w:tr>
      <w:tr w:rsidR="008B1D4B" w:rsidRPr="008B1D4B" w14:paraId="20F13AE9" w14:textId="77777777" w:rsidTr="00A726AE">
        <w:trPr>
          <w:trHeight w:val="360"/>
        </w:trPr>
        <w:tc>
          <w:tcPr>
            <w:cnfStyle w:val="001000000000" w:firstRow="0" w:lastRow="0" w:firstColumn="1" w:lastColumn="0" w:oddVBand="0" w:evenVBand="0" w:oddHBand="0" w:evenHBand="0" w:firstRowFirstColumn="0" w:firstRowLastColumn="0" w:lastRowFirstColumn="0" w:lastRowLastColumn="0"/>
            <w:tcW w:w="709" w:type="dxa"/>
          </w:tcPr>
          <w:p w14:paraId="49BD901C" w14:textId="42364614" w:rsidR="00F07D43" w:rsidRPr="0043591A" w:rsidRDefault="001605E4" w:rsidP="00C55968">
            <w:pPr>
              <w:spacing w:line="360" w:lineRule="auto"/>
              <w:rPr>
                <w:bCs w:val="0"/>
                <w:color w:val="auto"/>
                <w:sz w:val="18"/>
                <w:szCs w:val="18"/>
              </w:rPr>
            </w:pPr>
            <w:r w:rsidRPr="0043591A">
              <w:rPr>
                <w:color w:val="auto"/>
                <w:sz w:val="18"/>
                <w:szCs w:val="18"/>
              </w:rPr>
              <w:t>23</w:t>
            </w:r>
          </w:p>
        </w:tc>
        <w:tc>
          <w:tcPr>
            <w:cnfStyle w:val="000010000000" w:firstRow="0" w:lastRow="0" w:firstColumn="0" w:lastColumn="0" w:oddVBand="1" w:evenVBand="0" w:oddHBand="0" w:evenHBand="0" w:firstRowFirstColumn="0" w:firstRowLastColumn="0" w:lastRowFirstColumn="0" w:lastRowLastColumn="0"/>
            <w:tcW w:w="1862" w:type="dxa"/>
          </w:tcPr>
          <w:p w14:paraId="084E57F8" w14:textId="46D80D2C" w:rsidR="00F07D43" w:rsidRPr="0043591A" w:rsidRDefault="00F07D43" w:rsidP="00C55968">
            <w:pPr>
              <w:spacing w:line="360" w:lineRule="auto"/>
              <w:rPr>
                <w:b/>
                <w:sz w:val="18"/>
                <w:szCs w:val="18"/>
              </w:rPr>
            </w:pPr>
            <w:r w:rsidRPr="0043591A">
              <w:rPr>
                <w:b/>
                <w:sz w:val="18"/>
                <w:szCs w:val="18"/>
              </w:rPr>
              <w:t>ISLANDIJA</w:t>
            </w:r>
          </w:p>
        </w:tc>
        <w:tc>
          <w:tcPr>
            <w:tcW w:w="1994" w:type="dxa"/>
          </w:tcPr>
          <w:p w14:paraId="409177BF" w14:textId="697E1B29" w:rsidR="00F07D43" w:rsidRPr="0043591A" w:rsidRDefault="00F07D43"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w:t>
            </w:r>
          </w:p>
        </w:tc>
        <w:tc>
          <w:tcPr>
            <w:cnfStyle w:val="000010000000" w:firstRow="0" w:lastRow="0" w:firstColumn="0" w:lastColumn="0" w:oddVBand="1" w:evenVBand="0" w:oddHBand="0" w:evenHBand="0" w:firstRowFirstColumn="0" w:firstRowLastColumn="0" w:lastRowFirstColumn="0" w:lastRowLastColumn="0"/>
            <w:tcW w:w="993" w:type="dxa"/>
          </w:tcPr>
          <w:p w14:paraId="27ABAC23" w14:textId="25E4ED5B" w:rsidR="00F07D43" w:rsidRPr="0043591A" w:rsidRDefault="00F07D43" w:rsidP="00C55968">
            <w:pPr>
              <w:spacing w:line="360" w:lineRule="auto"/>
              <w:jc w:val="center"/>
              <w:rPr>
                <w:b/>
                <w:bCs/>
                <w:sz w:val="18"/>
                <w:szCs w:val="18"/>
              </w:rPr>
            </w:pPr>
            <w:r w:rsidRPr="0043591A">
              <w:rPr>
                <w:b/>
                <w:bCs/>
                <w:sz w:val="18"/>
                <w:szCs w:val="18"/>
              </w:rPr>
              <w:t>-</w:t>
            </w:r>
          </w:p>
        </w:tc>
        <w:tc>
          <w:tcPr>
            <w:tcW w:w="1842" w:type="dxa"/>
          </w:tcPr>
          <w:p w14:paraId="7FF774B5" w14:textId="5A728064" w:rsidR="00F07D43" w:rsidRPr="0043591A" w:rsidRDefault="00F07D43"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1763" w:type="dxa"/>
          </w:tcPr>
          <w:p w14:paraId="53453438" w14:textId="75B46F57" w:rsidR="00F07D43" w:rsidRPr="0043591A" w:rsidRDefault="00F07D43" w:rsidP="00C55968">
            <w:pPr>
              <w:spacing w:line="360" w:lineRule="auto"/>
              <w:jc w:val="center"/>
              <w:rPr>
                <w:b/>
                <w:bCs/>
                <w:sz w:val="18"/>
                <w:szCs w:val="18"/>
              </w:rPr>
            </w:pPr>
            <w:r w:rsidRPr="0043591A">
              <w:rPr>
                <w:b/>
                <w:bCs/>
                <w:sz w:val="18"/>
                <w:szCs w:val="18"/>
              </w:rPr>
              <w:t>1</w:t>
            </w:r>
          </w:p>
        </w:tc>
      </w:tr>
      <w:tr w:rsidR="008B1D4B" w:rsidRPr="008B1D4B" w14:paraId="25472311" w14:textId="77777777" w:rsidTr="00A726AE">
        <w:trPr>
          <w:trHeight w:val="106"/>
        </w:trPr>
        <w:tc>
          <w:tcPr>
            <w:cnfStyle w:val="001000000000" w:firstRow="0" w:lastRow="0" w:firstColumn="1" w:lastColumn="0" w:oddVBand="0" w:evenVBand="0" w:oddHBand="0" w:evenHBand="0" w:firstRowFirstColumn="0" w:firstRowLastColumn="0" w:lastRowFirstColumn="0" w:lastRowLastColumn="0"/>
            <w:tcW w:w="709" w:type="dxa"/>
          </w:tcPr>
          <w:p w14:paraId="2492CF46" w14:textId="12BB23D4" w:rsidR="00034615" w:rsidRPr="0043591A" w:rsidRDefault="001605E4" w:rsidP="00C55968">
            <w:pPr>
              <w:spacing w:line="360" w:lineRule="auto"/>
              <w:rPr>
                <w:bCs w:val="0"/>
                <w:color w:val="auto"/>
                <w:sz w:val="18"/>
                <w:szCs w:val="18"/>
              </w:rPr>
            </w:pPr>
            <w:r w:rsidRPr="0043591A">
              <w:rPr>
                <w:color w:val="auto"/>
                <w:sz w:val="18"/>
                <w:szCs w:val="18"/>
              </w:rPr>
              <w:t>24</w:t>
            </w:r>
          </w:p>
        </w:tc>
        <w:tc>
          <w:tcPr>
            <w:cnfStyle w:val="000010000000" w:firstRow="0" w:lastRow="0" w:firstColumn="0" w:lastColumn="0" w:oddVBand="1" w:evenVBand="0" w:oddHBand="0" w:evenHBand="0" w:firstRowFirstColumn="0" w:firstRowLastColumn="0" w:lastRowFirstColumn="0" w:lastRowLastColumn="0"/>
            <w:tcW w:w="1862" w:type="dxa"/>
          </w:tcPr>
          <w:p w14:paraId="6F7A4573" w14:textId="3510A1CC" w:rsidR="00034615" w:rsidRPr="0043591A" w:rsidRDefault="006E157F" w:rsidP="00C55968">
            <w:pPr>
              <w:spacing w:line="360" w:lineRule="auto"/>
              <w:rPr>
                <w:b/>
                <w:sz w:val="18"/>
                <w:szCs w:val="18"/>
              </w:rPr>
            </w:pPr>
            <w:r w:rsidRPr="0043591A">
              <w:rPr>
                <w:b/>
                <w:sz w:val="18"/>
                <w:szCs w:val="18"/>
              </w:rPr>
              <w:t>ITALIJA</w:t>
            </w:r>
          </w:p>
        </w:tc>
        <w:tc>
          <w:tcPr>
            <w:tcW w:w="1994" w:type="dxa"/>
          </w:tcPr>
          <w:p w14:paraId="40C743B0" w14:textId="78212DD9"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85</w:t>
            </w:r>
          </w:p>
        </w:tc>
        <w:tc>
          <w:tcPr>
            <w:cnfStyle w:val="000010000000" w:firstRow="0" w:lastRow="0" w:firstColumn="0" w:lastColumn="0" w:oddVBand="1" w:evenVBand="0" w:oddHBand="0" w:evenHBand="0" w:firstRowFirstColumn="0" w:firstRowLastColumn="0" w:lastRowFirstColumn="0" w:lastRowLastColumn="0"/>
            <w:tcW w:w="993" w:type="dxa"/>
          </w:tcPr>
          <w:p w14:paraId="377C9AF8" w14:textId="1E6A1EBA" w:rsidR="00034615" w:rsidRPr="0043591A" w:rsidRDefault="006E157F" w:rsidP="00C55968">
            <w:pPr>
              <w:spacing w:line="360" w:lineRule="auto"/>
              <w:jc w:val="center"/>
              <w:rPr>
                <w:b/>
                <w:bCs/>
                <w:sz w:val="18"/>
                <w:szCs w:val="18"/>
              </w:rPr>
            </w:pPr>
            <w:r w:rsidRPr="0043591A">
              <w:rPr>
                <w:b/>
                <w:bCs/>
                <w:sz w:val="18"/>
                <w:szCs w:val="18"/>
              </w:rPr>
              <w:t>83</w:t>
            </w:r>
          </w:p>
        </w:tc>
        <w:tc>
          <w:tcPr>
            <w:tcW w:w="1842" w:type="dxa"/>
          </w:tcPr>
          <w:p w14:paraId="4251E260" w14:textId="1D48CE2D"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15</w:t>
            </w:r>
          </w:p>
        </w:tc>
        <w:tc>
          <w:tcPr>
            <w:cnfStyle w:val="000010000000" w:firstRow="0" w:lastRow="0" w:firstColumn="0" w:lastColumn="0" w:oddVBand="1" w:evenVBand="0" w:oddHBand="0" w:evenHBand="0" w:firstRowFirstColumn="0" w:firstRowLastColumn="0" w:lastRowFirstColumn="0" w:lastRowLastColumn="0"/>
            <w:tcW w:w="1763" w:type="dxa"/>
          </w:tcPr>
          <w:p w14:paraId="5A666540" w14:textId="4667429F" w:rsidR="00034615" w:rsidRPr="0043591A" w:rsidRDefault="006E157F" w:rsidP="00C55968">
            <w:pPr>
              <w:spacing w:line="360" w:lineRule="auto"/>
              <w:jc w:val="center"/>
              <w:rPr>
                <w:b/>
                <w:bCs/>
                <w:sz w:val="18"/>
                <w:szCs w:val="18"/>
              </w:rPr>
            </w:pPr>
            <w:r w:rsidRPr="0043591A">
              <w:rPr>
                <w:b/>
                <w:bCs/>
                <w:sz w:val="18"/>
                <w:szCs w:val="18"/>
              </w:rPr>
              <w:t>15</w:t>
            </w:r>
          </w:p>
        </w:tc>
      </w:tr>
      <w:tr w:rsidR="008B1D4B" w:rsidRPr="008B1D4B" w14:paraId="3287B227" w14:textId="77777777" w:rsidTr="00A726AE">
        <w:tc>
          <w:tcPr>
            <w:cnfStyle w:val="001000000000" w:firstRow="0" w:lastRow="0" w:firstColumn="1" w:lastColumn="0" w:oddVBand="0" w:evenVBand="0" w:oddHBand="0" w:evenHBand="0" w:firstRowFirstColumn="0" w:firstRowLastColumn="0" w:lastRowFirstColumn="0" w:lastRowLastColumn="0"/>
            <w:tcW w:w="709" w:type="dxa"/>
          </w:tcPr>
          <w:p w14:paraId="3518FC59" w14:textId="0F8EFE6E" w:rsidR="00034615" w:rsidRPr="0043591A" w:rsidRDefault="001605E4" w:rsidP="00C55968">
            <w:pPr>
              <w:spacing w:line="360" w:lineRule="auto"/>
              <w:rPr>
                <w:bCs w:val="0"/>
                <w:color w:val="auto"/>
                <w:sz w:val="18"/>
                <w:szCs w:val="18"/>
              </w:rPr>
            </w:pPr>
            <w:r w:rsidRPr="0043591A">
              <w:rPr>
                <w:color w:val="auto"/>
                <w:sz w:val="18"/>
                <w:szCs w:val="18"/>
              </w:rPr>
              <w:t>25</w:t>
            </w:r>
          </w:p>
        </w:tc>
        <w:tc>
          <w:tcPr>
            <w:cnfStyle w:val="000010000000" w:firstRow="0" w:lastRow="0" w:firstColumn="0" w:lastColumn="0" w:oddVBand="1" w:evenVBand="0" w:oddHBand="0" w:evenHBand="0" w:firstRowFirstColumn="0" w:firstRowLastColumn="0" w:lastRowFirstColumn="0" w:lastRowLastColumn="0"/>
            <w:tcW w:w="1862" w:type="dxa"/>
          </w:tcPr>
          <w:p w14:paraId="7B07F0AF" w14:textId="7CE52F75" w:rsidR="00034615" w:rsidRPr="0043591A" w:rsidRDefault="006E157F" w:rsidP="00C55968">
            <w:pPr>
              <w:spacing w:line="360" w:lineRule="auto"/>
              <w:rPr>
                <w:b/>
                <w:sz w:val="18"/>
                <w:szCs w:val="18"/>
              </w:rPr>
            </w:pPr>
            <w:r w:rsidRPr="0043591A">
              <w:rPr>
                <w:b/>
                <w:sz w:val="18"/>
                <w:szCs w:val="18"/>
              </w:rPr>
              <w:t>IZRAEL</w:t>
            </w:r>
          </w:p>
        </w:tc>
        <w:tc>
          <w:tcPr>
            <w:tcW w:w="1994" w:type="dxa"/>
          </w:tcPr>
          <w:p w14:paraId="7AA95445" w14:textId="7F5A99C1"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993" w:type="dxa"/>
          </w:tcPr>
          <w:p w14:paraId="4D12CE15" w14:textId="51C983DD" w:rsidR="00034615" w:rsidRPr="0043591A" w:rsidRDefault="006E157F" w:rsidP="00C55968">
            <w:pPr>
              <w:spacing w:line="360" w:lineRule="auto"/>
              <w:jc w:val="center"/>
              <w:rPr>
                <w:b/>
                <w:bCs/>
                <w:sz w:val="18"/>
                <w:szCs w:val="18"/>
              </w:rPr>
            </w:pPr>
            <w:r w:rsidRPr="0043591A">
              <w:rPr>
                <w:b/>
                <w:bCs/>
                <w:sz w:val="18"/>
                <w:szCs w:val="18"/>
              </w:rPr>
              <w:t>1</w:t>
            </w:r>
          </w:p>
        </w:tc>
        <w:tc>
          <w:tcPr>
            <w:tcW w:w="1842" w:type="dxa"/>
          </w:tcPr>
          <w:p w14:paraId="6578CE93" w14:textId="3AD48DC7"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w:t>
            </w:r>
          </w:p>
        </w:tc>
        <w:tc>
          <w:tcPr>
            <w:cnfStyle w:val="000010000000" w:firstRow="0" w:lastRow="0" w:firstColumn="0" w:lastColumn="0" w:oddVBand="1" w:evenVBand="0" w:oddHBand="0" w:evenHBand="0" w:firstRowFirstColumn="0" w:firstRowLastColumn="0" w:lastRowFirstColumn="0" w:lastRowLastColumn="0"/>
            <w:tcW w:w="1763" w:type="dxa"/>
          </w:tcPr>
          <w:p w14:paraId="6699BA29" w14:textId="074FD2A1" w:rsidR="00034615" w:rsidRPr="0043591A" w:rsidRDefault="006E157F" w:rsidP="00C55968">
            <w:pPr>
              <w:spacing w:line="360" w:lineRule="auto"/>
              <w:jc w:val="center"/>
              <w:rPr>
                <w:b/>
                <w:bCs/>
                <w:sz w:val="18"/>
                <w:szCs w:val="18"/>
              </w:rPr>
            </w:pPr>
            <w:r w:rsidRPr="0043591A">
              <w:rPr>
                <w:b/>
                <w:bCs/>
                <w:sz w:val="18"/>
                <w:szCs w:val="18"/>
              </w:rPr>
              <w:t>-</w:t>
            </w:r>
          </w:p>
        </w:tc>
      </w:tr>
      <w:tr w:rsidR="008B1D4B" w:rsidRPr="008B1D4B" w14:paraId="1EA2A45D" w14:textId="77777777" w:rsidTr="00A726AE">
        <w:trPr>
          <w:trHeight w:val="150"/>
        </w:trPr>
        <w:tc>
          <w:tcPr>
            <w:cnfStyle w:val="001000000000" w:firstRow="0" w:lastRow="0" w:firstColumn="1" w:lastColumn="0" w:oddVBand="0" w:evenVBand="0" w:oddHBand="0" w:evenHBand="0" w:firstRowFirstColumn="0" w:firstRowLastColumn="0" w:lastRowFirstColumn="0" w:lastRowLastColumn="0"/>
            <w:tcW w:w="709" w:type="dxa"/>
          </w:tcPr>
          <w:p w14:paraId="1ACA544B" w14:textId="166005A3" w:rsidR="00034615" w:rsidRPr="0043591A" w:rsidRDefault="001605E4" w:rsidP="00C55968">
            <w:pPr>
              <w:spacing w:line="360" w:lineRule="auto"/>
              <w:rPr>
                <w:bCs w:val="0"/>
                <w:color w:val="auto"/>
                <w:sz w:val="18"/>
                <w:szCs w:val="18"/>
              </w:rPr>
            </w:pPr>
            <w:r w:rsidRPr="0043591A">
              <w:rPr>
                <w:color w:val="auto"/>
                <w:sz w:val="18"/>
                <w:szCs w:val="18"/>
              </w:rPr>
              <w:t>26</w:t>
            </w:r>
          </w:p>
        </w:tc>
        <w:tc>
          <w:tcPr>
            <w:cnfStyle w:val="000010000000" w:firstRow="0" w:lastRow="0" w:firstColumn="0" w:lastColumn="0" w:oddVBand="1" w:evenVBand="0" w:oddHBand="0" w:evenHBand="0" w:firstRowFirstColumn="0" w:firstRowLastColumn="0" w:lastRowFirstColumn="0" w:lastRowLastColumn="0"/>
            <w:tcW w:w="1862" w:type="dxa"/>
          </w:tcPr>
          <w:p w14:paraId="15CDA9B5" w14:textId="4488585C" w:rsidR="00034615" w:rsidRPr="0043591A" w:rsidRDefault="006E157F" w:rsidP="00C55968">
            <w:pPr>
              <w:spacing w:line="360" w:lineRule="auto"/>
              <w:rPr>
                <w:b/>
                <w:bCs/>
                <w:sz w:val="18"/>
                <w:szCs w:val="18"/>
              </w:rPr>
            </w:pPr>
            <w:r w:rsidRPr="0043591A">
              <w:rPr>
                <w:b/>
                <w:bCs/>
                <w:sz w:val="18"/>
                <w:szCs w:val="18"/>
              </w:rPr>
              <w:t>JUŽNA AFRIKA</w:t>
            </w:r>
          </w:p>
        </w:tc>
        <w:tc>
          <w:tcPr>
            <w:tcW w:w="1994" w:type="dxa"/>
          </w:tcPr>
          <w:p w14:paraId="0DF452C2" w14:textId="3DB2992A"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993" w:type="dxa"/>
          </w:tcPr>
          <w:p w14:paraId="71179352" w14:textId="07AAAEA3" w:rsidR="00034615" w:rsidRPr="0043591A" w:rsidRDefault="006E157F" w:rsidP="00C55968">
            <w:pPr>
              <w:spacing w:line="360" w:lineRule="auto"/>
              <w:jc w:val="center"/>
              <w:rPr>
                <w:b/>
                <w:bCs/>
                <w:sz w:val="18"/>
                <w:szCs w:val="18"/>
              </w:rPr>
            </w:pPr>
            <w:r w:rsidRPr="0043591A">
              <w:rPr>
                <w:b/>
                <w:bCs/>
                <w:sz w:val="18"/>
                <w:szCs w:val="18"/>
              </w:rPr>
              <w:t>1</w:t>
            </w:r>
          </w:p>
        </w:tc>
        <w:tc>
          <w:tcPr>
            <w:tcW w:w="1842" w:type="dxa"/>
          </w:tcPr>
          <w:p w14:paraId="307BAF7E" w14:textId="39FA568B"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w:t>
            </w:r>
          </w:p>
        </w:tc>
        <w:tc>
          <w:tcPr>
            <w:cnfStyle w:val="000010000000" w:firstRow="0" w:lastRow="0" w:firstColumn="0" w:lastColumn="0" w:oddVBand="1" w:evenVBand="0" w:oddHBand="0" w:evenHBand="0" w:firstRowFirstColumn="0" w:firstRowLastColumn="0" w:lastRowFirstColumn="0" w:lastRowLastColumn="0"/>
            <w:tcW w:w="1763" w:type="dxa"/>
          </w:tcPr>
          <w:p w14:paraId="1408549C" w14:textId="53D6D63B" w:rsidR="00034615" w:rsidRPr="0043591A" w:rsidRDefault="006E157F" w:rsidP="00C55968">
            <w:pPr>
              <w:spacing w:line="360" w:lineRule="auto"/>
              <w:jc w:val="center"/>
              <w:rPr>
                <w:b/>
                <w:bCs/>
                <w:sz w:val="18"/>
                <w:szCs w:val="18"/>
              </w:rPr>
            </w:pPr>
            <w:r w:rsidRPr="0043591A">
              <w:rPr>
                <w:b/>
                <w:bCs/>
                <w:sz w:val="18"/>
                <w:szCs w:val="18"/>
              </w:rPr>
              <w:t>-</w:t>
            </w:r>
          </w:p>
        </w:tc>
      </w:tr>
      <w:tr w:rsidR="008B1D4B" w:rsidRPr="008B1D4B" w14:paraId="534F3F42" w14:textId="77777777" w:rsidTr="00A726AE">
        <w:trPr>
          <w:trHeight w:val="297"/>
        </w:trPr>
        <w:tc>
          <w:tcPr>
            <w:cnfStyle w:val="001000000000" w:firstRow="0" w:lastRow="0" w:firstColumn="1" w:lastColumn="0" w:oddVBand="0" w:evenVBand="0" w:oddHBand="0" w:evenHBand="0" w:firstRowFirstColumn="0" w:firstRowLastColumn="0" w:lastRowFirstColumn="0" w:lastRowLastColumn="0"/>
            <w:tcW w:w="709" w:type="dxa"/>
          </w:tcPr>
          <w:p w14:paraId="60884665" w14:textId="2A286898" w:rsidR="00034615" w:rsidRPr="0043591A" w:rsidRDefault="001605E4" w:rsidP="00C55968">
            <w:pPr>
              <w:spacing w:line="360" w:lineRule="auto"/>
              <w:rPr>
                <w:bCs w:val="0"/>
                <w:color w:val="auto"/>
                <w:sz w:val="18"/>
                <w:szCs w:val="18"/>
              </w:rPr>
            </w:pPr>
            <w:r w:rsidRPr="0043591A">
              <w:rPr>
                <w:color w:val="auto"/>
                <w:sz w:val="18"/>
                <w:szCs w:val="18"/>
              </w:rPr>
              <w:t>27</w:t>
            </w:r>
          </w:p>
        </w:tc>
        <w:tc>
          <w:tcPr>
            <w:cnfStyle w:val="000010000000" w:firstRow="0" w:lastRow="0" w:firstColumn="0" w:lastColumn="0" w:oddVBand="1" w:evenVBand="0" w:oddHBand="0" w:evenHBand="0" w:firstRowFirstColumn="0" w:firstRowLastColumn="0" w:lastRowFirstColumn="0" w:lastRowLastColumn="0"/>
            <w:tcW w:w="1862" w:type="dxa"/>
          </w:tcPr>
          <w:p w14:paraId="3F20F565" w14:textId="7464688A" w:rsidR="00034615" w:rsidRPr="0043591A" w:rsidRDefault="006E157F" w:rsidP="00C55968">
            <w:pPr>
              <w:spacing w:line="360" w:lineRule="auto"/>
              <w:rPr>
                <w:b/>
                <w:bCs/>
                <w:sz w:val="18"/>
                <w:szCs w:val="18"/>
              </w:rPr>
            </w:pPr>
            <w:r w:rsidRPr="0043591A">
              <w:rPr>
                <w:b/>
                <w:bCs/>
                <w:sz w:val="18"/>
                <w:szCs w:val="18"/>
              </w:rPr>
              <w:t>KAJMANSKI OTOKI</w:t>
            </w:r>
          </w:p>
        </w:tc>
        <w:tc>
          <w:tcPr>
            <w:tcW w:w="1994" w:type="dxa"/>
          </w:tcPr>
          <w:p w14:paraId="6E72F0DD" w14:textId="4B0B63FA"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2</w:t>
            </w:r>
          </w:p>
        </w:tc>
        <w:tc>
          <w:tcPr>
            <w:cnfStyle w:val="000010000000" w:firstRow="0" w:lastRow="0" w:firstColumn="0" w:lastColumn="0" w:oddVBand="1" w:evenVBand="0" w:oddHBand="0" w:evenHBand="0" w:firstRowFirstColumn="0" w:firstRowLastColumn="0" w:lastRowFirstColumn="0" w:lastRowLastColumn="0"/>
            <w:tcW w:w="993" w:type="dxa"/>
          </w:tcPr>
          <w:p w14:paraId="4A8F51EF" w14:textId="0F0752C1" w:rsidR="00034615" w:rsidRPr="0043591A" w:rsidRDefault="006E157F" w:rsidP="00C55968">
            <w:pPr>
              <w:spacing w:line="360" w:lineRule="auto"/>
              <w:jc w:val="center"/>
              <w:rPr>
                <w:b/>
                <w:bCs/>
                <w:sz w:val="18"/>
                <w:szCs w:val="18"/>
              </w:rPr>
            </w:pPr>
            <w:r w:rsidRPr="0043591A">
              <w:rPr>
                <w:b/>
                <w:bCs/>
                <w:sz w:val="18"/>
                <w:szCs w:val="18"/>
              </w:rPr>
              <w:t>2</w:t>
            </w:r>
          </w:p>
        </w:tc>
        <w:tc>
          <w:tcPr>
            <w:tcW w:w="1842" w:type="dxa"/>
          </w:tcPr>
          <w:p w14:paraId="77471D34" w14:textId="26FE5CEE"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w:t>
            </w:r>
          </w:p>
        </w:tc>
        <w:tc>
          <w:tcPr>
            <w:cnfStyle w:val="000010000000" w:firstRow="0" w:lastRow="0" w:firstColumn="0" w:lastColumn="0" w:oddVBand="1" w:evenVBand="0" w:oddHBand="0" w:evenHBand="0" w:firstRowFirstColumn="0" w:firstRowLastColumn="0" w:lastRowFirstColumn="0" w:lastRowLastColumn="0"/>
            <w:tcW w:w="1763" w:type="dxa"/>
          </w:tcPr>
          <w:p w14:paraId="7E385CDB" w14:textId="073FCD63" w:rsidR="00034615" w:rsidRPr="0043591A" w:rsidRDefault="006E157F" w:rsidP="00C55968">
            <w:pPr>
              <w:spacing w:line="360" w:lineRule="auto"/>
              <w:jc w:val="center"/>
              <w:rPr>
                <w:b/>
                <w:bCs/>
                <w:sz w:val="18"/>
                <w:szCs w:val="18"/>
              </w:rPr>
            </w:pPr>
            <w:r w:rsidRPr="0043591A">
              <w:rPr>
                <w:b/>
                <w:bCs/>
                <w:sz w:val="18"/>
                <w:szCs w:val="18"/>
              </w:rPr>
              <w:t>-</w:t>
            </w:r>
          </w:p>
        </w:tc>
      </w:tr>
      <w:tr w:rsidR="008B1D4B" w:rsidRPr="008B1D4B" w14:paraId="18508DE4" w14:textId="77777777" w:rsidTr="00A726AE">
        <w:trPr>
          <w:trHeight w:val="396"/>
        </w:trPr>
        <w:tc>
          <w:tcPr>
            <w:cnfStyle w:val="001000000000" w:firstRow="0" w:lastRow="0" w:firstColumn="1" w:lastColumn="0" w:oddVBand="0" w:evenVBand="0" w:oddHBand="0" w:evenHBand="0" w:firstRowFirstColumn="0" w:firstRowLastColumn="0" w:lastRowFirstColumn="0" w:lastRowLastColumn="0"/>
            <w:tcW w:w="709" w:type="dxa"/>
          </w:tcPr>
          <w:p w14:paraId="223AB101" w14:textId="4768361F" w:rsidR="00034615" w:rsidRPr="0043591A" w:rsidRDefault="001605E4" w:rsidP="00C55968">
            <w:pPr>
              <w:spacing w:line="360" w:lineRule="auto"/>
              <w:rPr>
                <w:bCs w:val="0"/>
                <w:color w:val="auto"/>
                <w:sz w:val="18"/>
                <w:szCs w:val="18"/>
              </w:rPr>
            </w:pPr>
            <w:r w:rsidRPr="0043591A">
              <w:rPr>
                <w:color w:val="auto"/>
                <w:sz w:val="18"/>
                <w:szCs w:val="18"/>
              </w:rPr>
              <w:t>28</w:t>
            </w:r>
          </w:p>
        </w:tc>
        <w:tc>
          <w:tcPr>
            <w:cnfStyle w:val="000010000000" w:firstRow="0" w:lastRow="0" w:firstColumn="0" w:lastColumn="0" w:oddVBand="1" w:evenVBand="0" w:oddHBand="0" w:evenHBand="0" w:firstRowFirstColumn="0" w:firstRowLastColumn="0" w:lastRowFirstColumn="0" w:lastRowLastColumn="0"/>
            <w:tcW w:w="1862" w:type="dxa"/>
          </w:tcPr>
          <w:p w14:paraId="40A527AA" w14:textId="0EFD6CEB" w:rsidR="00F07D43" w:rsidRPr="0043591A" w:rsidRDefault="006E157F" w:rsidP="00C55968">
            <w:pPr>
              <w:spacing w:line="360" w:lineRule="auto"/>
              <w:rPr>
                <w:b/>
                <w:bCs/>
                <w:sz w:val="18"/>
                <w:szCs w:val="18"/>
              </w:rPr>
            </w:pPr>
            <w:r w:rsidRPr="0043591A">
              <w:rPr>
                <w:b/>
                <w:bCs/>
                <w:sz w:val="18"/>
                <w:szCs w:val="18"/>
              </w:rPr>
              <w:t>KANADA</w:t>
            </w:r>
          </w:p>
        </w:tc>
        <w:tc>
          <w:tcPr>
            <w:tcW w:w="1994" w:type="dxa"/>
          </w:tcPr>
          <w:p w14:paraId="1AEF765B" w14:textId="064DE08F"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993" w:type="dxa"/>
          </w:tcPr>
          <w:p w14:paraId="6F9C537A" w14:textId="74AC8F35" w:rsidR="00034615" w:rsidRPr="0043591A" w:rsidRDefault="006E157F" w:rsidP="00C55968">
            <w:pPr>
              <w:spacing w:line="360" w:lineRule="auto"/>
              <w:jc w:val="center"/>
              <w:rPr>
                <w:b/>
                <w:bCs/>
                <w:sz w:val="18"/>
                <w:szCs w:val="18"/>
              </w:rPr>
            </w:pPr>
            <w:r w:rsidRPr="0043591A">
              <w:rPr>
                <w:b/>
                <w:bCs/>
                <w:sz w:val="18"/>
                <w:szCs w:val="18"/>
              </w:rPr>
              <w:t>1</w:t>
            </w:r>
          </w:p>
        </w:tc>
        <w:tc>
          <w:tcPr>
            <w:tcW w:w="1842" w:type="dxa"/>
          </w:tcPr>
          <w:p w14:paraId="5B3B6807" w14:textId="1AFEEC7A"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w:t>
            </w:r>
          </w:p>
        </w:tc>
        <w:tc>
          <w:tcPr>
            <w:cnfStyle w:val="000010000000" w:firstRow="0" w:lastRow="0" w:firstColumn="0" w:lastColumn="0" w:oddVBand="1" w:evenVBand="0" w:oddHBand="0" w:evenHBand="0" w:firstRowFirstColumn="0" w:firstRowLastColumn="0" w:lastRowFirstColumn="0" w:lastRowLastColumn="0"/>
            <w:tcW w:w="1763" w:type="dxa"/>
          </w:tcPr>
          <w:p w14:paraId="1112C65D" w14:textId="40C2C07D" w:rsidR="00034615" w:rsidRPr="0043591A" w:rsidRDefault="006E157F" w:rsidP="00C55968">
            <w:pPr>
              <w:spacing w:line="360" w:lineRule="auto"/>
              <w:jc w:val="center"/>
              <w:rPr>
                <w:b/>
                <w:bCs/>
                <w:sz w:val="18"/>
                <w:szCs w:val="18"/>
              </w:rPr>
            </w:pPr>
            <w:r w:rsidRPr="0043591A">
              <w:rPr>
                <w:b/>
                <w:bCs/>
                <w:sz w:val="18"/>
                <w:szCs w:val="18"/>
              </w:rPr>
              <w:t>-</w:t>
            </w:r>
          </w:p>
        </w:tc>
      </w:tr>
      <w:tr w:rsidR="008B1D4B" w:rsidRPr="008B1D4B" w14:paraId="5918566B" w14:textId="77777777" w:rsidTr="00A726AE">
        <w:trPr>
          <w:trHeight w:val="408"/>
        </w:trPr>
        <w:tc>
          <w:tcPr>
            <w:cnfStyle w:val="001000000000" w:firstRow="0" w:lastRow="0" w:firstColumn="1" w:lastColumn="0" w:oddVBand="0" w:evenVBand="0" w:oddHBand="0" w:evenHBand="0" w:firstRowFirstColumn="0" w:firstRowLastColumn="0" w:lastRowFirstColumn="0" w:lastRowLastColumn="0"/>
            <w:tcW w:w="709" w:type="dxa"/>
          </w:tcPr>
          <w:p w14:paraId="118641D5" w14:textId="53EAC0A2" w:rsidR="00F07D43" w:rsidRPr="0043591A" w:rsidRDefault="001605E4" w:rsidP="00C55968">
            <w:pPr>
              <w:spacing w:line="360" w:lineRule="auto"/>
              <w:rPr>
                <w:bCs w:val="0"/>
                <w:color w:val="auto"/>
                <w:sz w:val="18"/>
                <w:szCs w:val="18"/>
              </w:rPr>
            </w:pPr>
            <w:r w:rsidRPr="0043591A">
              <w:rPr>
                <w:color w:val="auto"/>
                <w:sz w:val="18"/>
                <w:szCs w:val="18"/>
              </w:rPr>
              <w:t>29</w:t>
            </w:r>
          </w:p>
        </w:tc>
        <w:tc>
          <w:tcPr>
            <w:cnfStyle w:val="000010000000" w:firstRow="0" w:lastRow="0" w:firstColumn="0" w:lastColumn="0" w:oddVBand="1" w:evenVBand="0" w:oddHBand="0" w:evenHBand="0" w:firstRowFirstColumn="0" w:firstRowLastColumn="0" w:lastRowFirstColumn="0" w:lastRowLastColumn="0"/>
            <w:tcW w:w="1862" w:type="dxa"/>
          </w:tcPr>
          <w:p w14:paraId="6698473E" w14:textId="7006E6BE" w:rsidR="00F07D43" w:rsidRPr="0043591A" w:rsidRDefault="00F07D43" w:rsidP="00C55968">
            <w:pPr>
              <w:spacing w:line="360" w:lineRule="auto"/>
              <w:rPr>
                <w:b/>
                <w:bCs/>
                <w:sz w:val="18"/>
                <w:szCs w:val="18"/>
              </w:rPr>
            </w:pPr>
            <w:r w:rsidRPr="0043591A">
              <w:rPr>
                <w:b/>
                <w:bCs/>
                <w:sz w:val="18"/>
                <w:szCs w:val="18"/>
              </w:rPr>
              <w:t>KAZAHSTAN</w:t>
            </w:r>
          </w:p>
        </w:tc>
        <w:tc>
          <w:tcPr>
            <w:tcW w:w="1994" w:type="dxa"/>
          </w:tcPr>
          <w:p w14:paraId="7AF1FE92" w14:textId="53CF0580" w:rsidR="00F07D43" w:rsidRPr="0043591A" w:rsidRDefault="00F07D43"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w:t>
            </w:r>
          </w:p>
        </w:tc>
        <w:tc>
          <w:tcPr>
            <w:cnfStyle w:val="000010000000" w:firstRow="0" w:lastRow="0" w:firstColumn="0" w:lastColumn="0" w:oddVBand="1" w:evenVBand="0" w:oddHBand="0" w:evenHBand="0" w:firstRowFirstColumn="0" w:firstRowLastColumn="0" w:lastRowFirstColumn="0" w:lastRowLastColumn="0"/>
            <w:tcW w:w="993" w:type="dxa"/>
          </w:tcPr>
          <w:p w14:paraId="30C01A35" w14:textId="4812F0B7" w:rsidR="00F07D43" w:rsidRPr="0043591A" w:rsidRDefault="00F07D43" w:rsidP="00C55968">
            <w:pPr>
              <w:spacing w:line="360" w:lineRule="auto"/>
              <w:jc w:val="center"/>
              <w:rPr>
                <w:b/>
                <w:bCs/>
                <w:sz w:val="18"/>
                <w:szCs w:val="18"/>
              </w:rPr>
            </w:pPr>
            <w:r w:rsidRPr="0043591A">
              <w:rPr>
                <w:b/>
                <w:bCs/>
                <w:sz w:val="18"/>
                <w:szCs w:val="18"/>
              </w:rPr>
              <w:t>-</w:t>
            </w:r>
          </w:p>
        </w:tc>
        <w:tc>
          <w:tcPr>
            <w:tcW w:w="1842" w:type="dxa"/>
          </w:tcPr>
          <w:p w14:paraId="54BA1DC6" w14:textId="19A987EE" w:rsidR="00F07D43" w:rsidRPr="0043591A" w:rsidRDefault="00F07D43"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3</w:t>
            </w:r>
          </w:p>
        </w:tc>
        <w:tc>
          <w:tcPr>
            <w:cnfStyle w:val="000010000000" w:firstRow="0" w:lastRow="0" w:firstColumn="0" w:lastColumn="0" w:oddVBand="1" w:evenVBand="0" w:oddHBand="0" w:evenHBand="0" w:firstRowFirstColumn="0" w:firstRowLastColumn="0" w:lastRowFirstColumn="0" w:lastRowLastColumn="0"/>
            <w:tcW w:w="1763" w:type="dxa"/>
          </w:tcPr>
          <w:p w14:paraId="03150974" w14:textId="17D07B12" w:rsidR="00F07D43" w:rsidRPr="0043591A" w:rsidRDefault="00F07D43" w:rsidP="00C55968">
            <w:pPr>
              <w:spacing w:line="360" w:lineRule="auto"/>
              <w:jc w:val="center"/>
              <w:rPr>
                <w:b/>
                <w:bCs/>
                <w:sz w:val="18"/>
                <w:szCs w:val="18"/>
              </w:rPr>
            </w:pPr>
            <w:r w:rsidRPr="0043591A">
              <w:rPr>
                <w:b/>
                <w:bCs/>
                <w:sz w:val="18"/>
                <w:szCs w:val="18"/>
              </w:rPr>
              <w:t>2</w:t>
            </w:r>
          </w:p>
        </w:tc>
      </w:tr>
      <w:tr w:rsidR="008B1D4B" w:rsidRPr="008B1D4B" w14:paraId="083D42AA" w14:textId="77777777" w:rsidTr="00A726AE">
        <w:trPr>
          <w:trHeight w:val="165"/>
        </w:trPr>
        <w:tc>
          <w:tcPr>
            <w:cnfStyle w:val="001000000000" w:firstRow="0" w:lastRow="0" w:firstColumn="1" w:lastColumn="0" w:oddVBand="0" w:evenVBand="0" w:oddHBand="0" w:evenHBand="0" w:firstRowFirstColumn="0" w:firstRowLastColumn="0" w:lastRowFirstColumn="0" w:lastRowLastColumn="0"/>
            <w:tcW w:w="709" w:type="dxa"/>
          </w:tcPr>
          <w:p w14:paraId="65602ED4" w14:textId="6FDBDC4B" w:rsidR="00034615" w:rsidRPr="0043591A" w:rsidRDefault="001605E4" w:rsidP="00C55968">
            <w:pPr>
              <w:spacing w:line="360" w:lineRule="auto"/>
              <w:rPr>
                <w:bCs w:val="0"/>
                <w:color w:val="auto"/>
                <w:sz w:val="18"/>
                <w:szCs w:val="18"/>
              </w:rPr>
            </w:pPr>
            <w:r w:rsidRPr="0043591A">
              <w:rPr>
                <w:color w:val="auto"/>
                <w:sz w:val="18"/>
                <w:szCs w:val="18"/>
              </w:rPr>
              <w:t>30</w:t>
            </w:r>
          </w:p>
        </w:tc>
        <w:tc>
          <w:tcPr>
            <w:cnfStyle w:val="000010000000" w:firstRow="0" w:lastRow="0" w:firstColumn="0" w:lastColumn="0" w:oddVBand="1" w:evenVBand="0" w:oddHBand="0" w:evenHBand="0" w:firstRowFirstColumn="0" w:firstRowLastColumn="0" w:lastRowFirstColumn="0" w:lastRowLastColumn="0"/>
            <w:tcW w:w="1862" w:type="dxa"/>
          </w:tcPr>
          <w:p w14:paraId="0B0B50CA" w14:textId="17989C46" w:rsidR="00034615" w:rsidRPr="0043591A" w:rsidRDefault="006E157F" w:rsidP="00C55968">
            <w:pPr>
              <w:spacing w:line="360" w:lineRule="auto"/>
              <w:rPr>
                <w:b/>
                <w:bCs/>
                <w:sz w:val="18"/>
                <w:szCs w:val="18"/>
              </w:rPr>
            </w:pPr>
            <w:r w:rsidRPr="0043591A">
              <w:rPr>
                <w:b/>
                <w:bCs/>
                <w:sz w:val="18"/>
                <w:szCs w:val="18"/>
              </w:rPr>
              <w:t>KITAJSKA</w:t>
            </w:r>
          </w:p>
        </w:tc>
        <w:tc>
          <w:tcPr>
            <w:tcW w:w="1994" w:type="dxa"/>
          </w:tcPr>
          <w:p w14:paraId="4C26FFCB" w14:textId="54AFDA6F"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5</w:t>
            </w:r>
          </w:p>
        </w:tc>
        <w:tc>
          <w:tcPr>
            <w:cnfStyle w:val="000010000000" w:firstRow="0" w:lastRow="0" w:firstColumn="0" w:lastColumn="0" w:oddVBand="1" w:evenVBand="0" w:oddHBand="0" w:evenHBand="0" w:firstRowFirstColumn="0" w:firstRowLastColumn="0" w:lastRowFirstColumn="0" w:lastRowLastColumn="0"/>
            <w:tcW w:w="993" w:type="dxa"/>
          </w:tcPr>
          <w:p w14:paraId="0F2FE13F" w14:textId="795BA638" w:rsidR="00034615" w:rsidRPr="0043591A" w:rsidRDefault="006E157F" w:rsidP="00C55968">
            <w:pPr>
              <w:spacing w:line="360" w:lineRule="auto"/>
              <w:jc w:val="center"/>
              <w:rPr>
                <w:b/>
                <w:bCs/>
                <w:sz w:val="18"/>
                <w:szCs w:val="18"/>
              </w:rPr>
            </w:pPr>
            <w:r w:rsidRPr="0043591A">
              <w:rPr>
                <w:b/>
                <w:bCs/>
                <w:sz w:val="18"/>
                <w:szCs w:val="18"/>
              </w:rPr>
              <w:t>5</w:t>
            </w:r>
          </w:p>
        </w:tc>
        <w:tc>
          <w:tcPr>
            <w:tcW w:w="1842" w:type="dxa"/>
          </w:tcPr>
          <w:p w14:paraId="3AE0E0D7" w14:textId="4C04A0A3"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w:t>
            </w:r>
          </w:p>
        </w:tc>
        <w:tc>
          <w:tcPr>
            <w:cnfStyle w:val="000010000000" w:firstRow="0" w:lastRow="0" w:firstColumn="0" w:lastColumn="0" w:oddVBand="1" w:evenVBand="0" w:oddHBand="0" w:evenHBand="0" w:firstRowFirstColumn="0" w:firstRowLastColumn="0" w:lastRowFirstColumn="0" w:lastRowLastColumn="0"/>
            <w:tcW w:w="1763" w:type="dxa"/>
          </w:tcPr>
          <w:p w14:paraId="601E5F5C" w14:textId="68937570" w:rsidR="00034615" w:rsidRPr="0043591A" w:rsidRDefault="006E157F" w:rsidP="00C55968">
            <w:pPr>
              <w:spacing w:line="360" w:lineRule="auto"/>
              <w:jc w:val="center"/>
              <w:rPr>
                <w:b/>
                <w:bCs/>
                <w:sz w:val="18"/>
                <w:szCs w:val="18"/>
              </w:rPr>
            </w:pPr>
            <w:r w:rsidRPr="0043591A">
              <w:rPr>
                <w:b/>
                <w:bCs/>
                <w:sz w:val="18"/>
                <w:szCs w:val="18"/>
              </w:rPr>
              <w:t>-</w:t>
            </w:r>
          </w:p>
        </w:tc>
      </w:tr>
      <w:tr w:rsidR="008B1D4B" w:rsidRPr="008B1D4B" w14:paraId="1EE1FBD5" w14:textId="77777777" w:rsidTr="00A726AE">
        <w:trPr>
          <w:trHeight w:val="120"/>
        </w:trPr>
        <w:tc>
          <w:tcPr>
            <w:cnfStyle w:val="001000000000" w:firstRow="0" w:lastRow="0" w:firstColumn="1" w:lastColumn="0" w:oddVBand="0" w:evenVBand="0" w:oddHBand="0" w:evenHBand="0" w:firstRowFirstColumn="0" w:firstRowLastColumn="0" w:lastRowFirstColumn="0" w:lastRowLastColumn="0"/>
            <w:tcW w:w="709" w:type="dxa"/>
          </w:tcPr>
          <w:p w14:paraId="31331900" w14:textId="5505F286" w:rsidR="00034615" w:rsidRPr="0043591A" w:rsidRDefault="001605E4" w:rsidP="00C55968">
            <w:pPr>
              <w:spacing w:line="360" w:lineRule="auto"/>
              <w:rPr>
                <w:bCs w:val="0"/>
                <w:color w:val="auto"/>
                <w:sz w:val="18"/>
                <w:szCs w:val="18"/>
              </w:rPr>
            </w:pPr>
            <w:r w:rsidRPr="0043591A">
              <w:rPr>
                <w:color w:val="auto"/>
                <w:sz w:val="18"/>
                <w:szCs w:val="18"/>
              </w:rPr>
              <w:t>31</w:t>
            </w:r>
          </w:p>
        </w:tc>
        <w:tc>
          <w:tcPr>
            <w:cnfStyle w:val="000010000000" w:firstRow="0" w:lastRow="0" w:firstColumn="0" w:lastColumn="0" w:oddVBand="1" w:evenVBand="0" w:oddHBand="0" w:evenHBand="0" w:firstRowFirstColumn="0" w:firstRowLastColumn="0" w:lastRowFirstColumn="0" w:lastRowLastColumn="0"/>
            <w:tcW w:w="1862" w:type="dxa"/>
          </w:tcPr>
          <w:p w14:paraId="54770FC2" w14:textId="2B15E679" w:rsidR="00034615" w:rsidRPr="0043591A" w:rsidRDefault="006E157F" w:rsidP="00C55968">
            <w:pPr>
              <w:spacing w:line="360" w:lineRule="auto"/>
              <w:rPr>
                <w:b/>
                <w:bCs/>
                <w:sz w:val="18"/>
                <w:szCs w:val="18"/>
              </w:rPr>
            </w:pPr>
            <w:r w:rsidRPr="0043591A">
              <w:rPr>
                <w:b/>
                <w:bCs/>
                <w:sz w:val="18"/>
                <w:szCs w:val="18"/>
              </w:rPr>
              <w:t>KOSOVO</w:t>
            </w:r>
          </w:p>
        </w:tc>
        <w:tc>
          <w:tcPr>
            <w:tcW w:w="1994" w:type="dxa"/>
          </w:tcPr>
          <w:p w14:paraId="76A4593E" w14:textId="023787A1"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2</w:t>
            </w:r>
          </w:p>
        </w:tc>
        <w:tc>
          <w:tcPr>
            <w:cnfStyle w:val="000010000000" w:firstRow="0" w:lastRow="0" w:firstColumn="0" w:lastColumn="0" w:oddVBand="1" w:evenVBand="0" w:oddHBand="0" w:evenHBand="0" w:firstRowFirstColumn="0" w:firstRowLastColumn="0" w:lastRowFirstColumn="0" w:lastRowLastColumn="0"/>
            <w:tcW w:w="993" w:type="dxa"/>
          </w:tcPr>
          <w:p w14:paraId="1A00A293" w14:textId="275ACC89" w:rsidR="00034615" w:rsidRPr="0043591A" w:rsidRDefault="006E157F" w:rsidP="00C55968">
            <w:pPr>
              <w:spacing w:line="360" w:lineRule="auto"/>
              <w:jc w:val="center"/>
              <w:rPr>
                <w:b/>
                <w:bCs/>
                <w:sz w:val="18"/>
                <w:szCs w:val="18"/>
              </w:rPr>
            </w:pPr>
            <w:r w:rsidRPr="0043591A">
              <w:rPr>
                <w:b/>
                <w:bCs/>
                <w:sz w:val="18"/>
                <w:szCs w:val="18"/>
              </w:rPr>
              <w:t>2</w:t>
            </w:r>
          </w:p>
        </w:tc>
        <w:tc>
          <w:tcPr>
            <w:tcW w:w="1842" w:type="dxa"/>
          </w:tcPr>
          <w:p w14:paraId="2569AF68" w14:textId="61655B38"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1763" w:type="dxa"/>
          </w:tcPr>
          <w:p w14:paraId="627ADFA1" w14:textId="08694DB6" w:rsidR="00034615" w:rsidRPr="0043591A" w:rsidRDefault="006E157F" w:rsidP="00C55968">
            <w:pPr>
              <w:spacing w:line="360" w:lineRule="auto"/>
              <w:jc w:val="center"/>
              <w:rPr>
                <w:b/>
                <w:bCs/>
                <w:sz w:val="18"/>
                <w:szCs w:val="18"/>
              </w:rPr>
            </w:pPr>
            <w:r w:rsidRPr="0043591A">
              <w:rPr>
                <w:b/>
                <w:bCs/>
                <w:sz w:val="18"/>
                <w:szCs w:val="18"/>
              </w:rPr>
              <w:t>1</w:t>
            </w:r>
          </w:p>
        </w:tc>
      </w:tr>
      <w:tr w:rsidR="008B1D4B" w:rsidRPr="008B1D4B" w14:paraId="506EBC63" w14:textId="77777777" w:rsidTr="00A726AE">
        <w:trPr>
          <w:trHeight w:val="120"/>
        </w:trPr>
        <w:tc>
          <w:tcPr>
            <w:cnfStyle w:val="001000000000" w:firstRow="0" w:lastRow="0" w:firstColumn="1" w:lastColumn="0" w:oddVBand="0" w:evenVBand="0" w:oddHBand="0" w:evenHBand="0" w:firstRowFirstColumn="0" w:firstRowLastColumn="0" w:lastRowFirstColumn="0" w:lastRowLastColumn="0"/>
            <w:tcW w:w="709" w:type="dxa"/>
          </w:tcPr>
          <w:p w14:paraId="5E86D3C6" w14:textId="0DBA4CBE" w:rsidR="00034615" w:rsidRPr="0043591A" w:rsidRDefault="001605E4" w:rsidP="00C55968">
            <w:pPr>
              <w:spacing w:line="360" w:lineRule="auto"/>
              <w:rPr>
                <w:bCs w:val="0"/>
                <w:color w:val="auto"/>
                <w:sz w:val="18"/>
                <w:szCs w:val="18"/>
              </w:rPr>
            </w:pPr>
            <w:r w:rsidRPr="0043591A">
              <w:rPr>
                <w:color w:val="auto"/>
                <w:sz w:val="18"/>
                <w:szCs w:val="18"/>
              </w:rPr>
              <w:t>32</w:t>
            </w:r>
          </w:p>
        </w:tc>
        <w:tc>
          <w:tcPr>
            <w:cnfStyle w:val="000010000000" w:firstRow="0" w:lastRow="0" w:firstColumn="0" w:lastColumn="0" w:oddVBand="1" w:evenVBand="0" w:oddHBand="0" w:evenHBand="0" w:firstRowFirstColumn="0" w:firstRowLastColumn="0" w:lastRowFirstColumn="0" w:lastRowLastColumn="0"/>
            <w:tcW w:w="1862" w:type="dxa"/>
          </w:tcPr>
          <w:p w14:paraId="78C68A2F" w14:textId="3552BDB9" w:rsidR="00034615" w:rsidRPr="0043591A" w:rsidRDefault="006E157F" w:rsidP="00C55968">
            <w:pPr>
              <w:spacing w:line="360" w:lineRule="auto"/>
              <w:rPr>
                <w:b/>
                <w:bCs/>
                <w:sz w:val="18"/>
                <w:szCs w:val="18"/>
              </w:rPr>
            </w:pPr>
            <w:r w:rsidRPr="0043591A">
              <w:rPr>
                <w:b/>
                <w:bCs/>
                <w:sz w:val="18"/>
                <w:szCs w:val="18"/>
              </w:rPr>
              <w:t>LATVIJA</w:t>
            </w:r>
          </w:p>
        </w:tc>
        <w:tc>
          <w:tcPr>
            <w:tcW w:w="1994" w:type="dxa"/>
          </w:tcPr>
          <w:p w14:paraId="73B018E5" w14:textId="42453FA5"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5</w:t>
            </w:r>
          </w:p>
        </w:tc>
        <w:tc>
          <w:tcPr>
            <w:cnfStyle w:val="000010000000" w:firstRow="0" w:lastRow="0" w:firstColumn="0" w:lastColumn="0" w:oddVBand="1" w:evenVBand="0" w:oddHBand="0" w:evenHBand="0" w:firstRowFirstColumn="0" w:firstRowLastColumn="0" w:lastRowFirstColumn="0" w:lastRowLastColumn="0"/>
            <w:tcW w:w="993" w:type="dxa"/>
          </w:tcPr>
          <w:p w14:paraId="45B7F1B7" w14:textId="75A763D2" w:rsidR="00034615" w:rsidRPr="0043591A" w:rsidRDefault="006E157F" w:rsidP="00C55968">
            <w:pPr>
              <w:spacing w:line="360" w:lineRule="auto"/>
              <w:jc w:val="center"/>
              <w:rPr>
                <w:b/>
                <w:bCs/>
                <w:sz w:val="18"/>
                <w:szCs w:val="18"/>
              </w:rPr>
            </w:pPr>
            <w:r w:rsidRPr="0043591A">
              <w:rPr>
                <w:b/>
                <w:bCs/>
                <w:sz w:val="18"/>
                <w:szCs w:val="18"/>
              </w:rPr>
              <w:t>5</w:t>
            </w:r>
          </w:p>
        </w:tc>
        <w:tc>
          <w:tcPr>
            <w:tcW w:w="1842" w:type="dxa"/>
          </w:tcPr>
          <w:p w14:paraId="3CC0E24E" w14:textId="31AD690C"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3</w:t>
            </w:r>
          </w:p>
        </w:tc>
        <w:tc>
          <w:tcPr>
            <w:cnfStyle w:val="000010000000" w:firstRow="0" w:lastRow="0" w:firstColumn="0" w:lastColumn="0" w:oddVBand="1" w:evenVBand="0" w:oddHBand="0" w:evenHBand="0" w:firstRowFirstColumn="0" w:firstRowLastColumn="0" w:lastRowFirstColumn="0" w:lastRowLastColumn="0"/>
            <w:tcW w:w="1763" w:type="dxa"/>
          </w:tcPr>
          <w:p w14:paraId="4EB6A898" w14:textId="64A3D1A4" w:rsidR="00034615" w:rsidRPr="0043591A" w:rsidRDefault="006E157F" w:rsidP="00C55968">
            <w:pPr>
              <w:spacing w:line="360" w:lineRule="auto"/>
              <w:jc w:val="center"/>
              <w:rPr>
                <w:b/>
                <w:bCs/>
                <w:sz w:val="18"/>
                <w:szCs w:val="18"/>
              </w:rPr>
            </w:pPr>
            <w:r w:rsidRPr="0043591A">
              <w:rPr>
                <w:b/>
                <w:bCs/>
                <w:sz w:val="18"/>
                <w:szCs w:val="18"/>
              </w:rPr>
              <w:t>2</w:t>
            </w:r>
          </w:p>
        </w:tc>
      </w:tr>
      <w:tr w:rsidR="008B1D4B" w:rsidRPr="008B1D4B" w14:paraId="071E56B4" w14:textId="77777777" w:rsidTr="00A726AE">
        <w:trPr>
          <w:trHeight w:val="120"/>
        </w:trPr>
        <w:tc>
          <w:tcPr>
            <w:cnfStyle w:val="001000000000" w:firstRow="0" w:lastRow="0" w:firstColumn="1" w:lastColumn="0" w:oddVBand="0" w:evenVBand="0" w:oddHBand="0" w:evenHBand="0" w:firstRowFirstColumn="0" w:firstRowLastColumn="0" w:lastRowFirstColumn="0" w:lastRowLastColumn="0"/>
            <w:tcW w:w="709" w:type="dxa"/>
          </w:tcPr>
          <w:p w14:paraId="433E14C1" w14:textId="18F09FD7" w:rsidR="00034615" w:rsidRPr="0043591A" w:rsidRDefault="001605E4" w:rsidP="00C55968">
            <w:pPr>
              <w:spacing w:line="360" w:lineRule="auto"/>
              <w:rPr>
                <w:bCs w:val="0"/>
                <w:color w:val="auto"/>
                <w:sz w:val="18"/>
                <w:szCs w:val="18"/>
              </w:rPr>
            </w:pPr>
            <w:r w:rsidRPr="0043591A">
              <w:rPr>
                <w:color w:val="auto"/>
                <w:sz w:val="18"/>
                <w:szCs w:val="18"/>
              </w:rPr>
              <w:t>33</w:t>
            </w:r>
          </w:p>
        </w:tc>
        <w:tc>
          <w:tcPr>
            <w:cnfStyle w:val="000010000000" w:firstRow="0" w:lastRow="0" w:firstColumn="0" w:lastColumn="0" w:oddVBand="1" w:evenVBand="0" w:oddHBand="0" w:evenHBand="0" w:firstRowFirstColumn="0" w:firstRowLastColumn="0" w:lastRowFirstColumn="0" w:lastRowLastColumn="0"/>
            <w:tcW w:w="1862" w:type="dxa"/>
          </w:tcPr>
          <w:p w14:paraId="3AB01535" w14:textId="2CC5D48D" w:rsidR="00034615" w:rsidRPr="0043591A" w:rsidRDefault="006E157F" w:rsidP="00C55968">
            <w:pPr>
              <w:spacing w:line="360" w:lineRule="auto"/>
              <w:rPr>
                <w:b/>
                <w:bCs/>
                <w:sz w:val="18"/>
                <w:szCs w:val="18"/>
              </w:rPr>
            </w:pPr>
            <w:r w:rsidRPr="0043591A">
              <w:rPr>
                <w:b/>
                <w:bCs/>
                <w:sz w:val="18"/>
                <w:szCs w:val="18"/>
              </w:rPr>
              <w:t>LIBANON</w:t>
            </w:r>
          </w:p>
        </w:tc>
        <w:tc>
          <w:tcPr>
            <w:tcW w:w="1994" w:type="dxa"/>
          </w:tcPr>
          <w:p w14:paraId="102A6A26" w14:textId="3C77E463"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993" w:type="dxa"/>
          </w:tcPr>
          <w:p w14:paraId="4636E9C1" w14:textId="5E818886" w:rsidR="00034615" w:rsidRPr="0043591A" w:rsidRDefault="006E157F" w:rsidP="00C55968">
            <w:pPr>
              <w:spacing w:line="360" w:lineRule="auto"/>
              <w:jc w:val="center"/>
              <w:rPr>
                <w:b/>
                <w:bCs/>
                <w:sz w:val="18"/>
                <w:szCs w:val="18"/>
              </w:rPr>
            </w:pPr>
            <w:r w:rsidRPr="0043591A">
              <w:rPr>
                <w:b/>
                <w:bCs/>
                <w:sz w:val="18"/>
                <w:szCs w:val="18"/>
              </w:rPr>
              <w:t>1</w:t>
            </w:r>
          </w:p>
        </w:tc>
        <w:tc>
          <w:tcPr>
            <w:tcW w:w="1842" w:type="dxa"/>
          </w:tcPr>
          <w:p w14:paraId="43B2628F" w14:textId="2A5F5F5D"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w:t>
            </w:r>
          </w:p>
        </w:tc>
        <w:tc>
          <w:tcPr>
            <w:cnfStyle w:val="000010000000" w:firstRow="0" w:lastRow="0" w:firstColumn="0" w:lastColumn="0" w:oddVBand="1" w:evenVBand="0" w:oddHBand="0" w:evenHBand="0" w:firstRowFirstColumn="0" w:firstRowLastColumn="0" w:lastRowFirstColumn="0" w:lastRowLastColumn="0"/>
            <w:tcW w:w="1763" w:type="dxa"/>
          </w:tcPr>
          <w:p w14:paraId="2D7BF2CC" w14:textId="27DA2EBB" w:rsidR="00034615" w:rsidRPr="0043591A" w:rsidRDefault="006E157F" w:rsidP="00C55968">
            <w:pPr>
              <w:spacing w:line="360" w:lineRule="auto"/>
              <w:jc w:val="center"/>
              <w:rPr>
                <w:b/>
                <w:bCs/>
                <w:sz w:val="18"/>
                <w:szCs w:val="18"/>
              </w:rPr>
            </w:pPr>
            <w:r w:rsidRPr="0043591A">
              <w:rPr>
                <w:b/>
                <w:bCs/>
                <w:sz w:val="18"/>
                <w:szCs w:val="18"/>
              </w:rPr>
              <w:t>-</w:t>
            </w:r>
          </w:p>
        </w:tc>
      </w:tr>
      <w:tr w:rsidR="008B1D4B" w:rsidRPr="008B1D4B" w14:paraId="4238096C" w14:textId="77777777" w:rsidTr="00A726AE">
        <w:trPr>
          <w:trHeight w:val="237"/>
        </w:trPr>
        <w:tc>
          <w:tcPr>
            <w:cnfStyle w:val="001000000000" w:firstRow="0" w:lastRow="0" w:firstColumn="1" w:lastColumn="0" w:oddVBand="0" w:evenVBand="0" w:oddHBand="0" w:evenHBand="0" w:firstRowFirstColumn="0" w:firstRowLastColumn="0" w:lastRowFirstColumn="0" w:lastRowLastColumn="0"/>
            <w:tcW w:w="709" w:type="dxa"/>
          </w:tcPr>
          <w:p w14:paraId="31F0DBA8" w14:textId="045DD0FF" w:rsidR="00034615" w:rsidRPr="0043591A" w:rsidRDefault="001605E4" w:rsidP="00C55968">
            <w:pPr>
              <w:spacing w:line="360" w:lineRule="auto"/>
              <w:rPr>
                <w:bCs w:val="0"/>
                <w:color w:val="auto"/>
                <w:sz w:val="18"/>
                <w:szCs w:val="18"/>
              </w:rPr>
            </w:pPr>
            <w:r w:rsidRPr="0043591A">
              <w:rPr>
                <w:color w:val="auto"/>
                <w:sz w:val="18"/>
                <w:szCs w:val="18"/>
              </w:rPr>
              <w:t>34</w:t>
            </w:r>
          </w:p>
        </w:tc>
        <w:tc>
          <w:tcPr>
            <w:cnfStyle w:val="000010000000" w:firstRow="0" w:lastRow="0" w:firstColumn="0" w:lastColumn="0" w:oddVBand="1" w:evenVBand="0" w:oddHBand="0" w:evenHBand="0" w:firstRowFirstColumn="0" w:firstRowLastColumn="0" w:lastRowFirstColumn="0" w:lastRowLastColumn="0"/>
            <w:tcW w:w="1862" w:type="dxa"/>
          </w:tcPr>
          <w:p w14:paraId="092EE361" w14:textId="04D2EF4F" w:rsidR="00034615" w:rsidRPr="0043591A" w:rsidRDefault="006E157F" w:rsidP="00C55968">
            <w:pPr>
              <w:spacing w:line="360" w:lineRule="auto"/>
              <w:rPr>
                <w:b/>
                <w:bCs/>
                <w:sz w:val="18"/>
                <w:szCs w:val="18"/>
              </w:rPr>
            </w:pPr>
            <w:r w:rsidRPr="0043591A">
              <w:rPr>
                <w:b/>
                <w:bCs/>
                <w:sz w:val="18"/>
                <w:szCs w:val="18"/>
              </w:rPr>
              <w:t>LIECHTENSTEIN</w:t>
            </w:r>
          </w:p>
        </w:tc>
        <w:tc>
          <w:tcPr>
            <w:tcW w:w="1994" w:type="dxa"/>
          </w:tcPr>
          <w:p w14:paraId="66D5A8C6" w14:textId="2B336DE3"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993" w:type="dxa"/>
          </w:tcPr>
          <w:p w14:paraId="2DB8A66A" w14:textId="6F0B5C2D" w:rsidR="00034615" w:rsidRPr="0043591A" w:rsidRDefault="006E157F" w:rsidP="00C55968">
            <w:pPr>
              <w:spacing w:line="360" w:lineRule="auto"/>
              <w:jc w:val="center"/>
              <w:rPr>
                <w:b/>
                <w:bCs/>
                <w:sz w:val="18"/>
                <w:szCs w:val="18"/>
              </w:rPr>
            </w:pPr>
            <w:r w:rsidRPr="0043591A">
              <w:rPr>
                <w:b/>
                <w:bCs/>
                <w:sz w:val="18"/>
                <w:szCs w:val="18"/>
              </w:rPr>
              <w:t>1</w:t>
            </w:r>
          </w:p>
        </w:tc>
        <w:tc>
          <w:tcPr>
            <w:tcW w:w="1842" w:type="dxa"/>
          </w:tcPr>
          <w:p w14:paraId="1FD4E9AE" w14:textId="21DC2BD3"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9</w:t>
            </w:r>
          </w:p>
        </w:tc>
        <w:tc>
          <w:tcPr>
            <w:cnfStyle w:val="000010000000" w:firstRow="0" w:lastRow="0" w:firstColumn="0" w:lastColumn="0" w:oddVBand="1" w:evenVBand="0" w:oddHBand="0" w:evenHBand="0" w:firstRowFirstColumn="0" w:firstRowLastColumn="0" w:lastRowFirstColumn="0" w:lastRowLastColumn="0"/>
            <w:tcW w:w="1763" w:type="dxa"/>
          </w:tcPr>
          <w:p w14:paraId="46158264" w14:textId="168A12B3" w:rsidR="00034615" w:rsidRPr="0043591A" w:rsidRDefault="006E157F" w:rsidP="00C55968">
            <w:pPr>
              <w:spacing w:line="360" w:lineRule="auto"/>
              <w:jc w:val="center"/>
              <w:rPr>
                <w:b/>
                <w:bCs/>
                <w:sz w:val="18"/>
                <w:szCs w:val="18"/>
              </w:rPr>
            </w:pPr>
            <w:r w:rsidRPr="0043591A">
              <w:rPr>
                <w:b/>
                <w:bCs/>
                <w:sz w:val="18"/>
                <w:szCs w:val="18"/>
              </w:rPr>
              <w:t>9</w:t>
            </w:r>
          </w:p>
        </w:tc>
      </w:tr>
      <w:tr w:rsidR="008B1D4B" w:rsidRPr="008B1D4B" w14:paraId="3124D239" w14:textId="77777777" w:rsidTr="00A726AE">
        <w:trPr>
          <w:trHeight w:val="372"/>
        </w:trPr>
        <w:tc>
          <w:tcPr>
            <w:cnfStyle w:val="001000000000" w:firstRow="0" w:lastRow="0" w:firstColumn="1" w:lastColumn="0" w:oddVBand="0" w:evenVBand="0" w:oddHBand="0" w:evenHBand="0" w:firstRowFirstColumn="0" w:firstRowLastColumn="0" w:lastRowFirstColumn="0" w:lastRowLastColumn="0"/>
            <w:tcW w:w="709" w:type="dxa"/>
          </w:tcPr>
          <w:p w14:paraId="7ACE5EEE" w14:textId="6DFFBFA0" w:rsidR="00034615" w:rsidRPr="0043591A" w:rsidRDefault="001605E4" w:rsidP="00C55968">
            <w:pPr>
              <w:spacing w:line="360" w:lineRule="auto"/>
              <w:rPr>
                <w:bCs w:val="0"/>
                <w:color w:val="auto"/>
                <w:sz w:val="18"/>
                <w:szCs w:val="18"/>
              </w:rPr>
            </w:pPr>
            <w:r w:rsidRPr="0043591A">
              <w:rPr>
                <w:color w:val="auto"/>
                <w:sz w:val="18"/>
                <w:szCs w:val="18"/>
              </w:rPr>
              <w:t>35</w:t>
            </w:r>
          </w:p>
        </w:tc>
        <w:tc>
          <w:tcPr>
            <w:cnfStyle w:val="000010000000" w:firstRow="0" w:lastRow="0" w:firstColumn="0" w:lastColumn="0" w:oddVBand="1" w:evenVBand="0" w:oddHBand="0" w:evenHBand="0" w:firstRowFirstColumn="0" w:firstRowLastColumn="0" w:lastRowFirstColumn="0" w:lastRowLastColumn="0"/>
            <w:tcW w:w="1862" w:type="dxa"/>
          </w:tcPr>
          <w:p w14:paraId="5A1CC379" w14:textId="008782A5" w:rsidR="00034615" w:rsidRPr="0043591A" w:rsidRDefault="006E157F" w:rsidP="00C55968">
            <w:pPr>
              <w:spacing w:line="360" w:lineRule="auto"/>
              <w:rPr>
                <w:b/>
                <w:bCs/>
                <w:sz w:val="18"/>
                <w:szCs w:val="18"/>
              </w:rPr>
            </w:pPr>
            <w:r w:rsidRPr="0043591A">
              <w:rPr>
                <w:b/>
                <w:bCs/>
                <w:sz w:val="18"/>
                <w:szCs w:val="18"/>
              </w:rPr>
              <w:t>LITVA</w:t>
            </w:r>
          </w:p>
        </w:tc>
        <w:tc>
          <w:tcPr>
            <w:tcW w:w="1994" w:type="dxa"/>
          </w:tcPr>
          <w:p w14:paraId="1C83F245" w14:textId="799E8167"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18</w:t>
            </w:r>
          </w:p>
        </w:tc>
        <w:tc>
          <w:tcPr>
            <w:cnfStyle w:val="000010000000" w:firstRow="0" w:lastRow="0" w:firstColumn="0" w:lastColumn="0" w:oddVBand="1" w:evenVBand="0" w:oddHBand="0" w:evenHBand="0" w:firstRowFirstColumn="0" w:firstRowLastColumn="0" w:lastRowFirstColumn="0" w:lastRowLastColumn="0"/>
            <w:tcW w:w="993" w:type="dxa"/>
          </w:tcPr>
          <w:p w14:paraId="0CF1F778" w14:textId="6DC5EB8A" w:rsidR="00034615" w:rsidRPr="0043591A" w:rsidRDefault="006E157F" w:rsidP="00C55968">
            <w:pPr>
              <w:spacing w:line="360" w:lineRule="auto"/>
              <w:jc w:val="center"/>
              <w:rPr>
                <w:b/>
                <w:bCs/>
                <w:sz w:val="18"/>
                <w:szCs w:val="18"/>
              </w:rPr>
            </w:pPr>
            <w:r w:rsidRPr="0043591A">
              <w:rPr>
                <w:b/>
                <w:bCs/>
                <w:sz w:val="18"/>
                <w:szCs w:val="18"/>
              </w:rPr>
              <w:t>18</w:t>
            </w:r>
          </w:p>
        </w:tc>
        <w:tc>
          <w:tcPr>
            <w:tcW w:w="1842" w:type="dxa"/>
          </w:tcPr>
          <w:p w14:paraId="39AF6520" w14:textId="5CE9FEDF"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3</w:t>
            </w:r>
          </w:p>
        </w:tc>
        <w:tc>
          <w:tcPr>
            <w:cnfStyle w:val="000010000000" w:firstRow="0" w:lastRow="0" w:firstColumn="0" w:lastColumn="0" w:oddVBand="1" w:evenVBand="0" w:oddHBand="0" w:evenHBand="0" w:firstRowFirstColumn="0" w:firstRowLastColumn="0" w:lastRowFirstColumn="0" w:lastRowLastColumn="0"/>
            <w:tcW w:w="1763" w:type="dxa"/>
          </w:tcPr>
          <w:p w14:paraId="18C74EC0" w14:textId="17E3A707" w:rsidR="00034615" w:rsidRPr="0043591A" w:rsidRDefault="006E157F" w:rsidP="00C55968">
            <w:pPr>
              <w:spacing w:line="360" w:lineRule="auto"/>
              <w:jc w:val="center"/>
              <w:rPr>
                <w:b/>
                <w:bCs/>
                <w:sz w:val="18"/>
                <w:szCs w:val="18"/>
              </w:rPr>
            </w:pPr>
            <w:r w:rsidRPr="0043591A">
              <w:rPr>
                <w:b/>
                <w:bCs/>
                <w:sz w:val="18"/>
                <w:szCs w:val="18"/>
              </w:rPr>
              <w:t>2</w:t>
            </w:r>
          </w:p>
        </w:tc>
      </w:tr>
      <w:tr w:rsidR="008B1D4B" w:rsidRPr="008B1D4B" w14:paraId="0D1E32BA" w14:textId="77777777" w:rsidTr="00A726AE">
        <w:trPr>
          <w:trHeight w:val="204"/>
        </w:trPr>
        <w:tc>
          <w:tcPr>
            <w:cnfStyle w:val="001000000000" w:firstRow="0" w:lastRow="0" w:firstColumn="1" w:lastColumn="0" w:oddVBand="0" w:evenVBand="0" w:oddHBand="0" w:evenHBand="0" w:firstRowFirstColumn="0" w:firstRowLastColumn="0" w:lastRowFirstColumn="0" w:lastRowLastColumn="0"/>
            <w:tcW w:w="709" w:type="dxa"/>
          </w:tcPr>
          <w:p w14:paraId="6CA1B091" w14:textId="1F218321" w:rsidR="00034615" w:rsidRPr="0043591A" w:rsidRDefault="001605E4" w:rsidP="00C55968">
            <w:pPr>
              <w:spacing w:line="360" w:lineRule="auto"/>
              <w:rPr>
                <w:bCs w:val="0"/>
                <w:color w:val="auto"/>
                <w:sz w:val="18"/>
                <w:szCs w:val="18"/>
              </w:rPr>
            </w:pPr>
            <w:r w:rsidRPr="0043591A">
              <w:rPr>
                <w:color w:val="auto"/>
                <w:sz w:val="18"/>
                <w:szCs w:val="18"/>
              </w:rPr>
              <w:t>36</w:t>
            </w:r>
          </w:p>
        </w:tc>
        <w:tc>
          <w:tcPr>
            <w:cnfStyle w:val="000010000000" w:firstRow="0" w:lastRow="0" w:firstColumn="0" w:lastColumn="0" w:oddVBand="1" w:evenVBand="0" w:oddHBand="0" w:evenHBand="0" w:firstRowFirstColumn="0" w:firstRowLastColumn="0" w:lastRowFirstColumn="0" w:lastRowLastColumn="0"/>
            <w:tcW w:w="1862" w:type="dxa"/>
          </w:tcPr>
          <w:p w14:paraId="16851FEC" w14:textId="009EE690" w:rsidR="00034615" w:rsidRPr="0043591A" w:rsidRDefault="006E157F" w:rsidP="00C55968">
            <w:pPr>
              <w:spacing w:line="360" w:lineRule="auto"/>
              <w:rPr>
                <w:b/>
                <w:bCs/>
                <w:sz w:val="18"/>
                <w:szCs w:val="18"/>
              </w:rPr>
            </w:pPr>
            <w:r w:rsidRPr="0043591A">
              <w:rPr>
                <w:b/>
                <w:bCs/>
                <w:sz w:val="18"/>
                <w:szCs w:val="18"/>
              </w:rPr>
              <w:t>LUKSEMBURG</w:t>
            </w:r>
          </w:p>
        </w:tc>
        <w:tc>
          <w:tcPr>
            <w:tcW w:w="1994" w:type="dxa"/>
          </w:tcPr>
          <w:p w14:paraId="0C2659AF" w14:textId="1B9D7609"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4</w:t>
            </w:r>
          </w:p>
        </w:tc>
        <w:tc>
          <w:tcPr>
            <w:cnfStyle w:val="000010000000" w:firstRow="0" w:lastRow="0" w:firstColumn="0" w:lastColumn="0" w:oddVBand="1" w:evenVBand="0" w:oddHBand="0" w:evenHBand="0" w:firstRowFirstColumn="0" w:firstRowLastColumn="0" w:lastRowFirstColumn="0" w:lastRowLastColumn="0"/>
            <w:tcW w:w="993" w:type="dxa"/>
          </w:tcPr>
          <w:p w14:paraId="364B43D9" w14:textId="02C5EB6C" w:rsidR="00034615" w:rsidRPr="0043591A" w:rsidRDefault="006E157F" w:rsidP="00C55968">
            <w:pPr>
              <w:spacing w:line="360" w:lineRule="auto"/>
              <w:rPr>
                <w:b/>
                <w:bCs/>
                <w:sz w:val="18"/>
                <w:szCs w:val="18"/>
              </w:rPr>
            </w:pPr>
            <w:r w:rsidRPr="0043591A">
              <w:rPr>
                <w:b/>
                <w:bCs/>
                <w:sz w:val="18"/>
                <w:szCs w:val="18"/>
              </w:rPr>
              <w:t>4</w:t>
            </w:r>
          </w:p>
        </w:tc>
        <w:tc>
          <w:tcPr>
            <w:tcW w:w="1842" w:type="dxa"/>
          </w:tcPr>
          <w:p w14:paraId="0076BB4B" w14:textId="7DE551E4"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2</w:t>
            </w:r>
          </w:p>
        </w:tc>
        <w:tc>
          <w:tcPr>
            <w:cnfStyle w:val="000010000000" w:firstRow="0" w:lastRow="0" w:firstColumn="0" w:lastColumn="0" w:oddVBand="1" w:evenVBand="0" w:oddHBand="0" w:evenHBand="0" w:firstRowFirstColumn="0" w:firstRowLastColumn="0" w:lastRowFirstColumn="0" w:lastRowLastColumn="0"/>
            <w:tcW w:w="1763" w:type="dxa"/>
          </w:tcPr>
          <w:p w14:paraId="65FBEF74" w14:textId="618398DB" w:rsidR="00034615" w:rsidRPr="0043591A" w:rsidRDefault="006E157F" w:rsidP="00C55968">
            <w:pPr>
              <w:spacing w:line="360" w:lineRule="auto"/>
              <w:jc w:val="center"/>
              <w:rPr>
                <w:b/>
                <w:bCs/>
                <w:sz w:val="18"/>
                <w:szCs w:val="18"/>
              </w:rPr>
            </w:pPr>
            <w:r w:rsidRPr="0043591A">
              <w:rPr>
                <w:b/>
                <w:bCs/>
                <w:sz w:val="18"/>
                <w:szCs w:val="18"/>
              </w:rPr>
              <w:t>2</w:t>
            </w:r>
          </w:p>
        </w:tc>
      </w:tr>
      <w:tr w:rsidR="008B1D4B" w:rsidRPr="008B1D4B" w14:paraId="5022E8F2" w14:textId="77777777" w:rsidTr="00A726AE">
        <w:trPr>
          <w:trHeight w:val="408"/>
        </w:trPr>
        <w:tc>
          <w:tcPr>
            <w:cnfStyle w:val="001000000000" w:firstRow="0" w:lastRow="0" w:firstColumn="1" w:lastColumn="0" w:oddVBand="0" w:evenVBand="0" w:oddHBand="0" w:evenHBand="0" w:firstRowFirstColumn="0" w:firstRowLastColumn="0" w:lastRowFirstColumn="0" w:lastRowLastColumn="0"/>
            <w:tcW w:w="709" w:type="dxa"/>
          </w:tcPr>
          <w:p w14:paraId="5A8CB2A1" w14:textId="7F1FE3F4" w:rsidR="00034615" w:rsidRPr="0043591A" w:rsidRDefault="001605E4" w:rsidP="00C55968">
            <w:pPr>
              <w:spacing w:line="360" w:lineRule="auto"/>
              <w:rPr>
                <w:bCs w:val="0"/>
                <w:color w:val="auto"/>
                <w:sz w:val="18"/>
                <w:szCs w:val="18"/>
              </w:rPr>
            </w:pPr>
            <w:r w:rsidRPr="0043591A">
              <w:rPr>
                <w:color w:val="auto"/>
                <w:sz w:val="18"/>
                <w:szCs w:val="18"/>
              </w:rPr>
              <w:t>37</w:t>
            </w:r>
          </w:p>
        </w:tc>
        <w:tc>
          <w:tcPr>
            <w:cnfStyle w:val="000010000000" w:firstRow="0" w:lastRow="0" w:firstColumn="0" w:lastColumn="0" w:oddVBand="1" w:evenVBand="0" w:oddHBand="0" w:evenHBand="0" w:firstRowFirstColumn="0" w:firstRowLastColumn="0" w:lastRowFirstColumn="0" w:lastRowLastColumn="0"/>
            <w:tcW w:w="1862" w:type="dxa"/>
          </w:tcPr>
          <w:p w14:paraId="62ADB901" w14:textId="1E32938C" w:rsidR="00034615" w:rsidRPr="0043591A" w:rsidRDefault="006E157F" w:rsidP="00C55968">
            <w:pPr>
              <w:spacing w:line="360" w:lineRule="auto"/>
              <w:rPr>
                <w:b/>
                <w:bCs/>
                <w:sz w:val="18"/>
                <w:szCs w:val="18"/>
              </w:rPr>
            </w:pPr>
            <w:r w:rsidRPr="0043591A">
              <w:rPr>
                <w:b/>
                <w:bCs/>
                <w:sz w:val="18"/>
                <w:szCs w:val="18"/>
              </w:rPr>
              <w:t>MADŽARSKA</w:t>
            </w:r>
          </w:p>
        </w:tc>
        <w:tc>
          <w:tcPr>
            <w:tcW w:w="1994" w:type="dxa"/>
          </w:tcPr>
          <w:p w14:paraId="3D9F587E" w14:textId="2F2718C3"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20</w:t>
            </w:r>
          </w:p>
        </w:tc>
        <w:tc>
          <w:tcPr>
            <w:cnfStyle w:val="000010000000" w:firstRow="0" w:lastRow="0" w:firstColumn="0" w:lastColumn="0" w:oddVBand="1" w:evenVBand="0" w:oddHBand="0" w:evenHBand="0" w:firstRowFirstColumn="0" w:firstRowLastColumn="0" w:lastRowFirstColumn="0" w:lastRowLastColumn="0"/>
            <w:tcW w:w="993" w:type="dxa"/>
          </w:tcPr>
          <w:p w14:paraId="2512C0A7" w14:textId="7ECAF1D1" w:rsidR="00034615" w:rsidRPr="0043591A" w:rsidRDefault="006E157F" w:rsidP="00C55968">
            <w:pPr>
              <w:spacing w:line="360" w:lineRule="auto"/>
              <w:jc w:val="center"/>
              <w:rPr>
                <w:b/>
                <w:bCs/>
                <w:sz w:val="18"/>
                <w:szCs w:val="18"/>
              </w:rPr>
            </w:pPr>
            <w:r w:rsidRPr="0043591A">
              <w:rPr>
                <w:b/>
                <w:bCs/>
                <w:sz w:val="18"/>
                <w:szCs w:val="18"/>
              </w:rPr>
              <w:t>20</w:t>
            </w:r>
          </w:p>
        </w:tc>
        <w:tc>
          <w:tcPr>
            <w:tcW w:w="1842" w:type="dxa"/>
          </w:tcPr>
          <w:p w14:paraId="5B758934" w14:textId="4AABD1CA"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9</w:t>
            </w:r>
          </w:p>
        </w:tc>
        <w:tc>
          <w:tcPr>
            <w:cnfStyle w:val="000010000000" w:firstRow="0" w:lastRow="0" w:firstColumn="0" w:lastColumn="0" w:oddVBand="1" w:evenVBand="0" w:oddHBand="0" w:evenHBand="0" w:firstRowFirstColumn="0" w:firstRowLastColumn="0" w:lastRowFirstColumn="0" w:lastRowLastColumn="0"/>
            <w:tcW w:w="1763" w:type="dxa"/>
          </w:tcPr>
          <w:p w14:paraId="471D751E" w14:textId="3C9C1DC1" w:rsidR="00034615" w:rsidRPr="0043591A" w:rsidRDefault="006E157F" w:rsidP="00C55968">
            <w:pPr>
              <w:spacing w:line="360" w:lineRule="auto"/>
              <w:jc w:val="center"/>
              <w:rPr>
                <w:b/>
                <w:bCs/>
                <w:sz w:val="18"/>
                <w:szCs w:val="18"/>
              </w:rPr>
            </w:pPr>
            <w:r w:rsidRPr="0043591A">
              <w:rPr>
                <w:b/>
                <w:bCs/>
                <w:sz w:val="18"/>
                <w:szCs w:val="18"/>
              </w:rPr>
              <w:t>9</w:t>
            </w:r>
          </w:p>
        </w:tc>
      </w:tr>
      <w:tr w:rsidR="008B1D4B" w:rsidRPr="008B1D4B" w14:paraId="230C6540" w14:textId="77777777" w:rsidTr="00A726AE">
        <w:tc>
          <w:tcPr>
            <w:cnfStyle w:val="001000000000" w:firstRow="0" w:lastRow="0" w:firstColumn="1" w:lastColumn="0" w:oddVBand="0" w:evenVBand="0" w:oddHBand="0" w:evenHBand="0" w:firstRowFirstColumn="0" w:firstRowLastColumn="0" w:lastRowFirstColumn="0" w:lastRowLastColumn="0"/>
            <w:tcW w:w="709" w:type="dxa"/>
          </w:tcPr>
          <w:p w14:paraId="664F7F14" w14:textId="0F261B88" w:rsidR="00034615" w:rsidRPr="0043591A" w:rsidRDefault="001605E4" w:rsidP="00C55968">
            <w:pPr>
              <w:spacing w:line="360" w:lineRule="auto"/>
              <w:rPr>
                <w:bCs w:val="0"/>
                <w:color w:val="auto"/>
                <w:sz w:val="18"/>
                <w:szCs w:val="18"/>
              </w:rPr>
            </w:pPr>
            <w:r w:rsidRPr="0043591A">
              <w:rPr>
                <w:color w:val="auto"/>
                <w:sz w:val="18"/>
                <w:szCs w:val="18"/>
              </w:rPr>
              <w:t>38</w:t>
            </w:r>
          </w:p>
        </w:tc>
        <w:tc>
          <w:tcPr>
            <w:cnfStyle w:val="000010000000" w:firstRow="0" w:lastRow="0" w:firstColumn="0" w:lastColumn="0" w:oddVBand="1" w:evenVBand="0" w:oddHBand="0" w:evenHBand="0" w:firstRowFirstColumn="0" w:firstRowLastColumn="0" w:lastRowFirstColumn="0" w:lastRowLastColumn="0"/>
            <w:tcW w:w="1862" w:type="dxa"/>
          </w:tcPr>
          <w:p w14:paraId="1141BD75" w14:textId="5456D516" w:rsidR="00034615" w:rsidRPr="0043591A" w:rsidRDefault="006E157F" w:rsidP="00C55968">
            <w:pPr>
              <w:spacing w:line="360" w:lineRule="auto"/>
              <w:rPr>
                <w:b/>
                <w:bCs/>
                <w:sz w:val="18"/>
                <w:szCs w:val="18"/>
              </w:rPr>
            </w:pPr>
            <w:r w:rsidRPr="0043591A">
              <w:rPr>
                <w:b/>
                <w:bCs/>
                <w:sz w:val="18"/>
                <w:szCs w:val="18"/>
              </w:rPr>
              <w:t>MALDIVI</w:t>
            </w:r>
          </w:p>
        </w:tc>
        <w:tc>
          <w:tcPr>
            <w:tcW w:w="1994" w:type="dxa"/>
          </w:tcPr>
          <w:p w14:paraId="220DE4E8" w14:textId="223998F7"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993" w:type="dxa"/>
          </w:tcPr>
          <w:p w14:paraId="0A1362FD" w14:textId="16AE0BC2" w:rsidR="00034615" w:rsidRPr="0043591A" w:rsidRDefault="006E157F" w:rsidP="00C55968">
            <w:pPr>
              <w:spacing w:line="360" w:lineRule="auto"/>
              <w:jc w:val="center"/>
              <w:rPr>
                <w:b/>
                <w:bCs/>
                <w:sz w:val="18"/>
                <w:szCs w:val="18"/>
              </w:rPr>
            </w:pPr>
            <w:r w:rsidRPr="0043591A">
              <w:rPr>
                <w:b/>
                <w:bCs/>
                <w:sz w:val="18"/>
                <w:szCs w:val="18"/>
              </w:rPr>
              <w:t>1</w:t>
            </w:r>
          </w:p>
        </w:tc>
        <w:tc>
          <w:tcPr>
            <w:tcW w:w="1842" w:type="dxa"/>
          </w:tcPr>
          <w:p w14:paraId="24C93B0F" w14:textId="2E05C4A7"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w:t>
            </w:r>
          </w:p>
        </w:tc>
        <w:tc>
          <w:tcPr>
            <w:cnfStyle w:val="000010000000" w:firstRow="0" w:lastRow="0" w:firstColumn="0" w:lastColumn="0" w:oddVBand="1" w:evenVBand="0" w:oddHBand="0" w:evenHBand="0" w:firstRowFirstColumn="0" w:firstRowLastColumn="0" w:lastRowFirstColumn="0" w:lastRowLastColumn="0"/>
            <w:tcW w:w="1763" w:type="dxa"/>
          </w:tcPr>
          <w:p w14:paraId="56EB7C4C" w14:textId="2E5616D5" w:rsidR="00034615" w:rsidRPr="0043591A" w:rsidRDefault="006E157F" w:rsidP="00C55968">
            <w:pPr>
              <w:spacing w:line="360" w:lineRule="auto"/>
              <w:jc w:val="center"/>
              <w:rPr>
                <w:b/>
                <w:bCs/>
                <w:sz w:val="18"/>
                <w:szCs w:val="18"/>
              </w:rPr>
            </w:pPr>
            <w:r w:rsidRPr="0043591A">
              <w:rPr>
                <w:b/>
                <w:bCs/>
                <w:sz w:val="18"/>
                <w:szCs w:val="18"/>
              </w:rPr>
              <w:t>-</w:t>
            </w:r>
          </w:p>
        </w:tc>
      </w:tr>
      <w:tr w:rsidR="008B1D4B" w:rsidRPr="008B1D4B" w14:paraId="09A06EA3" w14:textId="77777777" w:rsidTr="00A726AE">
        <w:tc>
          <w:tcPr>
            <w:cnfStyle w:val="001000000000" w:firstRow="0" w:lastRow="0" w:firstColumn="1" w:lastColumn="0" w:oddVBand="0" w:evenVBand="0" w:oddHBand="0" w:evenHBand="0" w:firstRowFirstColumn="0" w:firstRowLastColumn="0" w:lastRowFirstColumn="0" w:lastRowLastColumn="0"/>
            <w:tcW w:w="709" w:type="dxa"/>
          </w:tcPr>
          <w:p w14:paraId="2D950279" w14:textId="0CCE3237" w:rsidR="00034615" w:rsidRPr="0043591A" w:rsidRDefault="001605E4" w:rsidP="00C55968">
            <w:pPr>
              <w:spacing w:line="360" w:lineRule="auto"/>
              <w:rPr>
                <w:bCs w:val="0"/>
                <w:color w:val="auto"/>
                <w:sz w:val="18"/>
                <w:szCs w:val="18"/>
              </w:rPr>
            </w:pPr>
            <w:r w:rsidRPr="0043591A">
              <w:rPr>
                <w:color w:val="auto"/>
                <w:sz w:val="18"/>
                <w:szCs w:val="18"/>
              </w:rPr>
              <w:t>39</w:t>
            </w:r>
          </w:p>
        </w:tc>
        <w:tc>
          <w:tcPr>
            <w:cnfStyle w:val="000010000000" w:firstRow="0" w:lastRow="0" w:firstColumn="0" w:lastColumn="0" w:oddVBand="1" w:evenVBand="0" w:oddHBand="0" w:evenHBand="0" w:firstRowFirstColumn="0" w:firstRowLastColumn="0" w:lastRowFirstColumn="0" w:lastRowLastColumn="0"/>
            <w:tcW w:w="1862" w:type="dxa"/>
          </w:tcPr>
          <w:p w14:paraId="542DBE12" w14:textId="30DD6354" w:rsidR="00034615" w:rsidRPr="0043591A" w:rsidRDefault="006E157F" w:rsidP="00C55968">
            <w:pPr>
              <w:spacing w:line="360" w:lineRule="auto"/>
              <w:rPr>
                <w:b/>
                <w:bCs/>
                <w:sz w:val="18"/>
                <w:szCs w:val="18"/>
              </w:rPr>
            </w:pPr>
            <w:r w:rsidRPr="0043591A">
              <w:rPr>
                <w:b/>
                <w:bCs/>
                <w:sz w:val="18"/>
                <w:szCs w:val="18"/>
              </w:rPr>
              <w:t>MALTA</w:t>
            </w:r>
          </w:p>
        </w:tc>
        <w:tc>
          <w:tcPr>
            <w:tcW w:w="1994" w:type="dxa"/>
          </w:tcPr>
          <w:p w14:paraId="79E1A87B" w14:textId="3838579F"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8</w:t>
            </w:r>
          </w:p>
        </w:tc>
        <w:tc>
          <w:tcPr>
            <w:cnfStyle w:val="000010000000" w:firstRow="0" w:lastRow="0" w:firstColumn="0" w:lastColumn="0" w:oddVBand="1" w:evenVBand="0" w:oddHBand="0" w:evenHBand="0" w:firstRowFirstColumn="0" w:firstRowLastColumn="0" w:lastRowFirstColumn="0" w:lastRowLastColumn="0"/>
            <w:tcW w:w="993" w:type="dxa"/>
          </w:tcPr>
          <w:p w14:paraId="61095EC2" w14:textId="64863AE3" w:rsidR="00034615" w:rsidRPr="0043591A" w:rsidRDefault="006E157F" w:rsidP="00C55968">
            <w:pPr>
              <w:spacing w:line="360" w:lineRule="auto"/>
              <w:jc w:val="center"/>
              <w:rPr>
                <w:b/>
                <w:bCs/>
                <w:sz w:val="18"/>
                <w:szCs w:val="18"/>
              </w:rPr>
            </w:pPr>
            <w:r w:rsidRPr="0043591A">
              <w:rPr>
                <w:b/>
                <w:bCs/>
                <w:sz w:val="18"/>
                <w:szCs w:val="18"/>
              </w:rPr>
              <w:t>8</w:t>
            </w:r>
          </w:p>
        </w:tc>
        <w:tc>
          <w:tcPr>
            <w:tcW w:w="1842" w:type="dxa"/>
          </w:tcPr>
          <w:p w14:paraId="3F851DDB" w14:textId="3F6D8DCC"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43</w:t>
            </w:r>
          </w:p>
        </w:tc>
        <w:tc>
          <w:tcPr>
            <w:cnfStyle w:val="000010000000" w:firstRow="0" w:lastRow="0" w:firstColumn="0" w:lastColumn="0" w:oddVBand="1" w:evenVBand="0" w:oddHBand="0" w:evenHBand="0" w:firstRowFirstColumn="0" w:firstRowLastColumn="0" w:lastRowFirstColumn="0" w:lastRowLastColumn="0"/>
            <w:tcW w:w="1763" w:type="dxa"/>
          </w:tcPr>
          <w:p w14:paraId="70D72B2E" w14:textId="4C7195E6" w:rsidR="00034615" w:rsidRPr="0043591A" w:rsidRDefault="006E157F" w:rsidP="00C55968">
            <w:pPr>
              <w:spacing w:line="360" w:lineRule="auto"/>
              <w:jc w:val="center"/>
              <w:rPr>
                <w:b/>
                <w:bCs/>
                <w:sz w:val="18"/>
                <w:szCs w:val="18"/>
              </w:rPr>
            </w:pPr>
            <w:r w:rsidRPr="0043591A">
              <w:rPr>
                <w:b/>
                <w:bCs/>
                <w:sz w:val="18"/>
                <w:szCs w:val="18"/>
              </w:rPr>
              <w:t>43</w:t>
            </w:r>
          </w:p>
        </w:tc>
      </w:tr>
      <w:tr w:rsidR="008B1D4B" w:rsidRPr="008B1D4B" w14:paraId="61ABA8AB" w14:textId="77777777" w:rsidTr="00A726AE">
        <w:trPr>
          <w:trHeight w:val="528"/>
        </w:trPr>
        <w:tc>
          <w:tcPr>
            <w:cnfStyle w:val="001000000000" w:firstRow="0" w:lastRow="0" w:firstColumn="1" w:lastColumn="0" w:oddVBand="0" w:evenVBand="0" w:oddHBand="0" w:evenHBand="0" w:firstRowFirstColumn="0" w:firstRowLastColumn="0" w:lastRowFirstColumn="0" w:lastRowLastColumn="0"/>
            <w:tcW w:w="709" w:type="dxa"/>
          </w:tcPr>
          <w:p w14:paraId="6AC11E7B" w14:textId="23C80F42" w:rsidR="00034615" w:rsidRPr="0043591A" w:rsidRDefault="001605E4" w:rsidP="00C55968">
            <w:pPr>
              <w:spacing w:line="360" w:lineRule="auto"/>
              <w:rPr>
                <w:bCs w:val="0"/>
                <w:color w:val="auto"/>
                <w:sz w:val="18"/>
                <w:szCs w:val="18"/>
              </w:rPr>
            </w:pPr>
            <w:r w:rsidRPr="0043591A">
              <w:rPr>
                <w:color w:val="auto"/>
                <w:sz w:val="18"/>
                <w:szCs w:val="18"/>
              </w:rPr>
              <w:t>40</w:t>
            </w:r>
          </w:p>
        </w:tc>
        <w:tc>
          <w:tcPr>
            <w:cnfStyle w:val="000010000000" w:firstRow="0" w:lastRow="0" w:firstColumn="0" w:lastColumn="0" w:oddVBand="1" w:evenVBand="0" w:oddHBand="0" w:evenHBand="0" w:firstRowFirstColumn="0" w:firstRowLastColumn="0" w:lastRowFirstColumn="0" w:lastRowLastColumn="0"/>
            <w:tcW w:w="1862" w:type="dxa"/>
          </w:tcPr>
          <w:p w14:paraId="64DA0F79" w14:textId="14BBF0C0" w:rsidR="00F07D43" w:rsidRPr="0043591A" w:rsidRDefault="006E157F" w:rsidP="00C55968">
            <w:pPr>
              <w:spacing w:line="360" w:lineRule="auto"/>
              <w:rPr>
                <w:b/>
                <w:bCs/>
                <w:sz w:val="18"/>
                <w:szCs w:val="18"/>
              </w:rPr>
            </w:pPr>
            <w:r w:rsidRPr="0043591A">
              <w:rPr>
                <w:b/>
                <w:bCs/>
                <w:sz w:val="18"/>
                <w:szCs w:val="18"/>
              </w:rPr>
              <w:t>MARŠALOVI OTOKI</w:t>
            </w:r>
          </w:p>
        </w:tc>
        <w:tc>
          <w:tcPr>
            <w:tcW w:w="1994" w:type="dxa"/>
          </w:tcPr>
          <w:p w14:paraId="1C908A26" w14:textId="02BE492A"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993" w:type="dxa"/>
          </w:tcPr>
          <w:p w14:paraId="70108A93" w14:textId="59097113" w:rsidR="00034615" w:rsidRPr="0043591A" w:rsidRDefault="006E157F" w:rsidP="00C55968">
            <w:pPr>
              <w:spacing w:line="360" w:lineRule="auto"/>
              <w:jc w:val="center"/>
              <w:rPr>
                <w:b/>
                <w:bCs/>
                <w:sz w:val="18"/>
                <w:szCs w:val="18"/>
              </w:rPr>
            </w:pPr>
            <w:r w:rsidRPr="0043591A">
              <w:rPr>
                <w:b/>
                <w:bCs/>
                <w:sz w:val="18"/>
                <w:szCs w:val="18"/>
              </w:rPr>
              <w:t>1</w:t>
            </w:r>
          </w:p>
        </w:tc>
        <w:tc>
          <w:tcPr>
            <w:tcW w:w="1842" w:type="dxa"/>
          </w:tcPr>
          <w:p w14:paraId="45A12123" w14:textId="5A43D52C"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w:t>
            </w:r>
          </w:p>
        </w:tc>
        <w:tc>
          <w:tcPr>
            <w:cnfStyle w:val="000010000000" w:firstRow="0" w:lastRow="0" w:firstColumn="0" w:lastColumn="0" w:oddVBand="1" w:evenVBand="0" w:oddHBand="0" w:evenHBand="0" w:firstRowFirstColumn="0" w:firstRowLastColumn="0" w:lastRowFirstColumn="0" w:lastRowLastColumn="0"/>
            <w:tcW w:w="1763" w:type="dxa"/>
          </w:tcPr>
          <w:p w14:paraId="51811FBE" w14:textId="7755DFB5" w:rsidR="00034615" w:rsidRPr="0043591A" w:rsidRDefault="006E157F" w:rsidP="00C55968">
            <w:pPr>
              <w:spacing w:line="360" w:lineRule="auto"/>
              <w:jc w:val="center"/>
              <w:rPr>
                <w:b/>
                <w:bCs/>
                <w:sz w:val="18"/>
                <w:szCs w:val="18"/>
              </w:rPr>
            </w:pPr>
            <w:r w:rsidRPr="0043591A">
              <w:rPr>
                <w:b/>
                <w:bCs/>
                <w:sz w:val="18"/>
                <w:szCs w:val="18"/>
              </w:rPr>
              <w:t>-</w:t>
            </w:r>
          </w:p>
        </w:tc>
      </w:tr>
      <w:tr w:rsidR="008B1D4B" w:rsidRPr="008B1D4B" w14:paraId="23A330F4" w14:textId="77777777" w:rsidTr="00A726AE">
        <w:trPr>
          <w:trHeight w:val="528"/>
        </w:trPr>
        <w:tc>
          <w:tcPr>
            <w:cnfStyle w:val="001000000000" w:firstRow="0" w:lastRow="0" w:firstColumn="1" w:lastColumn="0" w:oddVBand="0" w:evenVBand="0" w:oddHBand="0" w:evenHBand="0" w:firstRowFirstColumn="0" w:firstRowLastColumn="0" w:lastRowFirstColumn="0" w:lastRowLastColumn="0"/>
            <w:tcW w:w="709" w:type="dxa"/>
          </w:tcPr>
          <w:p w14:paraId="77955B28" w14:textId="491A735B" w:rsidR="00F07D43" w:rsidRPr="0043591A" w:rsidRDefault="001605E4" w:rsidP="00C55968">
            <w:pPr>
              <w:spacing w:line="360" w:lineRule="auto"/>
              <w:rPr>
                <w:bCs w:val="0"/>
                <w:color w:val="auto"/>
                <w:sz w:val="18"/>
                <w:szCs w:val="18"/>
              </w:rPr>
            </w:pPr>
            <w:r w:rsidRPr="0043591A">
              <w:rPr>
                <w:color w:val="auto"/>
                <w:sz w:val="18"/>
                <w:szCs w:val="18"/>
              </w:rPr>
              <w:t>41</w:t>
            </w:r>
          </w:p>
        </w:tc>
        <w:tc>
          <w:tcPr>
            <w:cnfStyle w:val="000010000000" w:firstRow="0" w:lastRow="0" w:firstColumn="0" w:lastColumn="0" w:oddVBand="1" w:evenVBand="0" w:oddHBand="0" w:evenHBand="0" w:firstRowFirstColumn="0" w:firstRowLastColumn="0" w:lastRowFirstColumn="0" w:lastRowLastColumn="0"/>
            <w:tcW w:w="1862" w:type="dxa"/>
          </w:tcPr>
          <w:p w14:paraId="37D7014C" w14:textId="643C8784" w:rsidR="00F07D43" w:rsidRPr="0043591A" w:rsidRDefault="00F07D43" w:rsidP="00C55968">
            <w:pPr>
              <w:spacing w:line="360" w:lineRule="auto"/>
              <w:rPr>
                <w:b/>
                <w:bCs/>
                <w:sz w:val="18"/>
                <w:szCs w:val="18"/>
              </w:rPr>
            </w:pPr>
            <w:r w:rsidRPr="0043591A">
              <w:rPr>
                <w:b/>
                <w:bCs/>
                <w:sz w:val="18"/>
                <w:szCs w:val="18"/>
              </w:rPr>
              <w:t>MOLDAVIJA</w:t>
            </w:r>
          </w:p>
        </w:tc>
        <w:tc>
          <w:tcPr>
            <w:tcW w:w="1994" w:type="dxa"/>
          </w:tcPr>
          <w:p w14:paraId="4E598C83" w14:textId="0127CE11" w:rsidR="00F07D43" w:rsidRPr="0043591A" w:rsidRDefault="00F07D43"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w:t>
            </w:r>
          </w:p>
        </w:tc>
        <w:tc>
          <w:tcPr>
            <w:cnfStyle w:val="000010000000" w:firstRow="0" w:lastRow="0" w:firstColumn="0" w:lastColumn="0" w:oddVBand="1" w:evenVBand="0" w:oddHBand="0" w:evenHBand="0" w:firstRowFirstColumn="0" w:firstRowLastColumn="0" w:lastRowFirstColumn="0" w:lastRowLastColumn="0"/>
            <w:tcW w:w="993" w:type="dxa"/>
          </w:tcPr>
          <w:p w14:paraId="5C705781" w14:textId="6F18FFFF" w:rsidR="00F07D43" w:rsidRPr="0043591A" w:rsidRDefault="00F07D43" w:rsidP="00C55968">
            <w:pPr>
              <w:spacing w:line="360" w:lineRule="auto"/>
              <w:jc w:val="center"/>
              <w:rPr>
                <w:b/>
                <w:bCs/>
                <w:sz w:val="18"/>
                <w:szCs w:val="18"/>
              </w:rPr>
            </w:pPr>
            <w:r w:rsidRPr="0043591A">
              <w:rPr>
                <w:b/>
                <w:bCs/>
                <w:sz w:val="18"/>
                <w:szCs w:val="18"/>
              </w:rPr>
              <w:t>-</w:t>
            </w:r>
          </w:p>
        </w:tc>
        <w:tc>
          <w:tcPr>
            <w:tcW w:w="1842" w:type="dxa"/>
          </w:tcPr>
          <w:p w14:paraId="5CD9C881" w14:textId="2D21BEB8" w:rsidR="00F07D43" w:rsidRPr="0043591A" w:rsidRDefault="00F07D43"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4</w:t>
            </w:r>
          </w:p>
        </w:tc>
        <w:tc>
          <w:tcPr>
            <w:cnfStyle w:val="000010000000" w:firstRow="0" w:lastRow="0" w:firstColumn="0" w:lastColumn="0" w:oddVBand="1" w:evenVBand="0" w:oddHBand="0" w:evenHBand="0" w:firstRowFirstColumn="0" w:firstRowLastColumn="0" w:lastRowFirstColumn="0" w:lastRowLastColumn="0"/>
            <w:tcW w:w="1763" w:type="dxa"/>
          </w:tcPr>
          <w:p w14:paraId="29EDD222" w14:textId="029E5936" w:rsidR="00F07D43" w:rsidRPr="0043591A" w:rsidRDefault="00F07D43" w:rsidP="00C55968">
            <w:pPr>
              <w:spacing w:line="360" w:lineRule="auto"/>
              <w:jc w:val="center"/>
              <w:rPr>
                <w:b/>
                <w:bCs/>
                <w:sz w:val="18"/>
                <w:szCs w:val="18"/>
              </w:rPr>
            </w:pPr>
            <w:r w:rsidRPr="0043591A">
              <w:rPr>
                <w:b/>
                <w:bCs/>
                <w:sz w:val="18"/>
                <w:szCs w:val="18"/>
              </w:rPr>
              <w:t>3</w:t>
            </w:r>
          </w:p>
        </w:tc>
      </w:tr>
      <w:tr w:rsidR="008B1D4B" w:rsidRPr="008B1D4B" w14:paraId="67F1A309" w14:textId="77777777" w:rsidTr="00A726AE">
        <w:tc>
          <w:tcPr>
            <w:cnfStyle w:val="001000000000" w:firstRow="0" w:lastRow="0" w:firstColumn="1" w:lastColumn="0" w:oddVBand="0" w:evenVBand="0" w:oddHBand="0" w:evenHBand="0" w:firstRowFirstColumn="0" w:firstRowLastColumn="0" w:lastRowFirstColumn="0" w:lastRowLastColumn="0"/>
            <w:tcW w:w="709" w:type="dxa"/>
          </w:tcPr>
          <w:p w14:paraId="11729080" w14:textId="1B9403B9" w:rsidR="00034615" w:rsidRPr="0043591A" w:rsidRDefault="001605E4" w:rsidP="00C55968">
            <w:pPr>
              <w:spacing w:line="360" w:lineRule="auto"/>
              <w:rPr>
                <w:bCs w:val="0"/>
                <w:color w:val="auto"/>
                <w:sz w:val="18"/>
                <w:szCs w:val="18"/>
              </w:rPr>
            </w:pPr>
            <w:r w:rsidRPr="0043591A">
              <w:rPr>
                <w:color w:val="auto"/>
                <w:sz w:val="18"/>
                <w:szCs w:val="18"/>
              </w:rPr>
              <w:t>42</w:t>
            </w:r>
          </w:p>
        </w:tc>
        <w:tc>
          <w:tcPr>
            <w:cnfStyle w:val="000010000000" w:firstRow="0" w:lastRow="0" w:firstColumn="0" w:lastColumn="0" w:oddVBand="1" w:evenVBand="0" w:oddHBand="0" w:evenHBand="0" w:firstRowFirstColumn="0" w:firstRowLastColumn="0" w:lastRowFirstColumn="0" w:lastRowLastColumn="0"/>
            <w:tcW w:w="1862" w:type="dxa"/>
          </w:tcPr>
          <w:p w14:paraId="689573CF" w14:textId="7951D827" w:rsidR="00034615" w:rsidRPr="0043591A" w:rsidRDefault="006E157F" w:rsidP="00C55968">
            <w:pPr>
              <w:spacing w:line="360" w:lineRule="auto"/>
              <w:rPr>
                <w:b/>
                <w:bCs/>
                <w:sz w:val="18"/>
                <w:szCs w:val="18"/>
              </w:rPr>
            </w:pPr>
            <w:r w:rsidRPr="0043591A">
              <w:rPr>
                <w:b/>
                <w:bCs/>
                <w:sz w:val="18"/>
                <w:szCs w:val="18"/>
              </w:rPr>
              <w:t>MONAKO</w:t>
            </w:r>
          </w:p>
        </w:tc>
        <w:tc>
          <w:tcPr>
            <w:tcW w:w="1994" w:type="dxa"/>
          </w:tcPr>
          <w:p w14:paraId="4888BCD1" w14:textId="53DE4A4D"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993" w:type="dxa"/>
          </w:tcPr>
          <w:p w14:paraId="40C077FD" w14:textId="11D548D0" w:rsidR="00034615" w:rsidRPr="0043591A" w:rsidRDefault="006E157F" w:rsidP="00C55968">
            <w:pPr>
              <w:spacing w:line="360" w:lineRule="auto"/>
              <w:jc w:val="center"/>
              <w:rPr>
                <w:b/>
                <w:bCs/>
                <w:sz w:val="18"/>
                <w:szCs w:val="18"/>
              </w:rPr>
            </w:pPr>
            <w:r w:rsidRPr="0043591A">
              <w:rPr>
                <w:b/>
                <w:bCs/>
                <w:sz w:val="18"/>
                <w:szCs w:val="18"/>
              </w:rPr>
              <w:t>1</w:t>
            </w:r>
          </w:p>
        </w:tc>
        <w:tc>
          <w:tcPr>
            <w:tcW w:w="1842" w:type="dxa"/>
          </w:tcPr>
          <w:p w14:paraId="32C80B7D" w14:textId="3E570910"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w:t>
            </w:r>
          </w:p>
        </w:tc>
        <w:tc>
          <w:tcPr>
            <w:cnfStyle w:val="000010000000" w:firstRow="0" w:lastRow="0" w:firstColumn="0" w:lastColumn="0" w:oddVBand="1" w:evenVBand="0" w:oddHBand="0" w:evenHBand="0" w:firstRowFirstColumn="0" w:firstRowLastColumn="0" w:lastRowFirstColumn="0" w:lastRowLastColumn="0"/>
            <w:tcW w:w="1763" w:type="dxa"/>
          </w:tcPr>
          <w:p w14:paraId="3F6D8770" w14:textId="2C0378D0" w:rsidR="00034615" w:rsidRPr="0043591A" w:rsidRDefault="006E157F" w:rsidP="00C55968">
            <w:pPr>
              <w:spacing w:line="360" w:lineRule="auto"/>
              <w:jc w:val="center"/>
              <w:rPr>
                <w:b/>
                <w:bCs/>
                <w:sz w:val="18"/>
                <w:szCs w:val="18"/>
              </w:rPr>
            </w:pPr>
            <w:r w:rsidRPr="0043591A">
              <w:rPr>
                <w:b/>
                <w:bCs/>
                <w:sz w:val="18"/>
                <w:szCs w:val="18"/>
              </w:rPr>
              <w:t>-</w:t>
            </w:r>
          </w:p>
        </w:tc>
      </w:tr>
      <w:tr w:rsidR="008B1D4B" w:rsidRPr="008B1D4B" w14:paraId="119422A2" w14:textId="77777777" w:rsidTr="00A726AE">
        <w:tc>
          <w:tcPr>
            <w:cnfStyle w:val="001000000000" w:firstRow="0" w:lastRow="0" w:firstColumn="1" w:lastColumn="0" w:oddVBand="0" w:evenVBand="0" w:oddHBand="0" w:evenHBand="0" w:firstRowFirstColumn="0" w:firstRowLastColumn="0" w:lastRowFirstColumn="0" w:lastRowLastColumn="0"/>
            <w:tcW w:w="709" w:type="dxa"/>
          </w:tcPr>
          <w:p w14:paraId="3C0877D2" w14:textId="22A7C99F" w:rsidR="00034615" w:rsidRPr="0043591A" w:rsidRDefault="001605E4" w:rsidP="00C55968">
            <w:pPr>
              <w:spacing w:line="360" w:lineRule="auto"/>
              <w:rPr>
                <w:bCs w:val="0"/>
                <w:color w:val="auto"/>
                <w:sz w:val="18"/>
                <w:szCs w:val="18"/>
              </w:rPr>
            </w:pPr>
            <w:r w:rsidRPr="0043591A">
              <w:rPr>
                <w:color w:val="auto"/>
                <w:sz w:val="18"/>
                <w:szCs w:val="18"/>
              </w:rPr>
              <w:t>43</w:t>
            </w:r>
          </w:p>
        </w:tc>
        <w:tc>
          <w:tcPr>
            <w:cnfStyle w:val="000010000000" w:firstRow="0" w:lastRow="0" w:firstColumn="0" w:lastColumn="0" w:oddVBand="1" w:evenVBand="0" w:oddHBand="0" w:evenHBand="0" w:firstRowFirstColumn="0" w:firstRowLastColumn="0" w:lastRowFirstColumn="0" w:lastRowLastColumn="0"/>
            <w:tcW w:w="1862" w:type="dxa"/>
          </w:tcPr>
          <w:p w14:paraId="3A003ADA" w14:textId="4AFCDE41" w:rsidR="00034615" w:rsidRPr="0043591A" w:rsidRDefault="006E157F" w:rsidP="00C55968">
            <w:pPr>
              <w:spacing w:line="360" w:lineRule="auto"/>
              <w:rPr>
                <w:b/>
                <w:bCs/>
                <w:sz w:val="18"/>
                <w:szCs w:val="18"/>
              </w:rPr>
            </w:pPr>
            <w:r w:rsidRPr="0043591A">
              <w:rPr>
                <w:b/>
                <w:bCs/>
                <w:sz w:val="18"/>
                <w:szCs w:val="18"/>
              </w:rPr>
              <w:t>NEMČIJA</w:t>
            </w:r>
          </w:p>
        </w:tc>
        <w:tc>
          <w:tcPr>
            <w:tcW w:w="1994" w:type="dxa"/>
          </w:tcPr>
          <w:p w14:paraId="35DE8341" w14:textId="005E0F1C"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47</w:t>
            </w:r>
          </w:p>
        </w:tc>
        <w:tc>
          <w:tcPr>
            <w:cnfStyle w:val="000010000000" w:firstRow="0" w:lastRow="0" w:firstColumn="0" w:lastColumn="0" w:oddVBand="1" w:evenVBand="0" w:oddHBand="0" w:evenHBand="0" w:firstRowFirstColumn="0" w:firstRowLastColumn="0" w:lastRowFirstColumn="0" w:lastRowLastColumn="0"/>
            <w:tcW w:w="993" w:type="dxa"/>
          </w:tcPr>
          <w:p w14:paraId="345E2816" w14:textId="5BE9445C" w:rsidR="00034615" w:rsidRPr="0043591A" w:rsidRDefault="006E157F" w:rsidP="00C55968">
            <w:pPr>
              <w:spacing w:line="360" w:lineRule="auto"/>
              <w:jc w:val="center"/>
              <w:rPr>
                <w:b/>
                <w:bCs/>
                <w:sz w:val="18"/>
                <w:szCs w:val="18"/>
              </w:rPr>
            </w:pPr>
            <w:r w:rsidRPr="0043591A">
              <w:rPr>
                <w:b/>
                <w:bCs/>
                <w:sz w:val="18"/>
                <w:szCs w:val="18"/>
              </w:rPr>
              <w:t>47</w:t>
            </w:r>
          </w:p>
        </w:tc>
        <w:tc>
          <w:tcPr>
            <w:tcW w:w="1842" w:type="dxa"/>
          </w:tcPr>
          <w:p w14:paraId="1B3494CF" w14:textId="06E8A4A7"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33</w:t>
            </w:r>
          </w:p>
        </w:tc>
        <w:tc>
          <w:tcPr>
            <w:cnfStyle w:val="000010000000" w:firstRow="0" w:lastRow="0" w:firstColumn="0" w:lastColumn="0" w:oddVBand="1" w:evenVBand="0" w:oddHBand="0" w:evenHBand="0" w:firstRowFirstColumn="0" w:firstRowLastColumn="0" w:lastRowFirstColumn="0" w:lastRowLastColumn="0"/>
            <w:tcW w:w="1763" w:type="dxa"/>
          </w:tcPr>
          <w:p w14:paraId="4B3D813F" w14:textId="1998C4B4" w:rsidR="00034615" w:rsidRPr="0043591A" w:rsidRDefault="006E157F" w:rsidP="00C55968">
            <w:pPr>
              <w:spacing w:line="360" w:lineRule="auto"/>
              <w:jc w:val="center"/>
              <w:rPr>
                <w:b/>
                <w:bCs/>
                <w:sz w:val="18"/>
                <w:szCs w:val="18"/>
              </w:rPr>
            </w:pPr>
            <w:r w:rsidRPr="0043591A">
              <w:rPr>
                <w:b/>
                <w:bCs/>
                <w:sz w:val="18"/>
                <w:szCs w:val="18"/>
              </w:rPr>
              <w:t>33</w:t>
            </w:r>
          </w:p>
        </w:tc>
      </w:tr>
      <w:tr w:rsidR="008B1D4B" w:rsidRPr="008B1D4B" w14:paraId="6831BCDB" w14:textId="77777777" w:rsidTr="00A726AE">
        <w:tc>
          <w:tcPr>
            <w:cnfStyle w:val="001000000000" w:firstRow="0" w:lastRow="0" w:firstColumn="1" w:lastColumn="0" w:oddVBand="0" w:evenVBand="0" w:oddHBand="0" w:evenHBand="0" w:firstRowFirstColumn="0" w:firstRowLastColumn="0" w:lastRowFirstColumn="0" w:lastRowLastColumn="0"/>
            <w:tcW w:w="709" w:type="dxa"/>
          </w:tcPr>
          <w:p w14:paraId="7B016508" w14:textId="702AAA75" w:rsidR="00034615" w:rsidRPr="0043591A" w:rsidRDefault="001605E4" w:rsidP="00C55968">
            <w:pPr>
              <w:spacing w:line="360" w:lineRule="auto"/>
              <w:rPr>
                <w:bCs w:val="0"/>
                <w:color w:val="auto"/>
                <w:sz w:val="18"/>
                <w:szCs w:val="18"/>
              </w:rPr>
            </w:pPr>
            <w:r w:rsidRPr="0043591A">
              <w:rPr>
                <w:color w:val="auto"/>
                <w:sz w:val="18"/>
                <w:szCs w:val="18"/>
              </w:rPr>
              <w:t>44</w:t>
            </w:r>
          </w:p>
        </w:tc>
        <w:tc>
          <w:tcPr>
            <w:cnfStyle w:val="000010000000" w:firstRow="0" w:lastRow="0" w:firstColumn="0" w:lastColumn="0" w:oddVBand="1" w:evenVBand="0" w:oddHBand="0" w:evenHBand="0" w:firstRowFirstColumn="0" w:firstRowLastColumn="0" w:lastRowFirstColumn="0" w:lastRowLastColumn="0"/>
            <w:tcW w:w="1862" w:type="dxa"/>
          </w:tcPr>
          <w:p w14:paraId="03240486" w14:textId="225EC81E" w:rsidR="00034615" w:rsidRPr="0043591A" w:rsidRDefault="006E157F" w:rsidP="00C55968">
            <w:pPr>
              <w:spacing w:line="360" w:lineRule="auto"/>
              <w:rPr>
                <w:b/>
                <w:bCs/>
                <w:sz w:val="18"/>
                <w:szCs w:val="18"/>
              </w:rPr>
            </w:pPr>
            <w:r w:rsidRPr="0043591A">
              <w:rPr>
                <w:b/>
                <w:bCs/>
                <w:sz w:val="18"/>
                <w:szCs w:val="18"/>
              </w:rPr>
              <w:t xml:space="preserve">NIZOZEMSKA </w:t>
            </w:r>
          </w:p>
        </w:tc>
        <w:tc>
          <w:tcPr>
            <w:tcW w:w="1994" w:type="dxa"/>
          </w:tcPr>
          <w:p w14:paraId="17CE3E68" w14:textId="64E9AE79"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11</w:t>
            </w:r>
          </w:p>
        </w:tc>
        <w:tc>
          <w:tcPr>
            <w:cnfStyle w:val="000010000000" w:firstRow="0" w:lastRow="0" w:firstColumn="0" w:lastColumn="0" w:oddVBand="1" w:evenVBand="0" w:oddHBand="0" w:evenHBand="0" w:firstRowFirstColumn="0" w:firstRowLastColumn="0" w:lastRowFirstColumn="0" w:lastRowLastColumn="0"/>
            <w:tcW w:w="993" w:type="dxa"/>
          </w:tcPr>
          <w:p w14:paraId="5E3CD853" w14:textId="3068720B" w:rsidR="00034615" w:rsidRPr="0043591A" w:rsidRDefault="006E157F" w:rsidP="00C55968">
            <w:pPr>
              <w:spacing w:line="360" w:lineRule="auto"/>
              <w:jc w:val="center"/>
              <w:rPr>
                <w:b/>
                <w:bCs/>
                <w:sz w:val="18"/>
                <w:szCs w:val="18"/>
              </w:rPr>
            </w:pPr>
            <w:r w:rsidRPr="0043591A">
              <w:rPr>
                <w:b/>
                <w:bCs/>
                <w:sz w:val="18"/>
                <w:szCs w:val="18"/>
              </w:rPr>
              <w:t>11</w:t>
            </w:r>
          </w:p>
        </w:tc>
        <w:tc>
          <w:tcPr>
            <w:tcW w:w="1842" w:type="dxa"/>
          </w:tcPr>
          <w:p w14:paraId="5F43D000" w14:textId="31EBD1DC"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2</w:t>
            </w:r>
          </w:p>
        </w:tc>
        <w:tc>
          <w:tcPr>
            <w:cnfStyle w:val="000010000000" w:firstRow="0" w:lastRow="0" w:firstColumn="0" w:lastColumn="0" w:oddVBand="1" w:evenVBand="0" w:oddHBand="0" w:evenHBand="0" w:firstRowFirstColumn="0" w:firstRowLastColumn="0" w:lastRowFirstColumn="0" w:lastRowLastColumn="0"/>
            <w:tcW w:w="1763" w:type="dxa"/>
          </w:tcPr>
          <w:p w14:paraId="478F86C3" w14:textId="3EDEB1CC" w:rsidR="00034615" w:rsidRPr="0043591A" w:rsidRDefault="006E157F" w:rsidP="00C55968">
            <w:pPr>
              <w:spacing w:line="360" w:lineRule="auto"/>
              <w:jc w:val="center"/>
              <w:rPr>
                <w:b/>
                <w:bCs/>
                <w:sz w:val="18"/>
                <w:szCs w:val="18"/>
              </w:rPr>
            </w:pPr>
            <w:r w:rsidRPr="0043591A">
              <w:rPr>
                <w:b/>
                <w:bCs/>
                <w:sz w:val="18"/>
                <w:szCs w:val="18"/>
              </w:rPr>
              <w:t>2</w:t>
            </w:r>
          </w:p>
        </w:tc>
      </w:tr>
      <w:tr w:rsidR="008B1D4B" w:rsidRPr="008B1D4B" w14:paraId="23E3FA2B" w14:textId="77777777" w:rsidTr="00A726AE">
        <w:trPr>
          <w:trHeight w:val="180"/>
        </w:trPr>
        <w:tc>
          <w:tcPr>
            <w:cnfStyle w:val="001000000000" w:firstRow="0" w:lastRow="0" w:firstColumn="1" w:lastColumn="0" w:oddVBand="0" w:evenVBand="0" w:oddHBand="0" w:evenHBand="0" w:firstRowFirstColumn="0" w:firstRowLastColumn="0" w:lastRowFirstColumn="0" w:lastRowLastColumn="0"/>
            <w:tcW w:w="709" w:type="dxa"/>
          </w:tcPr>
          <w:p w14:paraId="57270B7A" w14:textId="63AA7C7F" w:rsidR="00034615" w:rsidRPr="0043591A" w:rsidRDefault="001605E4" w:rsidP="00C55968">
            <w:pPr>
              <w:spacing w:line="360" w:lineRule="auto"/>
              <w:rPr>
                <w:bCs w:val="0"/>
                <w:color w:val="auto"/>
                <w:sz w:val="18"/>
                <w:szCs w:val="18"/>
              </w:rPr>
            </w:pPr>
            <w:r w:rsidRPr="0043591A">
              <w:rPr>
                <w:color w:val="auto"/>
                <w:sz w:val="18"/>
                <w:szCs w:val="18"/>
              </w:rPr>
              <w:t>45</w:t>
            </w:r>
          </w:p>
        </w:tc>
        <w:tc>
          <w:tcPr>
            <w:cnfStyle w:val="000010000000" w:firstRow="0" w:lastRow="0" w:firstColumn="0" w:lastColumn="0" w:oddVBand="1" w:evenVBand="0" w:oddHBand="0" w:evenHBand="0" w:firstRowFirstColumn="0" w:firstRowLastColumn="0" w:lastRowFirstColumn="0" w:lastRowLastColumn="0"/>
            <w:tcW w:w="1862" w:type="dxa"/>
          </w:tcPr>
          <w:p w14:paraId="0CE3F4A9" w14:textId="59BA80E2" w:rsidR="00034615" w:rsidRPr="0043591A" w:rsidRDefault="006E157F" w:rsidP="00C55968">
            <w:pPr>
              <w:spacing w:line="360" w:lineRule="auto"/>
              <w:rPr>
                <w:b/>
                <w:bCs/>
                <w:sz w:val="18"/>
                <w:szCs w:val="18"/>
              </w:rPr>
            </w:pPr>
            <w:r w:rsidRPr="0043591A">
              <w:rPr>
                <w:b/>
                <w:bCs/>
                <w:sz w:val="18"/>
                <w:szCs w:val="18"/>
              </w:rPr>
              <w:t>NORVEŠKA</w:t>
            </w:r>
          </w:p>
        </w:tc>
        <w:tc>
          <w:tcPr>
            <w:tcW w:w="1994" w:type="dxa"/>
          </w:tcPr>
          <w:p w14:paraId="202DB6F0" w14:textId="62EF41AE"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993" w:type="dxa"/>
          </w:tcPr>
          <w:p w14:paraId="14CFC9DD" w14:textId="0FB7996A" w:rsidR="00034615" w:rsidRPr="0043591A" w:rsidRDefault="006E157F" w:rsidP="00C55968">
            <w:pPr>
              <w:spacing w:line="360" w:lineRule="auto"/>
              <w:jc w:val="center"/>
              <w:rPr>
                <w:b/>
                <w:bCs/>
                <w:sz w:val="18"/>
                <w:szCs w:val="18"/>
              </w:rPr>
            </w:pPr>
            <w:r w:rsidRPr="0043591A">
              <w:rPr>
                <w:b/>
                <w:bCs/>
                <w:sz w:val="18"/>
                <w:szCs w:val="18"/>
              </w:rPr>
              <w:t>1</w:t>
            </w:r>
          </w:p>
        </w:tc>
        <w:tc>
          <w:tcPr>
            <w:tcW w:w="1842" w:type="dxa"/>
          </w:tcPr>
          <w:p w14:paraId="027FF15D" w14:textId="11852BE3"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2</w:t>
            </w:r>
          </w:p>
        </w:tc>
        <w:tc>
          <w:tcPr>
            <w:cnfStyle w:val="000010000000" w:firstRow="0" w:lastRow="0" w:firstColumn="0" w:lastColumn="0" w:oddVBand="1" w:evenVBand="0" w:oddHBand="0" w:evenHBand="0" w:firstRowFirstColumn="0" w:firstRowLastColumn="0" w:lastRowFirstColumn="0" w:lastRowLastColumn="0"/>
            <w:tcW w:w="1763" w:type="dxa"/>
          </w:tcPr>
          <w:p w14:paraId="015B3A9B" w14:textId="3CF155AB" w:rsidR="00034615" w:rsidRPr="0043591A" w:rsidRDefault="006E157F" w:rsidP="00C55968">
            <w:pPr>
              <w:spacing w:line="360" w:lineRule="auto"/>
              <w:jc w:val="center"/>
              <w:rPr>
                <w:b/>
                <w:bCs/>
                <w:sz w:val="18"/>
                <w:szCs w:val="18"/>
              </w:rPr>
            </w:pPr>
            <w:r w:rsidRPr="0043591A">
              <w:rPr>
                <w:b/>
                <w:bCs/>
                <w:sz w:val="18"/>
                <w:szCs w:val="18"/>
              </w:rPr>
              <w:t>2</w:t>
            </w:r>
          </w:p>
        </w:tc>
      </w:tr>
      <w:tr w:rsidR="008B1D4B" w:rsidRPr="008B1D4B" w14:paraId="2833514D" w14:textId="77777777" w:rsidTr="00A726AE">
        <w:tc>
          <w:tcPr>
            <w:cnfStyle w:val="001000000000" w:firstRow="0" w:lastRow="0" w:firstColumn="1" w:lastColumn="0" w:oddVBand="0" w:evenVBand="0" w:oddHBand="0" w:evenHBand="0" w:firstRowFirstColumn="0" w:firstRowLastColumn="0" w:lastRowFirstColumn="0" w:lastRowLastColumn="0"/>
            <w:tcW w:w="709" w:type="dxa"/>
          </w:tcPr>
          <w:p w14:paraId="7C011462" w14:textId="57F84EED" w:rsidR="00034615" w:rsidRPr="0043591A" w:rsidRDefault="001605E4" w:rsidP="00C55968">
            <w:pPr>
              <w:spacing w:line="360" w:lineRule="auto"/>
              <w:rPr>
                <w:bCs w:val="0"/>
                <w:color w:val="auto"/>
                <w:sz w:val="18"/>
                <w:szCs w:val="18"/>
              </w:rPr>
            </w:pPr>
            <w:r w:rsidRPr="0043591A">
              <w:rPr>
                <w:color w:val="auto"/>
                <w:sz w:val="18"/>
                <w:szCs w:val="18"/>
              </w:rPr>
              <w:t>46</w:t>
            </w:r>
          </w:p>
        </w:tc>
        <w:tc>
          <w:tcPr>
            <w:cnfStyle w:val="000010000000" w:firstRow="0" w:lastRow="0" w:firstColumn="0" w:lastColumn="0" w:oddVBand="1" w:evenVBand="0" w:oddHBand="0" w:evenHBand="0" w:firstRowFirstColumn="0" w:firstRowLastColumn="0" w:lastRowFirstColumn="0" w:lastRowLastColumn="0"/>
            <w:tcW w:w="1862" w:type="dxa"/>
          </w:tcPr>
          <w:p w14:paraId="2698930D" w14:textId="6909126D" w:rsidR="00034615" w:rsidRPr="0043591A" w:rsidRDefault="006E157F" w:rsidP="00C55968">
            <w:pPr>
              <w:spacing w:line="360" w:lineRule="auto"/>
              <w:rPr>
                <w:b/>
                <w:bCs/>
                <w:sz w:val="18"/>
                <w:szCs w:val="18"/>
              </w:rPr>
            </w:pPr>
            <w:r w:rsidRPr="0043591A">
              <w:rPr>
                <w:b/>
                <w:bCs/>
                <w:sz w:val="18"/>
                <w:szCs w:val="18"/>
              </w:rPr>
              <w:t>POLJSKA</w:t>
            </w:r>
          </w:p>
        </w:tc>
        <w:tc>
          <w:tcPr>
            <w:tcW w:w="1994" w:type="dxa"/>
          </w:tcPr>
          <w:p w14:paraId="464E0F39" w14:textId="65AA065C"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14</w:t>
            </w:r>
          </w:p>
        </w:tc>
        <w:tc>
          <w:tcPr>
            <w:cnfStyle w:val="000010000000" w:firstRow="0" w:lastRow="0" w:firstColumn="0" w:lastColumn="0" w:oddVBand="1" w:evenVBand="0" w:oddHBand="0" w:evenHBand="0" w:firstRowFirstColumn="0" w:firstRowLastColumn="0" w:lastRowFirstColumn="0" w:lastRowLastColumn="0"/>
            <w:tcW w:w="993" w:type="dxa"/>
          </w:tcPr>
          <w:p w14:paraId="3BAACBB5" w14:textId="4043AB11" w:rsidR="00034615" w:rsidRPr="0043591A" w:rsidRDefault="006E157F" w:rsidP="00C55968">
            <w:pPr>
              <w:spacing w:line="360" w:lineRule="auto"/>
              <w:jc w:val="center"/>
              <w:rPr>
                <w:b/>
                <w:bCs/>
                <w:sz w:val="18"/>
                <w:szCs w:val="18"/>
              </w:rPr>
            </w:pPr>
            <w:r w:rsidRPr="0043591A">
              <w:rPr>
                <w:b/>
                <w:bCs/>
                <w:sz w:val="18"/>
                <w:szCs w:val="18"/>
              </w:rPr>
              <w:t>14</w:t>
            </w:r>
          </w:p>
        </w:tc>
        <w:tc>
          <w:tcPr>
            <w:tcW w:w="1842" w:type="dxa"/>
          </w:tcPr>
          <w:p w14:paraId="2255BBF8" w14:textId="7F06731A"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5</w:t>
            </w:r>
          </w:p>
        </w:tc>
        <w:tc>
          <w:tcPr>
            <w:cnfStyle w:val="000010000000" w:firstRow="0" w:lastRow="0" w:firstColumn="0" w:lastColumn="0" w:oddVBand="1" w:evenVBand="0" w:oddHBand="0" w:evenHBand="0" w:firstRowFirstColumn="0" w:firstRowLastColumn="0" w:lastRowFirstColumn="0" w:lastRowLastColumn="0"/>
            <w:tcW w:w="1763" w:type="dxa"/>
          </w:tcPr>
          <w:p w14:paraId="4E18CB12" w14:textId="357ABB09" w:rsidR="00034615" w:rsidRPr="0043591A" w:rsidRDefault="006E157F" w:rsidP="00C55968">
            <w:pPr>
              <w:spacing w:line="360" w:lineRule="auto"/>
              <w:jc w:val="center"/>
              <w:rPr>
                <w:b/>
                <w:bCs/>
                <w:sz w:val="18"/>
                <w:szCs w:val="18"/>
              </w:rPr>
            </w:pPr>
            <w:r w:rsidRPr="0043591A">
              <w:rPr>
                <w:b/>
                <w:bCs/>
                <w:sz w:val="18"/>
                <w:szCs w:val="18"/>
              </w:rPr>
              <w:t>5</w:t>
            </w:r>
          </w:p>
        </w:tc>
      </w:tr>
      <w:tr w:rsidR="008B1D4B" w:rsidRPr="008B1D4B" w14:paraId="7CEEA5B1" w14:textId="77777777" w:rsidTr="00A726AE">
        <w:tc>
          <w:tcPr>
            <w:cnfStyle w:val="001000000000" w:firstRow="0" w:lastRow="0" w:firstColumn="1" w:lastColumn="0" w:oddVBand="0" w:evenVBand="0" w:oddHBand="0" w:evenHBand="0" w:firstRowFirstColumn="0" w:firstRowLastColumn="0" w:lastRowFirstColumn="0" w:lastRowLastColumn="0"/>
            <w:tcW w:w="709" w:type="dxa"/>
          </w:tcPr>
          <w:p w14:paraId="53C2AFB1" w14:textId="3F07B0C4" w:rsidR="00034615" w:rsidRPr="0043591A" w:rsidRDefault="001605E4" w:rsidP="00C55968">
            <w:pPr>
              <w:spacing w:line="360" w:lineRule="auto"/>
              <w:rPr>
                <w:bCs w:val="0"/>
                <w:color w:val="auto"/>
                <w:sz w:val="18"/>
                <w:szCs w:val="18"/>
              </w:rPr>
            </w:pPr>
            <w:r w:rsidRPr="0043591A">
              <w:rPr>
                <w:color w:val="auto"/>
                <w:sz w:val="18"/>
                <w:szCs w:val="18"/>
              </w:rPr>
              <w:lastRenderedPageBreak/>
              <w:t>47</w:t>
            </w:r>
          </w:p>
        </w:tc>
        <w:tc>
          <w:tcPr>
            <w:cnfStyle w:val="000010000000" w:firstRow="0" w:lastRow="0" w:firstColumn="0" w:lastColumn="0" w:oddVBand="1" w:evenVBand="0" w:oddHBand="0" w:evenHBand="0" w:firstRowFirstColumn="0" w:firstRowLastColumn="0" w:lastRowFirstColumn="0" w:lastRowLastColumn="0"/>
            <w:tcW w:w="1862" w:type="dxa"/>
          </w:tcPr>
          <w:p w14:paraId="63913C83" w14:textId="5DF34396" w:rsidR="00034615" w:rsidRPr="0043591A" w:rsidRDefault="006E157F" w:rsidP="00C55968">
            <w:pPr>
              <w:spacing w:line="360" w:lineRule="auto"/>
              <w:rPr>
                <w:b/>
                <w:bCs/>
                <w:sz w:val="18"/>
                <w:szCs w:val="18"/>
              </w:rPr>
            </w:pPr>
            <w:r w:rsidRPr="0043591A">
              <w:rPr>
                <w:b/>
                <w:bCs/>
                <w:sz w:val="18"/>
                <w:szCs w:val="18"/>
              </w:rPr>
              <w:t>PORTUGALSKA</w:t>
            </w:r>
          </w:p>
        </w:tc>
        <w:tc>
          <w:tcPr>
            <w:tcW w:w="1994" w:type="dxa"/>
          </w:tcPr>
          <w:p w14:paraId="55CB561D" w14:textId="5874C076"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5</w:t>
            </w:r>
          </w:p>
        </w:tc>
        <w:tc>
          <w:tcPr>
            <w:cnfStyle w:val="000010000000" w:firstRow="0" w:lastRow="0" w:firstColumn="0" w:lastColumn="0" w:oddVBand="1" w:evenVBand="0" w:oddHBand="0" w:evenHBand="0" w:firstRowFirstColumn="0" w:firstRowLastColumn="0" w:lastRowFirstColumn="0" w:lastRowLastColumn="0"/>
            <w:tcW w:w="993" w:type="dxa"/>
          </w:tcPr>
          <w:p w14:paraId="74B37F48" w14:textId="12086016" w:rsidR="00034615" w:rsidRPr="0043591A" w:rsidRDefault="006E157F" w:rsidP="00C55968">
            <w:pPr>
              <w:spacing w:line="360" w:lineRule="auto"/>
              <w:jc w:val="center"/>
              <w:rPr>
                <w:b/>
                <w:bCs/>
                <w:sz w:val="18"/>
                <w:szCs w:val="18"/>
              </w:rPr>
            </w:pPr>
            <w:r w:rsidRPr="0043591A">
              <w:rPr>
                <w:b/>
                <w:bCs/>
                <w:sz w:val="18"/>
                <w:szCs w:val="18"/>
              </w:rPr>
              <w:t>5</w:t>
            </w:r>
          </w:p>
        </w:tc>
        <w:tc>
          <w:tcPr>
            <w:tcW w:w="1842" w:type="dxa"/>
          </w:tcPr>
          <w:p w14:paraId="2526EAD0" w14:textId="665AF113"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w:t>
            </w:r>
          </w:p>
        </w:tc>
        <w:tc>
          <w:tcPr>
            <w:cnfStyle w:val="000010000000" w:firstRow="0" w:lastRow="0" w:firstColumn="0" w:lastColumn="0" w:oddVBand="1" w:evenVBand="0" w:oddHBand="0" w:evenHBand="0" w:firstRowFirstColumn="0" w:firstRowLastColumn="0" w:lastRowFirstColumn="0" w:lastRowLastColumn="0"/>
            <w:tcW w:w="1763" w:type="dxa"/>
          </w:tcPr>
          <w:p w14:paraId="610AF890" w14:textId="0FBD8163" w:rsidR="00034615" w:rsidRPr="0043591A" w:rsidRDefault="00034615" w:rsidP="00C55968">
            <w:pPr>
              <w:spacing w:line="360" w:lineRule="auto"/>
              <w:jc w:val="center"/>
              <w:rPr>
                <w:b/>
                <w:bCs/>
                <w:sz w:val="18"/>
                <w:szCs w:val="18"/>
              </w:rPr>
            </w:pPr>
          </w:p>
        </w:tc>
      </w:tr>
      <w:tr w:rsidR="008B1D4B" w:rsidRPr="008B1D4B" w14:paraId="1B3A6E17" w14:textId="77777777" w:rsidTr="00A726AE">
        <w:tc>
          <w:tcPr>
            <w:cnfStyle w:val="001000000000" w:firstRow="0" w:lastRow="0" w:firstColumn="1" w:lastColumn="0" w:oddVBand="0" w:evenVBand="0" w:oddHBand="0" w:evenHBand="0" w:firstRowFirstColumn="0" w:firstRowLastColumn="0" w:lastRowFirstColumn="0" w:lastRowLastColumn="0"/>
            <w:tcW w:w="709" w:type="dxa"/>
          </w:tcPr>
          <w:p w14:paraId="6A578164" w14:textId="3658EDBD" w:rsidR="00034615" w:rsidRPr="0043591A" w:rsidRDefault="001605E4" w:rsidP="00C55968">
            <w:pPr>
              <w:spacing w:line="360" w:lineRule="auto"/>
              <w:rPr>
                <w:bCs w:val="0"/>
                <w:color w:val="auto"/>
                <w:sz w:val="18"/>
                <w:szCs w:val="18"/>
              </w:rPr>
            </w:pPr>
            <w:r w:rsidRPr="0043591A">
              <w:rPr>
                <w:color w:val="auto"/>
                <w:sz w:val="18"/>
                <w:szCs w:val="18"/>
              </w:rPr>
              <w:t>48</w:t>
            </w:r>
          </w:p>
        </w:tc>
        <w:tc>
          <w:tcPr>
            <w:cnfStyle w:val="000010000000" w:firstRow="0" w:lastRow="0" w:firstColumn="0" w:lastColumn="0" w:oddVBand="1" w:evenVBand="0" w:oddHBand="0" w:evenHBand="0" w:firstRowFirstColumn="0" w:firstRowLastColumn="0" w:lastRowFirstColumn="0" w:lastRowLastColumn="0"/>
            <w:tcW w:w="1862" w:type="dxa"/>
          </w:tcPr>
          <w:p w14:paraId="724C1798" w14:textId="45C46623" w:rsidR="00034615" w:rsidRPr="0043591A" w:rsidRDefault="006E157F" w:rsidP="00C55968">
            <w:pPr>
              <w:spacing w:line="360" w:lineRule="auto"/>
              <w:rPr>
                <w:b/>
                <w:bCs/>
                <w:sz w:val="18"/>
                <w:szCs w:val="18"/>
              </w:rPr>
            </w:pPr>
            <w:r w:rsidRPr="0043591A">
              <w:rPr>
                <w:b/>
                <w:bCs/>
                <w:sz w:val="18"/>
                <w:szCs w:val="18"/>
              </w:rPr>
              <w:t>ROMUNIJA</w:t>
            </w:r>
          </w:p>
        </w:tc>
        <w:tc>
          <w:tcPr>
            <w:tcW w:w="1994" w:type="dxa"/>
          </w:tcPr>
          <w:p w14:paraId="6C321DC6" w14:textId="1A8F26B5"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7</w:t>
            </w:r>
          </w:p>
        </w:tc>
        <w:tc>
          <w:tcPr>
            <w:cnfStyle w:val="000010000000" w:firstRow="0" w:lastRow="0" w:firstColumn="0" w:lastColumn="0" w:oddVBand="1" w:evenVBand="0" w:oddHBand="0" w:evenHBand="0" w:firstRowFirstColumn="0" w:firstRowLastColumn="0" w:lastRowFirstColumn="0" w:lastRowLastColumn="0"/>
            <w:tcW w:w="993" w:type="dxa"/>
          </w:tcPr>
          <w:p w14:paraId="59AD2300" w14:textId="00CCA701" w:rsidR="00034615" w:rsidRPr="0043591A" w:rsidRDefault="006E157F" w:rsidP="00C55968">
            <w:pPr>
              <w:spacing w:line="360" w:lineRule="auto"/>
              <w:jc w:val="center"/>
              <w:rPr>
                <w:b/>
                <w:bCs/>
                <w:sz w:val="18"/>
                <w:szCs w:val="18"/>
              </w:rPr>
            </w:pPr>
            <w:r w:rsidRPr="0043591A">
              <w:rPr>
                <w:b/>
                <w:bCs/>
                <w:sz w:val="18"/>
                <w:szCs w:val="18"/>
              </w:rPr>
              <w:t>7</w:t>
            </w:r>
          </w:p>
        </w:tc>
        <w:tc>
          <w:tcPr>
            <w:tcW w:w="1842" w:type="dxa"/>
          </w:tcPr>
          <w:p w14:paraId="62248A65" w14:textId="462F7C26"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3</w:t>
            </w:r>
          </w:p>
        </w:tc>
        <w:tc>
          <w:tcPr>
            <w:cnfStyle w:val="000010000000" w:firstRow="0" w:lastRow="0" w:firstColumn="0" w:lastColumn="0" w:oddVBand="1" w:evenVBand="0" w:oddHBand="0" w:evenHBand="0" w:firstRowFirstColumn="0" w:firstRowLastColumn="0" w:lastRowFirstColumn="0" w:lastRowLastColumn="0"/>
            <w:tcW w:w="1763" w:type="dxa"/>
          </w:tcPr>
          <w:p w14:paraId="2EDE24E7" w14:textId="26BA8CC8" w:rsidR="00034615" w:rsidRPr="0043591A" w:rsidRDefault="006E157F" w:rsidP="00C55968">
            <w:pPr>
              <w:spacing w:line="360" w:lineRule="auto"/>
              <w:jc w:val="center"/>
              <w:rPr>
                <w:b/>
                <w:bCs/>
                <w:sz w:val="18"/>
                <w:szCs w:val="18"/>
              </w:rPr>
            </w:pPr>
            <w:r w:rsidRPr="0043591A">
              <w:rPr>
                <w:b/>
                <w:bCs/>
                <w:sz w:val="18"/>
                <w:szCs w:val="18"/>
              </w:rPr>
              <w:t>2</w:t>
            </w:r>
          </w:p>
        </w:tc>
      </w:tr>
      <w:tr w:rsidR="008B1D4B" w:rsidRPr="008B1D4B" w14:paraId="5886E17E" w14:textId="77777777" w:rsidTr="00A726AE">
        <w:trPr>
          <w:trHeight w:val="517"/>
        </w:trPr>
        <w:tc>
          <w:tcPr>
            <w:cnfStyle w:val="001000000000" w:firstRow="0" w:lastRow="0" w:firstColumn="1" w:lastColumn="0" w:oddVBand="0" w:evenVBand="0" w:oddHBand="0" w:evenHBand="0" w:firstRowFirstColumn="0" w:firstRowLastColumn="0" w:lastRowFirstColumn="0" w:lastRowLastColumn="0"/>
            <w:tcW w:w="709" w:type="dxa"/>
          </w:tcPr>
          <w:p w14:paraId="2B9E165D" w14:textId="3C5F460D" w:rsidR="00034615" w:rsidRPr="0043591A" w:rsidRDefault="001605E4" w:rsidP="00C55968">
            <w:pPr>
              <w:spacing w:line="360" w:lineRule="auto"/>
              <w:rPr>
                <w:bCs w:val="0"/>
                <w:color w:val="auto"/>
                <w:sz w:val="18"/>
                <w:szCs w:val="18"/>
              </w:rPr>
            </w:pPr>
            <w:r w:rsidRPr="0043591A">
              <w:rPr>
                <w:color w:val="auto"/>
                <w:sz w:val="18"/>
                <w:szCs w:val="18"/>
              </w:rPr>
              <w:t>49</w:t>
            </w:r>
          </w:p>
        </w:tc>
        <w:tc>
          <w:tcPr>
            <w:cnfStyle w:val="000010000000" w:firstRow="0" w:lastRow="0" w:firstColumn="0" w:lastColumn="0" w:oddVBand="1" w:evenVBand="0" w:oddHBand="0" w:evenHBand="0" w:firstRowFirstColumn="0" w:firstRowLastColumn="0" w:lastRowFirstColumn="0" w:lastRowLastColumn="0"/>
            <w:tcW w:w="1862" w:type="dxa"/>
          </w:tcPr>
          <w:p w14:paraId="4A5B7618" w14:textId="4F46AE3C" w:rsidR="00956BF0" w:rsidRPr="0043591A" w:rsidRDefault="006E157F" w:rsidP="00C55968">
            <w:pPr>
              <w:spacing w:line="360" w:lineRule="auto"/>
              <w:rPr>
                <w:b/>
                <w:bCs/>
                <w:sz w:val="18"/>
                <w:szCs w:val="18"/>
              </w:rPr>
            </w:pPr>
            <w:r w:rsidRPr="0043591A">
              <w:rPr>
                <w:b/>
                <w:bCs/>
                <w:sz w:val="18"/>
                <w:szCs w:val="18"/>
              </w:rPr>
              <w:t>RUSIJA</w:t>
            </w:r>
          </w:p>
        </w:tc>
        <w:tc>
          <w:tcPr>
            <w:tcW w:w="1994" w:type="dxa"/>
          </w:tcPr>
          <w:p w14:paraId="31CE4FF6" w14:textId="7C748BBD"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67</w:t>
            </w:r>
          </w:p>
        </w:tc>
        <w:tc>
          <w:tcPr>
            <w:cnfStyle w:val="000010000000" w:firstRow="0" w:lastRow="0" w:firstColumn="0" w:lastColumn="0" w:oddVBand="1" w:evenVBand="0" w:oddHBand="0" w:evenHBand="0" w:firstRowFirstColumn="0" w:firstRowLastColumn="0" w:lastRowFirstColumn="0" w:lastRowLastColumn="0"/>
            <w:tcW w:w="993" w:type="dxa"/>
          </w:tcPr>
          <w:p w14:paraId="52DE50A8" w14:textId="145CE783" w:rsidR="00034615" w:rsidRPr="0043591A" w:rsidRDefault="006E157F" w:rsidP="00C55968">
            <w:pPr>
              <w:spacing w:line="360" w:lineRule="auto"/>
              <w:jc w:val="center"/>
              <w:rPr>
                <w:b/>
                <w:bCs/>
                <w:sz w:val="18"/>
                <w:szCs w:val="18"/>
              </w:rPr>
            </w:pPr>
            <w:r w:rsidRPr="0043591A">
              <w:rPr>
                <w:b/>
                <w:bCs/>
                <w:sz w:val="18"/>
                <w:szCs w:val="18"/>
              </w:rPr>
              <w:t>67</w:t>
            </w:r>
          </w:p>
        </w:tc>
        <w:tc>
          <w:tcPr>
            <w:tcW w:w="1842" w:type="dxa"/>
          </w:tcPr>
          <w:p w14:paraId="35C91107" w14:textId="4B2A4FE0"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1763" w:type="dxa"/>
          </w:tcPr>
          <w:p w14:paraId="7D9F04C4" w14:textId="31472290" w:rsidR="00034615" w:rsidRPr="0043591A" w:rsidRDefault="006E157F" w:rsidP="00C55968">
            <w:pPr>
              <w:spacing w:line="360" w:lineRule="auto"/>
              <w:jc w:val="center"/>
              <w:rPr>
                <w:b/>
                <w:bCs/>
                <w:sz w:val="18"/>
                <w:szCs w:val="18"/>
              </w:rPr>
            </w:pPr>
            <w:r w:rsidRPr="0043591A">
              <w:rPr>
                <w:b/>
                <w:bCs/>
                <w:sz w:val="18"/>
                <w:szCs w:val="18"/>
              </w:rPr>
              <w:t>1</w:t>
            </w:r>
          </w:p>
        </w:tc>
      </w:tr>
      <w:tr w:rsidR="008B1D4B" w:rsidRPr="008B1D4B" w14:paraId="0A6813E4" w14:textId="77777777" w:rsidTr="00A726AE">
        <w:trPr>
          <w:trHeight w:val="696"/>
        </w:trPr>
        <w:tc>
          <w:tcPr>
            <w:cnfStyle w:val="001000000000" w:firstRow="0" w:lastRow="0" w:firstColumn="1" w:lastColumn="0" w:oddVBand="0" w:evenVBand="0" w:oddHBand="0" w:evenHBand="0" w:firstRowFirstColumn="0" w:firstRowLastColumn="0" w:lastRowFirstColumn="0" w:lastRowLastColumn="0"/>
            <w:tcW w:w="709" w:type="dxa"/>
          </w:tcPr>
          <w:p w14:paraId="40D7CCE9" w14:textId="17D6888A" w:rsidR="00693BCA" w:rsidRPr="0043591A" w:rsidRDefault="001605E4" w:rsidP="00C55968">
            <w:pPr>
              <w:spacing w:line="360" w:lineRule="auto"/>
              <w:rPr>
                <w:bCs w:val="0"/>
                <w:color w:val="auto"/>
                <w:sz w:val="18"/>
                <w:szCs w:val="18"/>
              </w:rPr>
            </w:pPr>
            <w:r w:rsidRPr="0043591A">
              <w:rPr>
                <w:color w:val="auto"/>
                <w:sz w:val="18"/>
                <w:szCs w:val="18"/>
              </w:rPr>
              <w:t>50</w:t>
            </w:r>
          </w:p>
        </w:tc>
        <w:tc>
          <w:tcPr>
            <w:cnfStyle w:val="000010000000" w:firstRow="0" w:lastRow="0" w:firstColumn="0" w:lastColumn="0" w:oddVBand="1" w:evenVBand="0" w:oddHBand="0" w:evenHBand="0" w:firstRowFirstColumn="0" w:firstRowLastColumn="0" w:lastRowFirstColumn="0" w:lastRowLastColumn="0"/>
            <w:tcW w:w="1862" w:type="dxa"/>
          </w:tcPr>
          <w:p w14:paraId="31DCCB81" w14:textId="5E68874B" w:rsidR="00693BCA" w:rsidRPr="0043591A" w:rsidRDefault="00693BCA" w:rsidP="00C55968">
            <w:pPr>
              <w:spacing w:line="360" w:lineRule="auto"/>
              <w:rPr>
                <w:b/>
                <w:bCs/>
                <w:sz w:val="18"/>
                <w:szCs w:val="18"/>
              </w:rPr>
            </w:pPr>
            <w:r w:rsidRPr="0043591A">
              <w:rPr>
                <w:b/>
                <w:bCs/>
                <w:sz w:val="18"/>
                <w:szCs w:val="18"/>
              </w:rPr>
              <w:t>SAN MARINO</w:t>
            </w:r>
          </w:p>
        </w:tc>
        <w:tc>
          <w:tcPr>
            <w:tcW w:w="1994" w:type="dxa"/>
          </w:tcPr>
          <w:p w14:paraId="7E77EAED" w14:textId="6AE6C934" w:rsidR="00693BCA" w:rsidRPr="0043591A" w:rsidRDefault="00693BCA"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w:t>
            </w:r>
          </w:p>
        </w:tc>
        <w:tc>
          <w:tcPr>
            <w:cnfStyle w:val="000010000000" w:firstRow="0" w:lastRow="0" w:firstColumn="0" w:lastColumn="0" w:oddVBand="1" w:evenVBand="0" w:oddHBand="0" w:evenHBand="0" w:firstRowFirstColumn="0" w:firstRowLastColumn="0" w:lastRowFirstColumn="0" w:lastRowLastColumn="0"/>
            <w:tcW w:w="993" w:type="dxa"/>
          </w:tcPr>
          <w:p w14:paraId="597C88D9" w14:textId="32C1B3EC" w:rsidR="00693BCA" w:rsidRPr="0043591A" w:rsidRDefault="00693BCA" w:rsidP="00C55968">
            <w:pPr>
              <w:spacing w:line="360" w:lineRule="auto"/>
              <w:jc w:val="center"/>
              <w:rPr>
                <w:b/>
                <w:bCs/>
                <w:sz w:val="18"/>
                <w:szCs w:val="18"/>
              </w:rPr>
            </w:pPr>
            <w:r w:rsidRPr="0043591A">
              <w:rPr>
                <w:b/>
                <w:bCs/>
                <w:sz w:val="18"/>
                <w:szCs w:val="18"/>
              </w:rPr>
              <w:t>-</w:t>
            </w:r>
          </w:p>
        </w:tc>
        <w:tc>
          <w:tcPr>
            <w:tcW w:w="1842" w:type="dxa"/>
          </w:tcPr>
          <w:p w14:paraId="199AC553" w14:textId="4C202B17" w:rsidR="00693BCA" w:rsidRPr="0043591A" w:rsidRDefault="00693BCA"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3</w:t>
            </w:r>
          </w:p>
        </w:tc>
        <w:tc>
          <w:tcPr>
            <w:cnfStyle w:val="000010000000" w:firstRow="0" w:lastRow="0" w:firstColumn="0" w:lastColumn="0" w:oddVBand="1" w:evenVBand="0" w:oddHBand="0" w:evenHBand="0" w:firstRowFirstColumn="0" w:firstRowLastColumn="0" w:lastRowFirstColumn="0" w:lastRowLastColumn="0"/>
            <w:tcW w:w="1763" w:type="dxa"/>
          </w:tcPr>
          <w:p w14:paraId="6190C87B" w14:textId="092200B4" w:rsidR="00693BCA" w:rsidRPr="0043591A" w:rsidRDefault="00693BCA" w:rsidP="00C55968">
            <w:pPr>
              <w:spacing w:line="360" w:lineRule="auto"/>
              <w:jc w:val="center"/>
              <w:rPr>
                <w:b/>
                <w:bCs/>
                <w:sz w:val="18"/>
                <w:szCs w:val="18"/>
              </w:rPr>
            </w:pPr>
            <w:r w:rsidRPr="0043591A">
              <w:rPr>
                <w:b/>
                <w:bCs/>
                <w:sz w:val="18"/>
                <w:szCs w:val="18"/>
              </w:rPr>
              <w:t>3</w:t>
            </w:r>
          </w:p>
        </w:tc>
      </w:tr>
      <w:tr w:rsidR="008B1D4B" w:rsidRPr="008B1D4B" w14:paraId="7405077F" w14:textId="77777777" w:rsidTr="00A726AE">
        <w:trPr>
          <w:trHeight w:val="372"/>
        </w:trPr>
        <w:tc>
          <w:tcPr>
            <w:cnfStyle w:val="001000000000" w:firstRow="0" w:lastRow="0" w:firstColumn="1" w:lastColumn="0" w:oddVBand="0" w:evenVBand="0" w:oddHBand="0" w:evenHBand="0" w:firstRowFirstColumn="0" w:firstRowLastColumn="0" w:lastRowFirstColumn="0" w:lastRowLastColumn="0"/>
            <w:tcW w:w="709" w:type="dxa"/>
          </w:tcPr>
          <w:p w14:paraId="0F23F486" w14:textId="00C1C676" w:rsidR="00956BF0" w:rsidRPr="0043591A" w:rsidRDefault="001605E4" w:rsidP="00C55968">
            <w:pPr>
              <w:spacing w:line="360" w:lineRule="auto"/>
              <w:rPr>
                <w:bCs w:val="0"/>
                <w:color w:val="auto"/>
                <w:sz w:val="18"/>
                <w:szCs w:val="18"/>
              </w:rPr>
            </w:pPr>
            <w:r w:rsidRPr="0043591A">
              <w:rPr>
                <w:color w:val="auto"/>
                <w:sz w:val="18"/>
                <w:szCs w:val="18"/>
              </w:rPr>
              <w:t>51</w:t>
            </w:r>
          </w:p>
        </w:tc>
        <w:tc>
          <w:tcPr>
            <w:cnfStyle w:val="000010000000" w:firstRow="0" w:lastRow="0" w:firstColumn="0" w:lastColumn="0" w:oddVBand="1" w:evenVBand="0" w:oddHBand="0" w:evenHBand="0" w:firstRowFirstColumn="0" w:firstRowLastColumn="0" w:lastRowFirstColumn="0" w:lastRowLastColumn="0"/>
            <w:tcW w:w="1862" w:type="dxa"/>
          </w:tcPr>
          <w:p w14:paraId="716860C4" w14:textId="77C20FD8" w:rsidR="00956BF0" w:rsidRPr="0043591A" w:rsidRDefault="00693BCA" w:rsidP="00C55968">
            <w:pPr>
              <w:spacing w:line="360" w:lineRule="auto"/>
              <w:rPr>
                <w:b/>
                <w:bCs/>
                <w:sz w:val="18"/>
                <w:szCs w:val="18"/>
              </w:rPr>
            </w:pPr>
            <w:r w:rsidRPr="0043591A">
              <w:rPr>
                <w:b/>
                <w:bCs/>
                <w:sz w:val="18"/>
                <w:szCs w:val="18"/>
              </w:rPr>
              <w:t>SEJŠELI</w:t>
            </w:r>
          </w:p>
        </w:tc>
        <w:tc>
          <w:tcPr>
            <w:tcW w:w="1994" w:type="dxa"/>
          </w:tcPr>
          <w:p w14:paraId="4C552B5D" w14:textId="7881A9B7" w:rsidR="00956BF0" w:rsidRPr="0043591A" w:rsidRDefault="00693BCA"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w:t>
            </w:r>
          </w:p>
        </w:tc>
        <w:tc>
          <w:tcPr>
            <w:cnfStyle w:val="000010000000" w:firstRow="0" w:lastRow="0" w:firstColumn="0" w:lastColumn="0" w:oddVBand="1" w:evenVBand="0" w:oddHBand="0" w:evenHBand="0" w:firstRowFirstColumn="0" w:firstRowLastColumn="0" w:lastRowFirstColumn="0" w:lastRowLastColumn="0"/>
            <w:tcW w:w="993" w:type="dxa"/>
          </w:tcPr>
          <w:p w14:paraId="7A6D5D15" w14:textId="2158D7C1" w:rsidR="00956BF0" w:rsidRPr="0043591A" w:rsidRDefault="00693BCA" w:rsidP="00C55968">
            <w:pPr>
              <w:spacing w:line="360" w:lineRule="auto"/>
              <w:jc w:val="center"/>
              <w:rPr>
                <w:b/>
                <w:bCs/>
                <w:sz w:val="18"/>
                <w:szCs w:val="18"/>
              </w:rPr>
            </w:pPr>
            <w:r w:rsidRPr="0043591A">
              <w:rPr>
                <w:b/>
                <w:bCs/>
                <w:sz w:val="18"/>
                <w:szCs w:val="18"/>
              </w:rPr>
              <w:t>-</w:t>
            </w:r>
          </w:p>
        </w:tc>
        <w:tc>
          <w:tcPr>
            <w:tcW w:w="1842" w:type="dxa"/>
          </w:tcPr>
          <w:p w14:paraId="5098E7B6" w14:textId="6859CDC5" w:rsidR="00956BF0" w:rsidRPr="0043591A" w:rsidRDefault="00693BCA"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1763" w:type="dxa"/>
          </w:tcPr>
          <w:p w14:paraId="14FE1F57" w14:textId="5837E36B" w:rsidR="00956BF0" w:rsidRPr="0043591A" w:rsidRDefault="00693BCA" w:rsidP="00C55968">
            <w:pPr>
              <w:spacing w:line="360" w:lineRule="auto"/>
              <w:jc w:val="center"/>
              <w:rPr>
                <w:b/>
                <w:bCs/>
                <w:sz w:val="18"/>
                <w:szCs w:val="18"/>
              </w:rPr>
            </w:pPr>
            <w:r w:rsidRPr="0043591A">
              <w:rPr>
                <w:b/>
                <w:bCs/>
                <w:sz w:val="18"/>
                <w:szCs w:val="18"/>
              </w:rPr>
              <w:t>1</w:t>
            </w:r>
          </w:p>
        </w:tc>
      </w:tr>
      <w:tr w:rsidR="008B1D4B" w:rsidRPr="008B1D4B" w14:paraId="23A5E7BF" w14:textId="77777777" w:rsidTr="00A726AE">
        <w:trPr>
          <w:trHeight w:val="240"/>
        </w:trPr>
        <w:tc>
          <w:tcPr>
            <w:cnfStyle w:val="001000000000" w:firstRow="0" w:lastRow="0" w:firstColumn="1" w:lastColumn="0" w:oddVBand="0" w:evenVBand="0" w:oddHBand="0" w:evenHBand="0" w:firstRowFirstColumn="0" w:firstRowLastColumn="0" w:lastRowFirstColumn="0" w:lastRowLastColumn="0"/>
            <w:tcW w:w="709" w:type="dxa"/>
          </w:tcPr>
          <w:p w14:paraId="49857637" w14:textId="5B35784B" w:rsidR="00034615" w:rsidRPr="0043591A" w:rsidRDefault="001605E4" w:rsidP="00C55968">
            <w:pPr>
              <w:spacing w:line="360" w:lineRule="auto"/>
              <w:rPr>
                <w:bCs w:val="0"/>
                <w:color w:val="auto"/>
                <w:sz w:val="18"/>
                <w:szCs w:val="18"/>
              </w:rPr>
            </w:pPr>
            <w:r w:rsidRPr="0043591A">
              <w:rPr>
                <w:color w:val="auto"/>
                <w:sz w:val="18"/>
                <w:szCs w:val="18"/>
              </w:rPr>
              <w:t>52</w:t>
            </w:r>
          </w:p>
        </w:tc>
        <w:tc>
          <w:tcPr>
            <w:cnfStyle w:val="000010000000" w:firstRow="0" w:lastRow="0" w:firstColumn="0" w:lastColumn="0" w:oddVBand="1" w:evenVBand="0" w:oddHBand="0" w:evenHBand="0" w:firstRowFirstColumn="0" w:firstRowLastColumn="0" w:lastRowFirstColumn="0" w:lastRowLastColumn="0"/>
            <w:tcW w:w="1862" w:type="dxa"/>
          </w:tcPr>
          <w:p w14:paraId="5F01ECA4" w14:textId="4325CE75" w:rsidR="00034615" w:rsidRPr="0043591A" w:rsidRDefault="006E157F" w:rsidP="00C55968">
            <w:pPr>
              <w:spacing w:line="360" w:lineRule="auto"/>
              <w:rPr>
                <w:b/>
                <w:bCs/>
                <w:sz w:val="18"/>
                <w:szCs w:val="18"/>
              </w:rPr>
            </w:pPr>
            <w:r w:rsidRPr="0043591A">
              <w:rPr>
                <w:b/>
                <w:bCs/>
                <w:sz w:val="18"/>
                <w:szCs w:val="18"/>
              </w:rPr>
              <w:t>SENEGAL</w:t>
            </w:r>
          </w:p>
        </w:tc>
        <w:tc>
          <w:tcPr>
            <w:tcW w:w="1994" w:type="dxa"/>
          </w:tcPr>
          <w:p w14:paraId="67E0382D" w14:textId="1C6E3D4A"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993" w:type="dxa"/>
          </w:tcPr>
          <w:p w14:paraId="1FD80611" w14:textId="4C32111B" w:rsidR="00034615" w:rsidRPr="0043591A" w:rsidRDefault="006E157F" w:rsidP="00C55968">
            <w:pPr>
              <w:spacing w:line="360" w:lineRule="auto"/>
              <w:jc w:val="center"/>
              <w:rPr>
                <w:b/>
                <w:bCs/>
                <w:sz w:val="18"/>
                <w:szCs w:val="18"/>
              </w:rPr>
            </w:pPr>
            <w:r w:rsidRPr="0043591A">
              <w:rPr>
                <w:b/>
                <w:bCs/>
                <w:sz w:val="18"/>
                <w:szCs w:val="18"/>
              </w:rPr>
              <w:t>1</w:t>
            </w:r>
          </w:p>
        </w:tc>
        <w:tc>
          <w:tcPr>
            <w:tcW w:w="1842" w:type="dxa"/>
          </w:tcPr>
          <w:p w14:paraId="3D6D8D59" w14:textId="37C70EC1"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w:t>
            </w:r>
          </w:p>
        </w:tc>
        <w:tc>
          <w:tcPr>
            <w:cnfStyle w:val="000010000000" w:firstRow="0" w:lastRow="0" w:firstColumn="0" w:lastColumn="0" w:oddVBand="1" w:evenVBand="0" w:oddHBand="0" w:evenHBand="0" w:firstRowFirstColumn="0" w:firstRowLastColumn="0" w:lastRowFirstColumn="0" w:lastRowLastColumn="0"/>
            <w:tcW w:w="1763" w:type="dxa"/>
          </w:tcPr>
          <w:p w14:paraId="2ED45AA3" w14:textId="6A8DC2B3" w:rsidR="00034615" w:rsidRPr="0043591A" w:rsidRDefault="006E157F" w:rsidP="00C55968">
            <w:pPr>
              <w:spacing w:line="360" w:lineRule="auto"/>
              <w:jc w:val="center"/>
              <w:rPr>
                <w:b/>
                <w:bCs/>
                <w:sz w:val="18"/>
                <w:szCs w:val="18"/>
              </w:rPr>
            </w:pPr>
            <w:r w:rsidRPr="0043591A">
              <w:rPr>
                <w:b/>
                <w:bCs/>
                <w:sz w:val="18"/>
                <w:szCs w:val="18"/>
              </w:rPr>
              <w:t>-</w:t>
            </w:r>
          </w:p>
        </w:tc>
      </w:tr>
      <w:tr w:rsidR="008B1D4B" w:rsidRPr="008B1D4B" w14:paraId="363BB273" w14:textId="77777777" w:rsidTr="00A726AE">
        <w:tc>
          <w:tcPr>
            <w:cnfStyle w:val="001000000000" w:firstRow="0" w:lastRow="0" w:firstColumn="1" w:lastColumn="0" w:oddVBand="0" w:evenVBand="0" w:oddHBand="0" w:evenHBand="0" w:firstRowFirstColumn="0" w:firstRowLastColumn="0" w:lastRowFirstColumn="0" w:lastRowLastColumn="0"/>
            <w:tcW w:w="709" w:type="dxa"/>
          </w:tcPr>
          <w:p w14:paraId="2EB85DA2" w14:textId="26253140" w:rsidR="00034615" w:rsidRPr="0043591A" w:rsidRDefault="001605E4" w:rsidP="00C55968">
            <w:pPr>
              <w:spacing w:line="360" w:lineRule="auto"/>
              <w:rPr>
                <w:bCs w:val="0"/>
                <w:color w:val="auto"/>
                <w:sz w:val="18"/>
                <w:szCs w:val="18"/>
              </w:rPr>
            </w:pPr>
            <w:r w:rsidRPr="0043591A">
              <w:rPr>
                <w:color w:val="auto"/>
                <w:sz w:val="18"/>
                <w:szCs w:val="18"/>
              </w:rPr>
              <w:t>53</w:t>
            </w:r>
          </w:p>
        </w:tc>
        <w:tc>
          <w:tcPr>
            <w:cnfStyle w:val="000010000000" w:firstRow="0" w:lastRow="0" w:firstColumn="0" w:lastColumn="0" w:oddVBand="1" w:evenVBand="0" w:oddHBand="0" w:evenHBand="0" w:firstRowFirstColumn="0" w:firstRowLastColumn="0" w:lastRowFirstColumn="0" w:lastRowLastColumn="0"/>
            <w:tcW w:w="1862" w:type="dxa"/>
          </w:tcPr>
          <w:p w14:paraId="27ABAA09" w14:textId="21C0EFE1" w:rsidR="00034615" w:rsidRPr="0043591A" w:rsidRDefault="006E157F" w:rsidP="00C55968">
            <w:pPr>
              <w:spacing w:line="360" w:lineRule="auto"/>
              <w:rPr>
                <w:b/>
                <w:bCs/>
                <w:sz w:val="18"/>
                <w:szCs w:val="18"/>
              </w:rPr>
            </w:pPr>
            <w:r w:rsidRPr="0043591A">
              <w:rPr>
                <w:b/>
                <w:bCs/>
                <w:sz w:val="18"/>
                <w:szCs w:val="18"/>
              </w:rPr>
              <w:t>SEVERNA MAKEDONIJA</w:t>
            </w:r>
          </w:p>
        </w:tc>
        <w:tc>
          <w:tcPr>
            <w:tcW w:w="1994" w:type="dxa"/>
          </w:tcPr>
          <w:p w14:paraId="7FA6EEF6" w14:textId="01BF61A9"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5</w:t>
            </w:r>
          </w:p>
        </w:tc>
        <w:tc>
          <w:tcPr>
            <w:cnfStyle w:val="000010000000" w:firstRow="0" w:lastRow="0" w:firstColumn="0" w:lastColumn="0" w:oddVBand="1" w:evenVBand="0" w:oddHBand="0" w:evenHBand="0" w:firstRowFirstColumn="0" w:firstRowLastColumn="0" w:lastRowFirstColumn="0" w:lastRowLastColumn="0"/>
            <w:tcW w:w="993" w:type="dxa"/>
          </w:tcPr>
          <w:p w14:paraId="422A4F73" w14:textId="2612387C" w:rsidR="00034615" w:rsidRPr="0043591A" w:rsidRDefault="006E157F" w:rsidP="00C55968">
            <w:pPr>
              <w:spacing w:line="360" w:lineRule="auto"/>
              <w:jc w:val="center"/>
              <w:rPr>
                <w:b/>
                <w:bCs/>
                <w:sz w:val="18"/>
                <w:szCs w:val="18"/>
              </w:rPr>
            </w:pPr>
            <w:r w:rsidRPr="0043591A">
              <w:rPr>
                <w:b/>
                <w:bCs/>
                <w:sz w:val="18"/>
                <w:szCs w:val="18"/>
              </w:rPr>
              <w:t>5</w:t>
            </w:r>
          </w:p>
        </w:tc>
        <w:tc>
          <w:tcPr>
            <w:tcW w:w="1842" w:type="dxa"/>
          </w:tcPr>
          <w:p w14:paraId="6C36C0D2" w14:textId="240DA758" w:rsidR="00034615"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1763" w:type="dxa"/>
          </w:tcPr>
          <w:p w14:paraId="0B903486" w14:textId="3AD9B196" w:rsidR="00034615" w:rsidRPr="0043591A" w:rsidRDefault="006E157F" w:rsidP="00C55968">
            <w:pPr>
              <w:spacing w:line="360" w:lineRule="auto"/>
              <w:jc w:val="center"/>
              <w:rPr>
                <w:b/>
                <w:bCs/>
                <w:sz w:val="18"/>
                <w:szCs w:val="18"/>
              </w:rPr>
            </w:pPr>
            <w:r w:rsidRPr="0043591A">
              <w:rPr>
                <w:b/>
                <w:bCs/>
                <w:sz w:val="18"/>
                <w:szCs w:val="18"/>
              </w:rPr>
              <w:t>1</w:t>
            </w:r>
          </w:p>
        </w:tc>
      </w:tr>
      <w:tr w:rsidR="008B1D4B" w:rsidRPr="008B1D4B" w14:paraId="6FC40460" w14:textId="77777777" w:rsidTr="00A726AE">
        <w:trPr>
          <w:trHeight w:val="336"/>
        </w:trPr>
        <w:tc>
          <w:tcPr>
            <w:cnfStyle w:val="001000000000" w:firstRow="0" w:lastRow="0" w:firstColumn="1" w:lastColumn="0" w:oddVBand="0" w:evenVBand="0" w:oddHBand="0" w:evenHBand="0" w:firstRowFirstColumn="0" w:firstRowLastColumn="0" w:lastRowFirstColumn="0" w:lastRowLastColumn="0"/>
            <w:tcW w:w="709" w:type="dxa"/>
          </w:tcPr>
          <w:p w14:paraId="2B39C157" w14:textId="3A027C35" w:rsidR="006E157F" w:rsidRPr="0043591A" w:rsidRDefault="001605E4" w:rsidP="00C55968">
            <w:pPr>
              <w:spacing w:line="360" w:lineRule="auto"/>
              <w:rPr>
                <w:bCs w:val="0"/>
                <w:color w:val="auto"/>
                <w:sz w:val="18"/>
                <w:szCs w:val="18"/>
              </w:rPr>
            </w:pPr>
            <w:r w:rsidRPr="0043591A">
              <w:rPr>
                <w:color w:val="auto"/>
                <w:sz w:val="18"/>
                <w:szCs w:val="18"/>
              </w:rPr>
              <w:t>54</w:t>
            </w:r>
          </w:p>
        </w:tc>
        <w:tc>
          <w:tcPr>
            <w:cnfStyle w:val="000010000000" w:firstRow="0" w:lastRow="0" w:firstColumn="0" w:lastColumn="0" w:oddVBand="1" w:evenVBand="0" w:oddHBand="0" w:evenHBand="0" w:firstRowFirstColumn="0" w:firstRowLastColumn="0" w:lastRowFirstColumn="0" w:lastRowLastColumn="0"/>
            <w:tcW w:w="1862" w:type="dxa"/>
          </w:tcPr>
          <w:p w14:paraId="5DD9296A" w14:textId="17C855CB" w:rsidR="00693BCA" w:rsidRPr="0043591A" w:rsidRDefault="006E157F" w:rsidP="00C55968">
            <w:pPr>
              <w:spacing w:line="360" w:lineRule="auto"/>
              <w:rPr>
                <w:b/>
                <w:bCs/>
                <w:sz w:val="18"/>
                <w:szCs w:val="18"/>
              </w:rPr>
            </w:pPr>
            <w:r w:rsidRPr="0043591A">
              <w:rPr>
                <w:b/>
                <w:bCs/>
                <w:sz w:val="18"/>
                <w:szCs w:val="18"/>
              </w:rPr>
              <w:t>SINGAPUR</w:t>
            </w:r>
          </w:p>
        </w:tc>
        <w:tc>
          <w:tcPr>
            <w:tcW w:w="1994" w:type="dxa"/>
          </w:tcPr>
          <w:p w14:paraId="6F169E59" w14:textId="420D72D2" w:rsidR="006E157F"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993" w:type="dxa"/>
          </w:tcPr>
          <w:p w14:paraId="51C5AA2D" w14:textId="18FAB709" w:rsidR="006E157F" w:rsidRPr="0043591A" w:rsidRDefault="006E157F" w:rsidP="00C55968">
            <w:pPr>
              <w:spacing w:line="360" w:lineRule="auto"/>
              <w:jc w:val="center"/>
              <w:rPr>
                <w:b/>
                <w:bCs/>
                <w:sz w:val="18"/>
                <w:szCs w:val="18"/>
              </w:rPr>
            </w:pPr>
            <w:r w:rsidRPr="0043591A">
              <w:rPr>
                <w:b/>
                <w:bCs/>
                <w:sz w:val="18"/>
                <w:szCs w:val="18"/>
              </w:rPr>
              <w:t>1</w:t>
            </w:r>
          </w:p>
        </w:tc>
        <w:tc>
          <w:tcPr>
            <w:tcW w:w="1842" w:type="dxa"/>
          </w:tcPr>
          <w:p w14:paraId="271E6547" w14:textId="654C9874" w:rsidR="006E157F"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w:t>
            </w:r>
          </w:p>
        </w:tc>
        <w:tc>
          <w:tcPr>
            <w:cnfStyle w:val="000010000000" w:firstRow="0" w:lastRow="0" w:firstColumn="0" w:lastColumn="0" w:oddVBand="1" w:evenVBand="0" w:oddHBand="0" w:evenHBand="0" w:firstRowFirstColumn="0" w:firstRowLastColumn="0" w:lastRowFirstColumn="0" w:lastRowLastColumn="0"/>
            <w:tcW w:w="1763" w:type="dxa"/>
          </w:tcPr>
          <w:p w14:paraId="542021F8" w14:textId="46817F38" w:rsidR="006E157F" w:rsidRPr="0043591A" w:rsidRDefault="006E157F" w:rsidP="00C55968">
            <w:pPr>
              <w:spacing w:line="360" w:lineRule="auto"/>
              <w:jc w:val="center"/>
              <w:rPr>
                <w:b/>
                <w:bCs/>
                <w:sz w:val="18"/>
                <w:szCs w:val="18"/>
              </w:rPr>
            </w:pPr>
            <w:r w:rsidRPr="0043591A">
              <w:rPr>
                <w:b/>
                <w:bCs/>
                <w:sz w:val="18"/>
                <w:szCs w:val="18"/>
              </w:rPr>
              <w:t>-</w:t>
            </w:r>
          </w:p>
        </w:tc>
      </w:tr>
      <w:tr w:rsidR="008B1D4B" w:rsidRPr="008B1D4B" w14:paraId="1AC324D7" w14:textId="77777777" w:rsidTr="00A726AE">
        <w:trPr>
          <w:trHeight w:val="480"/>
        </w:trPr>
        <w:tc>
          <w:tcPr>
            <w:cnfStyle w:val="001000000000" w:firstRow="0" w:lastRow="0" w:firstColumn="1" w:lastColumn="0" w:oddVBand="0" w:evenVBand="0" w:oddHBand="0" w:evenHBand="0" w:firstRowFirstColumn="0" w:firstRowLastColumn="0" w:lastRowFirstColumn="0" w:lastRowLastColumn="0"/>
            <w:tcW w:w="709" w:type="dxa"/>
          </w:tcPr>
          <w:p w14:paraId="6B0706ED" w14:textId="6B5C9B1D" w:rsidR="00693BCA" w:rsidRPr="0043591A" w:rsidRDefault="001605E4" w:rsidP="00C55968">
            <w:pPr>
              <w:spacing w:line="360" w:lineRule="auto"/>
              <w:rPr>
                <w:bCs w:val="0"/>
                <w:color w:val="auto"/>
                <w:sz w:val="18"/>
                <w:szCs w:val="18"/>
              </w:rPr>
            </w:pPr>
            <w:r w:rsidRPr="0043591A">
              <w:rPr>
                <w:color w:val="auto"/>
                <w:sz w:val="18"/>
                <w:szCs w:val="18"/>
              </w:rPr>
              <w:t>55</w:t>
            </w:r>
          </w:p>
        </w:tc>
        <w:tc>
          <w:tcPr>
            <w:cnfStyle w:val="000010000000" w:firstRow="0" w:lastRow="0" w:firstColumn="0" w:lastColumn="0" w:oddVBand="1" w:evenVBand="0" w:oddHBand="0" w:evenHBand="0" w:firstRowFirstColumn="0" w:firstRowLastColumn="0" w:lastRowFirstColumn="0" w:lastRowLastColumn="0"/>
            <w:tcW w:w="1862" w:type="dxa"/>
          </w:tcPr>
          <w:p w14:paraId="07A19621" w14:textId="69EFC7AA" w:rsidR="00693BCA" w:rsidRPr="0043591A" w:rsidRDefault="00693BCA" w:rsidP="00C55968">
            <w:pPr>
              <w:spacing w:line="360" w:lineRule="auto"/>
              <w:rPr>
                <w:b/>
                <w:bCs/>
                <w:sz w:val="18"/>
                <w:szCs w:val="18"/>
              </w:rPr>
            </w:pPr>
            <w:r w:rsidRPr="0043591A">
              <w:rPr>
                <w:b/>
                <w:bCs/>
                <w:sz w:val="18"/>
                <w:szCs w:val="18"/>
              </w:rPr>
              <w:t>SIRIJA</w:t>
            </w:r>
          </w:p>
        </w:tc>
        <w:tc>
          <w:tcPr>
            <w:tcW w:w="1994" w:type="dxa"/>
          </w:tcPr>
          <w:p w14:paraId="5D093658" w14:textId="2ECBAFAF" w:rsidR="00693BCA" w:rsidRPr="0043591A" w:rsidRDefault="00693BCA"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w:t>
            </w:r>
          </w:p>
        </w:tc>
        <w:tc>
          <w:tcPr>
            <w:cnfStyle w:val="000010000000" w:firstRow="0" w:lastRow="0" w:firstColumn="0" w:lastColumn="0" w:oddVBand="1" w:evenVBand="0" w:oddHBand="0" w:evenHBand="0" w:firstRowFirstColumn="0" w:firstRowLastColumn="0" w:lastRowFirstColumn="0" w:lastRowLastColumn="0"/>
            <w:tcW w:w="993" w:type="dxa"/>
          </w:tcPr>
          <w:p w14:paraId="4576BD50" w14:textId="571F87C4" w:rsidR="00693BCA" w:rsidRPr="0043591A" w:rsidRDefault="00693BCA" w:rsidP="00C55968">
            <w:pPr>
              <w:spacing w:line="360" w:lineRule="auto"/>
              <w:jc w:val="center"/>
              <w:rPr>
                <w:b/>
                <w:bCs/>
                <w:sz w:val="18"/>
                <w:szCs w:val="18"/>
              </w:rPr>
            </w:pPr>
            <w:r w:rsidRPr="0043591A">
              <w:rPr>
                <w:b/>
                <w:bCs/>
                <w:sz w:val="18"/>
                <w:szCs w:val="18"/>
              </w:rPr>
              <w:t>-</w:t>
            </w:r>
          </w:p>
        </w:tc>
        <w:tc>
          <w:tcPr>
            <w:tcW w:w="1842" w:type="dxa"/>
          </w:tcPr>
          <w:p w14:paraId="77497CC0" w14:textId="28214AD2" w:rsidR="00693BCA" w:rsidRPr="0043591A" w:rsidRDefault="00693BCA"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10</w:t>
            </w:r>
          </w:p>
        </w:tc>
        <w:tc>
          <w:tcPr>
            <w:cnfStyle w:val="000010000000" w:firstRow="0" w:lastRow="0" w:firstColumn="0" w:lastColumn="0" w:oddVBand="1" w:evenVBand="0" w:oddHBand="0" w:evenHBand="0" w:firstRowFirstColumn="0" w:firstRowLastColumn="0" w:lastRowFirstColumn="0" w:lastRowLastColumn="0"/>
            <w:tcW w:w="1763" w:type="dxa"/>
          </w:tcPr>
          <w:p w14:paraId="5943D805" w14:textId="204028BE" w:rsidR="00693BCA" w:rsidRPr="0043591A" w:rsidRDefault="00693BCA" w:rsidP="00C55968">
            <w:pPr>
              <w:spacing w:line="360" w:lineRule="auto"/>
              <w:jc w:val="center"/>
              <w:rPr>
                <w:b/>
                <w:bCs/>
                <w:sz w:val="18"/>
                <w:szCs w:val="18"/>
              </w:rPr>
            </w:pPr>
            <w:r w:rsidRPr="0043591A">
              <w:rPr>
                <w:b/>
                <w:bCs/>
                <w:sz w:val="18"/>
                <w:szCs w:val="18"/>
              </w:rPr>
              <w:t>9</w:t>
            </w:r>
          </w:p>
        </w:tc>
      </w:tr>
      <w:tr w:rsidR="008B1D4B" w:rsidRPr="008B1D4B" w14:paraId="4B22FC2C" w14:textId="77777777" w:rsidTr="00A726AE">
        <w:trPr>
          <w:trHeight w:val="154"/>
        </w:trPr>
        <w:tc>
          <w:tcPr>
            <w:cnfStyle w:val="001000000000" w:firstRow="0" w:lastRow="0" w:firstColumn="1" w:lastColumn="0" w:oddVBand="0" w:evenVBand="0" w:oddHBand="0" w:evenHBand="0" w:firstRowFirstColumn="0" w:firstRowLastColumn="0" w:lastRowFirstColumn="0" w:lastRowLastColumn="0"/>
            <w:tcW w:w="709" w:type="dxa"/>
          </w:tcPr>
          <w:p w14:paraId="4DE8DC8C" w14:textId="52DE8D14" w:rsidR="006E157F" w:rsidRPr="0043591A" w:rsidRDefault="001605E4" w:rsidP="00C55968">
            <w:pPr>
              <w:spacing w:line="360" w:lineRule="auto"/>
              <w:rPr>
                <w:bCs w:val="0"/>
                <w:color w:val="auto"/>
                <w:sz w:val="18"/>
                <w:szCs w:val="18"/>
              </w:rPr>
            </w:pPr>
            <w:r w:rsidRPr="0043591A">
              <w:rPr>
                <w:color w:val="auto"/>
                <w:sz w:val="18"/>
                <w:szCs w:val="18"/>
              </w:rPr>
              <w:t>56</w:t>
            </w:r>
          </w:p>
        </w:tc>
        <w:tc>
          <w:tcPr>
            <w:cnfStyle w:val="000010000000" w:firstRow="0" w:lastRow="0" w:firstColumn="0" w:lastColumn="0" w:oddVBand="1" w:evenVBand="0" w:oddHBand="0" w:evenHBand="0" w:firstRowFirstColumn="0" w:firstRowLastColumn="0" w:lastRowFirstColumn="0" w:lastRowLastColumn="0"/>
            <w:tcW w:w="1862" w:type="dxa"/>
          </w:tcPr>
          <w:p w14:paraId="366F6199" w14:textId="70FA6274" w:rsidR="006E157F" w:rsidRPr="0043591A" w:rsidRDefault="006E157F" w:rsidP="00C55968">
            <w:pPr>
              <w:spacing w:line="360" w:lineRule="auto"/>
              <w:rPr>
                <w:b/>
                <w:bCs/>
                <w:sz w:val="18"/>
                <w:szCs w:val="18"/>
              </w:rPr>
            </w:pPr>
            <w:r w:rsidRPr="0043591A">
              <w:rPr>
                <w:b/>
                <w:bCs/>
                <w:sz w:val="18"/>
                <w:szCs w:val="18"/>
              </w:rPr>
              <w:t>SLOVAŠKA</w:t>
            </w:r>
          </w:p>
        </w:tc>
        <w:tc>
          <w:tcPr>
            <w:tcW w:w="1994" w:type="dxa"/>
          </w:tcPr>
          <w:p w14:paraId="69FFEDF1" w14:textId="509FF78C" w:rsidR="006E157F"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12</w:t>
            </w:r>
          </w:p>
        </w:tc>
        <w:tc>
          <w:tcPr>
            <w:cnfStyle w:val="000010000000" w:firstRow="0" w:lastRow="0" w:firstColumn="0" w:lastColumn="0" w:oddVBand="1" w:evenVBand="0" w:oddHBand="0" w:evenHBand="0" w:firstRowFirstColumn="0" w:firstRowLastColumn="0" w:lastRowFirstColumn="0" w:lastRowLastColumn="0"/>
            <w:tcW w:w="993" w:type="dxa"/>
          </w:tcPr>
          <w:p w14:paraId="1A581BB5" w14:textId="23E895FF" w:rsidR="006E157F" w:rsidRPr="0043591A" w:rsidRDefault="006E157F" w:rsidP="00C55968">
            <w:pPr>
              <w:spacing w:line="360" w:lineRule="auto"/>
              <w:jc w:val="center"/>
              <w:rPr>
                <w:b/>
                <w:bCs/>
                <w:sz w:val="18"/>
                <w:szCs w:val="18"/>
              </w:rPr>
            </w:pPr>
            <w:r w:rsidRPr="0043591A">
              <w:rPr>
                <w:b/>
                <w:bCs/>
                <w:sz w:val="18"/>
                <w:szCs w:val="18"/>
              </w:rPr>
              <w:t>12</w:t>
            </w:r>
          </w:p>
        </w:tc>
        <w:tc>
          <w:tcPr>
            <w:tcW w:w="1842" w:type="dxa"/>
          </w:tcPr>
          <w:p w14:paraId="412BAA79" w14:textId="2CCF0CD6" w:rsidR="006E157F"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7</w:t>
            </w:r>
          </w:p>
        </w:tc>
        <w:tc>
          <w:tcPr>
            <w:cnfStyle w:val="000010000000" w:firstRow="0" w:lastRow="0" w:firstColumn="0" w:lastColumn="0" w:oddVBand="1" w:evenVBand="0" w:oddHBand="0" w:evenHBand="0" w:firstRowFirstColumn="0" w:firstRowLastColumn="0" w:lastRowFirstColumn="0" w:lastRowLastColumn="0"/>
            <w:tcW w:w="1763" w:type="dxa"/>
          </w:tcPr>
          <w:p w14:paraId="4337B4E1" w14:textId="1E2C463C" w:rsidR="006E157F" w:rsidRPr="0043591A" w:rsidRDefault="006E157F" w:rsidP="00C55968">
            <w:pPr>
              <w:spacing w:line="360" w:lineRule="auto"/>
              <w:jc w:val="center"/>
              <w:rPr>
                <w:b/>
                <w:bCs/>
                <w:sz w:val="18"/>
                <w:szCs w:val="18"/>
              </w:rPr>
            </w:pPr>
            <w:r w:rsidRPr="0043591A">
              <w:rPr>
                <w:b/>
                <w:bCs/>
                <w:sz w:val="18"/>
                <w:szCs w:val="18"/>
              </w:rPr>
              <w:t>7</w:t>
            </w:r>
          </w:p>
        </w:tc>
      </w:tr>
      <w:tr w:rsidR="008B1D4B" w:rsidRPr="008B1D4B" w14:paraId="5AA1F495" w14:textId="77777777" w:rsidTr="00A726AE">
        <w:trPr>
          <w:trHeight w:val="225"/>
        </w:trPr>
        <w:tc>
          <w:tcPr>
            <w:cnfStyle w:val="001000000000" w:firstRow="0" w:lastRow="0" w:firstColumn="1" w:lastColumn="0" w:oddVBand="0" w:evenVBand="0" w:oddHBand="0" w:evenHBand="0" w:firstRowFirstColumn="0" w:firstRowLastColumn="0" w:lastRowFirstColumn="0" w:lastRowLastColumn="0"/>
            <w:tcW w:w="709" w:type="dxa"/>
          </w:tcPr>
          <w:p w14:paraId="1830F50F" w14:textId="5D3A37D5" w:rsidR="006E157F" w:rsidRPr="0043591A" w:rsidRDefault="001605E4" w:rsidP="00C55968">
            <w:pPr>
              <w:spacing w:line="360" w:lineRule="auto"/>
              <w:rPr>
                <w:bCs w:val="0"/>
                <w:color w:val="auto"/>
                <w:sz w:val="18"/>
                <w:szCs w:val="18"/>
              </w:rPr>
            </w:pPr>
            <w:r w:rsidRPr="0043591A">
              <w:rPr>
                <w:color w:val="auto"/>
                <w:sz w:val="18"/>
                <w:szCs w:val="18"/>
              </w:rPr>
              <w:t>57</w:t>
            </w:r>
          </w:p>
        </w:tc>
        <w:tc>
          <w:tcPr>
            <w:cnfStyle w:val="000010000000" w:firstRow="0" w:lastRow="0" w:firstColumn="0" w:lastColumn="0" w:oddVBand="1" w:evenVBand="0" w:oddHBand="0" w:evenHBand="0" w:firstRowFirstColumn="0" w:firstRowLastColumn="0" w:lastRowFirstColumn="0" w:lastRowLastColumn="0"/>
            <w:tcW w:w="1862" w:type="dxa"/>
          </w:tcPr>
          <w:p w14:paraId="18EF3956" w14:textId="050C99D3" w:rsidR="006E157F" w:rsidRPr="0043591A" w:rsidRDefault="006E157F" w:rsidP="00C55968">
            <w:pPr>
              <w:spacing w:line="360" w:lineRule="auto"/>
              <w:rPr>
                <w:b/>
                <w:bCs/>
                <w:sz w:val="18"/>
                <w:szCs w:val="18"/>
              </w:rPr>
            </w:pPr>
            <w:r w:rsidRPr="0043591A">
              <w:rPr>
                <w:b/>
                <w:bCs/>
                <w:sz w:val="18"/>
                <w:szCs w:val="18"/>
              </w:rPr>
              <w:t>SRBIJA</w:t>
            </w:r>
          </w:p>
        </w:tc>
        <w:tc>
          <w:tcPr>
            <w:tcW w:w="1994" w:type="dxa"/>
          </w:tcPr>
          <w:p w14:paraId="2C776100" w14:textId="76E0894C" w:rsidR="006E157F"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24</w:t>
            </w:r>
          </w:p>
        </w:tc>
        <w:tc>
          <w:tcPr>
            <w:cnfStyle w:val="000010000000" w:firstRow="0" w:lastRow="0" w:firstColumn="0" w:lastColumn="0" w:oddVBand="1" w:evenVBand="0" w:oddHBand="0" w:evenHBand="0" w:firstRowFirstColumn="0" w:firstRowLastColumn="0" w:lastRowFirstColumn="0" w:lastRowLastColumn="0"/>
            <w:tcW w:w="993" w:type="dxa"/>
          </w:tcPr>
          <w:p w14:paraId="7AD0FEC9" w14:textId="64D6FD8C" w:rsidR="006E157F" w:rsidRPr="0043591A" w:rsidRDefault="006E157F" w:rsidP="00C55968">
            <w:pPr>
              <w:spacing w:line="360" w:lineRule="auto"/>
              <w:jc w:val="center"/>
              <w:rPr>
                <w:b/>
                <w:bCs/>
                <w:sz w:val="18"/>
                <w:szCs w:val="18"/>
              </w:rPr>
            </w:pPr>
            <w:r w:rsidRPr="0043591A">
              <w:rPr>
                <w:b/>
                <w:bCs/>
                <w:sz w:val="18"/>
                <w:szCs w:val="18"/>
              </w:rPr>
              <w:t>24</w:t>
            </w:r>
          </w:p>
        </w:tc>
        <w:tc>
          <w:tcPr>
            <w:tcW w:w="1842" w:type="dxa"/>
          </w:tcPr>
          <w:p w14:paraId="3ECB514B" w14:textId="26C9D980" w:rsidR="006E157F"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3</w:t>
            </w:r>
          </w:p>
        </w:tc>
        <w:tc>
          <w:tcPr>
            <w:cnfStyle w:val="000010000000" w:firstRow="0" w:lastRow="0" w:firstColumn="0" w:lastColumn="0" w:oddVBand="1" w:evenVBand="0" w:oddHBand="0" w:evenHBand="0" w:firstRowFirstColumn="0" w:firstRowLastColumn="0" w:lastRowFirstColumn="0" w:lastRowLastColumn="0"/>
            <w:tcW w:w="1763" w:type="dxa"/>
          </w:tcPr>
          <w:p w14:paraId="18FA6FDB" w14:textId="28A9BDB9" w:rsidR="006E157F" w:rsidRPr="0043591A" w:rsidRDefault="006E157F" w:rsidP="00C55968">
            <w:pPr>
              <w:spacing w:line="360" w:lineRule="auto"/>
              <w:jc w:val="center"/>
              <w:rPr>
                <w:b/>
                <w:bCs/>
                <w:sz w:val="18"/>
                <w:szCs w:val="18"/>
              </w:rPr>
            </w:pPr>
            <w:r w:rsidRPr="0043591A">
              <w:rPr>
                <w:b/>
                <w:bCs/>
                <w:sz w:val="18"/>
                <w:szCs w:val="18"/>
              </w:rPr>
              <w:t>3</w:t>
            </w:r>
          </w:p>
        </w:tc>
      </w:tr>
      <w:tr w:rsidR="008B1D4B" w:rsidRPr="008B1D4B" w14:paraId="68B4AC63" w14:textId="77777777" w:rsidTr="00A726AE">
        <w:trPr>
          <w:trHeight w:val="273"/>
        </w:trPr>
        <w:tc>
          <w:tcPr>
            <w:cnfStyle w:val="001000000000" w:firstRow="0" w:lastRow="0" w:firstColumn="1" w:lastColumn="0" w:oddVBand="0" w:evenVBand="0" w:oddHBand="0" w:evenHBand="0" w:firstRowFirstColumn="0" w:firstRowLastColumn="0" w:lastRowFirstColumn="0" w:lastRowLastColumn="0"/>
            <w:tcW w:w="709" w:type="dxa"/>
          </w:tcPr>
          <w:p w14:paraId="1230D1AC" w14:textId="5D732BAE" w:rsidR="006E157F" w:rsidRPr="0043591A" w:rsidRDefault="001605E4" w:rsidP="00C55968">
            <w:pPr>
              <w:spacing w:line="360" w:lineRule="auto"/>
              <w:rPr>
                <w:bCs w:val="0"/>
                <w:color w:val="auto"/>
                <w:sz w:val="18"/>
                <w:szCs w:val="18"/>
              </w:rPr>
            </w:pPr>
            <w:r w:rsidRPr="0043591A">
              <w:rPr>
                <w:color w:val="auto"/>
                <w:sz w:val="18"/>
                <w:szCs w:val="18"/>
              </w:rPr>
              <w:t>58</w:t>
            </w:r>
          </w:p>
        </w:tc>
        <w:tc>
          <w:tcPr>
            <w:cnfStyle w:val="000010000000" w:firstRow="0" w:lastRow="0" w:firstColumn="0" w:lastColumn="0" w:oddVBand="1" w:evenVBand="0" w:oddHBand="0" w:evenHBand="0" w:firstRowFirstColumn="0" w:firstRowLastColumn="0" w:lastRowFirstColumn="0" w:lastRowLastColumn="0"/>
            <w:tcW w:w="1862" w:type="dxa"/>
          </w:tcPr>
          <w:p w14:paraId="701BD907" w14:textId="79D62111" w:rsidR="006E157F" w:rsidRPr="0043591A" w:rsidRDefault="006E157F" w:rsidP="00C55968">
            <w:pPr>
              <w:spacing w:line="360" w:lineRule="auto"/>
              <w:rPr>
                <w:b/>
                <w:bCs/>
                <w:sz w:val="18"/>
                <w:szCs w:val="18"/>
              </w:rPr>
            </w:pPr>
            <w:r w:rsidRPr="0043591A">
              <w:rPr>
                <w:b/>
                <w:bCs/>
                <w:sz w:val="18"/>
                <w:szCs w:val="18"/>
              </w:rPr>
              <w:t>ŠPANIJA</w:t>
            </w:r>
          </w:p>
        </w:tc>
        <w:tc>
          <w:tcPr>
            <w:tcW w:w="1994" w:type="dxa"/>
          </w:tcPr>
          <w:p w14:paraId="7761D4B4" w14:textId="196B6994" w:rsidR="006E157F"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34</w:t>
            </w:r>
          </w:p>
        </w:tc>
        <w:tc>
          <w:tcPr>
            <w:cnfStyle w:val="000010000000" w:firstRow="0" w:lastRow="0" w:firstColumn="0" w:lastColumn="0" w:oddVBand="1" w:evenVBand="0" w:oddHBand="0" w:evenHBand="0" w:firstRowFirstColumn="0" w:firstRowLastColumn="0" w:lastRowFirstColumn="0" w:lastRowLastColumn="0"/>
            <w:tcW w:w="993" w:type="dxa"/>
          </w:tcPr>
          <w:p w14:paraId="7F2A04A2" w14:textId="3C0DF530" w:rsidR="006E157F" w:rsidRPr="0043591A" w:rsidRDefault="006E157F" w:rsidP="00C55968">
            <w:pPr>
              <w:spacing w:line="360" w:lineRule="auto"/>
              <w:jc w:val="center"/>
              <w:rPr>
                <w:b/>
                <w:bCs/>
                <w:sz w:val="18"/>
                <w:szCs w:val="18"/>
              </w:rPr>
            </w:pPr>
            <w:r w:rsidRPr="0043591A">
              <w:rPr>
                <w:b/>
                <w:bCs/>
                <w:sz w:val="18"/>
                <w:szCs w:val="18"/>
              </w:rPr>
              <w:t>32</w:t>
            </w:r>
          </w:p>
        </w:tc>
        <w:tc>
          <w:tcPr>
            <w:tcW w:w="1842" w:type="dxa"/>
          </w:tcPr>
          <w:p w14:paraId="0A00B5D0" w14:textId="7E8410D8" w:rsidR="006E157F"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4</w:t>
            </w:r>
          </w:p>
        </w:tc>
        <w:tc>
          <w:tcPr>
            <w:cnfStyle w:val="000010000000" w:firstRow="0" w:lastRow="0" w:firstColumn="0" w:lastColumn="0" w:oddVBand="1" w:evenVBand="0" w:oddHBand="0" w:evenHBand="0" w:firstRowFirstColumn="0" w:firstRowLastColumn="0" w:lastRowFirstColumn="0" w:lastRowLastColumn="0"/>
            <w:tcW w:w="1763" w:type="dxa"/>
          </w:tcPr>
          <w:p w14:paraId="584BA2E2" w14:textId="2B872994" w:rsidR="006E157F" w:rsidRPr="0043591A" w:rsidRDefault="006E157F" w:rsidP="00C55968">
            <w:pPr>
              <w:spacing w:line="360" w:lineRule="auto"/>
              <w:jc w:val="center"/>
              <w:rPr>
                <w:b/>
                <w:bCs/>
                <w:sz w:val="18"/>
                <w:szCs w:val="18"/>
              </w:rPr>
            </w:pPr>
            <w:r w:rsidRPr="0043591A">
              <w:rPr>
                <w:b/>
                <w:bCs/>
                <w:sz w:val="18"/>
                <w:szCs w:val="18"/>
              </w:rPr>
              <w:t>4</w:t>
            </w:r>
          </w:p>
        </w:tc>
      </w:tr>
      <w:tr w:rsidR="008B1D4B" w:rsidRPr="008B1D4B" w14:paraId="0799A248" w14:textId="77777777" w:rsidTr="00A726AE">
        <w:trPr>
          <w:trHeight w:val="336"/>
        </w:trPr>
        <w:tc>
          <w:tcPr>
            <w:cnfStyle w:val="001000000000" w:firstRow="0" w:lastRow="0" w:firstColumn="1" w:lastColumn="0" w:oddVBand="0" w:evenVBand="0" w:oddHBand="0" w:evenHBand="0" w:firstRowFirstColumn="0" w:firstRowLastColumn="0" w:lastRowFirstColumn="0" w:lastRowLastColumn="0"/>
            <w:tcW w:w="709" w:type="dxa"/>
          </w:tcPr>
          <w:p w14:paraId="76464E91" w14:textId="3B169A30" w:rsidR="006E157F" w:rsidRPr="0043591A" w:rsidRDefault="001605E4" w:rsidP="00C55968">
            <w:pPr>
              <w:spacing w:line="360" w:lineRule="auto"/>
              <w:rPr>
                <w:bCs w:val="0"/>
                <w:color w:val="auto"/>
                <w:sz w:val="18"/>
                <w:szCs w:val="18"/>
              </w:rPr>
            </w:pPr>
            <w:r w:rsidRPr="0043591A">
              <w:rPr>
                <w:color w:val="auto"/>
                <w:sz w:val="18"/>
                <w:szCs w:val="18"/>
              </w:rPr>
              <w:t>59</w:t>
            </w:r>
          </w:p>
        </w:tc>
        <w:tc>
          <w:tcPr>
            <w:cnfStyle w:val="000010000000" w:firstRow="0" w:lastRow="0" w:firstColumn="0" w:lastColumn="0" w:oddVBand="1" w:evenVBand="0" w:oddHBand="0" w:evenHBand="0" w:firstRowFirstColumn="0" w:firstRowLastColumn="0" w:lastRowFirstColumn="0" w:lastRowLastColumn="0"/>
            <w:tcW w:w="1862" w:type="dxa"/>
          </w:tcPr>
          <w:p w14:paraId="02411381" w14:textId="1D9A95A4" w:rsidR="006E157F" w:rsidRPr="0043591A" w:rsidRDefault="006E157F" w:rsidP="00C55968">
            <w:pPr>
              <w:spacing w:line="360" w:lineRule="auto"/>
              <w:rPr>
                <w:b/>
                <w:bCs/>
                <w:sz w:val="18"/>
                <w:szCs w:val="18"/>
              </w:rPr>
            </w:pPr>
            <w:r w:rsidRPr="0043591A">
              <w:rPr>
                <w:b/>
                <w:bCs/>
                <w:sz w:val="18"/>
                <w:szCs w:val="18"/>
              </w:rPr>
              <w:t>ŠVEDSKA</w:t>
            </w:r>
          </w:p>
        </w:tc>
        <w:tc>
          <w:tcPr>
            <w:tcW w:w="1994" w:type="dxa"/>
          </w:tcPr>
          <w:p w14:paraId="1595F509" w14:textId="4E6B6714" w:rsidR="006E157F"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3</w:t>
            </w:r>
          </w:p>
        </w:tc>
        <w:tc>
          <w:tcPr>
            <w:cnfStyle w:val="000010000000" w:firstRow="0" w:lastRow="0" w:firstColumn="0" w:lastColumn="0" w:oddVBand="1" w:evenVBand="0" w:oddHBand="0" w:evenHBand="0" w:firstRowFirstColumn="0" w:firstRowLastColumn="0" w:lastRowFirstColumn="0" w:lastRowLastColumn="0"/>
            <w:tcW w:w="993" w:type="dxa"/>
          </w:tcPr>
          <w:p w14:paraId="34E62474" w14:textId="095E5471" w:rsidR="006E157F" w:rsidRPr="0043591A" w:rsidRDefault="006E157F" w:rsidP="00C55968">
            <w:pPr>
              <w:spacing w:line="360" w:lineRule="auto"/>
              <w:jc w:val="center"/>
              <w:rPr>
                <w:b/>
                <w:bCs/>
                <w:sz w:val="18"/>
                <w:szCs w:val="18"/>
              </w:rPr>
            </w:pPr>
            <w:r w:rsidRPr="0043591A">
              <w:rPr>
                <w:b/>
                <w:bCs/>
                <w:sz w:val="18"/>
                <w:szCs w:val="18"/>
              </w:rPr>
              <w:t>3</w:t>
            </w:r>
          </w:p>
        </w:tc>
        <w:tc>
          <w:tcPr>
            <w:tcW w:w="1842" w:type="dxa"/>
          </w:tcPr>
          <w:p w14:paraId="7C1139DF" w14:textId="02DA354B" w:rsidR="006E157F"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w:t>
            </w:r>
          </w:p>
        </w:tc>
        <w:tc>
          <w:tcPr>
            <w:cnfStyle w:val="000010000000" w:firstRow="0" w:lastRow="0" w:firstColumn="0" w:lastColumn="0" w:oddVBand="1" w:evenVBand="0" w:oddHBand="0" w:evenHBand="0" w:firstRowFirstColumn="0" w:firstRowLastColumn="0" w:lastRowFirstColumn="0" w:lastRowLastColumn="0"/>
            <w:tcW w:w="1763" w:type="dxa"/>
          </w:tcPr>
          <w:p w14:paraId="3BE62802" w14:textId="083B213E" w:rsidR="006E157F" w:rsidRPr="0043591A" w:rsidRDefault="006E157F" w:rsidP="00C55968">
            <w:pPr>
              <w:spacing w:line="360" w:lineRule="auto"/>
              <w:jc w:val="center"/>
              <w:rPr>
                <w:b/>
                <w:bCs/>
                <w:sz w:val="18"/>
                <w:szCs w:val="18"/>
              </w:rPr>
            </w:pPr>
            <w:r w:rsidRPr="0043591A">
              <w:rPr>
                <w:b/>
                <w:bCs/>
                <w:sz w:val="18"/>
                <w:szCs w:val="18"/>
              </w:rPr>
              <w:t>-</w:t>
            </w:r>
          </w:p>
        </w:tc>
      </w:tr>
      <w:tr w:rsidR="008B1D4B" w:rsidRPr="008B1D4B" w14:paraId="04E1AEC7" w14:textId="77777777" w:rsidTr="00A726AE">
        <w:trPr>
          <w:trHeight w:val="174"/>
        </w:trPr>
        <w:tc>
          <w:tcPr>
            <w:cnfStyle w:val="001000000000" w:firstRow="0" w:lastRow="0" w:firstColumn="1" w:lastColumn="0" w:oddVBand="0" w:evenVBand="0" w:oddHBand="0" w:evenHBand="0" w:firstRowFirstColumn="0" w:firstRowLastColumn="0" w:lastRowFirstColumn="0" w:lastRowLastColumn="0"/>
            <w:tcW w:w="709" w:type="dxa"/>
          </w:tcPr>
          <w:p w14:paraId="2BF3578F" w14:textId="647B2996" w:rsidR="006E157F" w:rsidRPr="0043591A" w:rsidRDefault="001605E4" w:rsidP="00C55968">
            <w:pPr>
              <w:spacing w:line="360" w:lineRule="auto"/>
              <w:rPr>
                <w:bCs w:val="0"/>
                <w:color w:val="auto"/>
                <w:sz w:val="18"/>
                <w:szCs w:val="18"/>
              </w:rPr>
            </w:pPr>
            <w:r w:rsidRPr="0043591A">
              <w:rPr>
                <w:color w:val="auto"/>
                <w:sz w:val="18"/>
                <w:szCs w:val="18"/>
              </w:rPr>
              <w:t>60</w:t>
            </w:r>
          </w:p>
        </w:tc>
        <w:tc>
          <w:tcPr>
            <w:cnfStyle w:val="000010000000" w:firstRow="0" w:lastRow="0" w:firstColumn="0" w:lastColumn="0" w:oddVBand="1" w:evenVBand="0" w:oddHBand="0" w:evenHBand="0" w:firstRowFirstColumn="0" w:firstRowLastColumn="0" w:lastRowFirstColumn="0" w:lastRowLastColumn="0"/>
            <w:tcW w:w="1862" w:type="dxa"/>
          </w:tcPr>
          <w:p w14:paraId="1D2E8B2E" w14:textId="7C4C763D" w:rsidR="006E157F" w:rsidRPr="0043591A" w:rsidRDefault="006E157F" w:rsidP="00C55968">
            <w:pPr>
              <w:spacing w:line="360" w:lineRule="auto"/>
              <w:rPr>
                <w:b/>
                <w:bCs/>
                <w:sz w:val="18"/>
                <w:szCs w:val="18"/>
              </w:rPr>
            </w:pPr>
            <w:r w:rsidRPr="0043591A">
              <w:rPr>
                <w:b/>
                <w:bCs/>
                <w:sz w:val="18"/>
                <w:szCs w:val="18"/>
              </w:rPr>
              <w:t>ŠVICA</w:t>
            </w:r>
          </w:p>
        </w:tc>
        <w:tc>
          <w:tcPr>
            <w:tcW w:w="1994" w:type="dxa"/>
          </w:tcPr>
          <w:p w14:paraId="1D9E3190" w14:textId="519030ED" w:rsidR="006E157F"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11</w:t>
            </w:r>
          </w:p>
        </w:tc>
        <w:tc>
          <w:tcPr>
            <w:cnfStyle w:val="000010000000" w:firstRow="0" w:lastRow="0" w:firstColumn="0" w:lastColumn="0" w:oddVBand="1" w:evenVBand="0" w:oddHBand="0" w:evenHBand="0" w:firstRowFirstColumn="0" w:firstRowLastColumn="0" w:lastRowFirstColumn="0" w:lastRowLastColumn="0"/>
            <w:tcW w:w="993" w:type="dxa"/>
          </w:tcPr>
          <w:p w14:paraId="58E03096" w14:textId="794A09EE" w:rsidR="006E157F" w:rsidRPr="0043591A" w:rsidRDefault="006E157F" w:rsidP="00C55968">
            <w:pPr>
              <w:spacing w:line="360" w:lineRule="auto"/>
              <w:jc w:val="center"/>
              <w:rPr>
                <w:b/>
                <w:bCs/>
                <w:sz w:val="18"/>
                <w:szCs w:val="18"/>
              </w:rPr>
            </w:pPr>
            <w:r w:rsidRPr="0043591A">
              <w:rPr>
                <w:b/>
                <w:bCs/>
                <w:sz w:val="18"/>
                <w:szCs w:val="18"/>
              </w:rPr>
              <w:t>11</w:t>
            </w:r>
          </w:p>
        </w:tc>
        <w:tc>
          <w:tcPr>
            <w:tcW w:w="1842" w:type="dxa"/>
          </w:tcPr>
          <w:p w14:paraId="2BB4CB14" w14:textId="286BF416" w:rsidR="006E157F"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2</w:t>
            </w:r>
          </w:p>
        </w:tc>
        <w:tc>
          <w:tcPr>
            <w:cnfStyle w:val="000010000000" w:firstRow="0" w:lastRow="0" w:firstColumn="0" w:lastColumn="0" w:oddVBand="1" w:evenVBand="0" w:oddHBand="0" w:evenHBand="0" w:firstRowFirstColumn="0" w:firstRowLastColumn="0" w:lastRowFirstColumn="0" w:lastRowLastColumn="0"/>
            <w:tcW w:w="1763" w:type="dxa"/>
          </w:tcPr>
          <w:p w14:paraId="51DF76E9" w14:textId="507FB6F3" w:rsidR="006E157F" w:rsidRPr="0043591A" w:rsidRDefault="006E157F" w:rsidP="00C55968">
            <w:pPr>
              <w:spacing w:line="360" w:lineRule="auto"/>
              <w:jc w:val="center"/>
              <w:rPr>
                <w:b/>
                <w:bCs/>
                <w:sz w:val="18"/>
                <w:szCs w:val="18"/>
              </w:rPr>
            </w:pPr>
            <w:r w:rsidRPr="0043591A">
              <w:rPr>
                <w:b/>
                <w:bCs/>
                <w:sz w:val="18"/>
                <w:szCs w:val="18"/>
              </w:rPr>
              <w:t>1</w:t>
            </w:r>
          </w:p>
        </w:tc>
      </w:tr>
      <w:tr w:rsidR="008B1D4B" w:rsidRPr="008B1D4B" w14:paraId="7DA9CB40" w14:textId="77777777" w:rsidTr="00A726AE">
        <w:tc>
          <w:tcPr>
            <w:cnfStyle w:val="001000000000" w:firstRow="0" w:lastRow="0" w:firstColumn="1" w:lastColumn="0" w:oddVBand="0" w:evenVBand="0" w:oddHBand="0" w:evenHBand="0" w:firstRowFirstColumn="0" w:firstRowLastColumn="0" w:lastRowFirstColumn="0" w:lastRowLastColumn="0"/>
            <w:tcW w:w="709" w:type="dxa"/>
          </w:tcPr>
          <w:p w14:paraId="60FAAB82" w14:textId="1FACB48D" w:rsidR="006E157F" w:rsidRPr="0043591A" w:rsidRDefault="001605E4" w:rsidP="00C55968">
            <w:pPr>
              <w:spacing w:line="360" w:lineRule="auto"/>
              <w:rPr>
                <w:bCs w:val="0"/>
                <w:color w:val="auto"/>
                <w:sz w:val="18"/>
                <w:szCs w:val="18"/>
              </w:rPr>
            </w:pPr>
            <w:r w:rsidRPr="0043591A">
              <w:rPr>
                <w:color w:val="auto"/>
                <w:sz w:val="18"/>
                <w:szCs w:val="18"/>
              </w:rPr>
              <w:t>61</w:t>
            </w:r>
          </w:p>
        </w:tc>
        <w:tc>
          <w:tcPr>
            <w:cnfStyle w:val="000010000000" w:firstRow="0" w:lastRow="0" w:firstColumn="0" w:lastColumn="0" w:oddVBand="1" w:evenVBand="0" w:oddHBand="0" w:evenHBand="0" w:firstRowFirstColumn="0" w:firstRowLastColumn="0" w:lastRowFirstColumn="0" w:lastRowLastColumn="0"/>
            <w:tcW w:w="1862" w:type="dxa"/>
          </w:tcPr>
          <w:p w14:paraId="0E9DA947" w14:textId="4B86A71F" w:rsidR="006E157F" w:rsidRPr="0043591A" w:rsidRDefault="006E157F" w:rsidP="00C55968">
            <w:pPr>
              <w:spacing w:line="360" w:lineRule="auto"/>
              <w:rPr>
                <w:b/>
                <w:bCs/>
                <w:sz w:val="18"/>
                <w:szCs w:val="18"/>
              </w:rPr>
            </w:pPr>
            <w:r w:rsidRPr="0043591A">
              <w:rPr>
                <w:b/>
                <w:bCs/>
                <w:sz w:val="18"/>
                <w:szCs w:val="18"/>
              </w:rPr>
              <w:t>TAJSKA</w:t>
            </w:r>
          </w:p>
        </w:tc>
        <w:tc>
          <w:tcPr>
            <w:tcW w:w="1994" w:type="dxa"/>
          </w:tcPr>
          <w:p w14:paraId="5173D272" w14:textId="07C63E43" w:rsidR="006E157F"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6</w:t>
            </w:r>
          </w:p>
        </w:tc>
        <w:tc>
          <w:tcPr>
            <w:cnfStyle w:val="000010000000" w:firstRow="0" w:lastRow="0" w:firstColumn="0" w:lastColumn="0" w:oddVBand="1" w:evenVBand="0" w:oddHBand="0" w:evenHBand="0" w:firstRowFirstColumn="0" w:firstRowLastColumn="0" w:lastRowFirstColumn="0" w:lastRowLastColumn="0"/>
            <w:tcW w:w="993" w:type="dxa"/>
          </w:tcPr>
          <w:p w14:paraId="635D4E75" w14:textId="5B4F3654" w:rsidR="006E157F" w:rsidRPr="0043591A" w:rsidRDefault="006E157F" w:rsidP="00C55968">
            <w:pPr>
              <w:spacing w:line="360" w:lineRule="auto"/>
              <w:jc w:val="center"/>
              <w:rPr>
                <w:b/>
                <w:bCs/>
                <w:sz w:val="18"/>
                <w:szCs w:val="18"/>
              </w:rPr>
            </w:pPr>
            <w:r w:rsidRPr="0043591A">
              <w:rPr>
                <w:b/>
                <w:bCs/>
                <w:sz w:val="18"/>
                <w:szCs w:val="18"/>
              </w:rPr>
              <w:t>6</w:t>
            </w:r>
          </w:p>
        </w:tc>
        <w:tc>
          <w:tcPr>
            <w:tcW w:w="1842" w:type="dxa"/>
          </w:tcPr>
          <w:p w14:paraId="0D97BFB0" w14:textId="08E411E1" w:rsidR="006E157F"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w:t>
            </w:r>
          </w:p>
        </w:tc>
        <w:tc>
          <w:tcPr>
            <w:cnfStyle w:val="000010000000" w:firstRow="0" w:lastRow="0" w:firstColumn="0" w:lastColumn="0" w:oddVBand="1" w:evenVBand="0" w:oddHBand="0" w:evenHBand="0" w:firstRowFirstColumn="0" w:firstRowLastColumn="0" w:lastRowFirstColumn="0" w:lastRowLastColumn="0"/>
            <w:tcW w:w="1763" w:type="dxa"/>
          </w:tcPr>
          <w:p w14:paraId="11A18CF8" w14:textId="308EA4A7" w:rsidR="006E157F" w:rsidRPr="0043591A" w:rsidRDefault="006E157F" w:rsidP="00C55968">
            <w:pPr>
              <w:spacing w:line="360" w:lineRule="auto"/>
              <w:jc w:val="center"/>
              <w:rPr>
                <w:b/>
                <w:bCs/>
                <w:sz w:val="18"/>
                <w:szCs w:val="18"/>
              </w:rPr>
            </w:pPr>
            <w:r w:rsidRPr="0043591A">
              <w:rPr>
                <w:b/>
                <w:bCs/>
                <w:sz w:val="18"/>
                <w:szCs w:val="18"/>
              </w:rPr>
              <w:t>-</w:t>
            </w:r>
          </w:p>
        </w:tc>
      </w:tr>
      <w:tr w:rsidR="008B1D4B" w:rsidRPr="008B1D4B" w14:paraId="105144C0" w14:textId="77777777" w:rsidTr="00A726AE">
        <w:tc>
          <w:tcPr>
            <w:cnfStyle w:val="001000000000" w:firstRow="0" w:lastRow="0" w:firstColumn="1" w:lastColumn="0" w:oddVBand="0" w:evenVBand="0" w:oddHBand="0" w:evenHBand="0" w:firstRowFirstColumn="0" w:firstRowLastColumn="0" w:lastRowFirstColumn="0" w:lastRowLastColumn="0"/>
            <w:tcW w:w="709" w:type="dxa"/>
          </w:tcPr>
          <w:p w14:paraId="75E74930" w14:textId="2A6F19C8" w:rsidR="006E157F" w:rsidRPr="0043591A" w:rsidRDefault="001605E4" w:rsidP="00C55968">
            <w:pPr>
              <w:spacing w:line="360" w:lineRule="auto"/>
              <w:rPr>
                <w:bCs w:val="0"/>
                <w:color w:val="auto"/>
                <w:sz w:val="18"/>
                <w:szCs w:val="18"/>
              </w:rPr>
            </w:pPr>
            <w:r w:rsidRPr="0043591A">
              <w:rPr>
                <w:color w:val="auto"/>
                <w:sz w:val="18"/>
                <w:szCs w:val="18"/>
              </w:rPr>
              <w:t>62</w:t>
            </w:r>
          </w:p>
        </w:tc>
        <w:tc>
          <w:tcPr>
            <w:cnfStyle w:val="000010000000" w:firstRow="0" w:lastRow="0" w:firstColumn="0" w:lastColumn="0" w:oddVBand="1" w:evenVBand="0" w:oddHBand="0" w:evenHBand="0" w:firstRowFirstColumn="0" w:firstRowLastColumn="0" w:lastRowFirstColumn="0" w:lastRowLastColumn="0"/>
            <w:tcW w:w="1862" w:type="dxa"/>
          </w:tcPr>
          <w:p w14:paraId="392D9B1F" w14:textId="73E69B85" w:rsidR="006E157F" w:rsidRPr="0043591A" w:rsidRDefault="006E157F" w:rsidP="00C55968">
            <w:pPr>
              <w:spacing w:line="360" w:lineRule="auto"/>
              <w:rPr>
                <w:b/>
                <w:bCs/>
                <w:sz w:val="18"/>
                <w:szCs w:val="18"/>
              </w:rPr>
            </w:pPr>
            <w:r w:rsidRPr="0043591A">
              <w:rPr>
                <w:b/>
                <w:bCs/>
                <w:sz w:val="18"/>
                <w:szCs w:val="18"/>
              </w:rPr>
              <w:t>TURČIJA</w:t>
            </w:r>
          </w:p>
        </w:tc>
        <w:tc>
          <w:tcPr>
            <w:tcW w:w="1994" w:type="dxa"/>
          </w:tcPr>
          <w:p w14:paraId="25A4CBA1" w14:textId="3C57B225" w:rsidR="006E157F"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10</w:t>
            </w:r>
          </w:p>
        </w:tc>
        <w:tc>
          <w:tcPr>
            <w:cnfStyle w:val="000010000000" w:firstRow="0" w:lastRow="0" w:firstColumn="0" w:lastColumn="0" w:oddVBand="1" w:evenVBand="0" w:oddHBand="0" w:evenHBand="0" w:firstRowFirstColumn="0" w:firstRowLastColumn="0" w:lastRowFirstColumn="0" w:lastRowLastColumn="0"/>
            <w:tcW w:w="993" w:type="dxa"/>
          </w:tcPr>
          <w:p w14:paraId="3E24B163" w14:textId="16852BCD" w:rsidR="006E157F" w:rsidRPr="0043591A" w:rsidRDefault="006E157F" w:rsidP="00C55968">
            <w:pPr>
              <w:spacing w:line="360" w:lineRule="auto"/>
              <w:jc w:val="center"/>
              <w:rPr>
                <w:b/>
                <w:bCs/>
                <w:sz w:val="18"/>
                <w:szCs w:val="18"/>
              </w:rPr>
            </w:pPr>
            <w:r w:rsidRPr="0043591A">
              <w:rPr>
                <w:b/>
                <w:bCs/>
                <w:sz w:val="18"/>
                <w:szCs w:val="18"/>
              </w:rPr>
              <w:t>10</w:t>
            </w:r>
          </w:p>
        </w:tc>
        <w:tc>
          <w:tcPr>
            <w:tcW w:w="1842" w:type="dxa"/>
          </w:tcPr>
          <w:p w14:paraId="20B5EAE6" w14:textId="0DEE0CE6" w:rsidR="006E157F"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2</w:t>
            </w:r>
          </w:p>
        </w:tc>
        <w:tc>
          <w:tcPr>
            <w:cnfStyle w:val="000010000000" w:firstRow="0" w:lastRow="0" w:firstColumn="0" w:lastColumn="0" w:oddVBand="1" w:evenVBand="0" w:oddHBand="0" w:evenHBand="0" w:firstRowFirstColumn="0" w:firstRowLastColumn="0" w:lastRowFirstColumn="0" w:lastRowLastColumn="0"/>
            <w:tcW w:w="1763" w:type="dxa"/>
          </w:tcPr>
          <w:p w14:paraId="7E013B6A" w14:textId="00719A97" w:rsidR="006E157F" w:rsidRPr="0043591A" w:rsidRDefault="006E157F" w:rsidP="00C55968">
            <w:pPr>
              <w:spacing w:line="360" w:lineRule="auto"/>
              <w:jc w:val="center"/>
              <w:rPr>
                <w:b/>
                <w:bCs/>
                <w:sz w:val="18"/>
                <w:szCs w:val="18"/>
              </w:rPr>
            </w:pPr>
            <w:r w:rsidRPr="0043591A">
              <w:rPr>
                <w:b/>
                <w:bCs/>
                <w:sz w:val="18"/>
                <w:szCs w:val="18"/>
              </w:rPr>
              <w:t>2</w:t>
            </w:r>
          </w:p>
        </w:tc>
      </w:tr>
      <w:tr w:rsidR="008B1D4B" w:rsidRPr="008B1D4B" w14:paraId="5FBEC6B5" w14:textId="77777777" w:rsidTr="00A726AE">
        <w:tc>
          <w:tcPr>
            <w:cnfStyle w:val="001000000000" w:firstRow="0" w:lastRow="0" w:firstColumn="1" w:lastColumn="0" w:oddVBand="0" w:evenVBand="0" w:oddHBand="0" w:evenHBand="0" w:firstRowFirstColumn="0" w:firstRowLastColumn="0" w:lastRowFirstColumn="0" w:lastRowLastColumn="0"/>
            <w:tcW w:w="709" w:type="dxa"/>
          </w:tcPr>
          <w:p w14:paraId="18C73B51" w14:textId="5272C5D8" w:rsidR="006E157F" w:rsidRPr="0043591A" w:rsidRDefault="001605E4" w:rsidP="00C55968">
            <w:pPr>
              <w:spacing w:line="360" w:lineRule="auto"/>
              <w:rPr>
                <w:bCs w:val="0"/>
                <w:color w:val="auto"/>
                <w:sz w:val="18"/>
                <w:szCs w:val="18"/>
              </w:rPr>
            </w:pPr>
            <w:r w:rsidRPr="0043591A">
              <w:rPr>
                <w:color w:val="auto"/>
                <w:sz w:val="18"/>
                <w:szCs w:val="18"/>
              </w:rPr>
              <w:t>63</w:t>
            </w:r>
          </w:p>
        </w:tc>
        <w:tc>
          <w:tcPr>
            <w:cnfStyle w:val="000010000000" w:firstRow="0" w:lastRow="0" w:firstColumn="0" w:lastColumn="0" w:oddVBand="1" w:evenVBand="0" w:oddHBand="0" w:evenHBand="0" w:firstRowFirstColumn="0" w:firstRowLastColumn="0" w:lastRowFirstColumn="0" w:lastRowLastColumn="0"/>
            <w:tcW w:w="1862" w:type="dxa"/>
          </w:tcPr>
          <w:p w14:paraId="3296A4DC" w14:textId="586C545D" w:rsidR="006E157F" w:rsidRPr="0043591A" w:rsidRDefault="006E157F" w:rsidP="00C55968">
            <w:pPr>
              <w:spacing w:line="360" w:lineRule="auto"/>
              <w:rPr>
                <w:b/>
                <w:bCs/>
                <w:sz w:val="18"/>
                <w:szCs w:val="18"/>
              </w:rPr>
            </w:pPr>
            <w:r w:rsidRPr="0043591A">
              <w:rPr>
                <w:b/>
                <w:bCs/>
                <w:sz w:val="18"/>
                <w:szCs w:val="18"/>
              </w:rPr>
              <w:t>TURŠKI DEL CIPRA</w:t>
            </w:r>
          </w:p>
        </w:tc>
        <w:tc>
          <w:tcPr>
            <w:tcW w:w="1994" w:type="dxa"/>
          </w:tcPr>
          <w:p w14:paraId="583F53DA" w14:textId="4EED6081" w:rsidR="006E157F"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993" w:type="dxa"/>
          </w:tcPr>
          <w:p w14:paraId="1080BA6C" w14:textId="039C2436" w:rsidR="006E157F" w:rsidRPr="0043591A" w:rsidRDefault="006E157F" w:rsidP="00C55968">
            <w:pPr>
              <w:spacing w:line="360" w:lineRule="auto"/>
              <w:jc w:val="center"/>
              <w:rPr>
                <w:b/>
                <w:bCs/>
                <w:sz w:val="18"/>
                <w:szCs w:val="18"/>
              </w:rPr>
            </w:pPr>
            <w:r w:rsidRPr="0043591A">
              <w:rPr>
                <w:b/>
                <w:bCs/>
                <w:sz w:val="18"/>
                <w:szCs w:val="18"/>
              </w:rPr>
              <w:t>1</w:t>
            </w:r>
          </w:p>
        </w:tc>
        <w:tc>
          <w:tcPr>
            <w:tcW w:w="1842" w:type="dxa"/>
          </w:tcPr>
          <w:p w14:paraId="357C8E1D" w14:textId="1825DBF3" w:rsidR="006E157F"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w:t>
            </w:r>
          </w:p>
        </w:tc>
        <w:tc>
          <w:tcPr>
            <w:cnfStyle w:val="000010000000" w:firstRow="0" w:lastRow="0" w:firstColumn="0" w:lastColumn="0" w:oddVBand="1" w:evenVBand="0" w:oddHBand="0" w:evenHBand="0" w:firstRowFirstColumn="0" w:firstRowLastColumn="0" w:lastRowFirstColumn="0" w:lastRowLastColumn="0"/>
            <w:tcW w:w="1763" w:type="dxa"/>
          </w:tcPr>
          <w:p w14:paraId="0664AFF4" w14:textId="7F73B2D2" w:rsidR="006E157F" w:rsidRPr="0043591A" w:rsidRDefault="006E157F" w:rsidP="00C55968">
            <w:pPr>
              <w:spacing w:line="360" w:lineRule="auto"/>
              <w:jc w:val="center"/>
              <w:rPr>
                <w:b/>
                <w:bCs/>
                <w:sz w:val="18"/>
                <w:szCs w:val="18"/>
              </w:rPr>
            </w:pPr>
            <w:r w:rsidRPr="0043591A">
              <w:rPr>
                <w:b/>
                <w:bCs/>
                <w:sz w:val="18"/>
                <w:szCs w:val="18"/>
              </w:rPr>
              <w:t>-</w:t>
            </w:r>
          </w:p>
        </w:tc>
      </w:tr>
      <w:tr w:rsidR="008B1D4B" w:rsidRPr="008B1D4B" w14:paraId="3E86C8A4" w14:textId="77777777" w:rsidTr="00A726AE">
        <w:tc>
          <w:tcPr>
            <w:cnfStyle w:val="001000000000" w:firstRow="0" w:lastRow="0" w:firstColumn="1" w:lastColumn="0" w:oddVBand="0" w:evenVBand="0" w:oddHBand="0" w:evenHBand="0" w:firstRowFirstColumn="0" w:firstRowLastColumn="0" w:lastRowFirstColumn="0" w:lastRowLastColumn="0"/>
            <w:tcW w:w="709" w:type="dxa"/>
          </w:tcPr>
          <w:p w14:paraId="34D9E7E5" w14:textId="22838E77" w:rsidR="006E157F" w:rsidRPr="0043591A" w:rsidRDefault="001605E4" w:rsidP="00C55968">
            <w:pPr>
              <w:spacing w:line="360" w:lineRule="auto"/>
              <w:rPr>
                <w:bCs w:val="0"/>
                <w:color w:val="auto"/>
                <w:sz w:val="18"/>
                <w:szCs w:val="18"/>
              </w:rPr>
            </w:pPr>
            <w:r w:rsidRPr="0043591A">
              <w:rPr>
                <w:color w:val="auto"/>
                <w:sz w:val="18"/>
                <w:szCs w:val="18"/>
              </w:rPr>
              <w:t>64</w:t>
            </w:r>
          </w:p>
        </w:tc>
        <w:tc>
          <w:tcPr>
            <w:cnfStyle w:val="000010000000" w:firstRow="0" w:lastRow="0" w:firstColumn="0" w:lastColumn="0" w:oddVBand="1" w:evenVBand="0" w:oddHBand="0" w:evenHBand="0" w:firstRowFirstColumn="0" w:firstRowLastColumn="0" w:lastRowFirstColumn="0" w:lastRowLastColumn="0"/>
            <w:tcW w:w="1862" w:type="dxa"/>
          </w:tcPr>
          <w:p w14:paraId="306842C8" w14:textId="4E1FB795" w:rsidR="006E157F" w:rsidRPr="0043591A" w:rsidRDefault="006E157F" w:rsidP="00C55968">
            <w:pPr>
              <w:spacing w:line="360" w:lineRule="auto"/>
              <w:rPr>
                <w:b/>
                <w:bCs/>
                <w:sz w:val="18"/>
                <w:szCs w:val="18"/>
              </w:rPr>
            </w:pPr>
            <w:r w:rsidRPr="0043591A">
              <w:rPr>
                <w:b/>
                <w:bCs/>
                <w:sz w:val="18"/>
                <w:szCs w:val="18"/>
              </w:rPr>
              <w:t>UKRAJINA</w:t>
            </w:r>
          </w:p>
        </w:tc>
        <w:tc>
          <w:tcPr>
            <w:tcW w:w="1994" w:type="dxa"/>
          </w:tcPr>
          <w:p w14:paraId="2AD6C262" w14:textId="7944684A" w:rsidR="006E157F"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22</w:t>
            </w:r>
          </w:p>
        </w:tc>
        <w:tc>
          <w:tcPr>
            <w:cnfStyle w:val="000010000000" w:firstRow="0" w:lastRow="0" w:firstColumn="0" w:lastColumn="0" w:oddVBand="1" w:evenVBand="0" w:oddHBand="0" w:evenHBand="0" w:firstRowFirstColumn="0" w:firstRowLastColumn="0" w:lastRowFirstColumn="0" w:lastRowLastColumn="0"/>
            <w:tcW w:w="993" w:type="dxa"/>
          </w:tcPr>
          <w:p w14:paraId="0BEBE745" w14:textId="5445517F" w:rsidR="006E157F" w:rsidRPr="0043591A" w:rsidRDefault="006E157F" w:rsidP="00C55968">
            <w:pPr>
              <w:spacing w:line="360" w:lineRule="auto"/>
              <w:jc w:val="center"/>
              <w:rPr>
                <w:b/>
                <w:bCs/>
                <w:sz w:val="18"/>
                <w:szCs w:val="18"/>
              </w:rPr>
            </w:pPr>
            <w:r w:rsidRPr="0043591A">
              <w:rPr>
                <w:b/>
                <w:bCs/>
                <w:sz w:val="18"/>
                <w:szCs w:val="18"/>
              </w:rPr>
              <w:t>21</w:t>
            </w:r>
          </w:p>
        </w:tc>
        <w:tc>
          <w:tcPr>
            <w:tcW w:w="1842" w:type="dxa"/>
          </w:tcPr>
          <w:p w14:paraId="74140859" w14:textId="025456FF" w:rsidR="006E157F"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8</w:t>
            </w:r>
          </w:p>
        </w:tc>
        <w:tc>
          <w:tcPr>
            <w:cnfStyle w:val="000010000000" w:firstRow="0" w:lastRow="0" w:firstColumn="0" w:lastColumn="0" w:oddVBand="1" w:evenVBand="0" w:oddHBand="0" w:evenHBand="0" w:firstRowFirstColumn="0" w:firstRowLastColumn="0" w:lastRowFirstColumn="0" w:lastRowLastColumn="0"/>
            <w:tcW w:w="1763" w:type="dxa"/>
          </w:tcPr>
          <w:p w14:paraId="3F9126B5" w14:textId="789A30A7" w:rsidR="006E157F" w:rsidRPr="0043591A" w:rsidRDefault="006E157F" w:rsidP="00C55968">
            <w:pPr>
              <w:spacing w:line="360" w:lineRule="auto"/>
              <w:jc w:val="center"/>
              <w:rPr>
                <w:b/>
                <w:bCs/>
                <w:sz w:val="18"/>
                <w:szCs w:val="18"/>
              </w:rPr>
            </w:pPr>
            <w:r w:rsidRPr="0043591A">
              <w:rPr>
                <w:b/>
                <w:bCs/>
                <w:sz w:val="18"/>
                <w:szCs w:val="18"/>
              </w:rPr>
              <w:t>8</w:t>
            </w:r>
          </w:p>
        </w:tc>
      </w:tr>
      <w:tr w:rsidR="008B1D4B" w:rsidRPr="008B1D4B" w14:paraId="1A25FC10" w14:textId="77777777" w:rsidTr="00A726AE">
        <w:tc>
          <w:tcPr>
            <w:cnfStyle w:val="001000000000" w:firstRow="0" w:lastRow="0" w:firstColumn="1" w:lastColumn="0" w:oddVBand="0" w:evenVBand="0" w:oddHBand="0" w:evenHBand="0" w:firstRowFirstColumn="0" w:firstRowLastColumn="0" w:lastRowFirstColumn="0" w:lastRowLastColumn="0"/>
            <w:tcW w:w="709" w:type="dxa"/>
          </w:tcPr>
          <w:p w14:paraId="53CC2214" w14:textId="29506EC3" w:rsidR="006E157F" w:rsidRPr="0043591A" w:rsidRDefault="001605E4" w:rsidP="00C55968">
            <w:pPr>
              <w:spacing w:line="360" w:lineRule="auto"/>
              <w:rPr>
                <w:bCs w:val="0"/>
                <w:color w:val="auto"/>
                <w:sz w:val="18"/>
                <w:szCs w:val="18"/>
              </w:rPr>
            </w:pPr>
            <w:r w:rsidRPr="0043591A">
              <w:rPr>
                <w:color w:val="auto"/>
                <w:sz w:val="18"/>
                <w:szCs w:val="18"/>
              </w:rPr>
              <w:t>65</w:t>
            </w:r>
          </w:p>
        </w:tc>
        <w:tc>
          <w:tcPr>
            <w:cnfStyle w:val="000010000000" w:firstRow="0" w:lastRow="0" w:firstColumn="0" w:lastColumn="0" w:oddVBand="1" w:evenVBand="0" w:oddHBand="0" w:evenHBand="0" w:firstRowFirstColumn="0" w:firstRowLastColumn="0" w:lastRowFirstColumn="0" w:lastRowLastColumn="0"/>
            <w:tcW w:w="1862" w:type="dxa"/>
          </w:tcPr>
          <w:p w14:paraId="2B324469" w14:textId="6EF4E278" w:rsidR="006E157F" w:rsidRPr="0043591A" w:rsidRDefault="006E157F" w:rsidP="00C55968">
            <w:pPr>
              <w:spacing w:line="360" w:lineRule="auto"/>
              <w:rPr>
                <w:b/>
                <w:bCs/>
                <w:sz w:val="18"/>
                <w:szCs w:val="18"/>
              </w:rPr>
            </w:pPr>
            <w:r w:rsidRPr="0043591A">
              <w:rPr>
                <w:b/>
                <w:bCs/>
                <w:sz w:val="18"/>
                <w:szCs w:val="18"/>
              </w:rPr>
              <w:t>UZBEKISTAN</w:t>
            </w:r>
          </w:p>
        </w:tc>
        <w:tc>
          <w:tcPr>
            <w:tcW w:w="1994" w:type="dxa"/>
          </w:tcPr>
          <w:p w14:paraId="427730F5" w14:textId="43A108FC" w:rsidR="006E157F"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993" w:type="dxa"/>
          </w:tcPr>
          <w:p w14:paraId="719E0569" w14:textId="13E27AE6" w:rsidR="006E157F" w:rsidRPr="0043591A" w:rsidRDefault="006E157F" w:rsidP="00C55968">
            <w:pPr>
              <w:spacing w:line="360" w:lineRule="auto"/>
              <w:jc w:val="center"/>
              <w:rPr>
                <w:b/>
                <w:bCs/>
                <w:sz w:val="18"/>
                <w:szCs w:val="18"/>
              </w:rPr>
            </w:pPr>
            <w:r w:rsidRPr="0043591A">
              <w:rPr>
                <w:b/>
                <w:bCs/>
                <w:sz w:val="18"/>
                <w:szCs w:val="18"/>
              </w:rPr>
              <w:t>1</w:t>
            </w:r>
          </w:p>
        </w:tc>
        <w:tc>
          <w:tcPr>
            <w:tcW w:w="1842" w:type="dxa"/>
          </w:tcPr>
          <w:p w14:paraId="56428840" w14:textId="72918ABD" w:rsidR="006E157F"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w:t>
            </w:r>
          </w:p>
        </w:tc>
        <w:tc>
          <w:tcPr>
            <w:cnfStyle w:val="000010000000" w:firstRow="0" w:lastRow="0" w:firstColumn="0" w:lastColumn="0" w:oddVBand="1" w:evenVBand="0" w:oddHBand="0" w:evenHBand="0" w:firstRowFirstColumn="0" w:firstRowLastColumn="0" w:lastRowFirstColumn="0" w:lastRowLastColumn="0"/>
            <w:tcW w:w="1763" w:type="dxa"/>
          </w:tcPr>
          <w:p w14:paraId="5171E9DF" w14:textId="548475E9" w:rsidR="006E157F" w:rsidRPr="0043591A" w:rsidRDefault="006E157F" w:rsidP="00C55968">
            <w:pPr>
              <w:spacing w:line="360" w:lineRule="auto"/>
              <w:jc w:val="center"/>
              <w:rPr>
                <w:b/>
                <w:bCs/>
                <w:sz w:val="18"/>
                <w:szCs w:val="18"/>
              </w:rPr>
            </w:pPr>
            <w:r w:rsidRPr="0043591A">
              <w:rPr>
                <w:b/>
                <w:bCs/>
                <w:sz w:val="18"/>
                <w:szCs w:val="18"/>
              </w:rPr>
              <w:t>-</w:t>
            </w:r>
          </w:p>
        </w:tc>
      </w:tr>
      <w:tr w:rsidR="008B1D4B" w:rsidRPr="008B1D4B" w14:paraId="302AE766" w14:textId="77777777" w:rsidTr="00A726AE">
        <w:tc>
          <w:tcPr>
            <w:cnfStyle w:val="001000000000" w:firstRow="0" w:lastRow="0" w:firstColumn="1" w:lastColumn="0" w:oddVBand="0" w:evenVBand="0" w:oddHBand="0" w:evenHBand="0" w:firstRowFirstColumn="0" w:firstRowLastColumn="0" w:lastRowFirstColumn="0" w:lastRowLastColumn="0"/>
            <w:tcW w:w="709" w:type="dxa"/>
          </w:tcPr>
          <w:p w14:paraId="3E43A271" w14:textId="1A443AB9" w:rsidR="006E157F" w:rsidRPr="0043591A" w:rsidRDefault="001605E4" w:rsidP="00C55968">
            <w:pPr>
              <w:spacing w:line="360" w:lineRule="auto"/>
              <w:rPr>
                <w:bCs w:val="0"/>
                <w:color w:val="auto"/>
                <w:sz w:val="18"/>
                <w:szCs w:val="18"/>
              </w:rPr>
            </w:pPr>
            <w:r w:rsidRPr="0043591A">
              <w:rPr>
                <w:color w:val="auto"/>
                <w:sz w:val="18"/>
                <w:szCs w:val="18"/>
              </w:rPr>
              <w:t>66</w:t>
            </w:r>
          </w:p>
        </w:tc>
        <w:tc>
          <w:tcPr>
            <w:cnfStyle w:val="000010000000" w:firstRow="0" w:lastRow="0" w:firstColumn="0" w:lastColumn="0" w:oddVBand="1" w:evenVBand="0" w:oddHBand="0" w:evenHBand="0" w:firstRowFirstColumn="0" w:firstRowLastColumn="0" w:lastRowFirstColumn="0" w:lastRowLastColumn="0"/>
            <w:tcW w:w="1862" w:type="dxa"/>
          </w:tcPr>
          <w:p w14:paraId="0FBB3E22" w14:textId="5B63638F" w:rsidR="006E157F" w:rsidRPr="0043591A" w:rsidRDefault="006E157F" w:rsidP="00C55968">
            <w:pPr>
              <w:spacing w:line="360" w:lineRule="auto"/>
              <w:rPr>
                <w:b/>
                <w:bCs/>
                <w:sz w:val="18"/>
                <w:szCs w:val="18"/>
              </w:rPr>
            </w:pPr>
            <w:r w:rsidRPr="0043591A">
              <w:rPr>
                <w:b/>
                <w:bCs/>
                <w:sz w:val="18"/>
                <w:szCs w:val="18"/>
              </w:rPr>
              <w:t>VELIKA BRITANIJA</w:t>
            </w:r>
          </w:p>
        </w:tc>
        <w:tc>
          <w:tcPr>
            <w:tcW w:w="1994" w:type="dxa"/>
          </w:tcPr>
          <w:p w14:paraId="1D4B5E58" w14:textId="0B8ABA15" w:rsidR="006E157F" w:rsidRPr="0043591A" w:rsidRDefault="006E157F"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34</w:t>
            </w:r>
          </w:p>
        </w:tc>
        <w:tc>
          <w:tcPr>
            <w:cnfStyle w:val="000010000000" w:firstRow="0" w:lastRow="0" w:firstColumn="0" w:lastColumn="0" w:oddVBand="1" w:evenVBand="0" w:oddHBand="0" w:evenHBand="0" w:firstRowFirstColumn="0" w:firstRowLastColumn="0" w:lastRowFirstColumn="0" w:lastRowLastColumn="0"/>
            <w:tcW w:w="993" w:type="dxa"/>
          </w:tcPr>
          <w:p w14:paraId="6F6F0E16" w14:textId="5B7170DC" w:rsidR="006E157F" w:rsidRPr="0043591A" w:rsidRDefault="006E157F" w:rsidP="00C55968">
            <w:pPr>
              <w:spacing w:line="360" w:lineRule="auto"/>
              <w:jc w:val="center"/>
              <w:rPr>
                <w:b/>
                <w:bCs/>
                <w:sz w:val="18"/>
                <w:szCs w:val="18"/>
              </w:rPr>
            </w:pPr>
            <w:r w:rsidRPr="0043591A">
              <w:rPr>
                <w:b/>
                <w:bCs/>
                <w:sz w:val="18"/>
                <w:szCs w:val="18"/>
              </w:rPr>
              <w:t>34</w:t>
            </w:r>
          </w:p>
        </w:tc>
        <w:tc>
          <w:tcPr>
            <w:tcW w:w="1842" w:type="dxa"/>
          </w:tcPr>
          <w:p w14:paraId="127C6412" w14:textId="48EAC8D4" w:rsidR="006E157F" w:rsidRPr="0043591A" w:rsidRDefault="000E0325"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9</w:t>
            </w:r>
          </w:p>
        </w:tc>
        <w:tc>
          <w:tcPr>
            <w:cnfStyle w:val="000010000000" w:firstRow="0" w:lastRow="0" w:firstColumn="0" w:lastColumn="0" w:oddVBand="1" w:evenVBand="0" w:oddHBand="0" w:evenHBand="0" w:firstRowFirstColumn="0" w:firstRowLastColumn="0" w:lastRowFirstColumn="0" w:lastRowLastColumn="0"/>
            <w:tcW w:w="1763" w:type="dxa"/>
          </w:tcPr>
          <w:p w14:paraId="4917C69A" w14:textId="722752D8" w:rsidR="006E157F" w:rsidRPr="0043591A" w:rsidRDefault="000E0325" w:rsidP="00C55968">
            <w:pPr>
              <w:spacing w:line="360" w:lineRule="auto"/>
              <w:jc w:val="center"/>
              <w:rPr>
                <w:b/>
                <w:bCs/>
                <w:sz w:val="18"/>
                <w:szCs w:val="18"/>
              </w:rPr>
            </w:pPr>
            <w:r w:rsidRPr="0043591A">
              <w:rPr>
                <w:b/>
                <w:bCs/>
                <w:sz w:val="18"/>
                <w:szCs w:val="18"/>
              </w:rPr>
              <w:t>9</w:t>
            </w:r>
          </w:p>
        </w:tc>
      </w:tr>
      <w:tr w:rsidR="008B1D4B" w:rsidRPr="008B1D4B" w14:paraId="69318FDE" w14:textId="77777777" w:rsidTr="00A726AE">
        <w:tc>
          <w:tcPr>
            <w:cnfStyle w:val="001000000000" w:firstRow="0" w:lastRow="0" w:firstColumn="1" w:lastColumn="0" w:oddVBand="0" w:evenVBand="0" w:oddHBand="0" w:evenHBand="0" w:firstRowFirstColumn="0" w:firstRowLastColumn="0" w:lastRowFirstColumn="0" w:lastRowLastColumn="0"/>
            <w:tcW w:w="709" w:type="dxa"/>
          </w:tcPr>
          <w:p w14:paraId="78FC0BA5" w14:textId="4007D14E" w:rsidR="006E157F" w:rsidRPr="0043591A" w:rsidRDefault="001605E4" w:rsidP="00C55968">
            <w:pPr>
              <w:spacing w:line="360" w:lineRule="auto"/>
              <w:rPr>
                <w:bCs w:val="0"/>
                <w:color w:val="auto"/>
                <w:sz w:val="18"/>
                <w:szCs w:val="18"/>
              </w:rPr>
            </w:pPr>
            <w:r w:rsidRPr="0043591A">
              <w:rPr>
                <w:color w:val="auto"/>
                <w:sz w:val="18"/>
                <w:szCs w:val="18"/>
              </w:rPr>
              <w:t>67</w:t>
            </w:r>
          </w:p>
        </w:tc>
        <w:tc>
          <w:tcPr>
            <w:cnfStyle w:val="000010000000" w:firstRow="0" w:lastRow="0" w:firstColumn="0" w:lastColumn="0" w:oddVBand="1" w:evenVBand="0" w:oddHBand="0" w:evenHBand="0" w:firstRowFirstColumn="0" w:firstRowLastColumn="0" w:lastRowFirstColumn="0" w:lastRowLastColumn="0"/>
            <w:tcW w:w="1862" w:type="dxa"/>
          </w:tcPr>
          <w:p w14:paraId="54981DF4" w14:textId="22A11823" w:rsidR="006E157F" w:rsidRPr="0043591A" w:rsidRDefault="000E0325" w:rsidP="00C55968">
            <w:pPr>
              <w:spacing w:line="360" w:lineRule="auto"/>
              <w:rPr>
                <w:b/>
                <w:bCs/>
                <w:sz w:val="18"/>
                <w:szCs w:val="18"/>
              </w:rPr>
            </w:pPr>
            <w:r w:rsidRPr="0043591A">
              <w:rPr>
                <w:b/>
                <w:bCs/>
                <w:sz w:val="18"/>
                <w:szCs w:val="18"/>
              </w:rPr>
              <w:t>ZDA</w:t>
            </w:r>
          </w:p>
        </w:tc>
        <w:tc>
          <w:tcPr>
            <w:tcW w:w="1994" w:type="dxa"/>
          </w:tcPr>
          <w:p w14:paraId="6AC20310" w14:textId="1927AF23" w:rsidR="006E157F" w:rsidRPr="0043591A" w:rsidRDefault="000E0325"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6</w:t>
            </w:r>
          </w:p>
        </w:tc>
        <w:tc>
          <w:tcPr>
            <w:cnfStyle w:val="000010000000" w:firstRow="0" w:lastRow="0" w:firstColumn="0" w:lastColumn="0" w:oddVBand="1" w:evenVBand="0" w:oddHBand="0" w:evenHBand="0" w:firstRowFirstColumn="0" w:firstRowLastColumn="0" w:lastRowFirstColumn="0" w:lastRowLastColumn="0"/>
            <w:tcW w:w="993" w:type="dxa"/>
          </w:tcPr>
          <w:p w14:paraId="2FFC6C75" w14:textId="2276A2F0" w:rsidR="006E157F" w:rsidRPr="0043591A" w:rsidRDefault="000E0325" w:rsidP="00C55968">
            <w:pPr>
              <w:spacing w:line="360" w:lineRule="auto"/>
              <w:jc w:val="center"/>
              <w:rPr>
                <w:b/>
                <w:bCs/>
                <w:sz w:val="18"/>
                <w:szCs w:val="18"/>
              </w:rPr>
            </w:pPr>
            <w:r w:rsidRPr="0043591A">
              <w:rPr>
                <w:b/>
                <w:bCs/>
                <w:sz w:val="18"/>
                <w:szCs w:val="18"/>
              </w:rPr>
              <w:t>5</w:t>
            </w:r>
          </w:p>
        </w:tc>
        <w:tc>
          <w:tcPr>
            <w:tcW w:w="1842" w:type="dxa"/>
          </w:tcPr>
          <w:p w14:paraId="01D990B6" w14:textId="3C55A721" w:rsidR="006E157F" w:rsidRPr="0043591A" w:rsidRDefault="000E0325"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1763" w:type="dxa"/>
          </w:tcPr>
          <w:p w14:paraId="12913F2E" w14:textId="3CF983F1" w:rsidR="006E157F" w:rsidRPr="0043591A" w:rsidRDefault="000E0325" w:rsidP="00C55968">
            <w:pPr>
              <w:spacing w:line="360" w:lineRule="auto"/>
              <w:jc w:val="center"/>
              <w:rPr>
                <w:b/>
                <w:bCs/>
                <w:sz w:val="18"/>
                <w:szCs w:val="18"/>
              </w:rPr>
            </w:pPr>
            <w:r w:rsidRPr="0043591A">
              <w:rPr>
                <w:b/>
                <w:bCs/>
                <w:sz w:val="18"/>
                <w:szCs w:val="18"/>
              </w:rPr>
              <w:t>1</w:t>
            </w:r>
          </w:p>
        </w:tc>
      </w:tr>
      <w:tr w:rsidR="008B1D4B" w:rsidRPr="008B1D4B" w14:paraId="4530277F" w14:textId="77777777" w:rsidTr="00A726AE">
        <w:trPr>
          <w:trHeight w:val="120"/>
        </w:trPr>
        <w:tc>
          <w:tcPr>
            <w:cnfStyle w:val="001000000000" w:firstRow="0" w:lastRow="0" w:firstColumn="1" w:lastColumn="0" w:oddVBand="0" w:evenVBand="0" w:oddHBand="0" w:evenHBand="0" w:firstRowFirstColumn="0" w:firstRowLastColumn="0" w:lastRowFirstColumn="0" w:lastRowLastColumn="0"/>
            <w:tcW w:w="709" w:type="dxa"/>
          </w:tcPr>
          <w:p w14:paraId="2D69256B" w14:textId="0EC7CF1B" w:rsidR="006E157F" w:rsidRPr="0043591A" w:rsidRDefault="001605E4" w:rsidP="00C55968">
            <w:pPr>
              <w:spacing w:line="360" w:lineRule="auto"/>
              <w:rPr>
                <w:bCs w:val="0"/>
                <w:color w:val="auto"/>
                <w:sz w:val="18"/>
                <w:szCs w:val="18"/>
              </w:rPr>
            </w:pPr>
            <w:r w:rsidRPr="0043591A">
              <w:rPr>
                <w:color w:val="auto"/>
                <w:sz w:val="18"/>
                <w:szCs w:val="18"/>
              </w:rPr>
              <w:t>68</w:t>
            </w:r>
          </w:p>
        </w:tc>
        <w:tc>
          <w:tcPr>
            <w:cnfStyle w:val="000010000000" w:firstRow="0" w:lastRow="0" w:firstColumn="0" w:lastColumn="0" w:oddVBand="1" w:evenVBand="0" w:oddHBand="0" w:evenHBand="0" w:firstRowFirstColumn="0" w:firstRowLastColumn="0" w:lastRowFirstColumn="0" w:lastRowLastColumn="0"/>
            <w:tcW w:w="1862" w:type="dxa"/>
          </w:tcPr>
          <w:p w14:paraId="21A997F0" w14:textId="1E709EBF" w:rsidR="006E157F" w:rsidRPr="0043591A" w:rsidRDefault="000E0325" w:rsidP="00C55968">
            <w:pPr>
              <w:spacing w:line="360" w:lineRule="auto"/>
              <w:rPr>
                <w:b/>
                <w:bCs/>
                <w:sz w:val="18"/>
                <w:szCs w:val="18"/>
              </w:rPr>
            </w:pPr>
            <w:r w:rsidRPr="0043591A">
              <w:rPr>
                <w:b/>
                <w:bCs/>
                <w:sz w:val="18"/>
                <w:szCs w:val="18"/>
              </w:rPr>
              <w:t>ZDRUŽENI ARABSKI EMIRATI</w:t>
            </w:r>
          </w:p>
        </w:tc>
        <w:tc>
          <w:tcPr>
            <w:tcW w:w="1994" w:type="dxa"/>
          </w:tcPr>
          <w:p w14:paraId="023690FB" w14:textId="6186C081" w:rsidR="006E157F" w:rsidRPr="0043591A" w:rsidRDefault="000E0325"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2</w:t>
            </w:r>
          </w:p>
        </w:tc>
        <w:tc>
          <w:tcPr>
            <w:cnfStyle w:val="000010000000" w:firstRow="0" w:lastRow="0" w:firstColumn="0" w:lastColumn="0" w:oddVBand="1" w:evenVBand="0" w:oddHBand="0" w:evenHBand="0" w:firstRowFirstColumn="0" w:firstRowLastColumn="0" w:lastRowFirstColumn="0" w:lastRowLastColumn="0"/>
            <w:tcW w:w="993" w:type="dxa"/>
          </w:tcPr>
          <w:p w14:paraId="0264A8E8" w14:textId="0993FAC5" w:rsidR="006E157F" w:rsidRPr="0043591A" w:rsidRDefault="000E0325" w:rsidP="00C55968">
            <w:pPr>
              <w:spacing w:line="360" w:lineRule="auto"/>
              <w:jc w:val="center"/>
              <w:rPr>
                <w:b/>
                <w:bCs/>
                <w:sz w:val="18"/>
                <w:szCs w:val="18"/>
              </w:rPr>
            </w:pPr>
            <w:r w:rsidRPr="0043591A">
              <w:rPr>
                <w:b/>
                <w:bCs/>
                <w:sz w:val="18"/>
                <w:szCs w:val="18"/>
              </w:rPr>
              <w:t>2</w:t>
            </w:r>
          </w:p>
        </w:tc>
        <w:tc>
          <w:tcPr>
            <w:tcW w:w="1842" w:type="dxa"/>
          </w:tcPr>
          <w:p w14:paraId="6AB076D7" w14:textId="0D080C3F" w:rsidR="006E157F" w:rsidRPr="0043591A" w:rsidRDefault="000E0325"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43591A">
              <w:rPr>
                <w:b/>
                <w:bCs/>
                <w:sz w:val="18"/>
                <w:szCs w:val="18"/>
              </w:rPr>
              <w:t>1</w:t>
            </w:r>
          </w:p>
        </w:tc>
        <w:tc>
          <w:tcPr>
            <w:cnfStyle w:val="000010000000" w:firstRow="0" w:lastRow="0" w:firstColumn="0" w:lastColumn="0" w:oddVBand="1" w:evenVBand="0" w:oddHBand="0" w:evenHBand="0" w:firstRowFirstColumn="0" w:firstRowLastColumn="0" w:lastRowFirstColumn="0" w:lastRowLastColumn="0"/>
            <w:tcW w:w="1763" w:type="dxa"/>
          </w:tcPr>
          <w:p w14:paraId="0ECC0D8A" w14:textId="08CA749A" w:rsidR="006E157F" w:rsidRPr="0043591A" w:rsidRDefault="000E0325" w:rsidP="00C55968">
            <w:pPr>
              <w:spacing w:line="360" w:lineRule="auto"/>
              <w:jc w:val="center"/>
              <w:rPr>
                <w:b/>
                <w:bCs/>
                <w:sz w:val="18"/>
                <w:szCs w:val="18"/>
              </w:rPr>
            </w:pPr>
            <w:r w:rsidRPr="0043591A">
              <w:rPr>
                <w:b/>
                <w:bCs/>
                <w:sz w:val="18"/>
                <w:szCs w:val="18"/>
              </w:rPr>
              <w:t>1</w:t>
            </w:r>
          </w:p>
        </w:tc>
      </w:tr>
      <w:bookmarkEnd w:id="72"/>
    </w:tbl>
    <w:p w14:paraId="003EB6AC" w14:textId="77777777" w:rsidR="001605E4" w:rsidRPr="008B1D4B" w:rsidRDefault="001605E4" w:rsidP="00B65A09"/>
    <w:p w14:paraId="205AA54F" w14:textId="6AAFA4DC" w:rsidR="00B65A09" w:rsidRPr="008B1D4B" w:rsidRDefault="00B65A09" w:rsidP="00B65A09">
      <w:r w:rsidRPr="008B1D4B">
        <w:t xml:space="preserve">Kot je razvidno iz zgornje preglednice, </w:t>
      </w:r>
      <w:r w:rsidR="00A4642E">
        <w:t>je urad</w:t>
      </w:r>
      <w:r w:rsidRPr="008B1D4B">
        <w:t xml:space="preserve"> v letu 202</w:t>
      </w:r>
      <w:r w:rsidR="001605E4" w:rsidRPr="008B1D4B">
        <w:t>1</w:t>
      </w:r>
      <w:r w:rsidRPr="008B1D4B">
        <w:t xml:space="preserve"> največ podatkov izmenjal s pristojnimi uradi iz Italije, Hrvaške, Nemčije, Rusije, </w:t>
      </w:r>
      <w:r w:rsidR="001605E4" w:rsidRPr="008B1D4B">
        <w:t xml:space="preserve">Španije, </w:t>
      </w:r>
      <w:r w:rsidRPr="008B1D4B">
        <w:t>Srbije</w:t>
      </w:r>
      <w:r w:rsidR="001605E4" w:rsidRPr="008B1D4B">
        <w:t>, Madžarske</w:t>
      </w:r>
      <w:r w:rsidR="00F617D1">
        <w:t xml:space="preserve"> in</w:t>
      </w:r>
      <w:r w:rsidR="001605E4" w:rsidRPr="008B1D4B">
        <w:t xml:space="preserve"> Estonije.</w:t>
      </w:r>
    </w:p>
    <w:p w14:paraId="0AD3E2B6" w14:textId="77777777" w:rsidR="001605E4" w:rsidRDefault="001605E4" w:rsidP="00B65A09"/>
    <w:p w14:paraId="50848E48" w14:textId="39A9E2E9" w:rsidR="00B65A09" w:rsidRDefault="00B65A09" w:rsidP="00E02BEB">
      <w:pPr>
        <w:pStyle w:val="Naslov3"/>
      </w:pPr>
      <w:bookmarkStart w:id="73" w:name="_Toc119581740"/>
      <w:r>
        <w:t>Sklenjena pisma o izmenjavi podatkov</w:t>
      </w:r>
      <w:bookmarkEnd w:id="73"/>
    </w:p>
    <w:p w14:paraId="08533E0C" w14:textId="77777777" w:rsidR="00B65A09" w:rsidRDefault="00B65A09" w:rsidP="00B65A09"/>
    <w:p w14:paraId="7C7FF652" w14:textId="728977D9" w:rsidR="00B65A09" w:rsidRPr="008B1D4B" w:rsidRDefault="00B65A09" w:rsidP="00B65A09">
      <w:r w:rsidRPr="008B1D4B">
        <w:t xml:space="preserve">Sodelovanje s tujimi uradi se lahko še dodatno nadgradi z izmenjavo oziroma podpisom formalno neobvezujočih pisnih dogovorov (tako imenovanih »pisem o izmenjavi podatkov« – Memorandum of Understanding – MOU). V nekaterih državah pa je tovrstno pismo pogoj, da do izmenjave informacij s sorodnimi uradi sploh lahko pride. </w:t>
      </w:r>
    </w:p>
    <w:p w14:paraId="1EC7BE63" w14:textId="6CFC6B1A" w:rsidR="003264D6" w:rsidRPr="008B1D4B" w:rsidRDefault="003264D6" w:rsidP="00B65A09">
      <w:bookmarkStart w:id="74" w:name="_Hlk97804214"/>
      <w:r w:rsidRPr="008B1D4B">
        <w:t xml:space="preserve">V letu 2021 so potekala usklajevanja vsebine pisem </w:t>
      </w:r>
      <w:r w:rsidR="00B46640" w:rsidRPr="008B1D4B">
        <w:t xml:space="preserve">Urada </w:t>
      </w:r>
      <w:r w:rsidRPr="008B1D4B">
        <w:t xml:space="preserve">z uradoma  Kazahstana in Tajvana, do podpisa dokumentov naj bi prišlo v letu 2022. </w:t>
      </w:r>
    </w:p>
    <w:p w14:paraId="0F2A7112" w14:textId="32550EDA" w:rsidR="00B65A09" w:rsidRPr="00D44A88" w:rsidRDefault="00B65A09" w:rsidP="00B65A09">
      <w:r w:rsidRPr="008B1D4B">
        <w:t>Urad je od začetka svojega delovanja v letu 1995 pa do konca leta 202</w:t>
      </w:r>
      <w:r w:rsidR="003264D6" w:rsidRPr="008B1D4B">
        <w:t>1</w:t>
      </w:r>
      <w:r w:rsidRPr="008B1D4B">
        <w:t xml:space="preserve"> podpisal že 51 pisem o </w:t>
      </w:r>
      <w:r w:rsidRPr="00D44A88">
        <w:t>izmenjavi podatkov</w:t>
      </w:r>
      <w:r w:rsidR="003264D6" w:rsidRPr="00D44A88">
        <w:t xml:space="preserve">. </w:t>
      </w:r>
    </w:p>
    <w:bookmarkEnd w:id="74"/>
    <w:p w14:paraId="04279E69" w14:textId="77777777" w:rsidR="003A13EF" w:rsidRPr="00D44A88" w:rsidRDefault="003A13EF" w:rsidP="00B65A09"/>
    <w:p w14:paraId="3DD9CD4C" w14:textId="13EC226A" w:rsidR="00155EF3" w:rsidRDefault="00155EF3" w:rsidP="00995C21">
      <w:pPr>
        <w:pStyle w:val="Naslov3"/>
      </w:pPr>
      <w:bookmarkStart w:id="75" w:name="_Toc119581741"/>
      <w:r w:rsidRPr="003A13EF">
        <w:t>Ostale oblike dvostranskega sodelovanja</w:t>
      </w:r>
      <w:r w:rsidR="002101CD">
        <w:t xml:space="preserve"> (Bilateralna tehnična pomoč Severni Makedoniji in Črni gori)</w:t>
      </w:r>
      <w:bookmarkEnd w:id="75"/>
    </w:p>
    <w:p w14:paraId="3BF07CAF" w14:textId="77777777" w:rsidR="00995C21" w:rsidRPr="003A13EF" w:rsidRDefault="00995C21" w:rsidP="00B65A09">
      <w:pPr>
        <w:rPr>
          <w:color w:val="2E74B5" w:themeColor="accent5" w:themeShade="BF"/>
          <w:sz w:val="24"/>
          <w:szCs w:val="24"/>
        </w:rPr>
      </w:pPr>
    </w:p>
    <w:p w14:paraId="61339C93" w14:textId="39D74508" w:rsidR="002101CD" w:rsidRPr="008B1D4B" w:rsidRDefault="002101CD" w:rsidP="002101CD">
      <w:r w:rsidRPr="008B1D4B">
        <w:t xml:space="preserve">Na podlagi medvladnega sporazuma med Makedonijo in Slovenijo </w:t>
      </w:r>
      <w:r w:rsidR="005E2E1A">
        <w:t>u</w:t>
      </w:r>
      <w:r w:rsidR="00B46640" w:rsidRPr="008B1D4B">
        <w:t>rad</w:t>
      </w:r>
      <w:r w:rsidRPr="008B1D4B">
        <w:t xml:space="preserve"> že od leta 2013 sodeluje v projektu </w:t>
      </w:r>
      <w:r w:rsidRPr="00916D45">
        <w:rPr>
          <w:b/>
          <w:bCs/>
        </w:rPr>
        <w:t>bilateralne tehnične pomoči Severni Makedoniji</w:t>
      </w:r>
      <w:r w:rsidRPr="008B1D4B">
        <w:t xml:space="preserve"> pri vzpostavljanju učinkovitega delovanja njihovega urada za preprečevanje pranja denarja in financiranja terorizma. Sporazum med </w:t>
      </w:r>
      <w:r w:rsidR="00683F3C">
        <w:t>Ministrstvom za zunanje zadeve</w:t>
      </w:r>
      <w:r w:rsidR="00126BB1">
        <w:t xml:space="preserve"> (MZZ)</w:t>
      </w:r>
      <w:r w:rsidRPr="008B1D4B">
        <w:t xml:space="preserve"> ter </w:t>
      </w:r>
      <w:r w:rsidR="00683F3C">
        <w:t>u</w:t>
      </w:r>
      <w:r w:rsidR="00B46640" w:rsidRPr="008B1D4B">
        <w:t>radom</w:t>
      </w:r>
      <w:r w:rsidRPr="008B1D4B">
        <w:t xml:space="preserve"> za izvedbo projekta v letu 2021 je bil podpisan v aprilu</w:t>
      </w:r>
      <w:r w:rsidR="00683F3C">
        <w:t xml:space="preserve"> </w:t>
      </w:r>
      <w:r w:rsidRPr="008B1D4B">
        <w:t xml:space="preserve">2021. </w:t>
      </w:r>
    </w:p>
    <w:p w14:paraId="757A2271" w14:textId="2F7E67B1" w:rsidR="002101CD" w:rsidRPr="008B1D4B" w:rsidRDefault="002101CD" w:rsidP="002101CD">
      <w:r w:rsidRPr="008B1D4B">
        <w:t xml:space="preserve">Prva aktivnost je bila  izvedena v tednu od 8. 6. </w:t>
      </w:r>
      <w:r w:rsidR="00126BB1">
        <w:t>od</w:t>
      </w:r>
      <w:r w:rsidRPr="008B1D4B">
        <w:t xml:space="preserve"> 9. 6. 2021, druga pa 29. in 30. 9. 2021. Obe aktivnosti sta bili zaradi pandemije izvedeni virtualno. Glavne teme so bile izmenjava izkušenj na področju analize sumljivih transakcij ter novih tipologij in trendov pranja denarja oz</w:t>
      </w:r>
      <w:r w:rsidR="00126BB1">
        <w:t>iroma</w:t>
      </w:r>
      <w:r w:rsidRPr="008B1D4B">
        <w:t xml:space="preserve"> financiranja terorizma, poleg tega pa še nadzor nad zavezanci na podlagi ZPPDFT-1 ter priprave na 5. krog ocenjevanja Severne Makedonije s strani odbora MONEYVAL. </w:t>
      </w:r>
    </w:p>
    <w:p w14:paraId="79F83477" w14:textId="107B8D66" w:rsidR="00155EF3" w:rsidRPr="008B1D4B" w:rsidRDefault="002101CD" w:rsidP="002101CD">
      <w:r w:rsidRPr="008B1D4B">
        <w:t>Republika Slovenija je aktivna izvajalka tehnične pomoči od vstopa v EU dalje</w:t>
      </w:r>
      <w:r w:rsidR="00126BB1">
        <w:t>. V</w:t>
      </w:r>
      <w:r w:rsidRPr="008B1D4B">
        <w:t xml:space="preserve"> letu 2021 je bila tovrstna pomoč usmerjena v države Zahodnega Balkana, kot pomoč pri njihovem približevanju EU. </w:t>
      </w:r>
      <w:r w:rsidRPr="00126BB1">
        <w:rPr>
          <w:b/>
          <w:bCs/>
        </w:rPr>
        <w:t xml:space="preserve">Črna </w:t>
      </w:r>
      <w:r w:rsidRPr="0010404B">
        <w:rPr>
          <w:b/>
          <w:bCs/>
        </w:rPr>
        <w:t>gora je Slovenijo zaprosila za</w:t>
      </w:r>
      <w:r w:rsidRPr="00126BB1">
        <w:rPr>
          <w:b/>
          <w:bCs/>
        </w:rPr>
        <w:t xml:space="preserve"> bilateralno tehnično pomoč </w:t>
      </w:r>
      <w:r w:rsidRPr="0010404B">
        <w:rPr>
          <w:b/>
          <w:bCs/>
        </w:rPr>
        <w:t>tudi na področju preprečevanja pranja denarja in financiranja terorizma</w:t>
      </w:r>
      <w:r w:rsidRPr="00126BB1">
        <w:rPr>
          <w:b/>
          <w:bCs/>
        </w:rPr>
        <w:t>,</w:t>
      </w:r>
      <w:r w:rsidRPr="008B1D4B">
        <w:t xml:space="preserve"> predvsem na področju preventive ter sumljivih transakcij. Sporazum med MZZ </w:t>
      </w:r>
      <w:r w:rsidR="0010404B">
        <w:t>in u</w:t>
      </w:r>
      <w:r w:rsidR="00B46640" w:rsidRPr="008B1D4B">
        <w:t>radom</w:t>
      </w:r>
      <w:r w:rsidRPr="008B1D4B">
        <w:t xml:space="preserve"> za izvedbo projekta je bil podpisan v maju 2021. Črnogorski kolegi so zaprosili predvsem za pomoč na področj</w:t>
      </w:r>
      <w:r w:rsidR="00B46640" w:rsidRPr="008B1D4B">
        <w:t>ih</w:t>
      </w:r>
      <w:r w:rsidRPr="008B1D4B">
        <w:t>: analize sumljivih transakcij, ki vključujejo virtualne valute; izmenjave izkušenj pri pripravi strateških analiz</w:t>
      </w:r>
      <w:r w:rsidR="0010404B">
        <w:t xml:space="preserve"> in</w:t>
      </w:r>
      <w:r w:rsidRPr="008B1D4B">
        <w:t xml:space="preserve"> nadzora nad zavezanci na podlagi ZPPDFT-1</w:t>
      </w:r>
      <w:r w:rsidR="0010404B">
        <w:t>.</w:t>
      </w:r>
      <w:r w:rsidRPr="008B1D4B">
        <w:t xml:space="preserve"> Prvi del aktivnosti je bil izveden (virtualno) </w:t>
      </w:r>
      <w:r w:rsidR="0010404B">
        <w:t xml:space="preserve">od </w:t>
      </w:r>
      <w:r w:rsidRPr="008B1D4B">
        <w:t xml:space="preserve">6. 10. </w:t>
      </w:r>
      <w:r w:rsidR="0010404B">
        <w:t>do</w:t>
      </w:r>
      <w:r w:rsidRPr="008B1D4B">
        <w:t xml:space="preserve"> 7. 10. 2021, drugi del pa naj bi bil zaključen do konca junija 2022.</w:t>
      </w:r>
    </w:p>
    <w:p w14:paraId="51FEB5A9" w14:textId="77777777" w:rsidR="0011169A" w:rsidRDefault="0011169A" w:rsidP="00B65A09"/>
    <w:p w14:paraId="6A407A81" w14:textId="72387EE8" w:rsidR="00B65A09" w:rsidRDefault="00B65A09" w:rsidP="00E02BEB">
      <w:pPr>
        <w:pStyle w:val="Naslov3"/>
      </w:pPr>
      <w:bookmarkStart w:id="76" w:name="_Toc119581742"/>
      <w:r>
        <w:t>Mednarodno sodelovanje na podlagi Konvencije Sveta Evrope št. 198</w:t>
      </w:r>
      <w:bookmarkEnd w:id="76"/>
      <w:r>
        <w:t xml:space="preserve"> </w:t>
      </w:r>
    </w:p>
    <w:p w14:paraId="46A8A531" w14:textId="77777777" w:rsidR="00B65A09" w:rsidRDefault="00B65A09" w:rsidP="00B65A09"/>
    <w:p w14:paraId="164CD60A" w14:textId="304785A4" w:rsidR="008B1D4B" w:rsidRDefault="008B1D4B" w:rsidP="008B1D4B">
      <w:r>
        <w:t xml:space="preserve">Kot opisano v uvodu tega poglavja, je urad na podlagi Konvencije Sveta Evrope o pranju, odkrivanju, zasegu in zaplembi premoženjske koristi, pridobljene s kaznivim dejanjem, in o financiranju terorizma (Konvencija Sveta Evrope št. 198) osrednji organ, ki je odgovoren za pošiljanje zaprosil v okviru njenega IV. poglavja, ki se nanaša na mednarodno sodelovanje. </w:t>
      </w:r>
    </w:p>
    <w:p w14:paraId="59A237E5" w14:textId="1D562B1E" w:rsidR="00D62FFA" w:rsidRPr="0012436D" w:rsidRDefault="008B1D4B" w:rsidP="008B1D4B">
      <w:pPr>
        <w:rPr>
          <w:b/>
          <w:bCs/>
        </w:rPr>
      </w:pPr>
      <w:r>
        <w:t xml:space="preserve">Na podlagi navedene konvencije je urad v letu 2021 </w:t>
      </w:r>
      <w:r w:rsidRPr="0012436D">
        <w:rPr>
          <w:b/>
          <w:bCs/>
        </w:rPr>
        <w:t>od slovenskih sodišč prejel štiri</w:t>
      </w:r>
      <w:r w:rsidRPr="00514D62">
        <w:rPr>
          <w:b/>
          <w:bCs/>
        </w:rPr>
        <w:t xml:space="preserve"> zaprosila</w:t>
      </w:r>
      <w:r>
        <w:t xml:space="preserve">, od katerih so se tri nanašala na izvršitev njihovih odločb glede odvzema protipravne premoženjske koristi, v eni zadevi pa vsebina zaprosila ni ustrezala določbam konvencije, saj se je nanašala na izterjavo stranske denarne kazni. V zadnjem primeru je bilo sodišču poslana pojasnilo, sicer pa so bila zaprosila poslana pristojnim tujim organom v nadaljnjo obravnavo. </w:t>
      </w:r>
      <w:r w:rsidRPr="0012436D">
        <w:rPr>
          <w:b/>
          <w:bCs/>
        </w:rPr>
        <w:t>Od tujih organov</w:t>
      </w:r>
      <w:r>
        <w:t xml:space="preserve"> v letu 2021 </w:t>
      </w:r>
      <w:r w:rsidRPr="0012436D">
        <w:rPr>
          <w:b/>
          <w:bCs/>
        </w:rPr>
        <w:t>ni bilo prejeto nobeno zaprosilo.</w:t>
      </w:r>
    </w:p>
    <w:p w14:paraId="58E8FE27" w14:textId="1918E8F3" w:rsidR="00F11AF0" w:rsidRDefault="00F11AF0">
      <w:pPr>
        <w:jc w:val="left"/>
      </w:pPr>
      <w:r>
        <w:br w:type="page"/>
      </w:r>
    </w:p>
    <w:p w14:paraId="6BAD840F" w14:textId="77777777" w:rsidR="00D62FFA" w:rsidRPr="00D62FFA" w:rsidRDefault="00D62FFA" w:rsidP="00D62FFA"/>
    <w:p w14:paraId="7C41DC26" w14:textId="0ECD3987" w:rsidR="00D62FFA" w:rsidRDefault="00D62FFA" w:rsidP="00D62FFA">
      <w:pPr>
        <w:pStyle w:val="Naslov1"/>
      </w:pPr>
      <w:bookmarkStart w:id="77" w:name="_Toc119581743"/>
      <w:r>
        <w:t>PREVENTIVA</w:t>
      </w:r>
      <w:bookmarkEnd w:id="77"/>
      <w:r>
        <w:t xml:space="preserve"> </w:t>
      </w:r>
    </w:p>
    <w:p w14:paraId="722497C1" w14:textId="00DEAB4C" w:rsidR="00D62FFA" w:rsidRDefault="00D62FFA" w:rsidP="00D62FFA"/>
    <w:p w14:paraId="795E308A" w14:textId="28C691EA" w:rsidR="00D62FFA" w:rsidRPr="0011169A" w:rsidRDefault="00D62FFA" w:rsidP="0011169A">
      <w:pPr>
        <w:pStyle w:val="Naslov2"/>
      </w:pPr>
      <w:bookmarkStart w:id="78" w:name="_Toc119581744"/>
      <w:r w:rsidRPr="0011169A">
        <w:t>STROKOVNO USPOSABLJANJE</w:t>
      </w:r>
      <w:bookmarkEnd w:id="78"/>
    </w:p>
    <w:p w14:paraId="05A78B81" w14:textId="77777777" w:rsidR="00D62FFA" w:rsidRDefault="00D62FFA" w:rsidP="00D62FFA"/>
    <w:p w14:paraId="079F8458" w14:textId="3AFDF543" w:rsidR="00D62FFA" w:rsidRDefault="00D62FFA" w:rsidP="00D62FFA">
      <w:r>
        <w:t xml:space="preserve">Na podlagi 79. člena ZPPDFT-1 in Pravilnika o izvajanju notranje kontrole, pooblaščencu, hrambi in varstvu podatkov, strokovnem usposabljanju ter upravljanju evidenc pri zavezancih morajo zavezanci zagotavljati redno strokovno usposabljanje v zvezi z odkrivanjem in preprečevanjem pranja denarja in financiranjem terorizma vseh zaposlenih, ki opravljajo naloge po ZPPDFT-1. Pri strokovnem usposabljanju </w:t>
      </w:r>
      <w:r w:rsidR="00465532">
        <w:t>zavezancev na podlagi</w:t>
      </w:r>
      <w:r>
        <w:t xml:space="preserve"> 114. člena ZPPDFT-1 sodeluje tudi urad. Na tej podlagi so predstavniki urada v letu 202</w:t>
      </w:r>
      <w:r w:rsidR="0021402B">
        <w:t>1</w:t>
      </w:r>
      <w:r>
        <w:t xml:space="preserve"> izvedli </w:t>
      </w:r>
      <w:r w:rsidR="00B35993">
        <w:t>več</w:t>
      </w:r>
      <w:r>
        <w:t xml:space="preserve"> predavanj na različnih seminarjih</w:t>
      </w:r>
      <w:r w:rsidR="00B35993">
        <w:t xml:space="preserve"> in posvetih</w:t>
      </w:r>
      <w:r>
        <w:t xml:space="preserve">, ki so se zaradi razmer, povezanih z epidemijo covida-19, </w:t>
      </w:r>
      <w:r w:rsidR="00B35993">
        <w:t xml:space="preserve">vsi </w:t>
      </w:r>
      <w:r>
        <w:t>izvajali na daljavo v obliki spletnega seminarja.</w:t>
      </w:r>
    </w:p>
    <w:p w14:paraId="0AE97F8F" w14:textId="77777777" w:rsidR="00D62FFA" w:rsidRDefault="00D62FFA" w:rsidP="00D62FFA"/>
    <w:p w14:paraId="3ACF5030" w14:textId="77777777" w:rsidR="00D62FFA" w:rsidRDefault="00D62FFA" w:rsidP="00D62FFA">
      <w:pPr>
        <w:pStyle w:val="Naslov3"/>
      </w:pPr>
      <w:bookmarkStart w:id="79" w:name="_Toc119581745"/>
      <w:r>
        <w:t>Strokovna usposabljanja in predavanja v Sloveniji</w:t>
      </w:r>
      <w:bookmarkEnd w:id="79"/>
    </w:p>
    <w:p w14:paraId="3E4426F7" w14:textId="77777777" w:rsidR="00D62FFA" w:rsidRDefault="00D62FFA" w:rsidP="00D62FFA"/>
    <w:p w14:paraId="7152E990" w14:textId="63597FBE" w:rsidR="00D62FFA" w:rsidRDefault="00D62FFA" w:rsidP="00D62FFA">
      <w:r>
        <w:t xml:space="preserve">Predavanja, ki so jih predstavniki urada izvedli v Sloveniji, so bila namenjena predvsem zaposlenim v bankah in družbah za upravljanje. Iz nefinančnega sektorja pa so bila usposabljanja izvedena za davčne svetovalce, računovodje in </w:t>
      </w:r>
      <w:r w:rsidR="0021402B">
        <w:t>notarje</w:t>
      </w:r>
      <w:r>
        <w:t>.</w:t>
      </w:r>
      <w:r w:rsidR="00624A80">
        <w:t xml:space="preserve"> Izobraževanja, kis o bila izvedena so bila naslednja:</w:t>
      </w:r>
    </w:p>
    <w:p w14:paraId="14D71B9F" w14:textId="1CEF09DB" w:rsidR="00D62FFA" w:rsidRDefault="00D62FFA" w:rsidP="009822DC">
      <w:pPr>
        <w:pStyle w:val="Odstavekseznama"/>
        <w:ind w:left="851" w:hanging="284"/>
      </w:pPr>
      <w:r w:rsidRPr="00AD4433">
        <w:t xml:space="preserve">v </w:t>
      </w:r>
      <w:r w:rsidR="00F343AA">
        <w:t>maju</w:t>
      </w:r>
      <w:r w:rsidRPr="00AD4433">
        <w:t xml:space="preserve"> 202</w:t>
      </w:r>
      <w:r w:rsidR="00F343AA">
        <w:t>1 je predstavnica</w:t>
      </w:r>
      <w:r w:rsidRPr="00AD4433">
        <w:t xml:space="preserve"> urada sodelovala na </w:t>
      </w:r>
      <w:r w:rsidR="00F343AA">
        <w:t xml:space="preserve">izobraževanju davčnih svetovalcev in računovodij na temo Preprečevanje pranja denarja in financiranja terorizma v teoriji in praksi </w:t>
      </w:r>
      <w:r w:rsidRPr="00AD4433">
        <w:t xml:space="preserve">(1 </w:t>
      </w:r>
      <w:r w:rsidR="00F343AA">
        <w:t>ura in 15 minut</w:t>
      </w:r>
      <w:r w:rsidRPr="00AD4433">
        <w:t>)</w:t>
      </w:r>
      <w:r w:rsidR="009822DC">
        <w:t>,</w:t>
      </w:r>
    </w:p>
    <w:p w14:paraId="57C9507A" w14:textId="02D964E9" w:rsidR="002031BE" w:rsidRPr="00AD4433" w:rsidRDefault="002031BE" w:rsidP="009822DC">
      <w:pPr>
        <w:pStyle w:val="Odstavekseznama"/>
        <w:ind w:left="851" w:hanging="284"/>
      </w:pPr>
      <w:r>
        <w:t>v juniju 2021 je predstavnica urada sodelovala na FIND-INFO dnevih, kjer je predstavila področje preprečevanja pranja denarja in financiranja terorizma (</w:t>
      </w:r>
      <w:r w:rsidR="009822DC">
        <w:t>1</w:t>
      </w:r>
      <w:r w:rsidR="00472A01">
        <w:t xml:space="preserve"> ura</w:t>
      </w:r>
      <w:r>
        <w:t>)</w:t>
      </w:r>
      <w:r w:rsidR="009822DC">
        <w:t>,</w:t>
      </w:r>
    </w:p>
    <w:p w14:paraId="1B4B623B" w14:textId="638F09DC" w:rsidR="00D62FFA" w:rsidRPr="00AD4433" w:rsidRDefault="00D62FFA" w:rsidP="009822DC">
      <w:pPr>
        <w:pStyle w:val="Odstavekseznama"/>
        <w:ind w:left="851" w:hanging="284"/>
      </w:pPr>
      <w:r w:rsidRPr="00AD4433">
        <w:t>v septembru</w:t>
      </w:r>
      <w:r w:rsidR="003B6BC3">
        <w:t xml:space="preserve"> 2021</w:t>
      </w:r>
      <w:r w:rsidRPr="00AD4433">
        <w:t xml:space="preserve"> je ZBS organiziral posvet o odkrivanju in preprečevanju pranja denarja, kjer sta predstavnika urada predstavila </w:t>
      </w:r>
      <w:r w:rsidR="00F343AA">
        <w:t>pričakovane zakonske spremembe</w:t>
      </w:r>
      <w:r w:rsidRPr="00AD4433">
        <w:t xml:space="preserve"> na področju preprečevanja pranja denarja in financiranja terorizma ter tipologije pranja denarja (</w:t>
      </w:r>
      <w:r w:rsidR="00F343AA">
        <w:t>2 uri in 30 minut</w:t>
      </w:r>
      <w:r w:rsidRPr="00AD4433">
        <w:t>)</w:t>
      </w:r>
      <w:r w:rsidR="009822DC">
        <w:t>,</w:t>
      </w:r>
    </w:p>
    <w:p w14:paraId="36041F24" w14:textId="43C80883" w:rsidR="00D62FFA" w:rsidRPr="00AD4433" w:rsidRDefault="00D62FFA" w:rsidP="009822DC">
      <w:pPr>
        <w:pStyle w:val="Odstavekseznama"/>
        <w:ind w:left="851" w:hanging="284"/>
      </w:pPr>
      <w:r w:rsidRPr="00AD4433">
        <w:t xml:space="preserve">na povabilo Združenja družb za upravljanje sta predstavnika urada v </w:t>
      </w:r>
      <w:r w:rsidR="002031BE">
        <w:t>novembru</w:t>
      </w:r>
      <w:r w:rsidRPr="00AD4433">
        <w:t xml:space="preserve"> </w:t>
      </w:r>
      <w:r w:rsidR="003B6BC3">
        <w:t xml:space="preserve">2021 </w:t>
      </w:r>
      <w:r w:rsidRPr="00AD4433">
        <w:t>sodelovala na posvetu in predstavila ZPPDFT-1</w:t>
      </w:r>
      <w:r w:rsidR="002031BE">
        <w:t xml:space="preserve"> in načrtovane spremembe zakona</w:t>
      </w:r>
      <w:r w:rsidRPr="00AD4433">
        <w:t xml:space="preserve">, tipologije pranja denarja </w:t>
      </w:r>
      <w:r w:rsidR="002031BE">
        <w:t>ter sodelovala pri razpravi o novih oblikah identifikacije strank v finančni industriji</w:t>
      </w:r>
      <w:r w:rsidRPr="00AD4433">
        <w:t xml:space="preserve"> (2 </w:t>
      </w:r>
      <w:r w:rsidR="00F343AA">
        <w:t>uri</w:t>
      </w:r>
      <w:r w:rsidRPr="00AD4433">
        <w:t>)</w:t>
      </w:r>
      <w:r w:rsidR="009822DC">
        <w:t>,</w:t>
      </w:r>
    </w:p>
    <w:p w14:paraId="39EEE0DB" w14:textId="261110E0" w:rsidR="003B6BC3" w:rsidRDefault="003B6BC3" w:rsidP="009822DC">
      <w:pPr>
        <w:pStyle w:val="Odstavekseznama"/>
        <w:ind w:left="851" w:hanging="284"/>
      </w:pPr>
      <w:r>
        <w:t>v novembru je predstavnik urada sodeloval na izobraževanju v organizaciji Notarske zbornice, kjer je izvedel predavanje o nalogah in obveznostih notarjev po ZPPDFT-1 (45 minut)</w:t>
      </w:r>
      <w:r w:rsidR="009822DC">
        <w:t>,</w:t>
      </w:r>
    </w:p>
    <w:p w14:paraId="39DDBB69" w14:textId="47BC64AD" w:rsidR="003B6BC3" w:rsidRDefault="003B6BC3" w:rsidP="009822DC">
      <w:pPr>
        <w:pStyle w:val="Odstavekseznama"/>
        <w:ind w:left="851" w:hanging="284"/>
      </w:pPr>
      <w:r>
        <w:t>v novembru 2021 je urad organiziral izobraževanje za pooblaščence bank in hranilnic, na katerem so bile glavne teme definicija pranja denarja ter indikatorji za pranje denarja ter s tem povezne prijave sumljivih transakcij. Prikazani so bili tudi konkretni primeri dobre in slabe prakse prijav sumljivih transakcij (3 ure)</w:t>
      </w:r>
      <w:r w:rsidR="009822DC">
        <w:t>,</w:t>
      </w:r>
    </w:p>
    <w:p w14:paraId="4FCF6882" w14:textId="7A3770DB" w:rsidR="00D62FFA" w:rsidRPr="00A10D81" w:rsidRDefault="00D62FFA" w:rsidP="009822DC">
      <w:pPr>
        <w:pStyle w:val="Odstavekseznama"/>
        <w:ind w:left="851" w:hanging="284"/>
      </w:pPr>
      <w:r w:rsidRPr="00A10D81">
        <w:t>na povabilo Pravne fakultete je predstavnik urada oktobra študentom predstavil pooblastila in naloge urada (4 h)</w:t>
      </w:r>
      <w:r w:rsidR="00A10D81">
        <w:t>.</w:t>
      </w:r>
    </w:p>
    <w:p w14:paraId="27F6B1B0" w14:textId="77777777" w:rsidR="00EA665D" w:rsidRDefault="00EA665D" w:rsidP="00EA665D">
      <w:pPr>
        <w:pStyle w:val="Odstavekseznama"/>
        <w:numPr>
          <w:ilvl w:val="0"/>
          <w:numId w:val="0"/>
        </w:numPr>
        <w:ind w:left="1068"/>
      </w:pPr>
    </w:p>
    <w:p w14:paraId="240CE6DA" w14:textId="77777777" w:rsidR="00D62FFA" w:rsidRPr="00B67C67" w:rsidRDefault="00D62FFA" w:rsidP="00D62FFA">
      <w:pPr>
        <w:pStyle w:val="Naslov3"/>
      </w:pPr>
      <w:bookmarkStart w:id="80" w:name="_Toc119581746"/>
      <w:r w:rsidRPr="00B67C67">
        <w:t>Strokovna usposabljanja in predavanja v tujini</w:t>
      </w:r>
      <w:bookmarkEnd w:id="80"/>
    </w:p>
    <w:p w14:paraId="1E00EC39" w14:textId="77777777" w:rsidR="00D62FFA" w:rsidRPr="00B67C67" w:rsidRDefault="00D62FFA" w:rsidP="00D62FFA"/>
    <w:p w14:paraId="043CF3C0" w14:textId="7DE5A4C5" w:rsidR="00B67C67" w:rsidRPr="00B67C67" w:rsidRDefault="00B67C67" w:rsidP="009133AC">
      <w:r w:rsidRPr="00B67C67">
        <w:t xml:space="preserve">V juniju in septembru 2021 so predstavniki urada v okviru nudenja bilateralne tehnične pomoči sodelovali na virtualnem srečanju </w:t>
      </w:r>
      <w:r w:rsidR="006B7204">
        <w:t>s</w:t>
      </w:r>
      <w:r w:rsidRPr="00B67C67">
        <w:t xml:space="preserve"> Severno Makedonijo (4 dni).</w:t>
      </w:r>
    </w:p>
    <w:p w14:paraId="5DB5B356" w14:textId="50B23E16" w:rsidR="009133AC" w:rsidRDefault="00B67C67" w:rsidP="009133AC">
      <w:r w:rsidRPr="00B67C67">
        <w:lastRenderedPageBreak/>
        <w:t xml:space="preserve">V oktobru 2021 so predstavniki urada v okviru nudenja bilateralne tehnične pomoči sodelovali na virtualnem srečanju </w:t>
      </w:r>
      <w:r w:rsidR="006B7204">
        <w:t>s</w:t>
      </w:r>
      <w:r w:rsidRPr="00B67C67">
        <w:t xml:space="preserve"> Črno goro (2 dni).</w:t>
      </w:r>
      <w:r w:rsidR="009133AC">
        <w:rPr>
          <w:rStyle w:val="Sprotnaopomba-sklic"/>
        </w:rPr>
        <w:footnoteReference w:id="15"/>
      </w:r>
    </w:p>
    <w:p w14:paraId="2D1F9A2E" w14:textId="77777777" w:rsidR="00B67C67" w:rsidRPr="005B6989" w:rsidRDefault="00B67C67" w:rsidP="009133AC"/>
    <w:p w14:paraId="202D348D" w14:textId="507F02A7" w:rsidR="0011169A" w:rsidRPr="005B6989" w:rsidRDefault="0011169A" w:rsidP="0011169A">
      <w:pPr>
        <w:pStyle w:val="Naslov2"/>
      </w:pPr>
      <w:bookmarkStart w:id="81" w:name="_Toc119581747"/>
      <w:r w:rsidRPr="005B6989">
        <w:t>NACIONALNA OCENA TVEGANJA</w:t>
      </w:r>
      <w:bookmarkEnd w:id="81"/>
    </w:p>
    <w:p w14:paraId="33958E12" w14:textId="77777777" w:rsidR="0011169A" w:rsidRPr="005B6989" w:rsidRDefault="0011169A" w:rsidP="0011169A"/>
    <w:p w14:paraId="116217CF" w14:textId="19C446E3" w:rsidR="0011169A" w:rsidRPr="005B6989" w:rsidRDefault="001177EE" w:rsidP="0011169A">
      <w:pPr>
        <w:pStyle w:val="Naslov3"/>
      </w:pPr>
      <w:bookmarkStart w:id="82" w:name="_Toc119581748"/>
      <w:r w:rsidRPr="005B6989">
        <w:t>Nacionalna ocena tveganja</w:t>
      </w:r>
      <w:r w:rsidR="0011169A" w:rsidRPr="005B6989">
        <w:t xml:space="preserve"> Republike Slovenije za pranje denarja in financiranje terorizma </w:t>
      </w:r>
      <w:r w:rsidRPr="005B6989">
        <w:t>(NOT)</w:t>
      </w:r>
      <w:bookmarkEnd w:id="82"/>
      <w:r w:rsidRPr="005B6989">
        <w:t xml:space="preserve"> </w:t>
      </w:r>
    </w:p>
    <w:p w14:paraId="4A94111B" w14:textId="77777777" w:rsidR="001177EE" w:rsidRPr="005B6989" w:rsidRDefault="001177EE" w:rsidP="0011169A"/>
    <w:p w14:paraId="48BCCBF3" w14:textId="4F285306" w:rsidR="0011169A" w:rsidRPr="005B6989" w:rsidRDefault="0011169A" w:rsidP="0011169A">
      <w:r w:rsidRPr="005B6989">
        <w:t xml:space="preserve">Posodobljeno poročilo o izvedbi nacionalne ocene tveganja za pranje denarja in financiranje terorizma predstavlja rezultat aktivnosti vrste deležnikov v sistemu za preprečevanje </w:t>
      </w:r>
      <w:r w:rsidR="00364F8F">
        <w:t>pranja denarja in financiranja terorizma</w:t>
      </w:r>
      <w:r w:rsidRPr="005B6989">
        <w:t xml:space="preserve">, ki so bile izvedene že tretjič. Namen izvedbe NOT vse od prvega poročila ostaja enak, to je pripraviti osnovo za sprejemanje celovitih ukrepov s pristopom, ki temelji na tveganju. Tveganje za </w:t>
      </w:r>
      <w:r w:rsidR="00364F8F">
        <w:t>pranje denarja in financiranje terorizma</w:t>
      </w:r>
      <w:r w:rsidRPr="005B6989">
        <w:t xml:space="preserve"> je različno, spreminja se z odzivanjem na globalne in lokalne trende v gospodarstvu, z uvedbo novih ali spremenjenih zakonskih določb, z razvojem sodobnih tehnologij i</w:t>
      </w:r>
      <w:r w:rsidR="00364F8F">
        <w:t>t</w:t>
      </w:r>
      <w:r w:rsidRPr="005B6989">
        <w:t xml:space="preserve">d. Pristop, ki temelji na tveganju, omogoča tako pristojnim državnim organom kot zavezancem sprejem ukrepov, ki so sorazmerni zaznanim tveganjem. NOT predstavlja temeljni dokument, v katerem se ta tveganja prepoznajo, razumejo in z ukrepi, opredeljenimi v akcijskem načrtu, ustrezno obvladujejo. Sprejemanje odločitev na podlagi NOT pomeni boljšo ciljno usmeritev na tveganja </w:t>
      </w:r>
      <w:r w:rsidR="00364F8F">
        <w:t>pranja denarja in financiranja terorizma</w:t>
      </w:r>
      <w:r w:rsidRPr="005B6989">
        <w:t xml:space="preserve">, s katerimi se sooča Republika Slovenija in posamezni deležniki, ki znotraj nje delujejo na področju preprečevanja </w:t>
      </w:r>
      <w:r w:rsidR="00364F8F">
        <w:t>pranja denarja in financiranja terorizma</w:t>
      </w:r>
      <w:r w:rsidRPr="005B6989">
        <w:t>.</w:t>
      </w:r>
    </w:p>
    <w:p w14:paraId="422BC4E9" w14:textId="7DE3F12D" w:rsidR="0011169A" w:rsidRPr="005B6989" w:rsidRDefault="0011169A" w:rsidP="0011169A">
      <w:r w:rsidRPr="005B6989">
        <w:t xml:space="preserve">Sprejeto poročilo o izvedbi  </w:t>
      </w:r>
      <w:r w:rsidR="00B523E1">
        <w:t>NOT</w:t>
      </w:r>
      <w:r w:rsidRPr="005B6989">
        <w:t xml:space="preserve"> in na njeni podlagi izdelan akcijski načrt ob realizaciji predvidenih ukrepov za odpravo ugotovljenih tveganj in pomanjkljivosti dajeta osnove, da bodo pravočasno zaznani sumi storitve kaznivih dejanj pranja denarja oz</w:t>
      </w:r>
      <w:r w:rsidR="00B523E1">
        <w:t>iroma</w:t>
      </w:r>
      <w:r w:rsidRPr="005B6989">
        <w:t xml:space="preserve"> kaznivih dejanj  financiranja terorizma</w:t>
      </w:r>
      <w:r w:rsidR="00B523E1">
        <w:t>,</w:t>
      </w:r>
      <w:r w:rsidRPr="005B6989">
        <w:t xml:space="preserve"> ter da bodo kazniva dejanja v zvezi s tem ustrezno raziskana. S takšnim pristopom se odvrne dvome, da kazniva dejanja s področja pranja denarja in financiranja terorizma niso ustrezno obravnavana in raziskana</w:t>
      </w:r>
      <w:r w:rsidR="00916F26">
        <w:t>.</w:t>
      </w:r>
    </w:p>
    <w:p w14:paraId="13C7B188" w14:textId="4D8918C2" w:rsidR="0011169A" w:rsidRPr="005B6989" w:rsidRDefault="0011169A" w:rsidP="0011169A">
      <w:r w:rsidRPr="005B6989">
        <w:t>Sama NOT v okviru svoje metodologije upošteva kot parameter oziroma kriterij ocene tveganosti tudi število bolj tveganih strank (nerezidenti; politično izpostavljene osebe; stranke iz držav, v katerih je zaznano povečano tveganje za pojav pranja denarja</w:t>
      </w:r>
      <w:r w:rsidR="00F53DA1">
        <w:t xml:space="preserve"> itd.)</w:t>
      </w:r>
      <w:r w:rsidRPr="005B6989">
        <w:t xml:space="preserve">, s katerimi zavezanci sklepajo poslovna razmerja. </w:t>
      </w:r>
    </w:p>
    <w:p w14:paraId="32DA172A" w14:textId="6638E12D" w:rsidR="00F11AF0" w:rsidRDefault="0011169A" w:rsidP="00F11AF0">
      <w:r w:rsidRPr="005B6989">
        <w:t xml:space="preserve">Poročilo o izvedbi nacionalne ocene tveganja ter akcijski načrt je Vlada RS sprejela v prvem tromesečju leta 2021. </w:t>
      </w:r>
      <w:r w:rsidR="005B6989" w:rsidRPr="005B6989">
        <w:t>Urad periodično spremlja izvajanje akcijskega načrta. Tako je konec leta 2021 vse deležnike pozval, da poročajo o izvajanju akcijskega načrta.</w:t>
      </w:r>
      <w:r w:rsidR="005B6989">
        <w:t xml:space="preserve"> </w:t>
      </w:r>
      <w:bookmarkEnd w:id="56"/>
    </w:p>
    <w:p w14:paraId="2F235AA8" w14:textId="4544D411" w:rsidR="00F11AF0" w:rsidRDefault="00F11AF0">
      <w:pPr>
        <w:jc w:val="left"/>
      </w:pPr>
      <w:r>
        <w:br w:type="page"/>
      </w:r>
    </w:p>
    <w:p w14:paraId="7C88684A" w14:textId="77777777" w:rsidR="00F11AF0" w:rsidRDefault="00F11AF0" w:rsidP="00F11AF0"/>
    <w:p w14:paraId="0827825B" w14:textId="333AF99F" w:rsidR="00B65A09" w:rsidRDefault="00B65A09" w:rsidP="00E02BEB">
      <w:pPr>
        <w:pStyle w:val="Naslov1"/>
      </w:pPr>
      <w:bookmarkStart w:id="83" w:name="_Toc119581749"/>
      <w:r>
        <w:t>LOGISTIK</w:t>
      </w:r>
      <w:r w:rsidR="00FB5247">
        <w:t>A</w:t>
      </w:r>
      <w:r>
        <w:t xml:space="preserve"> IN INFORMATIK</w:t>
      </w:r>
      <w:r w:rsidR="00FB5247">
        <w:t>A</w:t>
      </w:r>
      <w:bookmarkEnd w:id="83"/>
    </w:p>
    <w:p w14:paraId="6EC09314" w14:textId="77777777" w:rsidR="00B65A09" w:rsidRDefault="00B65A09" w:rsidP="00B65A09"/>
    <w:p w14:paraId="6CD7650B" w14:textId="01552070" w:rsidR="00B65A09" w:rsidRDefault="00B65A09" w:rsidP="00E02BEB">
      <w:pPr>
        <w:pStyle w:val="Naslov2"/>
      </w:pPr>
      <w:bookmarkStart w:id="84" w:name="_Toc119581750"/>
      <w:r>
        <w:t>ORGANIZACIJSKO-KADROVSKE ZADEVE</w:t>
      </w:r>
      <w:bookmarkEnd w:id="84"/>
    </w:p>
    <w:p w14:paraId="597266A8" w14:textId="77777777" w:rsidR="00EA665D" w:rsidRPr="00EA665D" w:rsidRDefault="00EA665D" w:rsidP="00EA665D"/>
    <w:p w14:paraId="1E4C3DBA" w14:textId="69B579FE" w:rsidR="00B65A09" w:rsidRDefault="00B65A09" w:rsidP="00E02BEB">
      <w:pPr>
        <w:pStyle w:val="Naslov3"/>
      </w:pPr>
      <w:bookmarkStart w:id="85" w:name="_Toc119581751"/>
      <w:r>
        <w:t>Gibanje in struktura kadrov</w:t>
      </w:r>
      <w:bookmarkEnd w:id="85"/>
    </w:p>
    <w:p w14:paraId="6DE8BD3E" w14:textId="77777777" w:rsidR="00B65A09" w:rsidRDefault="00B65A09" w:rsidP="00B65A09"/>
    <w:p w14:paraId="3252C518" w14:textId="48082D35" w:rsidR="00080612" w:rsidRPr="001D3236" w:rsidRDefault="00080612" w:rsidP="001D3236">
      <w:r w:rsidRPr="001D3236">
        <w:t xml:space="preserve">V letu 2021 je bila v </w:t>
      </w:r>
      <w:r w:rsidR="008002A6">
        <w:t>uradu izvedena</w:t>
      </w:r>
      <w:r w:rsidRPr="001D3236">
        <w:t xml:space="preserve"> sprememba organizacijske strukture. Namesto prejšnjih dveh  sektorjev (Sektor za sumljive</w:t>
      </w:r>
      <w:r w:rsidR="001D3236">
        <w:t xml:space="preserve"> t</w:t>
      </w:r>
      <w:r w:rsidRPr="001D3236">
        <w:t>ransakcije in Sektor za preventivo  in nadzor) in dveh služb (Služba za IT in Služba za mednarodno</w:t>
      </w:r>
      <w:r w:rsidR="001D3236">
        <w:t xml:space="preserve"> </w:t>
      </w:r>
      <w:r w:rsidRPr="001D3236">
        <w:t>sodelovanje) je bilo kreiranih pet notranj</w:t>
      </w:r>
      <w:r w:rsidR="008A2B86">
        <w:t>ih</w:t>
      </w:r>
      <w:r w:rsidRPr="001D3236">
        <w:t xml:space="preserve"> organizacijskih enot, in sicer Sektor za pravne zadeve, Sektor za spremljanje analizo in nadzor, Sektor za splošne zadeve in IT podporo, Sektor za mednarodno sodelovanje in preventivo in Inšpekcija. Reorganizacija je imela za posledico spremembo sistemizacije delovnih mest, število zaposlenih pa se bo povečalo po zaključenih kadrovskih postopkih v letu 2022.</w:t>
      </w:r>
    </w:p>
    <w:p w14:paraId="760E8950" w14:textId="5DE770D7" w:rsidR="00080612" w:rsidRPr="001D3236" w:rsidRDefault="00080612" w:rsidP="001D3236">
      <w:r w:rsidRPr="001D3236">
        <w:t xml:space="preserve">V </w:t>
      </w:r>
      <w:r w:rsidR="008A2B86">
        <w:t>u</w:t>
      </w:r>
      <w:r w:rsidRPr="001D3236">
        <w:t xml:space="preserve">radu je bilo na dan 31. 12. 2021 skupaj z direktorjem </w:t>
      </w:r>
      <w:r w:rsidRPr="008A2B86">
        <w:rPr>
          <w:b/>
          <w:bCs/>
        </w:rPr>
        <w:t>zaposlenih 28 uslužbencev</w:t>
      </w:r>
      <w:r w:rsidRPr="001D3236">
        <w:t xml:space="preserve">, kar je enako kot na dan 31. 12. 2020. Na podlagi Akta o notranji organizaciji in sistemizaciji delovnih mest v Uradu RS za preprečevanje pranja denarja je v </w:t>
      </w:r>
      <w:r w:rsidR="008A2B86">
        <w:t>u</w:t>
      </w:r>
      <w:r w:rsidRPr="001D3236">
        <w:t>radu sistemiziranih 31 delovnih mest, kar pomeni, da je bila konec leta 2021 zasedenost delovnih mest 94%.</w:t>
      </w:r>
    </w:p>
    <w:p w14:paraId="5CE8A4F1" w14:textId="33D88201" w:rsidR="00080612" w:rsidRDefault="00080612" w:rsidP="00B65A09">
      <w:r w:rsidRPr="001D3236">
        <w:t xml:space="preserve">Gibanje </w:t>
      </w:r>
      <w:bookmarkStart w:id="86" w:name="_Hlk67043672"/>
      <w:r w:rsidRPr="001D3236">
        <w:t xml:space="preserve">števila zaposlenih in izobrazbena struktura </w:t>
      </w:r>
      <w:bookmarkEnd w:id="86"/>
      <w:r w:rsidRPr="001D3236">
        <w:t xml:space="preserve">uslužbencev Urada na dan 31. 12. 2021 sta razvidna iz </w:t>
      </w:r>
      <w:r w:rsidR="00F53DA1">
        <w:t>preglednice</w:t>
      </w:r>
      <w:r w:rsidRPr="001D3236">
        <w:t xml:space="preserve"> 13.</w:t>
      </w:r>
    </w:p>
    <w:p w14:paraId="386E5CAF" w14:textId="77777777" w:rsidR="00B021CB" w:rsidRDefault="00B021CB" w:rsidP="00B65A09"/>
    <w:p w14:paraId="3ED1EBD5" w14:textId="67203673" w:rsidR="00D31FA4" w:rsidRPr="009133AC" w:rsidRDefault="00D31FA4" w:rsidP="009133AC">
      <w:pPr>
        <w:spacing w:line="276" w:lineRule="auto"/>
        <w:ind w:left="1418" w:right="-22" w:hanging="1418"/>
        <w:rPr>
          <w:b/>
          <w:bCs/>
          <w:i/>
          <w:iCs/>
          <w:sz w:val="18"/>
          <w:szCs w:val="18"/>
        </w:rPr>
      </w:pPr>
      <w:r w:rsidRPr="009133AC">
        <w:rPr>
          <w:b/>
          <w:bCs/>
          <w:i/>
          <w:iCs/>
          <w:sz w:val="18"/>
          <w:szCs w:val="18"/>
        </w:rPr>
        <w:t>Preglednica 1</w:t>
      </w:r>
      <w:r w:rsidR="00F11AF0">
        <w:rPr>
          <w:b/>
          <w:bCs/>
          <w:i/>
          <w:iCs/>
          <w:sz w:val="18"/>
          <w:szCs w:val="18"/>
        </w:rPr>
        <w:t>4</w:t>
      </w:r>
      <w:r w:rsidRPr="009133AC">
        <w:rPr>
          <w:b/>
          <w:bCs/>
          <w:i/>
          <w:iCs/>
          <w:sz w:val="18"/>
          <w:szCs w:val="18"/>
        </w:rPr>
        <w:t xml:space="preserve">: Število zaposlenih po izobrazbi v obdobju </w:t>
      </w:r>
      <w:r w:rsidR="00080612" w:rsidRPr="009133AC">
        <w:rPr>
          <w:b/>
          <w:bCs/>
          <w:i/>
          <w:iCs/>
          <w:sz w:val="18"/>
          <w:szCs w:val="18"/>
        </w:rPr>
        <w:t>2015</w:t>
      </w:r>
      <w:r w:rsidRPr="009133AC">
        <w:rPr>
          <w:b/>
          <w:bCs/>
          <w:i/>
          <w:iCs/>
          <w:sz w:val="18"/>
          <w:szCs w:val="18"/>
        </w:rPr>
        <w:t>–202</w:t>
      </w:r>
      <w:r w:rsidR="000C4DF0" w:rsidRPr="009133AC">
        <w:rPr>
          <w:b/>
          <w:bCs/>
          <w:i/>
          <w:iCs/>
          <w:sz w:val="18"/>
          <w:szCs w:val="18"/>
        </w:rPr>
        <w:t>1</w:t>
      </w:r>
    </w:p>
    <w:tbl>
      <w:tblPr>
        <w:tblStyle w:val="Tabelatemnamrea5poudarek5"/>
        <w:tblW w:w="0" w:type="auto"/>
        <w:tblLayout w:type="fixed"/>
        <w:tblLook w:val="02A0" w:firstRow="1" w:lastRow="0" w:firstColumn="1" w:lastColumn="0" w:noHBand="1" w:noVBand="0"/>
      </w:tblPr>
      <w:tblGrid>
        <w:gridCol w:w="1271"/>
        <w:gridCol w:w="1276"/>
        <w:gridCol w:w="1134"/>
        <w:gridCol w:w="1276"/>
        <w:gridCol w:w="1842"/>
        <w:gridCol w:w="1276"/>
        <w:gridCol w:w="987"/>
      </w:tblGrid>
      <w:tr w:rsidR="0043591A" w:rsidRPr="0043591A" w14:paraId="3E7AF730" w14:textId="77777777" w:rsidTr="0043591A">
        <w:trPr>
          <w:cnfStyle w:val="100000000000" w:firstRow="1" w:lastRow="0" w:firstColumn="0" w:lastColumn="0" w:oddVBand="0" w:evenVBand="0" w:oddHBand="0" w:evenHBand="0" w:firstRowFirstColumn="0" w:firstRowLastColumn="0" w:lastRowFirstColumn="0" w:lastRowLastColumn="0"/>
          <w:trHeight w:hRule="exact" w:val="732"/>
        </w:trPr>
        <w:tc>
          <w:tcPr>
            <w:cnfStyle w:val="001000000000" w:firstRow="0" w:lastRow="0" w:firstColumn="1" w:lastColumn="0" w:oddVBand="0" w:evenVBand="0" w:oddHBand="0" w:evenHBand="0" w:firstRowFirstColumn="0" w:firstRowLastColumn="0" w:lastRowFirstColumn="0" w:lastRowLastColumn="0"/>
            <w:tcW w:w="1271" w:type="dxa"/>
          </w:tcPr>
          <w:p w14:paraId="4E8F559D" w14:textId="04F551E9" w:rsidR="0043591A" w:rsidRPr="0043591A" w:rsidRDefault="0043591A" w:rsidP="00C55968">
            <w:pPr>
              <w:spacing w:line="360" w:lineRule="auto"/>
              <w:jc w:val="center"/>
              <w:rPr>
                <w:b w:val="0"/>
                <w:bCs w:val="0"/>
              </w:rPr>
            </w:pPr>
            <w:r w:rsidRPr="0043591A">
              <w:rPr>
                <w:color w:val="auto"/>
              </w:rPr>
              <w:t>Datum</w:t>
            </w:r>
          </w:p>
          <w:p w14:paraId="3B343710" w14:textId="73DE24EE" w:rsidR="0043591A" w:rsidRPr="0043591A" w:rsidRDefault="0043591A" w:rsidP="00C55968">
            <w:pPr>
              <w:spacing w:line="360" w:lineRule="auto"/>
              <w:rPr>
                <w:b w:val="0"/>
                <w:bCs w:val="0"/>
              </w:rPr>
            </w:pPr>
          </w:p>
        </w:tc>
        <w:tc>
          <w:tcPr>
            <w:cnfStyle w:val="000010000000" w:firstRow="0" w:lastRow="0" w:firstColumn="0" w:lastColumn="0" w:oddVBand="1" w:evenVBand="0" w:oddHBand="0" w:evenHBand="0" w:firstRowFirstColumn="0" w:firstRowLastColumn="0" w:lastRowFirstColumn="0" w:lastRowLastColumn="0"/>
            <w:tcW w:w="1276" w:type="dxa"/>
          </w:tcPr>
          <w:p w14:paraId="5D313CE6" w14:textId="7B52CBEA" w:rsidR="0043591A" w:rsidRPr="0043591A" w:rsidRDefault="0043591A" w:rsidP="00C55968">
            <w:pPr>
              <w:spacing w:line="360" w:lineRule="auto"/>
              <w:jc w:val="center"/>
            </w:pPr>
            <w:r w:rsidRPr="0043591A">
              <w:rPr>
                <w:color w:val="auto"/>
              </w:rPr>
              <w:t>Število zaposlenih</w:t>
            </w:r>
          </w:p>
        </w:tc>
        <w:tc>
          <w:tcPr>
            <w:tcW w:w="1134" w:type="dxa"/>
          </w:tcPr>
          <w:p w14:paraId="44FA2676" w14:textId="77777777" w:rsidR="0043591A" w:rsidRPr="0043591A" w:rsidRDefault="0043591A" w:rsidP="00C55968">
            <w:pPr>
              <w:spacing w:line="360" w:lineRule="auto"/>
              <w:jc w:val="center"/>
              <w:cnfStyle w:val="100000000000" w:firstRow="1"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14:paraId="4BA24DB7" w14:textId="25CD0269" w:rsidR="0043591A" w:rsidRPr="0043591A" w:rsidRDefault="0043591A" w:rsidP="00C55968">
            <w:pPr>
              <w:spacing w:line="360" w:lineRule="auto"/>
              <w:jc w:val="right"/>
            </w:pPr>
            <w:r w:rsidRPr="0043591A">
              <w:rPr>
                <w:color w:val="auto"/>
              </w:rPr>
              <w:t>Stopnja</w:t>
            </w:r>
          </w:p>
        </w:tc>
        <w:tc>
          <w:tcPr>
            <w:tcW w:w="1842" w:type="dxa"/>
          </w:tcPr>
          <w:p w14:paraId="2C8C3EF2" w14:textId="0FF59763" w:rsidR="0043591A" w:rsidRPr="0043591A" w:rsidRDefault="0043591A" w:rsidP="00C55968">
            <w:pPr>
              <w:spacing w:line="360" w:lineRule="auto"/>
              <w:jc w:val="left"/>
              <w:cnfStyle w:val="100000000000" w:firstRow="1" w:lastRow="0" w:firstColumn="0" w:lastColumn="0" w:oddVBand="0" w:evenVBand="0" w:oddHBand="0" w:evenHBand="0" w:firstRowFirstColumn="0" w:firstRowLastColumn="0" w:lastRowFirstColumn="0" w:lastRowLastColumn="0"/>
            </w:pPr>
            <w:r w:rsidRPr="0043591A">
              <w:rPr>
                <w:color w:val="auto"/>
              </w:rPr>
              <w:t>izobrazbe</w:t>
            </w:r>
          </w:p>
        </w:tc>
        <w:tc>
          <w:tcPr>
            <w:cnfStyle w:val="000010000000" w:firstRow="0" w:lastRow="0" w:firstColumn="0" w:lastColumn="0" w:oddVBand="1" w:evenVBand="0" w:oddHBand="0" w:evenHBand="0" w:firstRowFirstColumn="0" w:firstRowLastColumn="0" w:lastRowFirstColumn="0" w:lastRowLastColumn="0"/>
            <w:tcW w:w="1276" w:type="dxa"/>
          </w:tcPr>
          <w:p w14:paraId="1B579F1C" w14:textId="77777777" w:rsidR="0043591A" w:rsidRPr="0043591A" w:rsidRDefault="0043591A" w:rsidP="00C55968">
            <w:pPr>
              <w:spacing w:line="360" w:lineRule="auto"/>
              <w:jc w:val="center"/>
            </w:pPr>
          </w:p>
        </w:tc>
        <w:tc>
          <w:tcPr>
            <w:tcW w:w="987" w:type="dxa"/>
          </w:tcPr>
          <w:p w14:paraId="0B7FBCCF" w14:textId="77777777" w:rsidR="0043591A" w:rsidRPr="0043591A" w:rsidRDefault="0043591A" w:rsidP="00C55968">
            <w:pPr>
              <w:spacing w:line="360" w:lineRule="auto"/>
              <w:jc w:val="center"/>
              <w:cnfStyle w:val="100000000000" w:firstRow="1" w:lastRow="0" w:firstColumn="0" w:lastColumn="0" w:oddVBand="0" w:evenVBand="0" w:oddHBand="0" w:evenHBand="0" w:firstRowFirstColumn="0" w:firstRowLastColumn="0" w:lastRowFirstColumn="0" w:lastRowLastColumn="0"/>
            </w:pPr>
          </w:p>
        </w:tc>
      </w:tr>
      <w:tr w:rsidR="0043591A" w:rsidRPr="0043591A" w14:paraId="1BEAA28A" w14:textId="77777777" w:rsidTr="0043591A">
        <w:trPr>
          <w:trHeight w:hRule="exact" w:val="571"/>
        </w:trPr>
        <w:tc>
          <w:tcPr>
            <w:cnfStyle w:val="001000000000" w:firstRow="0" w:lastRow="0" w:firstColumn="1" w:lastColumn="0" w:oddVBand="0" w:evenVBand="0" w:oddHBand="0" w:evenHBand="0" w:firstRowFirstColumn="0" w:firstRowLastColumn="0" w:lastRowFirstColumn="0" w:lastRowLastColumn="0"/>
            <w:tcW w:w="1271" w:type="dxa"/>
          </w:tcPr>
          <w:p w14:paraId="63B24DB5" w14:textId="77777777" w:rsidR="0043591A" w:rsidRPr="0043591A" w:rsidRDefault="0043591A" w:rsidP="00C55968">
            <w:pPr>
              <w:spacing w:line="360" w:lineRule="auto"/>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1276" w:type="dxa"/>
          </w:tcPr>
          <w:p w14:paraId="4A5BF73D" w14:textId="77777777" w:rsidR="0043591A" w:rsidRPr="0043591A" w:rsidRDefault="0043591A" w:rsidP="00C55968">
            <w:pPr>
              <w:spacing w:line="360" w:lineRule="auto"/>
              <w:jc w:val="center"/>
            </w:pPr>
          </w:p>
        </w:tc>
        <w:tc>
          <w:tcPr>
            <w:tcW w:w="1134" w:type="dxa"/>
          </w:tcPr>
          <w:p w14:paraId="4528BADF" w14:textId="0E23DA8C" w:rsidR="0043591A" w:rsidRPr="0043591A" w:rsidRDefault="0043591A" w:rsidP="00C55968">
            <w:pPr>
              <w:spacing w:line="360" w:lineRule="auto"/>
              <w:jc w:val="center"/>
              <w:cnfStyle w:val="000000000000" w:firstRow="0" w:lastRow="0" w:firstColumn="0" w:lastColumn="0" w:oddVBand="0" w:evenVBand="0" w:oddHBand="0" w:evenHBand="0" w:firstRowFirstColumn="0" w:firstRowLastColumn="0" w:lastRowFirstColumn="0" w:lastRowLastColumn="0"/>
            </w:pPr>
            <w:r w:rsidRPr="0043591A">
              <w:rPr>
                <w:b/>
              </w:rPr>
              <w:t>Doktorat</w:t>
            </w:r>
          </w:p>
        </w:tc>
        <w:tc>
          <w:tcPr>
            <w:cnfStyle w:val="000010000000" w:firstRow="0" w:lastRow="0" w:firstColumn="0" w:lastColumn="0" w:oddVBand="1" w:evenVBand="0" w:oddHBand="0" w:evenHBand="0" w:firstRowFirstColumn="0" w:firstRowLastColumn="0" w:lastRowFirstColumn="0" w:lastRowLastColumn="0"/>
            <w:tcW w:w="1276" w:type="dxa"/>
          </w:tcPr>
          <w:p w14:paraId="4695E370" w14:textId="1083E908" w:rsidR="0043591A" w:rsidRPr="0043591A" w:rsidRDefault="0043591A" w:rsidP="00C55968">
            <w:pPr>
              <w:spacing w:line="360" w:lineRule="auto"/>
              <w:jc w:val="center"/>
            </w:pPr>
            <w:r w:rsidRPr="0043591A">
              <w:rPr>
                <w:b/>
              </w:rPr>
              <w:t>Magisterij</w:t>
            </w:r>
          </w:p>
        </w:tc>
        <w:tc>
          <w:tcPr>
            <w:tcW w:w="1842" w:type="dxa"/>
          </w:tcPr>
          <w:p w14:paraId="2F8F85EA" w14:textId="77777777" w:rsidR="0043591A" w:rsidRPr="0043591A" w:rsidRDefault="0043591A" w:rsidP="00C55968">
            <w:pPr>
              <w:spacing w:line="360" w:lineRule="auto"/>
              <w:jc w:val="center"/>
              <w:cnfStyle w:val="000000000000" w:firstRow="0" w:lastRow="0" w:firstColumn="0" w:lastColumn="0" w:oddVBand="0" w:evenVBand="0" w:oddHBand="0" w:evenHBand="0" w:firstRowFirstColumn="0" w:firstRowLastColumn="0" w:lastRowFirstColumn="0" w:lastRowLastColumn="0"/>
              <w:rPr>
                <w:b/>
              </w:rPr>
            </w:pPr>
            <w:r w:rsidRPr="0043591A">
              <w:rPr>
                <w:b/>
              </w:rPr>
              <w:t>Univerzitetna/</w:t>
            </w:r>
          </w:p>
          <w:p w14:paraId="7F432523" w14:textId="301129B7" w:rsidR="0043591A" w:rsidRPr="0043591A" w:rsidRDefault="0043591A" w:rsidP="00C55968">
            <w:pPr>
              <w:spacing w:line="360" w:lineRule="auto"/>
              <w:jc w:val="center"/>
              <w:cnfStyle w:val="000000000000" w:firstRow="0" w:lastRow="0" w:firstColumn="0" w:lastColumn="0" w:oddVBand="0" w:evenVBand="0" w:oddHBand="0" w:evenHBand="0" w:firstRowFirstColumn="0" w:firstRowLastColumn="0" w:lastRowFirstColumn="0" w:lastRowLastColumn="0"/>
            </w:pPr>
            <w:r w:rsidRPr="0043591A">
              <w:rPr>
                <w:b/>
              </w:rPr>
              <w:t>visoka</w:t>
            </w:r>
          </w:p>
        </w:tc>
        <w:tc>
          <w:tcPr>
            <w:cnfStyle w:val="000010000000" w:firstRow="0" w:lastRow="0" w:firstColumn="0" w:lastColumn="0" w:oddVBand="1" w:evenVBand="0" w:oddHBand="0" w:evenHBand="0" w:firstRowFirstColumn="0" w:firstRowLastColumn="0" w:lastRowFirstColumn="0" w:lastRowLastColumn="0"/>
            <w:tcW w:w="1276" w:type="dxa"/>
          </w:tcPr>
          <w:p w14:paraId="4DF4ADAB" w14:textId="1D7A24CE" w:rsidR="0043591A" w:rsidRPr="0043591A" w:rsidRDefault="0043591A" w:rsidP="00C55968">
            <w:pPr>
              <w:spacing w:line="360" w:lineRule="auto"/>
              <w:jc w:val="center"/>
            </w:pPr>
            <w:r w:rsidRPr="0043591A">
              <w:rPr>
                <w:b/>
              </w:rPr>
              <w:t>Višja</w:t>
            </w:r>
          </w:p>
        </w:tc>
        <w:tc>
          <w:tcPr>
            <w:tcW w:w="987" w:type="dxa"/>
          </w:tcPr>
          <w:p w14:paraId="3EB75FFF" w14:textId="71E2A5B6" w:rsidR="0043591A" w:rsidRPr="0043591A" w:rsidRDefault="0043591A" w:rsidP="00C55968">
            <w:pPr>
              <w:spacing w:line="360" w:lineRule="auto"/>
              <w:jc w:val="center"/>
              <w:cnfStyle w:val="000000000000" w:firstRow="0" w:lastRow="0" w:firstColumn="0" w:lastColumn="0" w:oddVBand="0" w:evenVBand="0" w:oddHBand="0" w:evenHBand="0" w:firstRowFirstColumn="0" w:firstRowLastColumn="0" w:lastRowFirstColumn="0" w:lastRowLastColumn="0"/>
            </w:pPr>
            <w:r w:rsidRPr="0043591A">
              <w:rPr>
                <w:b/>
              </w:rPr>
              <w:t>Srednja</w:t>
            </w:r>
          </w:p>
        </w:tc>
      </w:tr>
      <w:tr w:rsidR="0043591A" w:rsidRPr="0043591A" w14:paraId="1F0FAE10" w14:textId="77777777" w:rsidTr="0043591A">
        <w:trPr>
          <w:trHeight w:hRule="exact" w:val="255"/>
        </w:trPr>
        <w:tc>
          <w:tcPr>
            <w:cnfStyle w:val="001000000000" w:firstRow="0" w:lastRow="0" w:firstColumn="1" w:lastColumn="0" w:oddVBand="0" w:evenVBand="0" w:oddHBand="0" w:evenHBand="0" w:firstRowFirstColumn="0" w:firstRowLastColumn="0" w:lastRowFirstColumn="0" w:lastRowLastColumn="0"/>
            <w:tcW w:w="1271" w:type="dxa"/>
          </w:tcPr>
          <w:p w14:paraId="648A9E53" w14:textId="77777777" w:rsidR="0043591A" w:rsidRPr="0043591A" w:rsidRDefault="0043591A" w:rsidP="00C55968">
            <w:pPr>
              <w:spacing w:line="360" w:lineRule="auto"/>
              <w:jc w:val="center"/>
              <w:rPr>
                <w:b w:val="0"/>
                <w:bCs w:val="0"/>
                <w:color w:val="auto"/>
              </w:rPr>
            </w:pPr>
            <w:r w:rsidRPr="0043591A">
              <w:rPr>
                <w:b w:val="0"/>
                <w:bCs w:val="0"/>
                <w:color w:val="auto"/>
              </w:rPr>
              <w:t>31.12.2015</w:t>
            </w:r>
          </w:p>
        </w:tc>
        <w:tc>
          <w:tcPr>
            <w:cnfStyle w:val="000010000000" w:firstRow="0" w:lastRow="0" w:firstColumn="0" w:lastColumn="0" w:oddVBand="1" w:evenVBand="0" w:oddHBand="0" w:evenHBand="0" w:firstRowFirstColumn="0" w:firstRowLastColumn="0" w:lastRowFirstColumn="0" w:lastRowLastColumn="0"/>
            <w:tcW w:w="1276" w:type="dxa"/>
          </w:tcPr>
          <w:p w14:paraId="34E8B011" w14:textId="77777777" w:rsidR="0043591A" w:rsidRPr="0043591A" w:rsidRDefault="0043591A" w:rsidP="00C55968">
            <w:pPr>
              <w:spacing w:line="360" w:lineRule="auto"/>
              <w:jc w:val="center"/>
            </w:pPr>
            <w:r w:rsidRPr="0043591A">
              <w:t>16</w:t>
            </w:r>
          </w:p>
        </w:tc>
        <w:tc>
          <w:tcPr>
            <w:tcW w:w="1134" w:type="dxa"/>
          </w:tcPr>
          <w:p w14:paraId="5F66C0F3" w14:textId="77777777" w:rsidR="0043591A" w:rsidRPr="0043591A" w:rsidRDefault="0043591A" w:rsidP="00C55968">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14:paraId="5DB754D1" w14:textId="2349C066" w:rsidR="0043591A" w:rsidRPr="0043591A" w:rsidRDefault="0043591A" w:rsidP="00C55968">
            <w:pPr>
              <w:spacing w:line="360" w:lineRule="auto"/>
              <w:jc w:val="center"/>
            </w:pPr>
            <w:r w:rsidRPr="0043591A">
              <w:t>1</w:t>
            </w:r>
          </w:p>
        </w:tc>
        <w:tc>
          <w:tcPr>
            <w:tcW w:w="1842" w:type="dxa"/>
          </w:tcPr>
          <w:p w14:paraId="5D3DAB31" w14:textId="77777777" w:rsidR="0043591A" w:rsidRPr="0043591A" w:rsidRDefault="0043591A" w:rsidP="00C55968">
            <w:pPr>
              <w:spacing w:line="360" w:lineRule="auto"/>
              <w:jc w:val="center"/>
              <w:cnfStyle w:val="000000000000" w:firstRow="0" w:lastRow="0" w:firstColumn="0" w:lastColumn="0" w:oddVBand="0" w:evenVBand="0" w:oddHBand="0" w:evenHBand="0" w:firstRowFirstColumn="0" w:firstRowLastColumn="0" w:lastRowFirstColumn="0" w:lastRowLastColumn="0"/>
            </w:pPr>
            <w:r w:rsidRPr="0043591A">
              <w:t>15</w:t>
            </w:r>
          </w:p>
        </w:tc>
        <w:tc>
          <w:tcPr>
            <w:cnfStyle w:val="000010000000" w:firstRow="0" w:lastRow="0" w:firstColumn="0" w:lastColumn="0" w:oddVBand="1" w:evenVBand="0" w:oddHBand="0" w:evenHBand="0" w:firstRowFirstColumn="0" w:firstRowLastColumn="0" w:lastRowFirstColumn="0" w:lastRowLastColumn="0"/>
            <w:tcW w:w="1276" w:type="dxa"/>
          </w:tcPr>
          <w:p w14:paraId="21DD6BC4" w14:textId="72CF6A31" w:rsidR="0043591A" w:rsidRPr="0043591A" w:rsidRDefault="0043591A" w:rsidP="00C55968">
            <w:pPr>
              <w:spacing w:line="360" w:lineRule="auto"/>
              <w:jc w:val="center"/>
            </w:pPr>
            <w:r w:rsidRPr="0043591A">
              <w:t>0</w:t>
            </w:r>
          </w:p>
        </w:tc>
        <w:tc>
          <w:tcPr>
            <w:tcW w:w="987" w:type="dxa"/>
          </w:tcPr>
          <w:p w14:paraId="467C066F" w14:textId="5DD4F277" w:rsidR="0043591A" w:rsidRPr="0043591A" w:rsidRDefault="0043591A" w:rsidP="00C55968">
            <w:pPr>
              <w:spacing w:line="360" w:lineRule="auto"/>
              <w:jc w:val="center"/>
              <w:cnfStyle w:val="000000000000" w:firstRow="0" w:lastRow="0" w:firstColumn="0" w:lastColumn="0" w:oddVBand="0" w:evenVBand="0" w:oddHBand="0" w:evenHBand="0" w:firstRowFirstColumn="0" w:firstRowLastColumn="0" w:lastRowFirstColumn="0" w:lastRowLastColumn="0"/>
            </w:pPr>
            <w:r w:rsidRPr="0043591A">
              <w:t>0</w:t>
            </w:r>
          </w:p>
        </w:tc>
      </w:tr>
      <w:tr w:rsidR="0043591A" w:rsidRPr="0043591A" w14:paraId="49F0F898" w14:textId="77777777" w:rsidTr="0043591A">
        <w:trPr>
          <w:trHeight w:hRule="exact" w:val="255"/>
        </w:trPr>
        <w:tc>
          <w:tcPr>
            <w:cnfStyle w:val="001000000000" w:firstRow="0" w:lastRow="0" w:firstColumn="1" w:lastColumn="0" w:oddVBand="0" w:evenVBand="0" w:oddHBand="0" w:evenHBand="0" w:firstRowFirstColumn="0" w:firstRowLastColumn="0" w:lastRowFirstColumn="0" w:lastRowLastColumn="0"/>
            <w:tcW w:w="1271" w:type="dxa"/>
          </w:tcPr>
          <w:p w14:paraId="37955835" w14:textId="77777777" w:rsidR="0043591A" w:rsidRPr="0043591A" w:rsidRDefault="0043591A" w:rsidP="00C55968">
            <w:pPr>
              <w:spacing w:line="360" w:lineRule="auto"/>
              <w:jc w:val="center"/>
              <w:rPr>
                <w:b w:val="0"/>
                <w:bCs w:val="0"/>
                <w:color w:val="auto"/>
              </w:rPr>
            </w:pPr>
            <w:r w:rsidRPr="0043591A">
              <w:rPr>
                <w:b w:val="0"/>
                <w:bCs w:val="0"/>
                <w:color w:val="auto"/>
              </w:rPr>
              <w:t>31.12.2016</w:t>
            </w:r>
          </w:p>
        </w:tc>
        <w:tc>
          <w:tcPr>
            <w:cnfStyle w:val="000010000000" w:firstRow="0" w:lastRow="0" w:firstColumn="0" w:lastColumn="0" w:oddVBand="1" w:evenVBand="0" w:oddHBand="0" w:evenHBand="0" w:firstRowFirstColumn="0" w:firstRowLastColumn="0" w:lastRowFirstColumn="0" w:lastRowLastColumn="0"/>
            <w:tcW w:w="1276" w:type="dxa"/>
          </w:tcPr>
          <w:p w14:paraId="7765AC29" w14:textId="77777777" w:rsidR="0043591A" w:rsidRPr="0043591A" w:rsidRDefault="0043591A" w:rsidP="00C55968">
            <w:pPr>
              <w:spacing w:line="360" w:lineRule="auto"/>
              <w:jc w:val="center"/>
            </w:pPr>
            <w:r w:rsidRPr="0043591A">
              <w:t>19</w:t>
            </w:r>
          </w:p>
        </w:tc>
        <w:tc>
          <w:tcPr>
            <w:tcW w:w="1134" w:type="dxa"/>
          </w:tcPr>
          <w:p w14:paraId="52616334" w14:textId="77777777" w:rsidR="0043591A" w:rsidRPr="0043591A" w:rsidRDefault="0043591A" w:rsidP="00C55968">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14:paraId="128AA8F8" w14:textId="04051774" w:rsidR="0043591A" w:rsidRPr="0043591A" w:rsidRDefault="0043591A" w:rsidP="00C55968">
            <w:pPr>
              <w:spacing w:line="360" w:lineRule="auto"/>
              <w:jc w:val="center"/>
            </w:pPr>
            <w:r w:rsidRPr="0043591A">
              <w:t>1</w:t>
            </w:r>
          </w:p>
        </w:tc>
        <w:tc>
          <w:tcPr>
            <w:tcW w:w="1842" w:type="dxa"/>
          </w:tcPr>
          <w:p w14:paraId="6C80E02C" w14:textId="77777777" w:rsidR="0043591A" w:rsidRPr="0043591A" w:rsidRDefault="0043591A" w:rsidP="00C55968">
            <w:pPr>
              <w:spacing w:line="360" w:lineRule="auto"/>
              <w:jc w:val="center"/>
              <w:cnfStyle w:val="000000000000" w:firstRow="0" w:lastRow="0" w:firstColumn="0" w:lastColumn="0" w:oddVBand="0" w:evenVBand="0" w:oddHBand="0" w:evenHBand="0" w:firstRowFirstColumn="0" w:firstRowLastColumn="0" w:lastRowFirstColumn="0" w:lastRowLastColumn="0"/>
            </w:pPr>
            <w:r w:rsidRPr="0043591A">
              <w:t>18</w:t>
            </w:r>
          </w:p>
        </w:tc>
        <w:tc>
          <w:tcPr>
            <w:cnfStyle w:val="000010000000" w:firstRow="0" w:lastRow="0" w:firstColumn="0" w:lastColumn="0" w:oddVBand="1" w:evenVBand="0" w:oddHBand="0" w:evenHBand="0" w:firstRowFirstColumn="0" w:firstRowLastColumn="0" w:lastRowFirstColumn="0" w:lastRowLastColumn="0"/>
            <w:tcW w:w="1276" w:type="dxa"/>
          </w:tcPr>
          <w:p w14:paraId="2724ED06" w14:textId="1A29D43C" w:rsidR="0043591A" w:rsidRPr="0043591A" w:rsidRDefault="0043591A" w:rsidP="00C55968">
            <w:pPr>
              <w:spacing w:line="360" w:lineRule="auto"/>
              <w:jc w:val="center"/>
            </w:pPr>
            <w:r w:rsidRPr="0043591A">
              <w:t>0</w:t>
            </w:r>
          </w:p>
        </w:tc>
        <w:tc>
          <w:tcPr>
            <w:tcW w:w="987" w:type="dxa"/>
          </w:tcPr>
          <w:p w14:paraId="4EA5CE87" w14:textId="4D66AA27" w:rsidR="0043591A" w:rsidRPr="0043591A" w:rsidRDefault="0043591A" w:rsidP="00C55968">
            <w:pPr>
              <w:spacing w:line="360" w:lineRule="auto"/>
              <w:jc w:val="center"/>
              <w:cnfStyle w:val="000000000000" w:firstRow="0" w:lastRow="0" w:firstColumn="0" w:lastColumn="0" w:oddVBand="0" w:evenVBand="0" w:oddHBand="0" w:evenHBand="0" w:firstRowFirstColumn="0" w:firstRowLastColumn="0" w:lastRowFirstColumn="0" w:lastRowLastColumn="0"/>
            </w:pPr>
            <w:r w:rsidRPr="0043591A">
              <w:t>0</w:t>
            </w:r>
          </w:p>
        </w:tc>
      </w:tr>
      <w:tr w:rsidR="0043591A" w:rsidRPr="0043591A" w14:paraId="0E63CCE0" w14:textId="77777777" w:rsidTr="0043591A">
        <w:trPr>
          <w:trHeight w:hRule="exact" w:val="255"/>
        </w:trPr>
        <w:tc>
          <w:tcPr>
            <w:cnfStyle w:val="001000000000" w:firstRow="0" w:lastRow="0" w:firstColumn="1" w:lastColumn="0" w:oddVBand="0" w:evenVBand="0" w:oddHBand="0" w:evenHBand="0" w:firstRowFirstColumn="0" w:firstRowLastColumn="0" w:lastRowFirstColumn="0" w:lastRowLastColumn="0"/>
            <w:tcW w:w="1271" w:type="dxa"/>
          </w:tcPr>
          <w:p w14:paraId="3C7DBA1B" w14:textId="77777777" w:rsidR="0043591A" w:rsidRPr="0043591A" w:rsidRDefault="0043591A" w:rsidP="00C55968">
            <w:pPr>
              <w:spacing w:line="360" w:lineRule="auto"/>
              <w:jc w:val="center"/>
              <w:rPr>
                <w:b w:val="0"/>
                <w:bCs w:val="0"/>
                <w:color w:val="auto"/>
              </w:rPr>
            </w:pPr>
            <w:r w:rsidRPr="0043591A">
              <w:rPr>
                <w:b w:val="0"/>
                <w:bCs w:val="0"/>
                <w:color w:val="auto"/>
              </w:rPr>
              <w:t>31.12.2017</w:t>
            </w:r>
          </w:p>
        </w:tc>
        <w:tc>
          <w:tcPr>
            <w:cnfStyle w:val="000010000000" w:firstRow="0" w:lastRow="0" w:firstColumn="0" w:lastColumn="0" w:oddVBand="1" w:evenVBand="0" w:oddHBand="0" w:evenHBand="0" w:firstRowFirstColumn="0" w:firstRowLastColumn="0" w:lastRowFirstColumn="0" w:lastRowLastColumn="0"/>
            <w:tcW w:w="1276" w:type="dxa"/>
          </w:tcPr>
          <w:p w14:paraId="3E598450" w14:textId="77777777" w:rsidR="0043591A" w:rsidRPr="0043591A" w:rsidRDefault="0043591A" w:rsidP="00C55968">
            <w:pPr>
              <w:spacing w:line="360" w:lineRule="auto"/>
              <w:jc w:val="center"/>
            </w:pPr>
            <w:r w:rsidRPr="0043591A">
              <w:t>23</w:t>
            </w:r>
          </w:p>
        </w:tc>
        <w:tc>
          <w:tcPr>
            <w:tcW w:w="1134" w:type="dxa"/>
          </w:tcPr>
          <w:p w14:paraId="7520947F" w14:textId="77777777" w:rsidR="0043591A" w:rsidRPr="0043591A" w:rsidRDefault="0043591A" w:rsidP="00C55968">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14:paraId="0B35B720" w14:textId="7D27A637" w:rsidR="0043591A" w:rsidRPr="0043591A" w:rsidRDefault="0043591A" w:rsidP="00C55968">
            <w:pPr>
              <w:spacing w:line="360" w:lineRule="auto"/>
              <w:jc w:val="center"/>
            </w:pPr>
            <w:r w:rsidRPr="0043591A">
              <w:t>1</w:t>
            </w:r>
          </w:p>
        </w:tc>
        <w:tc>
          <w:tcPr>
            <w:tcW w:w="1842" w:type="dxa"/>
          </w:tcPr>
          <w:p w14:paraId="26BEF3BC" w14:textId="77777777" w:rsidR="0043591A" w:rsidRPr="0043591A" w:rsidRDefault="0043591A" w:rsidP="00C55968">
            <w:pPr>
              <w:spacing w:line="360" w:lineRule="auto"/>
              <w:jc w:val="center"/>
              <w:cnfStyle w:val="000000000000" w:firstRow="0" w:lastRow="0" w:firstColumn="0" w:lastColumn="0" w:oddVBand="0" w:evenVBand="0" w:oddHBand="0" w:evenHBand="0" w:firstRowFirstColumn="0" w:firstRowLastColumn="0" w:lastRowFirstColumn="0" w:lastRowLastColumn="0"/>
            </w:pPr>
            <w:r w:rsidRPr="0043591A">
              <w:t>22</w:t>
            </w:r>
          </w:p>
        </w:tc>
        <w:tc>
          <w:tcPr>
            <w:cnfStyle w:val="000010000000" w:firstRow="0" w:lastRow="0" w:firstColumn="0" w:lastColumn="0" w:oddVBand="1" w:evenVBand="0" w:oddHBand="0" w:evenHBand="0" w:firstRowFirstColumn="0" w:firstRowLastColumn="0" w:lastRowFirstColumn="0" w:lastRowLastColumn="0"/>
            <w:tcW w:w="1276" w:type="dxa"/>
          </w:tcPr>
          <w:p w14:paraId="0699341D" w14:textId="51BFD424" w:rsidR="0043591A" w:rsidRPr="0043591A" w:rsidRDefault="0043591A" w:rsidP="00C55968">
            <w:pPr>
              <w:spacing w:line="360" w:lineRule="auto"/>
              <w:jc w:val="center"/>
            </w:pPr>
            <w:r w:rsidRPr="0043591A">
              <w:t>0</w:t>
            </w:r>
          </w:p>
        </w:tc>
        <w:tc>
          <w:tcPr>
            <w:tcW w:w="987" w:type="dxa"/>
          </w:tcPr>
          <w:p w14:paraId="3E70F495" w14:textId="769A7BB9" w:rsidR="0043591A" w:rsidRPr="0043591A" w:rsidRDefault="0043591A" w:rsidP="00C55968">
            <w:pPr>
              <w:spacing w:line="360" w:lineRule="auto"/>
              <w:jc w:val="center"/>
              <w:cnfStyle w:val="000000000000" w:firstRow="0" w:lastRow="0" w:firstColumn="0" w:lastColumn="0" w:oddVBand="0" w:evenVBand="0" w:oddHBand="0" w:evenHBand="0" w:firstRowFirstColumn="0" w:firstRowLastColumn="0" w:lastRowFirstColumn="0" w:lastRowLastColumn="0"/>
            </w:pPr>
            <w:r w:rsidRPr="0043591A">
              <w:t>0</w:t>
            </w:r>
          </w:p>
        </w:tc>
      </w:tr>
      <w:tr w:rsidR="0043591A" w:rsidRPr="0043591A" w14:paraId="19C2000E" w14:textId="77777777" w:rsidTr="0043591A">
        <w:trPr>
          <w:trHeight w:hRule="exact" w:val="255"/>
        </w:trPr>
        <w:tc>
          <w:tcPr>
            <w:cnfStyle w:val="001000000000" w:firstRow="0" w:lastRow="0" w:firstColumn="1" w:lastColumn="0" w:oddVBand="0" w:evenVBand="0" w:oddHBand="0" w:evenHBand="0" w:firstRowFirstColumn="0" w:firstRowLastColumn="0" w:lastRowFirstColumn="0" w:lastRowLastColumn="0"/>
            <w:tcW w:w="1271" w:type="dxa"/>
          </w:tcPr>
          <w:p w14:paraId="25B77190" w14:textId="77777777" w:rsidR="0043591A" w:rsidRPr="0043591A" w:rsidRDefault="0043591A" w:rsidP="00C55968">
            <w:pPr>
              <w:spacing w:line="360" w:lineRule="auto"/>
              <w:jc w:val="center"/>
              <w:rPr>
                <w:b w:val="0"/>
                <w:bCs w:val="0"/>
                <w:color w:val="auto"/>
              </w:rPr>
            </w:pPr>
            <w:r w:rsidRPr="0043591A">
              <w:rPr>
                <w:b w:val="0"/>
                <w:bCs w:val="0"/>
                <w:color w:val="auto"/>
              </w:rPr>
              <w:t>31.12.2018</w:t>
            </w:r>
          </w:p>
        </w:tc>
        <w:tc>
          <w:tcPr>
            <w:cnfStyle w:val="000010000000" w:firstRow="0" w:lastRow="0" w:firstColumn="0" w:lastColumn="0" w:oddVBand="1" w:evenVBand="0" w:oddHBand="0" w:evenHBand="0" w:firstRowFirstColumn="0" w:firstRowLastColumn="0" w:lastRowFirstColumn="0" w:lastRowLastColumn="0"/>
            <w:tcW w:w="1276" w:type="dxa"/>
          </w:tcPr>
          <w:p w14:paraId="098C6008" w14:textId="77777777" w:rsidR="0043591A" w:rsidRPr="0043591A" w:rsidRDefault="0043591A" w:rsidP="00C55968">
            <w:pPr>
              <w:spacing w:line="360" w:lineRule="auto"/>
              <w:jc w:val="center"/>
            </w:pPr>
            <w:r w:rsidRPr="0043591A">
              <w:t>23</w:t>
            </w:r>
          </w:p>
        </w:tc>
        <w:tc>
          <w:tcPr>
            <w:tcW w:w="1134" w:type="dxa"/>
          </w:tcPr>
          <w:p w14:paraId="267FFA75" w14:textId="77777777" w:rsidR="0043591A" w:rsidRPr="0043591A" w:rsidRDefault="0043591A" w:rsidP="00C55968">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14:paraId="694CC7A7" w14:textId="7DEDCA8A" w:rsidR="0043591A" w:rsidRPr="0043591A" w:rsidRDefault="0043591A" w:rsidP="00C55968">
            <w:pPr>
              <w:spacing w:line="360" w:lineRule="auto"/>
              <w:jc w:val="center"/>
            </w:pPr>
            <w:r w:rsidRPr="0043591A">
              <w:t>1</w:t>
            </w:r>
          </w:p>
        </w:tc>
        <w:tc>
          <w:tcPr>
            <w:tcW w:w="1842" w:type="dxa"/>
          </w:tcPr>
          <w:p w14:paraId="41944D13" w14:textId="77777777" w:rsidR="0043591A" w:rsidRPr="0043591A" w:rsidRDefault="0043591A" w:rsidP="00C55968">
            <w:pPr>
              <w:spacing w:line="360" w:lineRule="auto"/>
              <w:jc w:val="center"/>
              <w:cnfStyle w:val="000000000000" w:firstRow="0" w:lastRow="0" w:firstColumn="0" w:lastColumn="0" w:oddVBand="0" w:evenVBand="0" w:oddHBand="0" w:evenHBand="0" w:firstRowFirstColumn="0" w:firstRowLastColumn="0" w:lastRowFirstColumn="0" w:lastRowLastColumn="0"/>
            </w:pPr>
            <w:r w:rsidRPr="0043591A">
              <w:t>22</w:t>
            </w:r>
          </w:p>
        </w:tc>
        <w:tc>
          <w:tcPr>
            <w:cnfStyle w:val="000010000000" w:firstRow="0" w:lastRow="0" w:firstColumn="0" w:lastColumn="0" w:oddVBand="1" w:evenVBand="0" w:oddHBand="0" w:evenHBand="0" w:firstRowFirstColumn="0" w:firstRowLastColumn="0" w:lastRowFirstColumn="0" w:lastRowLastColumn="0"/>
            <w:tcW w:w="1276" w:type="dxa"/>
          </w:tcPr>
          <w:p w14:paraId="715DB1F5" w14:textId="473A5AD2" w:rsidR="0043591A" w:rsidRPr="0043591A" w:rsidRDefault="0043591A" w:rsidP="00C55968">
            <w:pPr>
              <w:spacing w:line="360" w:lineRule="auto"/>
              <w:jc w:val="center"/>
            </w:pPr>
            <w:r w:rsidRPr="0043591A">
              <w:t>0</w:t>
            </w:r>
          </w:p>
        </w:tc>
        <w:tc>
          <w:tcPr>
            <w:tcW w:w="987" w:type="dxa"/>
          </w:tcPr>
          <w:p w14:paraId="3280FEF6" w14:textId="1F895515" w:rsidR="0043591A" w:rsidRPr="0043591A" w:rsidRDefault="0043591A" w:rsidP="00C55968">
            <w:pPr>
              <w:spacing w:line="360" w:lineRule="auto"/>
              <w:jc w:val="center"/>
              <w:cnfStyle w:val="000000000000" w:firstRow="0" w:lastRow="0" w:firstColumn="0" w:lastColumn="0" w:oddVBand="0" w:evenVBand="0" w:oddHBand="0" w:evenHBand="0" w:firstRowFirstColumn="0" w:firstRowLastColumn="0" w:lastRowFirstColumn="0" w:lastRowLastColumn="0"/>
            </w:pPr>
            <w:r w:rsidRPr="0043591A">
              <w:t>0</w:t>
            </w:r>
          </w:p>
        </w:tc>
      </w:tr>
      <w:tr w:rsidR="0043591A" w:rsidRPr="0043591A" w14:paraId="0FD0F8E9" w14:textId="77777777" w:rsidTr="0043591A">
        <w:trPr>
          <w:trHeight w:hRule="exact" w:val="255"/>
        </w:trPr>
        <w:tc>
          <w:tcPr>
            <w:cnfStyle w:val="001000000000" w:firstRow="0" w:lastRow="0" w:firstColumn="1" w:lastColumn="0" w:oddVBand="0" w:evenVBand="0" w:oddHBand="0" w:evenHBand="0" w:firstRowFirstColumn="0" w:firstRowLastColumn="0" w:lastRowFirstColumn="0" w:lastRowLastColumn="0"/>
            <w:tcW w:w="1271" w:type="dxa"/>
          </w:tcPr>
          <w:p w14:paraId="4288E703" w14:textId="77777777" w:rsidR="0043591A" w:rsidRPr="0043591A" w:rsidRDefault="0043591A" w:rsidP="00C55968">
            <w:pPr>
              <w:spacing w:line="360" w:lineRule="auto"/>
              <w:jc w:val="center"/>
              <w:rPr>
                <w:b w:val="0"/>
                <w:bCs w:val="0"/>
                <w:color w:val="auto"/>
              </w:rPr>
            </w:pPr>
            <w:r w:rsidRPr="0043591A">
              <w:rPr>
                <w:b w:val="0"/>
                <w:bCs w:val="0"/>
                <w:color w:val="auto"/>
              </w:rPr>
              <w:t>31.12.2019</w:t>
            </w:r>
          </w:p>
        </w:tc>
        <w:tc>
          <w:tcPr>
            <w:cnfStyle w:val="000010000000" w:firstRow="0" w:lastRow="0" w:firstColumn="0" w:lastColumn="0" w:oddVBand="1" w:evenVBand="0" w:oddHBand="0" w:evenHBand="0" w:firstRowFirstColumn="0" w:firstRowLastColumn="0" w:lastRowFirstColumn="0" w:lastRowLastColumn="0"/>
            <w:tcW w:w="1276" w:type="dxa"/>
          </w:tcPr>
          <w:p w14:paraId="19133456" w14:textId="77777777" w:rsidR="0043591A" w:rsidRPr="0043591A" w:rsidRDefault="0043591A" w:rsidP="00C55968">
            <w:pPr>
              <w:spacing w:line="360" w:lineRule="auto"/>
              <w:jc w:val="center"/>
            </w:pPr>
            <w:r w:rsidRPr="0043591A">
              <w:t>24</w:t>
            </w:r>
          </w:p>
        </w:tc>
        <w:tc>
          <w:tcPr>
            <w:tcW w:w="1134" w:type="dxa"/>
          </w:tcPr>
          <w:p w14:paraId="324CF632" w14:textId="77777777" w:rsidR="0043591A" w:rsidRPr="0043591A" w:rsidRDefault="0043591A" w:rsidP="00C55968">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14:paraId="10CB7D58" w14:textId="16B82AC1" w:rsidR="0043591A" w:rsidRPr="0043591A" w:rsidRDefault="0043591A" w:rsidP="00C55968">
            <w:pPr>
              <w:spacing w:line="360" w:lineRule="auto"/>
              <w:jc w:val="center"/>
            </w:pPr>
            <w:r w:rsidRPr="0043591A">
              <w:t>4</w:t>
            </w:r>
          </w:p>
        </w:tc>
        <w:tc>
          <w:tcPr>
            <w:tcW w:w="1842" w:type="dxa"/>
          </w:tcPr>
          <w:p w14:paraId="699451FD" w14:textId="77777777" w:rsidR="0043591A" w:rsidRPr="0043591A" w:rsidRDefault="0043591A" w:rsidP="00C55968">
            <w:pPr>
              <w:spacing w:line="360" w:lineRule="auto"/>
              <w:jc w:val="center"/>
              <w:cnfStyle w:val="000000000000" w:firstRow="0" w:lastRow="0" w:firstColumn="0" w:lastColumn="0" w:oddVBand="0" w:evenVBand="0" w:oddHBand="0" w:evenHBand="0" w:firstRowFirstColumn="0" w:firstRowLastColumn="0" w:lastRowFirstColumn="0" w:lastRowLastColumn="0"/>
            </w:pPr>
            <w:r w:rsidRPr="0043591A">
              <w:t>21</w:t>
            </w:r>
          </w:p>
        </w:tc>
        <w:tc>
          <w:tcPr>
            <w:cnfStyle w:val="000010000000" w:firstRow="0" w:lastRow="0" w:firstColumn="0" w:lastColumn="0" w:oddVBand="1" w:evenVBand="0" w:oddHBand="0" w:evenHBand="0" w:firstRowFirstColumn="0" w:firstRowLastColumn="0" w:lastRowFirstColumn="0" w:lastRowLastColumn="0"/>
            <w:tcW w:w="1276" w:type="dxa"/>
          </w:tcPr>
          <w:p w14:paraId="7A1A3983" w14:textId="24BAF9CA" w:rsidR="0043591A" w:rsidRPr="0043591A" w:rsidRDefault="0043591A" w:rsidP="00C55968">
            <w:pPr>
              <w:spacing w:line="360" w:lineRule="auto"/>
              <w:jc w:val="center"/>
            </w:pPr>
            <w:r w:rsidRPr="0043591A">
              <w:t>0</w:t>
            </w:r>
          </w:p>
        </w:tc>
        <w:tc>
          <w:tcPr>
            <w:tcW w:w="987" w:type="dxa"/>
          </w:tcPr>
          <w:p w14:paraId="5B1D584A" w14:textId="7291B741" w:rsidR="0043591A" w:rsidRPr="0043591A" w:rsidRDefault="0043591A" w:rsidP="00C55968">
            <w:pPr>
              <w:spacing w:line="360" w:lineRule="auto"/>
              <w:jc w:val="center"/>
              <w:cnfStyle w:val="000000000000" w:firstRow="0" w:lastRow="0" w:firstColumn="0" w:lastColumn="0" w:oddVBand="0" w:evenVBand="0" w:oddHBand="0" w:evenHBand="0" w:firstRowFirstColumn="0" w:firstRowLastColumn="0" w:lastRowFirstColumn="0" w:lastRowLastColumn="0"/>
            </w:pPr>
            <w:r w:rsidRPr="0043591A">
              <w:t>0</w:t>
            </w:r>
          </w:p>
        </w:tc>
      </w:tr>
      <w:tr w:rsidR="0043591A" w:rsidRPr="0043591A" w14:paraId="70A402B6" w14:textId="77777777" w:rsidTr="0043591A">
        <w:trPr>
          <w:trHeight w:hRule="exact" w:val="255"/>
        </w:trPr>
        <w:tc>
          <w:tcPr>
            <w:cnfStyle w:val="001000000000" w:firstRow="0" w:lastRow="0" w:firstColumn="1" w:lastColumn="0" w:oddVBand="0" w:evenVBand="0" w:oddHBand="0" w:evenHBand="0" w:firstRowFirstColumn="0" w:firstRowLastColumn="0" w:lastRowFirstColumn="0" w:lastRowLastColumn="0"/>
            <w:tcW w:w="1271" w:type="dxa"/>
          </w:tcPr>
          <w:p w14:paraId="5EE9B6F1" w14:textId="77777777" w:rsidR="0043591A" w:rsidRPr="0043591A" w:rsidRDefault="0043591A" w:rsidP="00C55968">
            <w:pPr>
              <w:spacing w:line="360" w:lineRule="auto"/>
              <w:jc w:val="center"/>
              <w:rPr>
                <w:b w:val="0"/>
                <w:bCs w:val="0"/>
                <w:color w:val="auto"/>
              </w:rPr>
            </w:pPr>
            <w:r w:rsidRPr="0043591A">
              <w:rPr>
                <w:b w:val="0"/>
                <w:bCs w:val="0"/>
                <w:color w:val="auto"/>
              </w:rPr>
              <w:t>31.12.2020</w:t>
            </w:r>
          </w:p>
        </w:tc>
        <w:tc>
          <w:tcPr>
            <w:cnfStyle w:val="000010000000" w:firstRow="0" w:lastRow="0" w:firstColumn="0" w:lastColumn="0" w:oddVBand="1" w:evenVBand="0" w:oddHBand="0" w:evenHBand="0" w:firstRowFirstColumn="0" w:firstRowLastColumn="0" w:lastRowFirstColumn="0" w:lastRowLastColumn="0"/>
            <w:tcW w:w="1276" w:type="dxa"/>
          </w:tcPr>
          <w:p w14:paraId="471C3383" w14:textId="77777777" w:rsidR="0043591A" w:rsidRPr="0043591A" w:rsidRDefault="0043591A" w:rsidP="00C55968">
            <w:pPr>
              <w:spacing w:line="360" w:lineRule="auto"/>
              <w:jc w:val="center"/>
            </w:pPr>
            <w:r w:rsidRPr="0043591A">
              <w:t>28</w:t>
            </w:r>
          </w:p>
        </w:tc>
        <w:tc>
          <w:tcPr>
            <w:tcW w:w="1134" w:type="dxa"/>
          </w:tcPr>
          <w:p w14:paraId="4F0AE75D" w14:textId="77777777" w:rsidR="0043591A" w:rsidRPr="0043591A" w:rsidRDefault="0043591A" w:rsidP="00C55968">
            <w:pPr>
              <w:spacing w:line="360" w:lineRule="auto"/>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276" w:type="dxa"/>
          </w:tcPr>
          <w:p w14:paraId="1FF0FB03" w14:textId="4D8DABF6" w:rsidR="0043591A" w:rsidRPr="0043591A" w:rsidRDefault="0043591A" w:rsidP="00C55968">
            <w:pPr>
              <w:spacing w:line="360" w:lineRule="auto"/>
              <w:jc w:val="center"/>
            </w:pPr>
            <w:r w:rsidRPr="0043591A">
              <w:t>5</w:t>
            </w:r>
          </w:p>
        </w:tc>
        <w:tc>
          <w:tcPr>
            <w:tcW w:w="1842" w:type="dxa"/>
          </w:tcPr>
          <w:p w14:paraId="7ADA746F" w14:textId="77777777" w:rsidR="0043591A" w:rsidRPr="0043591A" w:rsidRDefault="0043591A" w:rsidP="00C55968">
            <w:pPr>
              <w:spacing w:line="360" w:lineRule="auto"/>
              <w:jc w:val="center"/>
              <w:cnfStyle w:val="000000000000" w:firstRow="0" w:lastRow="0" w:firstColumn="0" w:lastColumn="0" w:oddVBand="0" w:evenVBand="0" w:oddHBand="0" w:evenHBand="0" w:firstRowFirstColumn="0" w:firstRowLastColumn="0" w:lastRowFirstColumn="0" w:lastRowLastColumn="0"/>
            </w:pPr>
            <w:r w:rsidRPr="0043591A">
              <w:t>23</w:t>
            </w:r>
          </w:p>
        </w:tc>
        <w:tc>
          <w:tcPr>
            <w:cnfStyle w:val="000010000000" w:firstRow="0" w:lastRow="0" w:firstColumn="0" w:lastColumn="0" w:oddVBand="1" w:evenVBand="0" w:oddHBand="0" w:evenHBand="0" w:firstRowFirstColumn="0" w:firstRowLastColumn="0" w:lastRowFirstColumn="0" w:lastRowLastColumn="0"/>
            <w:tcW w:w="1276" w:type="dxa"/>
          </w:tcPr>
          <w:p w14:paraId="29B1B811" w14:textId="6356E33A" w:rsidR="0043591A" w:rsidRPr="0043591A" w:rsidRDefault="0043591A" w:rsidP="00C55968">
            <w:pPr>
              <w:spacing w:line="360" w:lineRule="auto"/>
              <w:jc w:val="center"/>
            </w:pPr>
            <w:r w:rsidRPr="0043591A">
              <w:t>0</w:t>
            </w:r>
          </w:p>
        </w:tc>
        <w:tc>
          <w:tcPr>
            <w:tcW w:w="987" w:type="dxa"/>
          </w:tcPr>
          <w:p w14:paraId="21EF33D4" w14:textId="5B303465" w:rsidR="0043591A" w:rsidRPr="0043591A" w:rsidRDefault="0043591A" w:rsidP="00C55968">
            <w:pPr>
              <w:spacing w:line="360" w:lineRule="auto"/>
              <w:jc w:val="center"/>
              <w:cnfStyle w:val="000000000000" w:firstRow="0" w:lastRow="0" w:firstColumn="0" w:lastColumn="0" w:oddVBand="0" w:evenVBand="0" w:oddHBand="0" w:evenHBand="0" w:firstRowFirstColumn="0" w:firstRowLastColumn="0" w:lastRowFirstColumn="0" w:lastRowLastColumn="0"/>
            </w:pPr>
            <w:r w:rsidRPr="0043591A">
              <w:t>0</w:t>
            </w:r>
          </w:p>
        </w:tc>
      </w:tr>
      <w:tr w:rsidR="0043591A" w:rsidRPr="0043591A" w14:paraId="473FCBC0" w14:textId="77777777" w:rsidTr="0043591A">
        <w:trPr>
          <w:trHeight w:hRule="exact" w:val="255"/>
        </w:trPr>
        <w:tc>
          <w:tcPr>
            <w:cnfStyle w:val="001000000000" w:firstRow="0" w:lastRow="0" w:firstColumn="1" w:lastColumn="0" w:oddVBand="0" w:evenVBand="0" w:oddHBand="0" w:evenHBand="0" w:firstRowFirstColumn="0" w:firstRowLastColumn="0" w:lastRowFirstColumn="0" w:lastRowLastColumn="0"/>
            <w:tcW w:w="1271" w:type="dxa"/>
          </w:tcPr>
          <w:p w14:paraId="03747319" w14:textId="71B55933" w:rsidR="0043591A" w:rsidRPr="0043591A" w:rsidRDefault="0043591A" w:rsidP="00C55968">
            <w:pPr>
              <w:spacing w:line="360" w:lineRule="auto"/>
              <w:jc w:val="center"/>
              <w:rPr>
                <w:b w:val="0"/>
                <w:bCs w:val="0"/>
                <w:color w:val="auto"/>
              </w:rPr>
            </w:pPr>
            <w:r w:rsidRPr="0043591A">
              <w:rPr>
                <w:b w:val="0"/>
                <w:bCs w:val="0"/>
                <w:color w:val="auto"/>
              </w:rPr>
              <w:t>31.12.2021</w:t>
            </w:r>
          </w:p>
        </w:tc>
        <w:tc>
          <w:tcPr>
            <w:cnfStyle w:val="000010000000" w:firstRow="0" w:lastRow="0" w:firstColumn="0" w:lastColumn="0" w:oddVBand="1" w:evenVBand="0" w:oddHBand="0" w:evenHBand="0" w:firstRowFirstColumn="0" w:firstRowLastColumn="0" w:lastRowFirstColumn="0" w:lastRowLastColumn="0"/>
            <w:tcW w:w="1276" w:type="dxa"/>
          </w:tcPr>
          <w:p w14:paraId="257027A7" w14:textId="110A4446" w:rsidR="0043591A" w:rsidRPr="0043591A" w:rsidRDefault="0043591A" w:rsidP="00C55968">
            <w:pPr>
              <w:spacing w:line="360" w:lineRule="auto"/>
              <w:jc w:val="center"/>
            </w:pPr>
            <w:r w:rsidRPr="0043591A">
              <w:t>28</w:t>
            </w:r>
          </w:p>
        </w:tc>
        <w:tc>
          <w:tcPr>
            <w:tcW w:w="1134" w:type="dxa"/>
          </w:tcPr>
          <w:p w14:paraId="65039672" w14:textId="6866CDE1" w:rsidR="0043591A" w:rsidRPr="0043591A" w:rsidRDefault="0043591A" w:rsidP="00C55968">
            <w:pPr>
              <w:spacing w:line="360" w:lineRule="auto"/>
              <w:jc w:val="center"/>
              <w:cnfStyle w:val="000000000000" w:firstRow="0" w:lastRow="0" w:firstColumn="0" w:lastColumn="0" w:oddVBand="0" w:evenVBand="0" w:oddHBand="0" w:evenHBand="0" w:firstRowFirstColumn="0" w:firstRowLastColumn="0" w:lastRowFirstColumn="0" w:lastRowLastColumn="0"/>
            </w:pPr>
            <w:r w:rsidRPr="0043591A">
              <w:t>1</w:t>
            </w:r>
          </w:p>
        </w:tc>
        <w:tc>
          <w:tcPr>
            <w:cnfStyle w:val="000010000000" w:firstRow="0" w:lastRow="0" w:firstColumn="0" w:lastColumn="0" w:oddVBand="1" w:evenVBand="0" w:oddHBand="0" w:evenHBand="0" w:firstRowFirstColumn="0" w:firstRowLastColumn="0" w:lastRowFirstColumn="0" w:lastRowLastColumn="0"/>
            <w:tcW w:w="1276" w:type="dxa"/>
          </w:tcPr>
          <w:p w14:paraId="5AADF387" w14:textId="705AC34F" w:rsidR="0043591A" w:rsidRPr="0043591A" w:rsidRDefault="0043591A" w:rsidP="00C55968">
            <w:pPr>
              <w:spacing w:line="360" w:lineRule="auto"/>
              <w:jc w:val="center"/>
            </w:pPr>
            <w:r w:rsidRPr="0043591A">
              <w:t>5</w:t>
            </w:r>
          </w:p>
        </w:tc>
        <w:tc>
          <w:tcPr>
            <w:tcW w:w="1842" w:type="dxa"/>
          </w:tcPr>
          <w:p w14:paraId="5E647548" w14:textId="3A9B78D7" w:rsidR="0043591A" w:rsidRPr="0043591A" w:rsidRDefault="0043591A" w:rsidP="00C55968">
            <w:pPr>
              <w:spacing w:line="360" w:lineRule="auto"/>
              <w:jc w:val="center"/>
              <w:cnfStyle w:val="000000000000" w:firstRow="0" w:lastRow="0" w:firstColumn="0" w:lastColumn="0" w:oddVBand="0" w:evenVBand="0" w:oddHBand="0" w:evenHBand="0" w:firstRowFirstColumn="0" w:firstRowLastColumn="0" w:lastRowFirstColumn="0" w:lastRowLastColumn="0"/>
            </w:pPr>
            <w:r w:rsidRPr="0043591A">
              <w:t>22</w:t>
            </w:r>
          </w:p>
        </w:tc>
        <w:tc>
          <w:tcPr>
            <w:cnfStyle w:val="000010000000" w:firstRow="0" w:lastRow="0" w:firstColumn="0" w:lastColumn="0" w:oddVBand="1" w:evenVBand="0" w:oddHBand="0" w:evenHBand="0" w:firstRowFirstColumn="0" w:firstRowLastColumn="0" w:lastRowFirstColumn="0" w:lastRowLastColumn="0"/>
            <w:tcW w:w="1276" w:type="dxa"/>
          </w:tcPr>
          <w:p w14:paraId="4EF432EE" w14:textId="7977A73E" w:rsidR="0043591A" w:rsidRPr="0043591A" w:rsidRDefault="0043591A" w:rsidP="00C55968">
            <w:pPr>
              <w:spacing w:line="360" w:lineRule="auto"/>
              <w:jc w:val="center"/>
            </w:pPr>
            <w:r w:rsidRPr="0043591A">
              <w:t>0</w:t>
            </w:r>
          </w:p>
        </w:tc>
        <w:tc>
          <w:tcPr>
            <w:tcW w:w="987" w:type="dxa"/>
          </w:tcPr>
          <w:p w14:paraId="0952C442" w14:textId="7E57FF3D" w:rsidR="0043591A" w:rsidRPr="0043591A" w:rsidRDefault="0043591A" w:rsidP="00C55968">
            <w:pPr>
              <w:spacing w:line="360" w:lineRule="auto"/>
              <w:jc w:val="center"/>
              <w:cnfStyle w:val="000000000000" w:firstRow="0" w:lastRow="0" w:firstColumn="0" w:lastColumn="0" w:oddVBand="0" w:evenVBand="0" w:oddHBand="0" w:evenHBand="0" w:firstRowFirstColumn="0" w:firstRowLastColumn="0" w:lastRowFirstColumn="0" w:lastRowLastColumn="0"/>
            </w:pPr>
            <w:r w:rsidRPr="0043591A">
              <w:t>0</w:t>
            </w:r>
          </w:p>
        </w:tc>
      </w:tr>
    </w:tbl>
    <w:p w14:paraId="387F1B74" w14:textId="77777777" w:rsidR="00B65A09" w:rsidRDefault="00B65A09" w:rsidP="00B65A09"/>
    <w:p w14:paraId="48100359" w14:textId="14001CE9" w:rsidR="00B65A09" w:rsidRDefault="00080612" w:rsidP="00B65A09">
      <w:r w:rsidRPr="00080612">
        <w:t xml:space="preserve">Kot je razvidno iz tabele, je bil na dan 31. 12. 2021 v </w:t>
      </w:r>
      <w:r w:rsidR="0008493C">
        <w:t>u</w:t>
      </w:r>
      <w:r w:rsidRPr="00080612">
        <w:t xml:space="preserve">radu zaposlen en uslužbenec z zaključenim doktoratom (3,5%), pet  uslužbencev z znanstvenim magisterijem (17,8% delež) in 22 </w:t>
      </w:r>
      <w:r w:rsidR="0008493C">
        <w:t>uslužbencev</w:t>
      </w:r>
      <w:r w:rsidRPr="00080612">
        <w:t xml:space="preserve"> z univerzitetno oziroma visoko strokovno izobrazbo pravne, ekonomske, upravne in elektrotehniške smeri (78,5% delež).</w:t>
      </w:r>
    </w:p>
    <w:p w14:paraId="7F487D86" w14:textId="77777777" w:rsidR="00443A72" w:rsidRDefault="00443A72" w:rsidP="00B65A09"/>
    <w:p w14:paraId="295D54A9" w14:textId="5FC01EB6" w:rsidR="00B65A09" w:rsidRDefault="00B65A09" w:rsidP="00E02BEB">
      <w:pPr>
        <w:pStyle w:val="Naslov2"/>
      </w:pPr>
      <w:bookmarkStart w:id="87" w:name="_Toc119581752"/>
      <w:r>
        <w:t>FINANČNO-MATERIALNO POSLOVANJE</w:t>
      </w:r>
      <w:bookmarkEnd w:id="87"/>
    </w:p>
    <w:p w14:paraId="7C859D60" w14:textId="77777777" w:rsidR="00B65A09" w:rsidRDefault="00B65A09" w:rsidP="00B65A09"/>
    <w:p w14:paraId="0F866409" w14:textId="28E1A188" w:rsidR="00B65A09" w:rsidRDefault="00443A72" w:rsidP="00B65A09">
      <w:r w:rsidRPr="0008493C">
        <w:rPr>
          <w:b/>
          <w:bCs/>
        </w:rPr>
        <w:t>Višina proračunskih sredstev</w:t>
      </w:r>
      <w:r w:rsidRPr="00443A72">
        <w:t xml:space="preserve"> načrtovanih v finančnem načrtu </w:t>
      </w:r>
      <w:r w:rsidR="0008493C">
        <w:t>u</w:t>
      </w:r>
      <w:r w:rsidRPr="00443A72">
        <w:t xml:space="preserve">rada je za leto 2021 znašala </w:t>
      </w:r>
      <w:r w:rsidRPr="0008493C">
        <w:rPr>
          <w:b/>
          <w:bCs/>
        </w:rPr>
        <w:t>1.238.930 EUR.</w:t>
      </w:r>
      <w:r w:rsidRPr="00443A72">
        <w:t xml:space="preserve"> Na predlog </w:t>
      </w:r>
      <w:r w:rsidR="0008493C">
        <w:t>u</w:t>
      </w:r>
      <w:r w:rsidRPr="00443A72">
        <w:t xml:space="preserve">rada se je struktura planiranih sredstev znotraj posameznih postavk do konca leta  nekoliko spremenila, saj so bile med letom opravljene manjše prerazporeditve sredstev. Od načrtovanih sredstev je bilo za plače in druge izdatke zaposlenih, za blago in storitve, za plačilo članarine </w:t>
      </w:r>
      <w:r w:rsidRPr="00443A72">
        <w:lastRenderedPageBreak/>
        <w:t>organizacije EGMONT, manjše investicije porabljenih skupno 1.290.561 EUR oz. 4,2% več od načrtovanega.</w:t>
      </w:r>
    </w:p>
    <w:p w14:paraId="1ED3CE7E" w14:textId="77777777" w:rsidR="005457CC" w:rsidRDefault="005457CC" w:rsidP="00B65A09"/>
    <w:p w14:paraId="31B86BE9" w14:textId="3BDE2D2E" w:rsidR="00B65A09" w:rsidRDefault="00B65A09" w:rsidP="00E02BEB">
      <w:pPr>
        <w:pStyle w:val="Naslov2"/>
      </w:pPr>
      <w:bookmarkStart w:id="88" w:name="_Toc119581753"/>
      <w:r>
        <w:t>INFORMATIKA</w:t>
      </w:r>
      <w:bookmarkEnd w:id="88"/>
    </w:p>
    <w:p w14:paraId="227CDD44" w14:textId="77777777" w:rsidR="00D24AB6" w:rsidRDefault="00D24AB6" w:rsidP="00D24AB6">
      <w:pPr>
        <w:spacing w:line="276" w:lineRule="auto"/>
      </w:pPr>
    </w:p>
    <w:p w14:paraId="6EA7AE88" w14:textId="7C4A8F51" w:rsidR="00D24AB6" w:rsidRDefault="00D24AB6" w:rsidP="00D24AB6">
      <w:pPr>
        <w:spacing w:line="276" w:lineRule="auto"/>
      </w:pPr>
      <w:r w:rsidRPr="00424274">
        <w:t xml:space="preserve">Služba za informatiko </w:t>
      </w:r>
      <w:r>
        <w:t>urad</w:t>
      </w:r>
      <w:r w:rsidRPr="00424274">
        <w:t xml:space="preserve">a </w:t>
      </w:r>
      <w:r>
        <w:t>se je reorganizirala</w:t>
      </w:r>
      <w:r w:rsidR="0008493C">
        <w:t xml:space="preserve"> in je v letu 2021 z</w:t>
      </w:r>
      <w:r>
        <w:t xml:space="preserve">ačela je delati v sklopu </w:t>
      </w:r>
      <w:bookmarkStart w:id="89" w:name="_Hlk96498445"/>
      <w:r>
        <w:t>Sektorja za splošne zadeve in informacijsko podporo</w:t>
      </w:r>
      <w:bookmarkEnd w:id="89"/>
      <w:r>
        <w:t xml:space="preserve">. </w:t>
      </w:r>
      <w:bookmarkStart w:id="90" w:name="_Toc45272765"/>
      <w:bookmarkStart w:id="91" w:name="_Toc77082181"/>
      <w:bookmarkStart w:id="92" w:name="_Toc83192724"/>
    </w:p>
    <w:p w14:paraId="31DF78D0" w14:textId="77777777" w:rsidR="00D24AB6" w:rsidRDefault="00D24AB6" w:rsidP="00D24AB6">
      <w:pPr>
        <w:spacing w:line="276" w:lineRule="auto"/>
      </w:pPr>
    </w:p>
    <w:p w14:paraId="652AA27F" w14:textId="51DB0FF5" w:rsidR="00D24AB6" w:rsidRPr="00424274" w:rsidRDefault="00D24AB6" w:rsidP="00D24AB6">
      <w:pPr>
        <w:pStyle w:val="Naslov3"/>
      </w:pPr>
      <w:r w:rsidRPr="00424274">
        <w:t xml:space="preserve"> </w:t>
      </w:r>
      <w:bookmarkStart w:id="93" w:name="_Toc119581754"/>
      <w:r>
        <w:t>V</w:t>
      </w:r>
      <w:r w:rsidRPr="00424274">
        <w:t>zdrževanje IT</w:t>
      </w:r>
      <w:r>
        <w:t>-</w:t>
      </w:r>
      <w:r w:rsidRPr="00424274">
        <w:t>sistemov</w:t>
      </w:r>
      <w:bookmarkEnd w:id="90"/>
      <w:bookmarkEnd w:id="91"/>
      <w:bookmarkEnd w:id="92"/>
      <w:r>
        <w:t xml:space="preserve"> notranjega omrežja</w:t>
      </w:r>
      <w:bookmarkEnd w:id="93"/>
    </w:p>
    <w:p w14:paraId="2FA8C14C" w14:textId="77777777" w:rsidR="00D24AB6" w:rsidRPr="00424274" w:rsidRDefault="00D24AB6" w:rsidP="00D24AB6">
      <w:pPr>
        <w:spacing w:line="276" w:lineRule="auto"/>
      </w:pPr>
    </w:p>
    <w:p w14:paraId="0B251467" w14:textId="443F8CEC" w:rsidR="00D24AB6" w:rsidRPr="00424274" w:rsidRDefault="00D24AB6" w:rsidP="00D24AB6">
      <w:pPr>
        <w:spacing w:line="276" w:lineRule="auto"/>
        <w:rPr>
          <w:iCs/>
        </w:rPr>
      </w:pPr>
      <w:r>
        <w:rPr>
          <w:iCs/>
        </w:rPr>
        <w:t xml:space="preserve">Informacijska podpora </w:t>
      </w:r>
      <w:r w:rsidRPr="00424274">
        <w:rPr>
          <w:iCs/>
        </w:rPr>
        <w:t xml:space="preserve"> je v letu 202</w:t>
      </w:r>
      <w:r>
        <w:rPr>
          <w:iCs/>
        </w:rPr>
        <w:t>1 zagotavljala vzdrževanje informacijskih rešitev notranjega omrežja  samostojno ali s pomočjo zunanjih pogodbenih izvajalcev. Vzdrževal</w:t>
      </w:r>
      <w:r w:rsidR="0008493C">
        <w:rPr>
          <w:iCs/>
        </w:rPr>
        <w:t>e</w:t>
      </w:r>
      <w:r>
        <w:rPr>
          <w:iCs/>
        </w:rPr>
        <w:t xml:space="preserve"> so se naslednje informacijske rešitve:</w:t>
      </w:r>
    </w:p>
    <w:p w14:paraId="288C75E2" w14:textId="77777777" w:rsidR="00D24AB6" w:rsidRPr="009133AC" w:rsidRDefault="00D24AB6" w:rsidP="009133AC">
      <w:pPr>
        <w:pStyle w:val="Odstavekseznama"/>
        <w:ind w:left="851" w:hanging="284"/>
      </w:pPr>
      <w:r w:rsidRPr="009133AC">
        <w:t xml:space="preserve">informacijska rešitev </w:t>
      </w:r>
      <w:r w:rsidRPr="0008493C">
        <w:rPr>
          <w:b/>
          <w:bCs/>
        </w:rPr>
        <w:t>ePPD (ISUPPD)</w:t>
      </w:r>
      <w:r w:rsidRPr="009133AC">
        <w:t xml:space="preserve"> v sodelovanju z A-soft d.o.o.</w:t>
      </w:r>
    </w:p>
    <w:p w14:paraId="2F931700" w14:textId="77777777" w:rsidR="00D24AB6" w:rsidRPr="009133AC" w:rsidRDefault="00D24AB6" w:rsidP="009133AC">
      <w:pPr>
        <w:pStyle w:val="Odstavekseznama"/>
        <w:ind w:left="851" w:hanging="284"/>
      </w:pPr>
      <w:r w:rsidRPr="009133AC">
        <w:t xml:space="preserve">informacijski sistem za inšpekcijski nadzor – </w:t>
      </w:r>
      <w:r w:rsidRPr="0008493C">
        <w:rPr>
          <w:b/>
          <w:bCs/>
        </w:rPr>
        <w:t>INSPIS</w:t>
      </w:r>
      <w:r w:rsidRPr="009133AC">
        <w:t>; samostojno</w:t>
      </w:r>
    </w:p>
    <w:p w14:paraId="3BA39D7A" w14:textId="727F2C0E" w:rsidR="009133AC" w:rsidRPr="004B1415" w:rsidRDefault="00D24AB6" w:rsidP="005A0CAB">
      <w:pPr>
        <w:pStyle w:val="Odstavekseznama"/>
        <w:spacing w:line="276" w:lineRule="auto"/>
        <w:ind w:left="851" w:hanging="284"/>
        <w:rPr>
          <w:iCs/>
        </w:rPr>
      </w:pPr>
      <w:r w:rsidRPr="009133AC">
        <w:t xml:space="preserve">dokumentni sistem </w:t>
      </w:r>
      <w:r w:rsidRPr="004B1415">
        <w:rPr>
          <w:b/>
          <w:bCs/>
        </w:rPr>
        <w:t>KRPAN</w:t>
      </w:r>
      <w:r w:rsidR="0008493C" w:rsidRPr="004B1415">
        <w:rPr>
          <w:b/>
          <w:bCs/>
        </w:rPr>
        <w:t xml:space="preserve"> </w:t>
      </w:r>
      <w:r w:rsidRPr="009133AC">
        <w:t>v sodelovanju z Avtenta d.o.o.</w:t>
      </w:r>
    </w:p>
    <w:p w14:paraId="13CA1537" w14:textId="77777777" w:rsidR="004B1415" w:rsidRPr="004B1415" w:rsidRDefault="004B1415" w:rsidP="004B1415">
      <w:pPr>
        <w:pStyle w:val="Odstavekseznama"/>
        <w:numPr>
          <w:ilvl w:val="0"/>
          <w:numId w:val="0"/>
        </w:numPr>
        <w:spacing w:line="276" w:lineRule="auto"/>
        <w:ind w:left="851"/>
        <w:rPr>
          <w:iCs/>
        </w:rPr>
      </w:pPr>
    </w:p>
    <w:p w14:paraId="71A58A36" w14:textId="0032DD15" w:rsidR="00D24AB6" w:rsidRDefault="00D24AB6" w:rsidP="00D24AB6">
      <w:pPr>
        <w:pStyle w:val="Naslov3"/>
      </w:pPr>
      <w:bookmarkStart w:id="94" w:name="_Toc45272767"/>
      <w:bookmarkStart w:id="95" w:name="_Toc77082183"/>
      <w:bookmarkStart w:id="96" w:name="_Toc83192726"/>
      <w:bookmarkStart w:id="97" w:name="_Toc119581755"/>
      <w:r w:rsidRPr="00424274">
        <w:t xml:space="preserve">Vzdrževanje podatkovne baze in evidenčnega sistema </w:t>
      </w:r>
      <w:r>
        <w:t>urad</w:t>
      </w:r>
      <w:r w:rsidRPr="00424274">
        <w:t>a</w:t>
      </w:r>
      <w:bookmarkEnd w:id="94"/>
      <w:bookmarkEnd w:id="95"/>
      <w:bookmarkEnd w:id="96"/>
      <w:bookmarkEnd w:id="97"/>
    </w:p>
    <w:p w14:paraId="5F7F474D" w14:textId="77777777" w:rsidR="005C427F" w:rsidRPr="005C427F" w:rsidRDefault="005C427F" w:rsidP="005C427F"/>
    <w:p w14:paraId="76B420F1" w14:textId="58BA443A" w:rsidR="00D24AB6" w:rsidRDefault="003F3061" w:rsidP="00D24AB6">
      <w:pPr>
        <w:spacing w:line="276" w:lineRule="auto"/>
      </w:pPr>
      <w:r>
        <w:t>Vse</w:t>
      </w:r>
      <w:r w:rsidR="00D24AB6" w:rsidRPr="00424274">
        <w:t xml:space="preserve"> leto so potekale aktivnosti administriranja podatkovne baze in boljše organizacije podatkov zaradi stalno spreminjajočega </w:t>
      </w:r>
      <w:r w:rsidR="00D24AB6">
        <w:t xml:space="preserve">se </w:t>
      </w:r>
      <w:r w:rsidR="00D24AB6" w:rsidRPr="00424274">
        <w:t xml:space="preserve">obsega sporočanja zavezancev po ZPPDFT-1. Aktivnosti so bile najbolj intenzivne v prvih mesecih leta, ko je </w:t>
      </w:r>
      <w:r w:rsidR="00D24AB6">
        <w:t>treba</w:t>
      </w:r>
      <w:r w:rsidR="00D24AB6" w:rsidRPr="00424274">
        <w:t xml:space="preserve"> sporočene podatke urediti zaradi izdelave statistike za letno poročilo. Hkrati z aktivnostmi, ki potekajo na podatkovni bazi</w:t>
      </w:r>
      <w:r w:rsidR="00D24AB6">
        <w:t>,</w:t>
      </w:r>
      <w:r w:rsidR="00D24AB6" w:rsidRPr="00424274">
        <w:t xml:space="preserve"> se izvajajo aktivnosti </w:t>
      </w:r>
      <w:r w:rsidR="00D24AB6">
        <w:t xml:space="preserve">za </w:t>
      </w:r>
      <w:r w:rsidR="00D24AB6" w:rsidRPr="00424274">
        <w:t xml:space="preserve">vzdrževanje sporočilnega sistema za sporočanje podatkov, ki poteka prek komunikacijskega vmesnika. Aktivnosti obsegajo zamenjavo pretečenih certifikatov, preverjanje pravilnosti sporočenih sporočil </w:t>
      </w:r>
      <w:r w:rsidR="00D24AB6">
        <w:t>in</w:t>
      </w:r>
      <w:r w:rsidR="00D24AB6" w:rsidRPr="00424274">
        <w:t xml:space="preserve"> odpravljanje občasnih napak pri sporočanju ter pomoč uporabnikom, nadzorovanje sporočilnega sistema, ki </w:t>
      </w:r>
      <w:r w:rsidR="00D24AB6">
        <w:t>je nameščen</w:t>
      </w:r>
      <w:r w:rsidR="00D24AB6" w:rsidRPr="00424274">
        <w:t xml:space="preserve"> na centralni infrastrukturi državnih organov.</w:t>
      </w:r>
    </w:p>
    <w:p w14:paraId="7760A9F8" w14:textId="77777777" w:rsidR="00D24AB6" w:rsidRPr="00424274" w:rsidRDefault="00D24AB6" w:rsidP="00D24AB6">
      <w:pPr>
        <w:spacing w:line="276" w:lineRule="auto"/>
      </w:pPr>
    </w:p>
    <w:p w14:paraId="52658900" w14:textId="67605819" w:rsidR="00D24AB6" w:rsidRDefault="00D24AB6" w:rsidP="00D24AB6">
      <w:pPr>
        <w:pStyle w:val="Naslov3"/>
      </w:pPr>
      <w:bookmarkStart w:id="98" w:name="_Toc45272768"/>
      <w:bookmarkStart w:id="99" w:name="_Toc77082184"/>
      <w:bookmarkStart w:id="100" w:name="_Toc83192727"/>
      <w:bookmarkStart w:id="101" w:name="_Toc119581756"/>
      <w:r w:rsidRPr="00DE5047">
        <w:t xml:space="preserve">Zbiranje, hranjenje in objava podatkov o </w:t>
      </w:r>
      <w:r w:rsidR="003F3061">
        <w:t>gotovinskih transakcijah in</w:t>
      </w:r>
      <w:r w:rsidR="00CA6A69">
        <w:t xml:space="preserve"> </w:t>
      </w:r>
      <w:r w:rsidR="003F3061">
        <w:t>nakazilih v tvegane države</w:t>
      </w:r>
      <w:bookmarkEnd w:id="98"/>
      <w:bookmarkEnd w:id="99"/>
      <w:bookmarkEnd w:id="100"/>
      <w:bookmarkEnd w:id="101"/>
    </w:p>
    <w:p w14:paraId="01A87E79" w14:textId="77777777" w:rsidR="005C427F" w:rsidRPr="005C427F" w:rsidRDefault="005C427F" w:rsidP="005C427F"/>
    <w:p w14:paraId="1C45B339" w14:textId="61497A19" w:rsidR="00D24AB6" w:rsidRDefault="00D24AB6" w:rsidP="00D24AB6">
      <w:pPr>
        <w:spacing w:line="276" w:lineRule="auto"/>
      </w:pPr>
      <w:r w:rsidRPr="00424274">
        <w:t xml:space="preserve">V preteklosti </w:t>
      </w:r>
      <w:r w:rsidR="000C5B5B">
        <w:t>se je urad</w:t>
      </w:r>
      <w:r w:rsidRPr="00424274">
        <w:t xml:space="preserve"> z zavezanci dogovoril, </w:t>
      </w:r>
      <w:r>
        <w:t>kako</w:t>
      </w:r>
      <w:r w:rsidR="000C5B5B">
        <w:t xml:space="preserve"> bodo urad</w:t>
      </w:r>
      <w:r w:rsidR="000C5B5B" w:rsidRPr="00424274">
        <w:t>u</w:t>
      </w:r>
      <w:r w:rsidR="000C5B5B">
        <w:t xml:space="preserve"> sporočali podatke</w:t>
      </w:r>
      <w:r w:rsidRPr="00424274">
        <w:t xml:space="preserve"> o transakcijah. </w:t>
      </w:r>
      <w:r>
        <w:t>Informacijska podpora je</w:t>
      </w:r>
      <w:r w:rsidRPr="00424274">
        <w:t xml:space="preserve"> sodeloval</w:t>
      </w:r>
      <w:r>
        <w:t xml:space="preserve">a </w:t>
      </w:r>
      <w:r w:rsidRPr="00424274">
        <w:t xml:space="preserve">pri pripravi podatkovne strukture in določitve načina pošiljanja, ki </w:t>
      </w:r>
      <w:r w:rsidR="000C5B5B">
        <w:t>je bil usklajen</w:t>
      </w:r>
      <w:r w:rsidRPr="00424274">
        <w:t xml:space="preserve"> z zavezanci. Za hranjenj</w:t>
      </w:r>
      <w:r>
        <w:t>e</w:t>
      </w:r>
      <w:r w:rsidRPr="00424274">
        <w:t xml:space="preserve"> podatkov </w:t>
      </w:r>
      <w:r w:rsidR="000C5B5B">
        <w:t>je bila</w:t>
      </w:r>
      <w:r w:rsidRPr="00424274">
        <w:t xml:space="preserve"> na podlagi dogovorjene podatkovne strukture </w:t>
      </w:r>
      <w:r>
        <w:t>oblikova</w:t>
      </w:r>
      <w:r w:rsidR="000C5B5B">
        <w:t>na</w:t>
      </w:r>
      <w:r w:rsidRPr="00424274">
        <w:t xml:space="preserve"> podatkovn</w:t>
      </w:r>
      <w:r w:rsidR="000C5B5B">
        <w:t>a</w:t>
      </w:r>
      <w:r w:rsidRPr="00424274">
        <w:t xml:space="preserve"> zbirk</w:t>
      </w:r>
      <w:r w:rsidR="000C5B5B">
        <w:t>a</w:t>
      </w:r>
      <w:r w:rsidRPr="00424274">
        <w:t>. V letu 202</w:t>
      </w:r>
      <w:r>
        <w:t>1</w:t>
      </w:r>
      <w:r w:rsidRPr="00424274">
        <w:t xml:space="preserve"> </w:t>
      </w:r>
      <w:r w:rsidR="000C5B5B">
        <w:t>so se še dopolnili</w:t>
      </w:r>
      <w:r w:rsidRPr="00424274">
        <w:t xml:space="preserve"> programsk</w:t>
      </w:r>
      <w:r w:rsidR="000C5B5B">
        <w:t>i</w:t>
      </w:r>
      <w:r w:rsidRPr="00424274">
        <w:t xml:space="preserve"> </w:t>
      </w:r>
      <w:r>
        <w:t>postopk</w:t>
      </w:r>
      <w:r w:rsidR="000C5B5B">
        <w:t>i</w:t>
      </w:r>
      <w:r w:rsidRPr="00424274">
        <w:t xml:space="preserve"> za analizo podatkov v podatkovni zbirki. Prejem, shranjevanje in pregled prejetih podatkov </w:t>
      </w:r>
      <w:r>
        <w:t>in</w:t>
      </w:r>
      <w:r w:rsidRPr="00424274">
        <w:t xml:space="preserve"> zakonsko obvezna objava na spletni strani </w:t>
      </w:r>
      <w:r>
        <w:t>urad</w:t>
      </w:r>
      <w:r w:rsidRPr="00424274">
        <w:t xml:space="preserve">a je stalna naloga </w:t>
      </w:r>
      <w:r w:rsidRPr="00C80BC2">
        <w:t>Sektorja za splošne zadeve in informacijsko podporo</w:t>
      </w:r>
      <w:r w:rsidRPr="00424274">
        <w:t>. Urad prejema tudi podatke o prenosih gotovine čez državno mejo od FURS.</w:t>
      </w:r>
    </w:p>
    <w:p w14:paraId="31585198" w14:textId="5FB77570" w:rsidR="00D24AB6" w:rsidRPr="00424274" w:rsidRDefault="00D24AB6" w:rsidP="00D24AB6">
      <w:pPr>
        <w:spacing w:line="276" w:lineRule="auto"/>
      </w:pPr>
      <w:r>
        <w:t>Postopk</w:t>
      </w:r>
      <w:r w:rsidR="00405BD0">
        <w:t>i</w:t>
      </w:r>
      <w:r>
        <w:t xml:space="preserve"> analize podatkov </w:t>
      </w:r>
      <w:r w:rsidR="00405BD0">
        <w:t>so bili</w:t>
      </w:r>
      <w:r>
        <w:t xml:space="preserve"> posodob</w:t>
      </w:r>
      <w:r w:rsidR="00405BD0">
        <w:t>ljeni</w:t>
      </w:r>
      <w:r>
        <w:t xml:space="preserve"> z vpeljavo BI orodja z namenom hitrejšega pridobivanja kritičnih informacij.</w:t>
      </w:r>
    </w:p>
    <w:p w14:paraId="1F6D6542" w14:textId="303080A0" w:rsidR="00D24AB6" w:rsidRDefault="00D24AB6" w:rsidP="00D24AB6">
      <w:pPr>
        <w:spacing w:line="276" w:lineRule="auto"/>
      </w:pPr>
      <w:r w:rsidRPr="00424274">
        <w:t xml:space="preserve">Zaradi priprave letnega poročila </w:t>
      </w:r>
      <w:r>
        <w:t>urad</w:t>
      </w:r>
      <w:r w:rsidRPr="00424274">
        <w:t xml:space="preserve">a </w:t>
      </w:r>
      <w:r>
        <w:t xml:space="preserve">za </w:t>
      </w:r>
      <w:r w:rsidRPr="00424274">
        <w:t>Vlad</w:t>
      </w:r>
      <w:r>
        <w:t>o</w:t>
      </w:r>
      <w:r w:rsidRPr="00424274">
        <w:t xml:space="preserve"> Republike Slovenije je bil</w:t>
      </w:r>
      <w:r w:rsidR="004D26FD">
        <w:t xml:space="preserve">a pripravljena </w:t>
      </w:r>
      <w:r w:rsidRPr="00424274">
        <w:t>podrobn</w:t>
      </w:r>
      <w:r w:rsidR="004D26FD">
        <w:t>a</w:t>
      </w:r>
      <w:r w:rsidRPr="00424274">
        <w:t xml:space="preserve"> statističn</w:t>
      </w:r>
      <w:r w:rsidR="004D26FD">
        <w:t>a</w:t>
      </w:r>
      <w:r w:rsidRPr="00424274">
        <w:t xml:space="preserve"> analizo transakcij</w:t>
      </w:r>
      <w:r>
        <w:t>, ki so jih</w:t>
      </w:r>
      <w:r w:rsidRPr="00424274">
        <w:t xml:space="preserve"> </w:t>
      </w:r>
      <w:r>
        <w:t>uradu</w:t>
      </w:r>
      <w:r w:rsidRPr="00424274">
        <w:t xml:space="preserve"> </w:t>
      </w:r>
      <w:r>
        <w:t>sporočili</w:t>
      </w:r>
      <w:r w:rsidRPr="00424274">
        <w:t xml:space="preserve"> zavezanc</w:t>
      </w:r>
      <w:r>
        <w:t>i</w:t>
      </w:r>
      <w:r w:rsidRPr="00424274">
        <w:t xml:space="preserve"> v letu prej. </w:t>
      </w:r>
      <w:r w:rsidR="00F03CE9">
        <w:t>Celo leto</w:t>
      </w:r>
      <w:r w:rsidRPr="00424274">
        <w:t xml:space="preserve"> se</w:t>
      </w:r>
      <w:r w:rsidR="00F03CE9">
        <w:t xml:space="preserve"> je izvajalo tudi</w:t>
      </w:r>
      <w:r w:rsidRPr="00424274">
        <w:t xml:space="preserve"> sintaktično preverjanje pravilnih zapisov podatkov v podatkovno zbirko. </w:t>
      </w:r>
    </w:p>
    <w:p w14:paraId="086D799D" w14:textId="77777777" w:rsidR="005C427F" w:rsidRPr="00424274" w:rsidRDefault="005C427F" w:rsidP="00D24AB6">
      <w:pPr>
        <w:spacing w:line="276" w:lineRule="auto"/>
      </w:pPr>
    </w:p>
    <w:p w14:paraId="42D24920" w14:textId="39E7CDF7" w:rsidR="00D24AB6" w:rsidRPr="00DE5047" w:rsidRDefault="00D24AB6" w:rsidP="00D24AB6">
      <w:pPr>
        <w:pStyle w:val="Naslov3"/>
      </w:pPr>
      <w:bookmarkStart w:id="102" w:name="_Toc45272770"/>
      <w:bookmarkStart w:id="103" w:name="_Toc77082186"/>
      <w:bookmarkStart w:id="104" w:name="_Toc83192729"/>
      <w:bookmarkStart w:id="105" w:name="_Toc119581757"/>
      <w:r w:rsidRPr="00DE5047">
        <w:t>Administriranje in vzdrževanje notranjih strežnikov urada</w:t>
      </w:r>
      <w:bookmarkEnd w:id="102"/>
      <w:bookmarkEnd w:id="103"/>
      <w:bookmarkEnd w:id="104"/>
      <w:bookmarkEnd w:id="105"/>
    </w:p>
    <w:p w14:paraId="184C3AA7" w14:textId="77777777" w:rsidR="00D24AB6" w:rsidRPr="00424274" w:rsidRDefault="00D24AB6" w:rsidP="00D24AB6">
      <w:pPr>
        <w:spacing w:line="276" w:lineRule="auto"/>
      </w:pPr>
    </w:p>
    <w:p w14:paraId="3F72CCF8" w14:textId="587F77FC" w:rsidR="00D24AB6" w:rsidRDefault="00D24AB6" w:rsidP="00D24AB6">
      <w:pPr>
        <w:spacing w:line="276" w:lineRule="auto"/>
      </w:pPr>
      <w:r w:rsidRPr="00424274">
        <w:t xml:space="preserve">Na notranjem omrežju </w:t>
      </w:r>
      <w:r>
        <w:t>urad</w:t>
      </w:r>
      <w:r w:rsidRPr="00424274">
        <w:t>a se redno spremlja</w:t>
      </w:r>
      <w:r>
        <w:t>jo</w:t>
      </w:r>
      <w:r w:rsidRPr="00424274">
        <w:t xml:space="preserve"> log datotek</w:t>
      </w:r>
      <w:r>
        <w:t>e</w:t>
      </w:r>
      <w:r w:rsidRPr="00424274">
        <w:t xml:space="preserve"> in opravlja</w:t>
      </w:r>
      <w:r>
        <w:t>jo</w:t>
      </w:r>
      <w:r w:rsidRPr="00424274">
        <w:t xml:space="preserve"> servisn</w:t>
      </w:r>
      <w:r>
        <w:t>a</w:t>
      </w:r>
      <w:r w:rsidRPr="00424274">
        <w:t xml:space="preserve"> del</w:t>
      </w:r>
      <w:r>
        <w:t>a</w:t>
      </w:r>
      <w:r w:rsidRPr="00424274">
        <w:t xml:space="preserve"> zaradi programskih napak in strojnih okvar, če</w:t>
      </w:r>
      <w:r w:rsidR="00A75875">
        <w:t xml:space="preserve"> oziroma </w:t>
      </w:r>
      <w:r w:rsidRPr="00424274">
        <w:t xml:space="preserve">ko se te pojavijo. Tak pregled se je </w:t>
      </w:r>
      <w:r>
        <w:t>praviloma izvajal</w:t>
      </w:r>
      <w:r w:rsidRPr="00424274">
        <w:t xml:space="preserve"> tedensko.</w:t>
      </w:r>
    </w:p>
    <w:p w14:paraId="0D48BC1F" w14:textId="56A777E5" w:rsidR="005C427F" w:rsidRDefault="00D24AB6" w:rsidP="00D24AB6">
      <w:pPr>
        <w:spacing w:line="276" w:lineRule="auto"/>
      </w:pPr>
      <w:r>
        <w:t xml:space="preserve">Zaradi zmanjšanih resursov </w:t>
      </w:r>
      <w:r w:rsidR="00A75875">
        <w:t>se je pričelo s postopkom</w:t>
      </w:r>
      <w:r>
        <w:t xml:space="preserve"> selitve notranjih strežnikov na državno centralno infrastrukturo</w:t>
      </w:r>
      <w:r w:rsidR="00DB3CAB">
        <w:t xml:space="preserve"> in pripravo selitve</w:t>
      </w:r>
      <w:r w:rsidR="00DB3CAB" w:rsidRPr="00DB3CAB">
        <w:t xml:space="preserve"> uporabnikov v državni računalniški oblak (DRO)</w:t>
      </w:r>
    </w:p>
    <w:p w14:paraId="2D4FB3B9" w14:textId="6ADF22D9" w:rsidR="00D24AB6" w:rsidRPr="00424274" w:rsidRDefault="00D24AB6" w:rsidP="00D24AB6">
      <w:pPr>
        <w:spacing w:line="276" w:lineRule="auto"/>
      </w:pPr>
      <w:r w:rsidRPr="00424274">
        <w:t xml:space="preserve"> </w:t>
      </w:r>
    </w:p>
    <w:p w14:paraId="65AE928D" w14:textId="401A4FAB" w:rsidR="00D24AB6" w:rsidRPr="00DE5047" w:rsidRDefault="00D24AB6" w:rsidP="00D24AB6">
      <w:pPr>
        <w:pStyle w:val="Naslov3"/>
      </w:pPr>
      <w:bookmarkStart w:id="106" w:name="_Toc45272772"/>
      <w:bookmarkStart w:id="107" w:name="_Toc77082187"/>
      <w:bookmarkStart w:id="108" w:name="_Toc83192730"/>
      <w:bookmarkStart w:id="109" w:name="_Toc119581758"/>
      <w:r w:rsidRPr="00DE5047">
        <w:t>Arhiviranje prejetih podatkov</w:t>
      </w:r>
      <w:bookmarkEnd w:id="106"/>
      <w:bookmarkEnd w:id="107"/>
      <w:bookmarkEnd w:id="108"/>
      <w:bookmarkEnd w:id="109"/>
    </w:p>
    <w:p w14:paraId="75391CF6" w14:textId="77777777" w:rsidR="00D24AB6" w:rsidRPr="00424274" w:rsidRDefault="00D24AB6" w:rsidP="00D24AB6"/>
    <w:p w14:paraId="790449A1" w14:textId="0EDD23BF" w:rsidR="00D24AB6" w:rsidRPr="00424274" w:rsidRDefault="00D24AB6" w:rsidP="00D24AB6">
      <w:r>
        <w:t>Informacijska podpora</w:t>
      </w:r>
      <w:r w:rsidRPr="00424274">
        <w:t xml:space="preserve"> skrbi za </w:t>
      </w:r>
      <w:r>
        <w:t>sprotno</w:t>
      </w:r>
      <w:r w:rsidRPr="00424274">
        <w:t xml:space="preserve"> izdelavo in hranjenje varnostnih kopij celotnega informacijskega sistema. Arhiviranje poteka </w:t>
      </w:r>
      <w:r>
        <w:t>večinoma</w:t>
      </w:r>
      <w:r w:rsidRPr="00424274">
        <w:t xml:space="preserve"> avtomatizirano, tako da se ob zapustitvi seje izvede pripravljena skripta, ki poskrbi, da se vsakodnevni arhiv zapiše na zunanji podatkovni nosilec. Periodično se arhiv prenese na trajnejše podatkovne nosilce. </w:t>
      </w:r>
    </w:p>
    <w:p w14:paraId="3489A578" w14:textId="77777777" w:rsidR="00D24AB6" w:rsidRDefault="00D24AB6" w:rsidP="00D24AB6">
      <w:pPr>
        <w:spacing w:line="276" w:lineRule="auto"/>
      </w:pPr>
      <w:r w:rsidRPr="00424274">
        <w:t xml:space="preserve">Arhivirajo se tudi podatki, prejeti prek sporočilnega sistema ESW in Fiu.net. </w:t>
      </w:r>
      <w:r>
        <w:t>Informacijska podpora</w:t>
      </w:r>
      <w:r w:rsidRPr="00424274">
        <w:t xml:space="preserve"> skrbi za redno posodabljanje kriptirnih ključev na kriptografski napravi </w:t>
      </w:r>
      <w:r>
        <w:t xml:space="preserve">omrežja </w:t>
      </w:r>
      <w:r w:rsidRPr="00424274">
        <w:t>Fiu.net v sodelovanju z administratorjem omrežja Fiu.net.</w:t>
      </w:r>
    </w:p>
    <w:p w14:paraId="791C452B" w14:textId="1C212F25" w:rsidR="00D24AB6" w:rsidRPr="004D26FD" w:rsidRDefault="00D24AB6" w:rsidP="00D24AB6">
      <w:pPr>
        <w:spacing w:line="276" w:lineRule="auto"/>
      </w:pPr>
      <w:r>
        <w:t xml:space="preserve">V letu 2021 se je </w:t>
      </w:r>
      <w:r w:rsidR="00F15DF2">
        <w:t xml:space="preserve">komunikacijski sistem </w:t>
      </w:r>
      <w:r>
        <w:t>Fiu.net</w:t>
      </w:r>
      <w:r w:rsidR="00F15DF2">
        <w:t>, ki povezuje evropske FIU,</w:t>
      </w:r>
      <w:r>
        <w:t xml:space="preserve"> preselil v prostore Evropske Komisije</w:t>
      </w:r>
      <w:r w:rsidR="00F15DF2">
        <w:t>, pri čemer je urad aktivno sodeloval.</w:t>
      </w:r>
    </w:p>
    <w:p w14:paraId="12203BCC" w14:textId="410EBC73" w:rsidR="00D24AB6" w:rsidRDefault="00D24AB6" w:rsidP="004D26FD">
      <w:pPr>
        <w:spacing w:line="276" w:lineRule="auto"/>
      </w:pPr>
      <w:r w:rsidRPr="00424274">
        <w:t>Ločeno poteka arhiviranje podatkov na ravni podatkovnih zbirk aplikativnih rešitev (ePPD, INSPIS, Krpan ISUPPD) ter podatkov o sporočenih gotovinskih transakcijah in nakazilih (podatkovne zbirke)</w:t>
      </w:r>
      <w:r>
        <w:t>,</w:t>
      </w:r>
      <w:r w:rsidRPr="00424274">
        <w:t xml:space="preserve"> prejetih </w:t>
      </w:r>
      <w:r>
        <w:t>od</w:t>
      </w:r>
      <w:r w:rsidRPr="00424274">
        <w:t xml:space="preserve"> zavezancev. Tak način je nujen za</w:t>
      </w:r>
      <w:r>
        <w:t>to</w:t>
      </w:r>
      <w:r w:rsidRPr="00424274">
        <w:t xml:space="preserve">, ker je zakonska obveza </w:t>
      </w:r>
      <w:r>
        <w:t>urad</w:t>
      </w:r>
      <w:r w:rsidRPr="00424274">
        <w:t xml:space="preserve">a, da se podatki hranijo v nespremenjeni obliki, </w:t>
      </w:r>
      <w:r>
        <w:t>kakor</w:t>
      </w:r>
      <w:r w:rsidRPr="00424274">
        <w:t xml:space="preserve"> so </w:t>
      </w:r>
      <w:r>
        <w:t>jih</w:t>
      </w:r>
      <w:r w:rsidRPr="00424274">
        <w:t xml:space="preserve"> sporoč</w:t>
      </w:r>
      <w:r>
        <w:t>ili</w:t>
      </w:r>
      <w:r w:rsidRPr="00424274">
        <w:t xml:space="preserve"> posamezni zavezanc</w:t>
      </w:r>
      <w:r>
        <w:t>i</w:t>
      </w:r>
      <w:r w:rsidRPr="00424274">
        <w:t xml:space="preserve">. Tudi podatke, ki jih </w:t>
      </w:r>
      <w:r>
        <w:t>urad</w:t>
      </w:r>
      <w:r w:rsidRPr="00424274">
        <w:t xml:space="preserve"> prejme od FURS, </w:t>
      </w:r>
      <w:r w:rsidR="00791FC0">
        <w:t>se arhivira</w:t>
      </w:r>
      <w:r w:rsidRPr="00424274">
        <w:t xml:space="preserve">. </w:t>
      </w:r>
      <w:bookmarkStart w:id="110" w:name="_Toc45272777"/>
      <w:bookmarkStart w:id="111" w:name="_Toc77082190"/>
      <w:bookmarkStart w:id="112" w:name="_Toc83192733"/>
    </w:p>
    <w:p w14:paraId="6D60563A" w14:textId="77777777" w:rsidR="004D26FD" w:rsidRPr="004D26FD" w:rsidRDefault="004D26FD" w:rsidP="004D26FD">
      <w:pPr>
        <w:spacing w:line="276" w:lineRule="auto"/>
      </w:pPr>
    </w:p>
    <w:p w14:paraId="79A2C55E" w14:textId="2EE7349C" w:rsidR="00D24AB6" w:rsidRPr="00DE5047" w:rsidRDefault="00D24AB6" w:rsidP="00D24AB6">
      <w:pPr>
        <w:pStyle w:val="Naslov3"/>
      </w:pPr>
      <w:bookmarkStart w:id="113" w:name="_Toc119581759"/>
      <w:r w:rsidRPr="00DE5047">
        <w:t>Aktivnosti izobraževanja uporabnikov</w:t>
      </w:r>
      <w:bookmarkEnd w:id="110"/>
      <w:bookmarkEnd w:id="111"/>
      <w:bookmarkEnd w:id="112"/>
      <w:r w:rsidR="000B07E1">
        <w:t xml:space="preserve"> ter namestitev opreme</w:t>
      </w:r>
      <w:bookmarkEnd w:id="113"/>
    </w:p>
    <w:p w14:paraId="747A9331" w14:textId="77777777" w:rsidR="00D24AB6" w:rsidRPr="00424274" w:rsidRDefault="00D24AB6" w:rsidP="00D24AB6">
      <w:pPr>
        <w:spacing w:line="276" w:lineRule="auto"/>
        <w:rPr>
          <w:b/>
          <w:highlight w:val="yellow"/>
        </w:rPr>
      </w:pPr>
    </w:p>
    <w:p w14:paraId="4639787B" w14:textId="25CFF19C" w:rsidR="004D26FD" w:rsidRDefault="004D26FD" w:rsidP="004D26FD">
      <w:pPr>
        <w:spacing w:line="276" w:lineRule="auto"/>
        <w:contextualSpacing/>
        <w:rPr>
          <w:iCs/>
        </w:rPr>
      </w:pPr>
      <w:r w:rsidRPr="00424274">
        <w:rPr>
          <w:iCs/>
        </w:rPr>
        <w:t>V letu 202</w:t>
      </w:r>
      <w:r>
        <w:rPr>
          <w:iCs/>
        </w:rPr>
        <w:t>1</w:t>
      </w:r>
      <w:r w:rsidRPr="00424274">
        <w:rPr>
          <w:iCs/>
        </w:rPr>
        <w:t xml:space="preserve"> </w:t>
      </w:r>
      <w:r>
        <w:rPr>
          <w:iCs/>
        </w:rPr>
        <w:t>je potekalo sodelovanje</w:t>
      </w:r>
      <w:r w:rsidRPr="00424274">
        <w:rPr>
          <w:iCs/>
        </w:rPr>
        <w:t xml:space="preserve"> pri tehnično</w:t>
      </w:r>
      <w:r>
        <w:rPr>
          <w:iCs/>
        </w:rPr>
        <w:t>-</w:t>
      </w:r>
      <w:r w:rsidRPr="00424274">
        <w:rPr>
          <w:iCs/>
        </w:rPr>
        <w:t xml:space="preserve">informacijski vključitvi novih sodelavcev v delovni proces. </w:t>
      </w:r>
      <w:r>
        <w:rPr>
          <w:iCs/>
        </w:rPr>
        <w:t>N</w:t>
      </w:r>
      <w:r w:rsidRPr="00424274">
        <w:rPr>
          <w:iCs/>
        </w:rPr>
        <w:t>ame</w:t>
      </w:r>
      <w:r>
        <w:rPr>
          <w:iCs/>
        </w:rPr>
        <w:t xml:space="preserve">ščena in konfigurira je bila </w:t>
      </w:r>
      <w:r w:rsidRPr="00424274">
        <w:rPr>
          <w:iCs/>
        </w:rPr>
        <w:t>vs</w:t>
      </w:r>
      <w:r>
        <w:rPr>
          <w:iCs/>
        </w:rPr>
        <w:t>a</w:t>
      </w:r>
      <w:r w:rsidRPr="00424274">
        <w:rPr>
          <w:iCs/>
        </w:rPr>
        <w:t xml:space="preserve"> potrebn</w:t>
      </w:r>
      <w:r>
        <w:rPr>
          <w:iCs/>
        </w:rPr>
        <w:t>a</w:t>
      </w:r>
      <w:r w:rsidRPr="00424274">
        <w:rPr>
          <w:iCs/>
        </w:rPr>
        <w:t xml:space="preserve"> informacijsko</w:t>
      </w:r>
      <w:r>
        <w:rPr>
          <w:iCs/>
        </w:rPr>
        <w:t>-</w:t>
      </w:r>
      <w:r w:rsidRPr="00424274">
        <w:rPr>
          <w:iCs/>
        </w:rPr>
        <w:t>komunikacijsk</w:t>
      </w:r>
      <w:r>
        <w:rPr>
          <w:iCs/>
        </w:rPr>
        <w:t>a</w:t>
      </w:r>
      <w:r w:rsidRPr="00424274">
        <w:rPr>
          <w:iCs/>
        </w:rPr>
        <w:t xml:space="preserve"> oprem</w:t>
      </w:r>
      <w:r>
        <w:rPr>
          <w:iCs/>
        </w:rPr>
        <w:t>a</w:t>
      </w:r>
      <w:r w:rsidRPr="00424274">
        <w:rPr>
          <w:iCs/>
        </w:rPr>
        <w:t xml:space="preserve"> </w:t>
      </w:r>
      <w:r>
        <w:rPr>
          <w:iCs/>
        </w:rPr>
        <w:t>ter</w:t>
      </w:r>
      <w:r w:rsidRPr="00424274">
        <w:rPr>
          <w:iCs/>
        </w:rPr>
        <w:t xml:space="preserve"> </w:t>
      </w:r>
      <w:r>
        <w:rPr>
          <w:iCs/>
        </w:rPr>
        <w:t xml:space="preserve">opravljena </w:t>
      </w:r>
      <w:r w:rsidRPr="00424274">
        <w:rPr>
          <w:iCs/>
        </w:rPr>
        <w:t>seznani</w:t>
      </w:r>
      <w:r>
        <w:rPr>
          <w:iCs/>
        </w:rPr>
        <w:t>tev novih sodelavcev</w:t>
      </w:r>
      <w:r w:rsidRPr="00424274">
        <w:rPr>
          <w:iCs/>
        </w:rPr>
        <w:t xml:space="preserve"> z varnostno politiko </w:t>
      </w:r>
      <w:r>
        <w:rPr>
          <w:iCs/>
        </w:rPr>
        <w:t>urad</w:t>
      </w:r>
      <w:r w:rsidRPr="00424274">
        <w:rPr>
          <w:iCs/>
        </w:rPr>
        <w:t>a.</w:t>
      </w:r>
    </w:p>
    <w:p w14:paraId="3574A8DE" w14:textId="77777777" w:rsidR="004D26FD" w:rsidRPr="00424274" w:rsidRDefault="004D26FD" w:rsidP="004D26FD">
      <w:pPr>
        <w:spacing w:line="276" w:lineRule="auto"/>
        <w:contextualSpacing/>
        <w:rPr>
          <w:iCs/>
        </w:rPr>
      </w:pPr>
    </w:p>
    <w:p w14:paraId="1D6DBC4F" w14:textId="74D8697A" w:rsidR="00D24AB6" w:rsidRPr="00424274" w:rsidRDefault="00D24AB6" w:rsidP="00D24AB6">
      <w:pPr>
        <w:spacing w:line="276" w:lineRule="auto"/>
      </w:pPr>
      <w:r w:rsidRPr="00424274">
        <w:rPr>
          <w:iCs/>
        </w:rPr>
        <w:t>V letu 202</w:t>
      </w:r>
      <w:r>
        <w:rPr>
          <w:iCs/>
        </w:rPr>
        <w:t>1</w:t>
      </w:r>
      <w:r w:rsidRPr="00424274">
        <w:rPr>
          <w:iCs/>
        </w:rPr>
        <w:t xml:space="preserve"> </w:t>
      </w:r>
      <w:r w:rsidR="007E026D">
        <w:rPr>
          <w:iCs/>
        </w:rPr>
        <w:t>je urad</w:t>
      </w:r>
      <w:r w:rsidRPr="00424274">
        <w:rPr>
          <w:iCs/>
        </w:rPr>
        <w:t xml:space="preserve"> sodeloval </w:t>
      </w:r>
      <w:r w:rsidRPr="00424274">
        <w:t>pri pripravi navodil in postopkov dela.</w:t>
      </w:r>
      <w:r>
        <w:t xml:space="preserve"> Ob potrebi </w:t>
      </w:r>
      <w:r w:rsidR="007E026D">
        <w:t>je bilo izvedeno izobraževanje uporabnikov</w:t>
      </w:r>
      <w:r>
        <w:t xml:space="preserve"> z namenom spoznavanja informacijskega sistema.</w:t>
      </w:r>
    </w:p>
    <w:p w14:paraId="4E587922" w14:textId="42F44C1F" w:rsidR="00F11AF0" w:rsidRDefault="000B07E1" w:rsidP="00D24AB6">
      <w:pPr>
        <w:spacing w:line="276" w:lineRule="auto"/>
        <w:rPr>
          <w:iCs/>
        </w:rPr>
      </w:pPr>
      <w:r w:rsidRPr="00424274">
        <w:rPr>
          <w:iCs/>
        </w:rPr>
        <w:t xml:space="preserve">V okviru SLA z Direktoratom za informatiko pri Ministrstvu za javno upravo (MJU) </w:t>
      </w:r>
      <w:r>
        <w:rPr>
          <w:iCs/>
        </w:rPr>
        <w:t>je</w:t>
      </w:r>
      <w:r w:rsidRPr="00424274">
        <w:rPr>
          <w:iCs/>
        </w:rPr>
        <w:t xml:space="preserve"> bil</w:t>
      </w:r>
      <w:r>
        <w:rPr>
          <w:iCs/>
        </w:rPr>
        <w:t>a</w:t>
      </w:r>
      <w:r w:rsidRPr="00424274">
        <w:rPr>
          <w:iCs/>
        </w:rPr>
        <w:t xml:space="preserve"> </w:t>
      </w:r>
      <w:r>
        <w:rPr>
          <w:iCs/>
        </w:rPr>
        <w:t>urad</w:t>
      </w:r>
      <w:r w:rsidRPr="00424274">
        <w:rPr>
          <w:iCs/>
        </w:rPr>
        <w:t>u zagotovljen</w:t>
      </w:r>
      <w:r>
        <w:rPr>
          <w:iCs/>
        </w:rPr>
        <w:t>a</w:t>
      </w:r>
      <w:r w:rsidRPr="00424274">
        <w:rPr>
          <w:iCs/>
        </w:rPr>
        <w:t xml:space="preserve"> delovn</w:t>
      </w:r>
      <w:r>
        <w:rPr>
          <w:iCs/>
        </w:rPr>
        <w:t>a</w:t>
      </w:r>
      <w:r w:rsidRPr="00424274">
        <w:rPr>
          <w:iCs/>
        </w:rPr>
        <w:t xml:space="preserve"> </w:t>
      </w:r>
      <w:r>
        <w:rPr>
          <w:iCs/>
        </w:rPr>
        <w:t>oprema za namizja z</w:t>
      </w:r>
      <w:r w:rsidRPr="00424274">
        <w:rPr>
          <w:iCs/>
        </w:rPr>
        <w:t xml:space="preserve">a nove zaposlene. Enotni kontaktni center (EKC) je </w:t>
      </w:r>
      <w:r>
        <w:rPr>
          <w:iCs/>
        </w:rPr>
        <w:t>urad</w:t>
      </w:r>
      <w:r w:rsidRPr="00424274">
        <w:rPr>
          <w:iCs/>
        </w:rPr>
        <w:t>u nudil podporo</w:t>
      </w:r>
      <w:r>
        <w:rPr>
          <w:iCs/>
        </w:rPr>
        <w:t xml:space="preserve"> pri reševanju zahtev in incidentov. Služba za pomoč uporabnikom je zagotavljala podporo </w:t>
      </w:r>
      <w:r w:rsidRPr="00424274">
        <w:rPr>
          <w:iCs/>
        </w:rPr>
        <w:t xml:space="preserve"> pri nameščanju in konfiguraciji delovnih postaj na zunanjem delu omrežja IS </w:t>
      </w:r>
      <w:r>
        <w:rPr>
          <w:iCs/>
        </w:rPr>
        <w:t>urad</w:t>
      </w:r>
      <w:r w:rsidRPr="00424274">
        <w:rPr>
          <w:iCs/>
        </w:rPr>
        <w:t xml:space="preserve">a. </w:t>
      </w:r>
    </w:p>
    <w:p w14:paraId="31190FDD" w14:textId="5B41F01C" w:rsidR="00F11AF0" w:rsidRDefault="00F11AF0" w:rsidP="00D24AB6">
      <w:pPr>
        <w:spacing w:line="276" w:lineRule="auto"/>
        <w:rPr>
          <w:iCs/>
        </w:rPr>
      </w:pPr>
    </w:p>
    <w:p w14:paraId="0BA5369F" w14:textId="544C310F" w:rsidR="00F11AF0" w:rsidRDefault="00F11AF0" w:rsidP="00D24AB6">
      <w:pPr>
        <w:spacing w:line="276" w:lineRule="auto"/>
        <w:rPr>
          <w:iCs/>
        </w:rPr>
      </w:pPr>
    </w:p>
    <w:p w14:paraId="0A02EF95" w14:textId="77777777" w:rsidR="00F11AF0" w:rsidRPr="00F11AF0" w:rsidRDefault="00F11AF0" w:rsidP="00D24AB6">
      <w:pPr>
        <w:spacing w:line="276" w:lineRule="auto"/>
        <w:rPr>
          <w:iCs/>
        </w:rPr>
      </w:pPr>
    </w:p>
    <w:p w14:paraId="7BDE3D76" w14:textId="5045B99A" w:rsidR="00D24AB6" w:rsidRPr="00DE5047" w:rsidRDefault="00D24AB6" w:rsidP="00D24AB6">
      <w:pPr>
        <w:pStyle w:val="Naslov3"/>
      </w:pPr>
      <w:bookmarkStart w:id="114" w:name="_Toc77082191"/>
      <w:bookmarkStart w:id="115" w:name="_Toc83192734"/>
      <w:bookmarkStart w:id="116" w:name="_Toc119581760"/>
      <w:r w:rsidRPr="00DE5047">
        <w:lastRenderedPageBreak/>
        <w:t>Aktivnosti za zagotovitev nemotenega delovanja IT-tehnologije med epidemijo covida-19</w:t>
      </w:r>
      <w:bookmarkEnd w:id="114"/>
      <w:bookmarkEnd w:id="115"/>
      <w:bookmarkEnd w:id="116"/>
    </w:p>
    <w:p w14:paraId="17E8E137" w14:textId="77777777" w:rsidR="00D24AB6" w:rsidRPr="00424274" w:rsidRDefault="00D24AB6" w:rsidP="00D24AB6">
      <w:pPr>
        <w:spacing w:line="276" w:lineRule="auto"/>
        <w:rPr>
          <w:highlight w:val="yellow"/>
          <w:u w:val="single"/>
        </w:rPr>
      </w:pPr>
    </w:p>
    <w:p w14:paraId="5C14AC82" w14:textId="348502C3" w:rsidR="00D24AB6" w:rsidRPr="00424274" w:rsidRDefault="00D24AB6" w:rsidP="00D24AB6">
      <w:pPr>
        <w:spacing w:line="276" w:lineRule="auto"/>
      </w:pPr>
      <w:r>
        <w:t>Med razglasitvijo</w:t>
      </w:r>
      <w:r w:rsidRPr="00424274">
        <w:t xml:space="preserve"> epidemij</w:t>
      </w:r>
      <w:r>
        <w:t>e</w:t>
      </w:r>
      <w:r w:rsidRPr="00424274">
        <w:t xml:space="preserve"> </w:t>
      </w:r>
      <w:r>
        <w:t>covida-</w:t>
      </w:r>
      <w:r w:rsidRPr="00424274">
        <w:t>19 so bile aktivnosti v</w:t>
      </w:r>
      <w:r>
        <w:t xml:space="preserve"> </w:t>
      </w:r>
      <w:r w:rsidRPr="00424274">
        <w:t>usmerjene v nemoteno zagotavljanje pogojev dela sodelavcem, ki so svoje delo opravljali od doma</w:t>
      </w:r>
      <w:r>
        <w:t>,</w:t>
      </w:r>
      <w:r w:rsidRPr="00424274">
        <w:t xml:space="preserve"> ob hkratnem zagotavljanju nemotenega dela pri prejemanju in arhiviranju sporočenih podatkov</w:t>
      </w:r>
      <w:r>
        <w:t xml:space="preserve"> ter varovanja podatkov</w:t>
      </w:r>
      <w:r w:rsidRPr="00424274">
        <w:t xml:space="preserve">. Uporabnikom </w:t>
      </w:r>
      <w:r w:rsidR="009A11DF">
        <w:t>je bila nudena pomoč</w:t>
      </w:r>
      <w:r w:rsidRPr="00424274">
        <w:t>, da so lahko nemoteno izvajali videokonferenčne klice</w:t>
      </w:r>
      <w:r>
        <w:t xml:space="preserve">, sodelovali pri </w:t>
      </w:r>
      <w:r w:rsidR="009133AC">
        <w:t xml:space="preserve">številnih </w:t>
      </w:r>
      <w:r>
        <w:t>on</w:t>
      </w:r>
      <w:r w:rsidR="009133AC">
        <w:t>-</w:t>
      </w:r>
      <w:r>
        <w:t xml:space="preserve">line sestankih, </w:t>
      </w:r>
      <w:r w:rsidR="009133AC">
        <w:t xml:space="preserve">predvsem zaradi predsedovanja </w:t>
      </w:r>
      <w:r>
        <w:t>Slovenije</w:t>
      </w:r>
      <w:r w:rsidR="009133AC">
        <w:t xml:space="preserve"> Svetu Evropske unije v drugi polovici leta 2021.</w:t>
      </w:r>
    </w:p>
    <w:p w14:paraId="73EBFB48" w14:textId="29825985" w:rsidR="00F11AF0" w:rsidRDefault="00F11AF0">
      <w:pPr>
        <w:jc w:val="left"/>
      </w:pPr>
      <w:r>
        <w:br w:type="page"/>
      </w:r>
    </w:p>
    <w:p w14:paraId="08B0FAB1" w14:textId="77777777" w:rsidR="00D24AB6" w:rsidRDefault="00D24AB6" w:rsidP="00B65A09"/>
    <w:p w14:paraId="7472FAF4" w14:textId="7613547A" w:rsidR="00B65A09" w:rsidRDefault="00B65A09" w:rsidP="00E02BEB">
      <w:pPr>
        <w:pStyle w:val="Naslov1"/>
      </w:pPr>
      <w:bookmarkStart w:id="117" w:name="_Toc119581761"/>
      <w:r>
        <w:t>POVZETEK</w:t>
      </w:r>
      <w:bookmarkEnd w:id="117"/>
    </w:p>
    <w:p w14:paraId="57441B54" w14:textId="77777777" w:rsidR="00D24AB6" w:rsidRDefault="00D24AB6" w:rsidP="00B65A09"/>
    <w:p w14:paraId="7A1256B4" w14:textId="3A65AA48" w:rsidR="00B65A09" w:rsidRDefault="00B65A09" w:rsidP="00B65A09">
      <w:r>
        <w:t>Poročilo o delu urada za leto 202</w:t>
      </w:r>
      <w:r w:rsidR="004808B2">
        <w:t>1</w:t>
      </w:r>
      <w:r>
        <w:t xml:space="preserve"> je </w:t>
      </w:r>
      <w:r w:rsidR="004808B2">
        <w:t>šest</w:t>
      </w:r>
      <w:r>
        <w:t>indvajseto poročilo Vladi Republike Slovenije, nanaša pa se na obdobje od 1. 1. 202</w:t>
      </w:r>
      <w:r w:rsidR="004808B2">
        <w:t>1</w:t>
      </w:r>
      <w:r>
        <w:t xml:space="preserve"> do 31. 12. 202</w:t>
      </w:r>
      <w:r w:rsidR="004808B2">
        <w:t>1</w:t>
      </w:r>
      <w:r>
        <w:t>. V poročilu so predstavljeni podatki z vseh temeljnih področij delovanja urada (delo na področju sumljivih transakcij, preventive in nadzora ter mednarodnega sodelovanja), podatki o poslovanju urada na finančnem in kadrovskem področju ter na področju informatike, kot tudi nekateri statistični podatki o delovanju drugih državnih organov, ki so prejemniki izdelkov urada oziroma urad z njimi sodeluje pri izvajanju predpisov s področja preprečevanja in odkrivanja pranja denarja.</w:t>
      </w:r>
    </w:p>
    <w:p w14:paraId="69426EC2" w14:textId="77777777" w:rsidR="005C427F" w:rsidRDefault="005C427F" w:rsidP="00B65A09"/>
    <w:p w14:paraId="2C951F2B" w14:textId="1E6B8590" w:rsidR="00B65A09" w:rsidRDefault="00B65A09" w:rsidP="00E02BEB">
      <w:pPr>
        <w:pStyle w:val="Naslov2"/>
      </w:pPr>
      <w:bookmarkStart w:id="118" w:name="_Toc119581762"/>
      <w:r>
        <w:t>GOTOVINSKE TRANSAKCIJE</w:t>
      </w:r>
      <w:r w:rsidR="00C44145">
        <w:t>,</w:t>
      </w:r>
      <w:r>
        <w:t xml:space="preserve"> NAKAZILA, POVEZANA S TVEGANIMI DRŽAVAMI IN PRENOSI GOTOVINE ČEZ MEJO </w:t>
      </w:r>
      <w:r w:rsidR="00887011">
        <w:t xml:space="preserve">EVROPSKE </w:t>
      </w:r>
      <w:r>
        <w:t>UNIJE</w:t>
      </w:r>
      <w:bookmarkEnd w:id="118"/>
    </w:p>
    <w:p w14:paraId="6FD97E20" w14:textId="77777777" w:rsidR="00B65A09" w:rsidRDefault="00B65A09" w:rsidP="00B65A09"/>
    <w:p w14:paraId="31B015BB" w14:textId="6D362F43" w:rsidR="007A703D" w:rsidRPr="007A703D" w:rsidRDefault="007A703D" w:rsidP="007A703D">
      <w:r w:rsidRPr="007A703D">
        <w:t xml:space="preserve">V letu 2021 je urad prejel podatke o 42.980 gotovinskih transakcijah nad 15.000 EUR. Primerjava podatkov o sporočenih gotovinskih transakcijah za zadnja leta kaže na trend umirjenega zmanjševanja tako števila kot tudi skupnega zneska transakcij, izvršenih v gotovini (pred tem </w:t>
      </w:r>
      <w:r w:rsidR="00C44145">
        <w:t>je bil</w:t>
      </w:r>
      <w:r w:rsidRPr="007A703D">
        <w:t xml:space="preserve"> v obdobju od 2008 do 2015 zazn</w:t>
      </w:r>
      <w:r w:rsidR="00BD1F1D">
        <w:t>an</w:t>
      </w:r>
      <w:r w:rsidRPr="007A703D">
        <w:t xml:space="preserve"> trend strmega upadanja). Struktura sporočenih gotovinskih transakcij glede na sektor pošiljatelja ostaja enaka. Največ sporočenih gotovinskih transakcij je urad, tako kot že vsa leta</w:t>
      </w:r>
      <w:r w:rsidR="00C44145">
        <w:t xml:space="preserve"> </w:t>
      </w:r>
      <w:r w:rsidRPr="007A703D">
        <w:t>prej, prejel iz bančnega sektorja.</w:t>
      </w:r>
    </w:p>
    <w:p w14:paraId="33E84B41" w14:textId="1E4B2174" w:rsidR="007A703D" w:rsidRPr="007A703D" w:rsidRDefault="007A703D" w:rsidP="007A703D">
      <w:r w:rsidRPr="007A703D">
        <w:t xml:space="preserve">V zvezi s transakcijami, ki so jih družbe z bančnih računov, odprtih v Republiki Sloveniji, izvršile družbam s sedežem v tvegani državi ali na bančne račune, odprte v tvegani državi, so v letu 2021 organizacije </w:t>
      </w:r>
      <w:r w:rsidR="00870922">
        <w:t xml:space="preserve">uradu </w:t>
      </w:r>
      <w:r w:rsidRPr="007A703D">
        <w:t>sporočile podatke o 3.875 transakcijah (leta 2020 5.847) v skupnem znesku 635.412.734 EUR (preračunano po tečaju na dan 31. 12. 2021). Skoraj vsa nakazila, povezana s tveganimi državami, so bila izvršena za račune pravnih oseb, pri katerih se kot prejemnik prav tako pojavlja pravna oseba. Te transakcije je izvedlo skupaj okoli 641 različnih pravnih oseb, od tega le okoli 20 tujih.</w:t>
      </w:r>
    </w:p>
    <w:p w14:paraId="74010407" w14:textId="475032C4" w:rsidR="00B65A09" w:rsidRDefault="007A703D" w:rsidP="007A703D">
      <w:r w:rsidRPr="007A703D">
        <w:t>V letu 2021 je bilo na slovenskem delu meje Evropske unije skupno prijavljenih 46 prenosov gotovine čez mejo, in sicer 15 vnosov v znesku okoli 380.000 EUR in 31 iznosov gotovine v znesku okoli 400.000 EUR. Približno polovica vnosov gotovine se nanaša na vnos gotovine zaradi osebnega nakupa, medtem ko se 55 % vseh iznosov nanaša na gotovino za potrebe ladij.</w:t>
      </w:r>
    </w:p>
    <w:p w14:paraId="6AB8557A" w14:textId="77777777" w:rsidR="006A2968" w:rsidRDefault="006A2968" w:rsidP="007A703D"/>
    <w:p w14:paraId="660465FE" w14:textId="5E4C17C3" w:rsidR="00B65A09" w:rsidRDefault="00B65A09" w:rsidP="00E02BEB">
      <w:pPr>
        <w:pStyle w:val="Naslov2"/>
      </w:pPr>
      <w:bookmarkStart w:id="119" w:name="_Toc119581763"/>
      <w:r>
        <w:t>SUMLJIVE TRANSAKCIJE</w:t>
      </w:r>
      <w:bookmarkEnd w:id="119"/>
    </w:p>
    <w:p w14:paraId="51C9BF61" w14:textId="77777777" w:rsidR="00B65A09" w:rsidRDefault="00B65A09" w:rsidP="00B65A09"/>
    <w:p w14:paraId="2FDE51E4" w14:textId="0EF53C1E" w:rsidR="006A2968" w:rsidRPr="00320BCD" w:rsidRDefault="006A2968" w:rsidP="006A2968">
      <w:r w:rsidRPr="00F17173">
        <w:t xml:space="preserve">Na področju sumljivih transakcij </w:t>
      </w:r>
      <w:r w:rsidR="004608A4">
        <w:t>je urad</w:t>
      </w:r>
      <w:r w:rsidRPr="00F17173">
        <w:t xml:space="preserve"> leta 2021 prejel skupno 1.103 prijave, in sicer: 1.075 prijav sumljivih transakcij ali sumljivih aktivnosti, ki so se nanašale na razloge za sum pranja denarja, 28 prijav, ki so se nanašale na razloge za sum financiranja terorizma, medtem ko </w:t>
      </w:r>
      <w:r w:rsidR="00A46371">
        <w:t>je uradu</w:t>
      </w:r>
      <w:r w:rsidRPr="00F17173">
        <w:t xml:space="preserve"> štiri prijave </w:t>
      </w:r>
      <w:r w:rsidR="00A46371">
        <w:t>posredovalo tožilstvo</w:t>
      </w:r>
      <w:r w:rsidRPr="00F17173">
        <w:t xml:space="preserve">, ki je po predhodnem strinjanju urada odredilo finančno preiskavo v skladu z Zakonom o odvzemu premoženja nezakonitega izvora. </w:t>
      </w:r>
      <w:r w:rsidRPr="00320BCD">
        <w:t xml:space="preserve">V zvezi z vsemi prijavami </w:t>
      </w:r>
      <w:r w:rsidR="00572791">
        <w:t>so se odprle</w:t>
      </w:r>
      <w:r w:rsidRPr="00320BCD">
        <w:t xml:space="preserve"> zadeve in začeli zbirati podatk</w:t>
      </w:r>
      <w:r w:rsidR="00572791">
        <w:t>i</w:t>
      </w:r>
      <w:r w:rsidRPr="00320BCD">
        <w:t xml:space="preserve">. Skupno </w:t>
      </w:r>
      <w:r w:rsidR="006E65CB">
        <w:t>je bilo</w:t>
      </w:r>
      <w:r w:rsidRPr="00320BCD">
        <w:t xml:space="preserve"> v uradu v obdobju 1995–2021 odpr</w:t>
      </w:r>
      <w:r w:rsidR="006E65CB">
        <w:t>tih</w:t>
      </w:r>
      <w:r w:rsidRPr="00320BCD">
        <w:t xml:space="preserve"> že več kot 9.000 zadev. Med prijavitelji so tudi leta 2021 prevladovale banke (732 prijav oziroma 66-% delež vseh prijav). V letu 2021 se je število prijav malenkostno znižalo, in sicer za slabe 3 %, medtem ko je struktura prijaviteljev ostala enaka.</w:t>
      </w:r>
    </w:p>
    <w:p w14:paraId="7EF86C1E" w14:textId="20F18B97" w:rsidR="006A2968" w:rsidRPr="00A52DBE" w:rsidRDefault="006A2968" w:rsidP="006A2968">
      <w:pPr>
        <w:rPr>
          <w:color w:val="FF0000"/>
        </w:rPr>
      </w:pPr>
      <w:r w:rsidRPr="00320BCD">
        <w:t xml:space="preserve">Urad je leta 2021 končal obravnavo v 1.931 zadevah, kar je 36 % več kot v letu 2020. Od vseh teh zaključenih zadev </w:t>
      </w:r>
      <w:r w:rsidR="00D1720B">
        <w:t>je bilo</w:t>
      </w:r>
      <w:r w:rsidRPr="00320BCD">
        <w:t xml:space="preserve"> v 434 primerih policiji/državnemu tožilstvu </w:t>
      </w:r>
      <w:r w:rsidR="00D1720B">
        <w:t>poslano</w:t>
      </w:r>
      <w:r w:rsidRPr="00320BCD">
        <w:t xml:space="preserve"> obvestilo o sumljivih transakcijah zaradi suma pranja denarja ali financiranja terorizma, v nadaljnji 801 zadevi </w:t>
      </w:r>
      <w:r w:rsidR="00D1720B">
        <w:t>pa so bile</w:t>
      </w:r>
      <w:r w:rsidRPr="00320BCD">
        <w:t xml:space="preserve"> pristojnim organom posla</w:t>
      </w:r>
      <w:r w:rsidR="00D1720B">
        <w:t>ne</w:t>
      </w:r>
      <w:r w:rsidRPr="00320BCD">
        <w:t xml:space="preserve"> informacije zaradi ugotovljenega suma storitve nekaterih drugih kaznivih dejanj, medtem ko v 516 zadevah z analizo </w:t>
      </w:r>
      <w:r w:rsidR="00D1720B">
        <w:t>niso bili potrjeni</w:t>
      </w:r>
      <w:r w:rsidRPr="00320BCD">
        <w:t xml:space="preserve"> razlog</w:t>
      </w:r>
      <w:r w:rsidR="00D1720B">
        <w:t xml:space="preserve">i </w:t>
      </w:r>
      <w:r w:rsidRPr="00320BCD">
        <w:t xml:space="preserve">za sum pranja denarja. </w:t>
      </w:r>
    </w:p>
    <w:p w14:paraId="1B58C85E" w14:textId="77777777" w:rsidR="006A2968" w:rsidRPr="003857F3" w:rsidRDefault="006A2968" w:rsidP="006A2968">
      <w:r w:rsidRPr="003857F3">
        <w:lastRenderedPageBreak/>
        <w:t xml:space="preserve">Urad je v zadevah, v katerih je obravnaval sume storitve kaznivega dejanja pranja denarja, v letu 2021 ustavil transakcije v breme 3 bančnih računov v skupnem znesku 496.125,61 EUR in 179.982,00 USD. Odredbe o ustavitvi so se nanašale na tri bančne račune v Sloveniji. </w:t>
      </w:r>
    </w:p>
    <w:p w14:paraId="5BD708D5" w14:textId="77777777" w:rsidR="00B65A09" w:rsidRDefault="00B65A09" w:rsidP="00B65A09"/>
    <w:p w14:paraId="637AC891" w14:textId="574AEA7F" w:rsidR="00B65A09" w:rsidRDefault="00B65A09" w:rsidP="00E02BEB">
      <w:pPr>
        <w:pStyle w:val="Naslov2"/>
      </w:pPr>
      <w:bookmarkStart w:id="120" w:name="_Toc119581764"/>
      <w:r>
        <w:t>FAZE POSTOPKOV V ZVEZI S PODANIMI KAZENSKIMI OVADBAMI ZARADI PRANJA DENARJA</w:t>
      </w:r>
      <w:bookmarkEnd w:id="120"/>
    </w:p>
    <w:p w14:paraId="786D3FCF" w14:textId="77777777" w:rsidR="00B65A09" w:rsidRDefault="00B65A09" w:rsidP="00B65A09"/>
    <w:p w14:paraId="2A226064" w14:textId="77777777" w:rsidR="006A2968" w:rsidRPr="00E9533C" w:rsidRDefault="006A2968" w:rsidP="006A2968">
      <w:r w:rsidRPr="00E9533C">
        <w:t>Iz statističnih podatkov, ki jih urad prejema od policije, državnih tožilstev in sodišč, je razvidno, da je leta 2021 policija podala 49 novih kazenskih ovadb zaradi utemeljenega suma storitve kaznivega dejanja pranja denarja. Od leta 1995 naprej so se skupno začeli postopki v 716 predkazenskih in kazenskih zadevah, povezanih s kaznivim dejanjem pranja denarja.</w:t>
      </w:r>
    </w:p>
    <w:p w14:paraId="2A10F578" w14:textId="37A09814" w:rsidR="006A2968" w:rsidRPr="00A52DBE" w:rsidRDefault="006A2968" w:rsidP="006A2968">
      <w:pPr>
        <w:rPr>
          <w:color w:val="FF0000"/>
        </w:rPr>
      </w:pPr>
      <w:r w:rsidRPr="00E9533C">
        <w:t>V zvezi z vsemi temi zadevami je postopek že končan v 3</w:t>
      </w:r>
      <w:r>
        <w:t>62</w:t>
      </w:r>
      <w:r w:rsidRPr="00E9533C">
        <w:t xml:space="preserve"> zadevah (112 zadeva se je končala s pravnomočno obsodilno sodbo, v 30 zadevah so bile izrečene oprostilne sodbe, v 127 zadevah se tožilstvo ni odločil za pregon, v 74 zadevah je tožilec odstopil od pregona ali pa je postopek ustavilo sodišče, šest zadev so sodišča odstopila v reševanje v tujino, medtem ko je v 13 primerih prišlo do združitev postopkov in v petih do prekvalifikacije kaznivega dejanja). V predkazenskem ali kazenskem postopku je še 367 zadev, in sicer se tožilstvo v 177 zadevah še odloča o pregonu, v eni zadevi je tožilstvo pregon odložilo, medtem ko je 190 zadev v različnih fazah obravnave (zahteva za preiskavo, preiskava, obtožnica). V letu 2020 so se tožilstva v 7 zadevah odločila za kazenski pregon in so v fazah zahteve za preiskavo, preiskave ali obtožnice. </w:t>
      </w:r>
      <w:r w:rsidR="00DA74E5">
        <w:t>T</w:t>
      </w:r>
      <w:r w:rsidRPr="00E9533C">
        <w:t xml:space="preserve">rend povečevanja števila predkazenskih in kazenskih postopkov v zvezi s sumi storitve kaznivega dejanja pranja denarja </w:t>
      </w:r>
      <w:r w:rsidR="00DA74E5">
        <w:t>se je n</w:t>
      </w:r>
      <w:r w:rsidRPr="00E9533C">
        <w:t>adaljeval tudi v letu 2021.</w:t>
      </w:r>
    </w:p>
    <w:p w14:paraId="5EAA82CF" w14:textId="1C3E393C" w:rsidR="006A2968" w:rsidRPr="00A52DBE" w:rsidRDefault="006A2968" w:rsidP="006A2968">
      <w:pPr>
        <w:rPr>
          <w:color w:val="FF0000"/>
        </w:rPr>
      </w:pPr>
      <w:r w:rsidRPr="00E61513">
        <w:t>Sodišča so do konca leta 2021 v 111 zadevah izrekla 106 pravnomočnih obsodilnih sodb zoper 128 domačih fizičnih oseb, 17 tujih fizičnih oseb in pet domačih pravnih oseb. V 111 pravnomočnih sodbah so sodišča izrekla 149 zapornih kazni, od tega 83 pogojnih, medtem ko je bilo deset izrečenih zapornih kazni spremenjenih v delo v splošno korist. Povprečna kazen zapora znaša 18 mesecev, pri čemer je najmanjša izrečena kazen zapora šest mesecev in najvišja pet let. V 22 sodbah so sodišča izrekla odvzem premoženja v skupni vrednosti 3.581.822 EUR,</w:t>
      </w:r>
      <w:r w:rsidRPr="00A52DBE">
        <w:rPr>
          <w:color w:val="FF0000"/>
        </w:rPr>
        <w:t xml:space="preserve"> </w:t>
      </w:r>
      <w:r w:rsidRPr="00E61513">
        <w:t>v 49 sodbah odredila vračilo sredstev, ki so bila pridobljena s kaznivim dejanjem, v višini 32.185.782 EUR, in izrekla 100 stranskih denarnih kazni v skupni višini 1.319.129 EUR.</w:t>
      </w:r>
    </w:p>
    <w:p w14:paraId="4E69173D" w14:textId="00A8653D" w:rsidR="006A2968" w:rsidRPr="00B905B3" w:rsidRDefault="006A2968" w:rsidP="006A2968">
      <w:r w:rsidRPr="00B905B3">
        <w:t xml:space="preserve">V zvezi s sodelovanjem urada pri odkrivanju kaznivih dejanj pranja denarja v obdobju 2010–2021 </w:t>
      </w:r>
      <w:r w:rsidR="003772F9">
        <w:t>je bilo ugotovljeno</w:t>
      </w:r>
      <w:r w:rsidRPr="00B905B3">
        <w:t>, da je 55% od skupno 667 predkazenskih in kazenskih postopkov s področja pranja denarja temeljilo na obvestilih urada. Med temi zadevami se je kar37 % zadev s področja pranja denarja začelo samo na podlagi podatkov, ki so jih uradu v obliki prijav sumljivih transakcij poslali zavezanci iz 4. člena ZPPDFT-</w:t>
      </w:r>
      <w:r w:rsidR="007B1A45">
        <w:t>1</w:t>
      </w:r>
      <w:r w:rsidRPr="00B905B3">
        <w:t>, medtem ko je urad v 18% primer</w:t>
      </w:r>
      <w:r w:rsidR="003772F9">
        <w:t>ih</w:t>
      </w:r>
      <w:r w:rsidRPr="00B905B3">
        <w:t xml:space="preserve"> začel analizo na podlagi pobud državnih organov. Policija ali tožilstva so v 45% zadev preganjala kaznivo dejanje pranja denarja popolnoma samostojno. Navedena struktura jasno kaže na to, da sporočene sumljive transakcije zavezancev odločilno prispevajo k številu obravnavanih zadev policije in tožilstva. Navedeno dokazuje, da je sistem boja proti pranju denarja z zaznavanjem sumljivih transakcij v finančnem in nefinančnem sektorju učinkovit.</w:t>
      </w:r>
    </w:p>
    <w:p w14:paraId="01D232DB" w14:textId="77777777" w:rsidR="00B65A09" w:rsidRPr="00A52DBE" w:rsidRDefault="00B65A09" w:rsidP="00B65A09">
      <w:pPr>
        <w:rPr>
          <w:color w:val="FF0000"/>
        </w:rPr>
      </w:pPr>
    </w:p>
    <w:p w14:paraId="24A12EF6" w14:textId="693C6FC7" w:rsidR="00DC7B6C" w:rsidRDefault="00DC7B6C" w:rsidP="00E02BEB">
      <w:pPr>
        <w:pStyle w:val="Naslov2"/>
      </w:pPr>
      <w:bookmarkStart w:id="121" w:name="_Toc119581765"/>
      <w:r>
        <w:t>ZAKONODAJA IN DRUGE PRAVNE ZADEVE</w:t>
      </w:r>
      <w:bookmarkEnd w:id="121"/>
    </w:p>
    <w:p w14:paraId="148E133A" w14:textId="77777777" w:rsidR="00DC7B6C" w:rsidRPr="00DC7B6C" w:rsidRDefault="00DC7B6C" w:rsidP="00DC7B6C"/>
    <w:p w14:paraId="5C32002B" w14:textId="77777777" w:rsidR="00DC7B6C" w:rsidRDefault="00DC7B6C" w:rsidP="00DC7B6C">
      <w:r>
        <w:t xml:space="preserve">Na področju zakonodaje s področja preprečevanja pranja denarja in financiranja terorizma  so v letu 2021 potekale številne aktivnosti. Pripravljal se je predlog novega ZPPDFT-2 ter trije predlogi podzakonskih predpisov. </w:t>
      </w:r>
    </w:p>
    <w:p w14:paraId="053D4CF6" w14:textId="0BF76E1D" w:rsidR="00DC7B6C" w:rsidRDefault="00DC7B6C" w:rsidP="00DC7B6C">
      <w:r>
        <w:t xml:space="preserve">V letu 2021 je urad podal 82 pisnih mnenj oziroma stališč v zvezi z razlago izvajanja posameznih določil ZPPDFT-1 in podzakonskih predpisov. Na splošno je prepoznano, da so postavljena vprašanja oziroma zaprosila za pomoč pri izvajanju zakonskih določb čedalje bolj zahtevna in kompleksna, kar na eni strani zahteva vključevanje več resursov v okviru urada in usklajevanje z drugimi nadzornimi organi, na drugi strani pa predstavlja kazalnik kakovostnega razvoja, vsaj v nekaterih kategorijah zavezancev, pri </w:t>
      </w:r>
      <w:r>
        <w:lastRenderedPageBreak/>
        <w:t xml:space="preserve">izvajanju ukrepov za preprečevanje pranja denarja in financiranja terorizma v okviru </w:t>
      </w:r>
      <w:r w:rsidR="003772F9">
        <w:t>njihovih</w:t>
      </w:r>
      <w:r>
        <w:t xml:space="preserve"> poslovnih procesov.</w:t>
      </w:r>
    </w:p>
    <w:p w14:paraId="1BBE3CF4" w14:textId="5BBE48D9" w:rsidR="00DC7B6C" w:rsidRDefault="00DC7B6C" w:rsidP="00DC7B6C">
      <w:pPr>
        <w:spacing w:after="0"/>
        <w:rPr>
          <w:rFonts w:cs="Arial"/>
          <w:szCs w:val="20"/>
        </w:rPr>
      </w:pPr>
      <w:r>
        <w:t xml:space="preserve">V mesecu marcu 2021 je bil na uradu vzpostavljen </w:t>
      </w:r>
      <w:r w:rsidRPr="002C39F1">
        <w:t>register ponudnikov storitev menjav med virtualnimi in fiat valutami ter ponudnikov skrbniških denarnic.</w:t>
      </w:r>
      <w:r>
        <w:t xml:space="preserve"> Na spletni strani je bil objavljen tudi obrazec zahteve za vpis v register. U</w:t>
      </w:r>
      <w:r w:rsidRPr="008B02E7">
        <w:rPr>
          <w:rFonts w:cs="Arial"/>
          <w:szCs w:val="20"/>
        </w:rPr>
        <w:t xml:space="preserve">rad </w:t>
      </w:r>
      <w:r>
        <w:rPr>
          <w:rFonts w:cs="Arial"/>
          <w:szCs w:val="20"/>
        </w:rPr>
        <w:t xml:space="preserve">je </w:t>
      </w:r>
      <w:r w:rsidRPr="008B02E7">
        <w:rPr>
          <w:rFonts w:cs="Arial"/>
          <w:szCs w:val="20"/>
        </w:rPr>
        <w:t>prejel osem zahtev za vpis v register, na podlagi katerih je izdal osem odločb o vpisu v register. Prav tako je v istem letu s strani enega od vpisanih ponudnikov prejel obvestilo o prenehanju opravljanja storitev menjav med virtualnimi in fiat valutami ter ponujanja skrbniških denarnic. Na podlagi navedenega obvestila je ponudnika izbrisal iz registra</w:t>
      </w:r>
      <w:r>
        <w:rPr>
          <w:rFonts w:cs="Arial"/>
          <w:szCs w:val="20"/>
        </w:rPr>
        <w:t xml:space="preserve">. </w:t>
      </w:r>
    </w:p>
    <w:p w14:paraId="6C353055" w14:textId="77777777" w:rsidR="00DC7B6C" w:rsidRDefault="00DC7B6C" w:rsidP="00DC7B6C">
      <w:pPr>
        <w:spacing w:after="0"/>
        <w:rPr>
          <w:rFonts w:cs="Arial"/>
          <w:szCs w:val="20"/>
        </w:rPr>
      </w:pPr>
    </w:p>
    <w:p w14:paraId="4F8C28F6" w14:textId="77777777" w:rsidR="00DC7B6C" w:rsidRPr="008B02E7" w:rsidRDefault="00DC7B6C" w:rsidP="00DC7B6C">
      <w:pPr>
        <w:spacing w:after="0"/>
        <w:rPr>
          <w:rFonts w:cs="Arial"/>
          <w:szCs w:val="20"/>
        </w:rPr>
      </w:pPr>
      <w:r>
        <w:rPr>
          <w:rFonts w:cs="Arial"/>
          <w:szCs w:val="20"/>
        </w:rPr>
        <w:t>V</w:t>
      </w:r>
      <w:r w:rsidRPr="008B02E7">
        <w:rPr>
          <w:rFonts w:cs="Arial"/>
          <w:szCs w:val="20"/>
        </w:rPr>
        <w:t xml:space="preserve"> septembru 2021</w:t>
      </w:r>
      <w:r>
        <w:rPr>
          <w:rFonts w:cs="Arial"/>
          <w:szCs w:val="20"/>
        </w:rPr>
        <w:t xml:space="preserve"> je urad</w:t>
      </w:r>
      <w:r w:rsidRPr="008B02E7">
        <w:rPr>
          <w:rFonts w:cs="Arial"/>
          <w:szCs w:val="20"/>
        </w:rPr>
        <w:t xml:space="preserve"> pripravil pregled stanja in preliminarno analizo tveganj na področju virtualnih sredstev in pranja denarja ter financiranja terorizma v Republiki Sloveniji. Z analizo je pripravil celovit pregled nad stanjem na področju virtualnih sredstev, zakonodajnimi in nadzornimi mehanizmi ter oceno tveganosti področja za pranje denarja in financiranje terorizma v Republiki Sloveniji. Navedena analiza oziroma njeni zaključki so naslovili tudi določene pomanjkljivosti glede upoštevanja FATF priporočila št. 1 v zvezi s priporočilom št. 15. Na podlagi zbranih podatkov in ob upoštevanju parametrov, ki jih za oceno tveganja opredeljuje metodološko orodje Svetovne banke, je </w:t>
      </w:r>
      <w:r>
        <w:rPr>
          <w:rFonts w:cs="Arial"/>
          <w:szCs w:val="20"/>
        </w:rPr>
        <w:t>u</w:t>
      </w:r>
      <w:r w:rsidRPr="008B02E7">
        <w:rPr>
          <w:rFonts w:cs="Arial"/>
          <w:szCs w:val="20"/>
        </w:rPr>
        <w:t xml:space="preserve">rad ocenil, da je stopnja ranljivosti področja ponudnikov storitev virtualnih valut za pranje denarja in financiranje terorizma srednje visoka. </w:t>
      </w:r>
    </w:p>
    <w:p w14:paraId="4F0C376A" w14:textId="77777777" w:rsidR="00DC7B6C" w:rsidRDefault="00DC7B6C" w:rsidP="00DC7B6C">
      <w:pPr>
        <w:spacing w:after="0"/>
        <w:rPr>
          <w:rFonts w:cs="Arial"/>
          <w:szCs w:val="20"/>
        </w:rPr>
      </w:pPr>
    </w:p>
    <w:p w14:paraId="307A4A8D" w14:textId="269DE369" w:rsidR="00DC7B6C" w:rsidRDefault="00DC7B6C" w:rsidP="00DC7B6C">
      <w:r>
        <w:t xml:space="preserve">Urad je konec leta 2021 pripravil tudi predlog odgovora na tehnični opomin Evropske komisije v zvezi z neprenosom oziroma nepravilnim prenosom posameznih zahtev in obveznosti iz </w:t>
      </w:r>
      <w:r w:rsidRPr="00D52972">
        <w:t>Direktiv</w:t>
      </w:r>
      <w:r>
        <w:t>e</w:t>
      </w:r>
      <w:r w:rsidRPr="00D52972">
        <w:t xml:space="preserve"> (EU) 2018/843 Evropskega parlamenta in Sveta z dne 30. maja 2018 o spremembi Direktive (EU) 2015/849 o preprečevanju uporabe finančnega sistema za pranje denarja ali financiranje terorizma ter o spremembi direktiv 2009/138/ES in 2013/36/EU v pravni red R</w:t>
      </w:r>
      <w:r w:rsidR="00273A96">
        <w:t xml:space="preserve">epublike </w:t>
      </w:r>
      <w:r w:rsidRPr="00D52972">
        <w:t>S</w:t>
      </w:r>
      <w:r w:rsidR="00273A96">
        <w:t>lovenije</w:t>
      </w:r>
      <w:r>
        <w:t>.</w:t>
      </w:r>
    </w:p>
    <w:p w14:paraId="5E8ABD97" w14:textId="235172DD" w:rsidR="00DC7B6C" w:rsidRDefault="00273A96" w:rsidP="00DC7B6C">
      <w:r>
        <w:t>Urad je odgovoril</w:t>
      </w:r>
      <w:r w:rsidR="00DC7B6C">
        <w:t xml:space="preserve"> tudi </w:t>
      </w:r>
      <w:r>
        <w:t xml:space="preserve">na </w:t>
      </w:r>
      <w:r w:rsidR="00DC7B6C">
        <w:t>veliko število novinarskih vprašanj</w:t>
      </w:r>
      <w:r>
        <w:t xml:space="preserve">. </w:t>
      </w:r>
      <w:r w:rsidR="00DC7B6C">
        <w:t>O pomembnih novost</w:t>
      </w:r>
      <w:r>
        <w:t>ih</w:t>
      </w:r>
      <w:r w:rsidR="00DC7B6C">
        <w:t xml:space="preserve"> na področju preprečevanja pranja denarja in financiranja terorizma pa je urad javnost obveščal tudi prek svoje spletne strani. </w:t>
      </w:r>
    </w:p>
    <w:p w14:paraId="3EBCC8D0" w14:textId="0E518832" w:rsidR="00DC7B6C" w:rsidRDefault="00DC7B6C" w:rsidP="00080612">
      <w:r>
        <w:t xml:space="preserve">V letu 2021 je urad prejel tudi dve zahtevi za posredovanje informacij javnega značaja. </w:t>
      </w:r>
    </w:p>
    <w:p w14:paraId="665A044C" w14:textId="50AE032D" w:rsidR="004808B2" w:rsidRDefault="00B65A09" w:rsidP="00DC7B6C">
      <w:pPr>
        <w:pStyle w:val="Naslov2"/>
        <w:numPr>
          <w:ilvl w:val="0"/>
          <w:numId w:val="0"/>
        </w:numPr>
        <w:ind w:left="576"/>
      </w:pPr>
      <w:r>
        <w:t xml:space="preserve"> </w:t>
      </w:r>
    </w:p>
    <w:p w14:paraId="77F5BFE4" w14:textId="6305AD94" w:rsidR="00B65A09" w:rsidRDefault="00DC7B6C" w:rsidP="00E02BEB">
      <w:pPr>
        <w:pStyle w:val="Naslov2"/>
      </w:pPr>
      <w:bookmarkStart w:id="122" w:name="_Toc119581766"/>
      <w:r>
        <w:t>INŠPEKCIJA</w:t>
      </w:r>
      <w:bookmarkEnd w:id="122"/>
    </w:p>
    <w:p w14:paraId="29CF80D9" w14:textId="77777777" w:rsidR="00B65A09" w:rsidRDefault="00B65A09" w:rsidP="00B65A09"/>
    <w:p w14:paraId="3AB046F0" w14:textId="77777777" w:rsidR="003E574D" w:rsidRDefault="00D17594" w:rsidP="00D17594">
      <w:pPr>
        <w:spacing w:line="276" w:lineRule="auto"/>
        <w:rPr>
          <w:bCs/>
        </w:rPr>
      </w:pPr>
      <w:r w:rsidRPr="00237572">
        <w:t xml:space="preserve">Skladno s sprejetimi strateškimi usmeritvami in prednostnimi nalogami inšpekcijskega nadzora za leto 2021 je urad načrtoval samostojne inšpekcijske nadzore predvsem pri tistih zavezancih, ki </w:t>
      </w:r>
      <w:r>
        <w:t xml:space="preserve">nimajo </w:t>
      </w:r>
      <w:r w:rsidRPr="00237572">
        <w:t xml:space="preserve">svojega primarnega nadzornika. V letu 2021 je bilo izvedenih </w:t>
      </w:r>
      <w:r>
        <w:t>skupno 133 nadzorov, in sicer 71</w:t>
      </w:r>
      <w:r w:rsidRPr="00237572">
        <w:t xml:space="preserve"> posrednih nadzorov, 34 </w:t>
      </w:r>
      <w:r w:rsidRPr="00237572">
        <w:rPr>
          <w:bCs/>
        </w:rPr>
        <w:t>samostojnih inšpekcijskih nadzorov na terenu</w:t>
      </w:r>
      <w:r>
        <w:rPr>
          <w:bCs/>
        </w:rPr>
        <w:t>,</w:t>
      </w:r>
      <w:r w:rsidRPr="00237572">
        <w:rPr>
          <w:bCs/>
        </w:rPr>
        <w:t xml:space="preserve"> 2 sistemska nadzora pri </w:t>
      </w:r>
      <w:r>
        <w:rPr>
          <w:bCs/>
        </w:rPr>
        <w:t>prirediteljih</w:t>
      </w:r>
      <w:r w:rsidRPr="00237572">
        <w:rPr>
          <w:bCs/>
        </w:rPr>
        <w:t xml:space="preserve"> ig</w:t>
      </w:r>
      <w:r>
        <w:rPr>
          <w:bCs/>
        </w:rPr>
        <w:t>e</w:t>
      </w:r>
      <w:r w:rsidRPr="00237572">
        <w:rPr>
          <w:bCs/>
        </w:rPr>
        <w:t xml:space="preserve">r na srečo </w:t>
      </w:r>
      <w:r>
        <w:rPr>
          <w:bCs/>
        </w:rPr>
        <w:t xml:space="preserve">ter </w:t>
      </w:r>
      <w:r w:rsidRPr="00237572">
        <w:rPr>
          <w:bCs/>
        </w:rPr>
        <w:t xml:space="preserve">1 nadzor pri zavezancu iz finančnega sektorja. </w:t>
      </w:r>
    </w:p>
    <w:p w14:paraId="0B428C97" w14:textId="179E269A" w:rsidR="00D17594" w:rsidRPr="00237572" w:rsidRDefault="00D17594" w:rsidP="00D17594">
      <w:pPr>
        <w:spacing w:line="276" w:lineRule="auto"/>
        <w:rPr>
          <w:bCs/>
        </w:rPr>
      </w:pPr>
      <w:r w:rsidRPr="00237572">
        <w:rPr>
          <w:bCs/>
        </w:rPr>
        <w:t xml:space="preserve">V zvezi z obveznostjo vpisa podatkov o dejanskih lastnikih v Register dejanskih lastnikov je </w:t>
      </w:r>
      <w:r w:rsidR="003E574D">
        <w:rPr>
          <w:bCs/>
        </w:rPr>
        <w:t>u</w:t>
      </w:r>
      <w:r w:rsidRPr="00237572">
        <w:rPr>
          <w:bCs/>
        </w:rPr>
        <w:t xml:space="preserve">rad v letu 2021 pri poslovnih subjektih opravil 25 inšpekcijskih nadzorov. </w:t>
      </w:r>
    </w:p>
    <w:p w14:paraId="131838CD" w14:textId="06B04222" w:rsidR="00D17594" w:rsidRPr="00237572" w:rsidRDefault="00D17594" w:rsidP="00D17594">
      <w:pPr>
        <w:spacing w:line="276" w:lineRule="auto"/>
        <w:rPr>
          <w:bCs/>
        </w:rPr>
      </w:pPr>
      <w:r w:rsidRPr="00237572">
        <w:rPr>
          <w:bCs/>
        </w:rPr>
        <w:t xml:space="preserve">Urad je </w:t>
      </w:r>
      <w:r>
        <w:rPr>
          <w:bCs/>
        </w:rPr>
        <w:t>v letu 2021 opravil tudi 144</w:t>
      </w:r>
      <w:r w:rsidRPr="00237572">
        <w:rPr>
          <w:bCs/>
        </w:rPr>
        <w:t xml:space="preserve"> Covid nadzorov</w:t>
      </w:r>
      <w:r>
        <w:rPr>
          <w:bCs/>
        </w:rPr>
        <w:t>.</w:t>
      </w:r>
    </w:p>
    <w:p w14:paraId="0C5D3327" w14:textId="77777777" w:rsidR="00B65A09" w:rsidRDefault="00B65A09" w:rsidP="00B65A09"/>
    <w:p w14:paraId="6E801244" w14:textId="379BF297" w:rsidR="00B65A09" w:rsidRDefault="00B65A09" w:rsidP="00E02BEB">
      <w:pPr>
        <w:pStyle w:val="Naslov2"/>
      </w:pPr>
      <w:bookmarkStart w:id="123" w:name="_Toc119581767"/>
      <w:r>
        <w:t>MEDNARODNO SODELOVANJE</w:t>
      </w:r>
      <w:bookmarkEnd w:id="123"/>
    </w:p>
    <w:p w14:paraId="4249B643" w14:textId="77777777" w:rsidR="00B65A09" w:rsidRPr="00301DCA" w:rsidRDefault="00B65A09" w:rsidP="00B65A09"/>
    <w:p w14:paraId="562A660B" w14:textId="53A52327" w:rsidR="00301DCA" w:rsidRPr="00301DCA" w:rsidRDefault="007217CC" w:rsidP="003650A6">
      <w:r w:rsidRPr="00301DCA">
        <w:t>V letu 2021 je urad prejel štiri zaprosila</w:t>
      </w:r>
      <w:r>
        <w:t xml:space="preserve"> na podlagi pristojnosti, ki jih ima</w:t>
      </w:r>
      <w:r w:rsidR="00301DCA" w:rsidRPr="00301DCA">
        <w:t xml:space="preserve"> na podlagi Konvencije Sveta Evrope št. 198 o pranju, odkrivanju, zasegu in odvzemu premoženjske koristi, pridobljene s kaznivim dejanjem, in o financiranju terorizma, po kateri je urad osrednji organ, prek katerega se pošiljajo zaprosila in zahtevki v skladu s to konvencijo. </w:t>
      </w:r>
    </w:p>
    <w:p w14:paraId="5E17D6D0" w14:textId="0AEAAAC1" w:rsidR="003650A6" w:rsidRPr="00301DCA" w:rsidRDefault="003650A6" w:rsidP="003650A6">
      <w:r w:rsidRPr="00301DCA">
        <w:t>Leta 2021 je urad na podlagi 105. člena ZPPDFT-1 poslal 354 zaprosil v 54 držav</w:t>
      </w:r>
      <w:r w:rsidR="007217CC">
        <w:t xml:space="preserve">, </w:t>
      </w:r>
      <w:r w:rsidRPr="00301DCA">
        <w:t>poleg tega pa na podlagi 108. člena ZPPDFT-1 še 271 spontanih informacij v 57 držav</w:t>
      </w:r>
      <w:r w:rsidR="007217CC">
        <w:t xml:space="preserve">. </w:t>
      </w:r>
      <w:r w:rsidRPr="00301DCA">
        <w:t xml:space="preserve">V primerjavi z letom 2020 </w:t>
      </w:r>
      <w:r w:rsidR="007217CC">
        <w:t xml:space="preserve">je </w:t>
      </w:r>
      <w:r w:rsidRPr="00301DCA">
        <w:lastRenderedPageBreak/>
        <w:t>število poslanih zaprosil urada</w:t>
      </w:r>
      <w:r w:rsidR="007217CC">
        <w:t xml:space="preserve"> ostalo skoraj enako, za </w:t>
      </w:r>
      <w:r w:rsidRPr="00301DCA">
        <w:t xml:space="preserve">62% </w:t>
      </w:r>
      <w:r w:rsidR="007217CC">
        <w:t>pa se je povečalo</w:t>
      </w:r>
      <w:r w:rsidRPr="00301DCA">
        <w:t xml:space="preserve"> število </w:t>
      </w:r>
      <w:r w:rsidR="007217CC">
        <w:t xml:space="preserve">poslanih </w:t>
      </w:r>
      <w:r w:rsidRPr="00301DCA">
        <w:t>spontanih informacij.</w:t>
      </w:r>
    </w:p>
    <w:p w14:paraId="197D7243" w14:textId="26097153" w:rsidR="003650A6" w:rsidRPr="00301DCA" w:rsidRDefault="003650A6" w:rsidP="003650A6">
      <w:r w:rsidRPr="00301DCA">
        <w:t>Na podlagi 106. člena ZPPDFT-1 je urad v letu 2021 prejel 141 zaprosil iz 41 držav  in 108 spontanih informacij iz 26 držav</w:t>
      </w:r>
      <w:r w:rsidR="007A0DAD">
        <w:t xml:space="preserve">. </w:t>
      </w:r>
      <w:r w:rsidRPr="00301DCA">
        <w:t xml:space="preserve">V primerjavi z letom 2020 </w:t>
      </w:r>
      <w:r w:rsidR="007A0DAD">
        <w:t>je</w:t>
      </w:r>
      <w:r w:rsidRPr="00301DCA">
        <w:t xml:space="preserve"> število prejetih zaprosil tujih uradov</w:t>
      </w:r>
      <w:r w:rsidR="007A0DAD">
        <w:t xml:space="preserve"> ostalo enako</w:t>
      </w:r>
      <w:r w:rsidRPr="00301DCA">
        <w:t>, medtem ko se je število prejetih spontanih informacij povišalo za skoraj 8%.</w:t>
      </w:r>
    </w:p>
    <w:p w14:paraId="28924990" w14:textId="600BFACD" w:rsidR="003650A6" w:rsidRPr="00301DCA" w:rsidRDefault="003650A6" w:rsidP="003650A6">
      <w:r w:rsidRPr="00301DCA">
        <w:t xml:space="preserve">V </w:t>
      </w:r>
      <w:r w:rsidR="006A126B">
        <w:t xml:space="preserve">letu 2021 </w:t>
      </w:r>
      <w:r w:rsidR="008E7972">
        <w:t>je bilo največ</w:t>
      </w:r>
      <w:r w:rsidRPr="00301DCA">
        <w:t xml:space="preserve"> podatkov izmenja</w:t>
      </w:r>
      <w:r w:rsidR="008E7972">
        <w:t>nih</w:t>
      </w:r>
      <w:r w:rsidRPr="00301DCA">
        <w:t xml:space="preserve"> s pristojnimi uradi iz Italije, Hrvaške, Nemčije, Rusije, Španije, Srbije, Madžarske</w:t>
      </w:r>
      <w:r w:rsidR="008E7972">
        <w:t xml:space="preserve"> in</w:t>
      </w:r>
      <w:r w:rsidRPr="00301DCA">
        <w:t xml:space="preserve"> Estonij</w:t>
      </w:r>
      <w:r w:rsidR="008E7972">
        <w:t>e.</w:t>
      </w:r>
      <w:r w:rsidR="006A126B">
        <w:t xml:space="preserve"> </w:t>
      </w:r>
      <w:r w:rsidR="00B65A09" w:rsidRPr="00301DCA">
        <w:t xml:space="preserve">Sodelovanje s tujimi uradi </w:t>
      </w:r>
      <w:r w:rsidR="006A126B">
        <w:t xml:space="preserve">je lahko </w:t>
      </w:r>
      <w:r w:rsidR="00B65A09" w:rsidRPr="00301DCA">
        <w:t>dodatno nadgra</w:t>
      </w:r>
      <w:r w:rsidR="006A126B">
        <w:t>jeno</w:t>
      </w:r>
      <w:r w:rsidR="00B65A09" w:rsidRPr="00301DCA">
        <w:t xml:space="preserve"> z izmenjavo oziroma podpisom formalno neobvezujočih pisnih dogovorov (tako imenovanih »pisem o izmenjavi podatkov« – Memorandum of Understanding – MOU)</w:t>
      </w:r>
      <w:r w:rsidR="006A126B">
        <w:t>. Tako so potekala</w:t>
      </w:r>
      <w:r w:rsidRPr="00301DCA">
        <w:t xml:space="preserve"> usklajevanja vsebine pisem </w:t>
      </w:r>
      <w:r w:rsidR="007B1A45">
        <w:t>u</w:t>
      </w:r>
      <w:r w:rsidRPr="00301DCA">
        <w:t xml:space="preserve">rada z uradoma  Kazahstana in Tajvana, do podpisa </w:t>
      </w:r>
      <w:r w:rsidR="006A126B">
        <w:t xml:space="preserve">katerih </w:t>
      </w:r>
      <w:r w:rsidRPr="00301DCA">
        <w:t xml:space="preserve">naj bi prišlo v letu 2022. </w:t>
      </w:r>
    </w:p>
    <w:p w14:paraId="7480EFAE" w14:textId="1C482660" w:rsidR="000420CA" w:rsidRPr="000420CA" w:rsidRDefault="000420CA" w:rsidP="000420CA">
      <w:r w:rsidRPr="000420CA">
        <w:t>Sodelovanje v okviru mednarodne skupine finančnih obveščevalnih enot Egmont je potekalo tako na plenarnem zasedanju</w:t>
      </w:r>
      <w:r w:rsidR="00013719">
        <w:t xml:space="preserve"> </w:t>
      </w:r>
      <w:r w:rsidRPr="000420CA">
        <w:t>kot znotraj Regionaln</w:t>
      </w:r>
      <w:r w:rsidR="00013719">
        <w:t>e</w:t>
      </w:r>
      <w:r w:rsidRPr="000420CA">
        <w:t xml:space="preserve"> skupine Europe I. Na plenarnem zasedanju je bila izražena podpora za nadaljnje delo na prenovi IT podpore, ki predstavlja enega pomembnejših projektov skupine Egmont za prihodnje obdobje. Regionalna skupina se je posvečala izdelavi kataloga informacij v povezavi z virtualnimi valutami, pregledu tipologij financiranja terorizma in odprtim postopkom za ugotavljanje dejstev glede morebitnih kršitev načel skupine Egmont. </w:t>
      </w:r>
    </w:p>
    <w:p w14:paraId="1177CFCA" w14:textId="5B48BF50" w:rsidR="000420CA" w:rsidRPr="000420CA" w:rsidRDefault="000420CA" w:rsidP="000420CA">
      <w:r w:rsidRPr="000420CA">
        <w:t>Urad je</w:t>
      </w:r>
      <w:r w:rsidR="00013719">
        <w:t xml:space="preserve"> maja 2021 v </w:t>
      </w:r>
      <w:r w:rsidRPr="000420CA">
        <w:t xml:space="preserve">okviru slovenske delegacije zastopal Slovenijo kot državo pogodbenico t.im. Varšavske konvencije (Konvencija Sveta Evrope 198) </w:t>
      </w:r>
      <w:r w:rsidR="00013719">
        <w:t>na</w:t>
      </w:r>
      <w:r w:rsidRPr="000420CA">
        <w:t xml:space="preserve"> plenarnem zasedanju glede virtualnih sredstvih </w:t>
      </w:r>
      <w:r w:rsidR="00013719">
        <w:t xml:space="preserve">ter </w:t>
      </w:r>
      <w:r w:rsidRPr="000420CA">
        <w:t>na redni</w:t>
      </w:r>
      <w:r w:rsidR="00013719">
        <w:t xml:space="preserve"> </w:t>
      </w:r>
      <w:r w:rsidRPr="000420CA">
        <w:t xml:space="preserve">konferenci v novembru, na kateri je bilo obravnavano in sprejeto Tematsko poročilo o spremljanju izvajanja Konvencije SE 198 v zvezi s prvim in drugim odstavkom 10. člena. </w:t>
      </w:r>
    </w:p>
    <w:p w14:paraId="3C6B2950" w14:textId="0C03DF05" w:rsidR="000420CA" w:rsidRPr="000420CA" w:rsidRDefault="000420CA" w:rsidP="000420CA">
      <w:r w:rsidRPr="000420CA">
        <w:t>Znotraj Evropske unije je bil v letu 2021 poudarek na svežnju štirih zakonodajnih predlogov (AML paket) s področja preprečevanja pranja denarja in financiranja terorizma</w:t>
      </w:r>
      <w:r w:rsidR="00013719">
        <w:t>.</w:t>
      </w:r>
      <w:r w:rsidRPr="000420CA">
        <w:t xml:space="preserve"> Namen teh predlogov je poenotenje izvajanja ukrepov zavezancev na območju EU, vzpostavitev novega EU nadzornika ter okrepitev sodelovanje med finančnimi obveščevalnimi enotami držav članic EU. Uslužbenci urada so bili v obravnavo AML paketa še posebej vključeni z vidika priprave sestankov Delovne skupine Sveta za finančne storitve, v okviru katere so se začela in nadaljevala pogajanja pod slovenskim predsedovanjem</w:t>
      </w:r>
      <w:r w:rsidR="00013719">
        <w:t xml:space="preserve"> Svetu</w:t>
      </w:r>
      <w:r w:rsidRPr="000420CA">
        <w:t>. Pripravljena so bila gradiva za 8 sej delovne skupine, hkrati je potekala vrsta bilateralnih sestankov. Navkljub obsežnosti gradiva je bila pod slovenskim predsedovanjem opravljena prva obravnava vseh štirih predlogov in dosežen splošni pristop Sveta za Uredbo o informacijah, ki spremljajo prenose sredstev in nekaterih kriptosredstev.</w:t>
      </w:r>
    </w:p>
    <w:p w14:paraId="783CC7B2" w14:textId="0B8F6D14" w:rsidR="009133AC" w:rsidRDefault="000420CA" w:rsidP="000420CA">
      <w:r w:rsidRPr="000420CA">
        <w:t xml:space="preserve">Sodelovanje v skupinah EGMLTF, FIUs Platform in CPMLTF je potekalo na področjih opredelitve visoko tveganih tretjih držav, povezovanja nacionalnih registrov dejanskih lastnikov v sistem BORIS, poročila Evropskega računskega sodišča o razdrobljenosti in nezadostni implementaciji AML zakonodaje v bančnem sektorju, prenosa FIU.net-a z Europola na Evropsko komisijo, oblikovanja mehanizma za koordinacijo in podporo sodelovanju FIU-jev v okviru AMLA-e, dostopa FIU-jev do sistema CIS (Customs Information System) ter priprave delovnega načrta za obdobje 2022-2023. </w:t>
      </w:r>
    </w:p>
    <w:p w14:paraId="3B94B7F9" w14:textId="157E8875" w:rsidR="00013719" w:rsidRDefault="00013719" w:rsidP="000420CA">
      <w:r>
        <w:t xml:space="preserve">V okviru Odbora AMLSC </w:t>
      </w:r>
      <w:r w:rsidR="00834747">
        <w:t>pri EBA je bila ena od pomembnejši tem vzpostavitev</w:t>
      </w:r>
      <w:r>
        <w:t xml:space="preserve"> novega evropskega registra na področju preprečevanja pranja denarja in financiranja terorizma </w:t>
      </w:r>
      <w:r w:rsidRPr="00163459">
        <w:t xml:space="preserve">(European Reporting system for material CFT and AML weaknesses </w:t>
      </w:r>
      <w:r>
        <w:t xml:space="preserve">- </w:t>
      </w:r>
      <w:r w:rsidRPr="00163459">
        <w:t>EuReCA)</w:t>
      </w:r>
      <w:r w:rsidR="00834747">
        <w:t>, ki je bil vzpostavljen v začetku leta 2021.</w:t>
      </w:r>
    </w:p>
    <w:p w14:paraId="7D02A6BF" w14:textId="77777777" w:rsidR="000420CA" w:rsidRPr="000420CA" w:rsidRDefault="000420CA" w:rsidP="000420CA"/>
    <w:p w14:paraId="4D71FB02" w14:textId="7BEFD820" w:rsidR="00AE7DFF" w:rsidRDefault="00AE7DFF" w:rsidP="00E02BEB">
      <w:pPr>
        <w:pStyle w:val="Naslov2"/>
      </w:pPr>
      <w:bookmarkStart w:id="124" w:name="_Toc119581768"/>
      <w:r>
        <w:t>PREVENTIVA</w:t>
      </w:r>
      <w:bookmarkEnd w:id="124"/>
    </w:p>
    <w:p w14:paraId="51D43FF1" w14:textId="1D05B430" w:rsidR="00AE7DFF" w:rsidRDefault="00AE7DFF" w:rsidP="00AE7DFF"/>
    <w:p w14:paraId="334E9A4B" w14:textId="050A24C2" w:rsidR="002118CF" w:rsidRDefault="002118CF" w:rsidP="002118CF">
      <w:r>
        <w:t>Predstavniki urada so v letu 2021 izvedli več predavanj na različnih seminarjih in posvetih v Sloveniji, ki so se zaradi razmer, povezanih z epidemijo covida-19, vsi izvajali na daljavo v obliki spletnega seminarja. Urad je sodeloval pri šestih dogodkih v skupnem trajanju 14 ur.</w:t>
      </w:r>
    </w:p>
    <w:p w14:paraId="51BF0410" w14:textId="28D20795" w:rsidR="002118CF" w:rsidRDefault="002118CF" w:rsidP="002118CF">
      <w:r>
        <w:t xml:space="preserve">Predstavniki urada so prav tako sodelovali v dveh projektih </w:t>
      </w:r>
      <w:r w:rsidRPr="00B67C67">
        <w:t>nudenja bilateralne tehnične pomoči</w:t>
      </w:r>
      <w:r>
        <w:t xml:space="preserve"> (Črna Gora in Severna Makedonija) v skupnem trajanju 6 dni. </w:t>
      </w:r>
      <w:r w:rsidRPr="00B67C67">
        <w:t xml:space="preserve"> </w:t>
      </w:r>
    </w:p>
    <w:p w14:paraId="57103E53" w14:textId="4A96E90D" w:rsidR="002118CF" w:rsidRDefault="002118CF" w:rsidP="00AE7DFF">
      <w:r>
        <w:lastRenderedPageBreak/>
        <w:t xml:space="preserve">V okviru preventivnega delovanja je bilo v začetku leta 2021 sprejeto </w:t>
      </w:r>
      <w:r w:rsidRPr="005B6989">
        <w:t>poročilo o izvedbi  nacionalne ocene tveganja in na njeni podlagi izdelan akcijski načrt ob realizaciji predvidenih ukrepov za odpravo ugotovljenih tveganj in pomanjkljivosti</w:t>
      </w:r>
      <w:r>
        <w:t>, ki</w:t>
      </w:r>
      <w:r w:rsidRPr="005B6989">
        <w:t xml:space="preserve"> dajeta osnove, da bodo pravočasno zaznani sumi storitve kaznivih dejanj pranja denarja oz</w:t>
      </w:r>
      <w:r>
        <w:t>iroma</w:t>
      </w:r>
      <w:r w:rsidRPr="005B6989">
        <w:t xml:space="preserve"> kaznivih dejanj  financiranja terorizma ter da bodo kazniva dejanja v zvezi s tem ustrezno raziskana. Urad periodično spremlja izvajanje akcijskega načrta. Tako je konec leta 2021 vse deležnike pozval, da poročajo o izvajanju akcijskega načrta.</w:t>
      </w:r>
      <w:r>
        <w:t xml:space="preserve"> </w:t>
      </w:r>
    </w:p>
    <w:p w14:paraId="1205DF85" w14:textId="77777777" w:rsidR="002118CF" w:rsidRPr="00AE7DFF" w:rsidRDefault="002118CF" w:rsidP="00AE7DFF"/>
    <w:p w14:paraId="39D84A58" w14:textId="0FAB8B8D" w:rsidR="00B65A09" w:rsidRDefault="00B65A09" w:rsidP="00E02BEB">
      <w:pPr>
        <w:pStyle w:val="Naslov2"/>
      </w:pPr>
      <w:bookmarkStart w:id="125" w:name="_Toc119581769"/>
      <w:r>
        <w:t>INFORMATIKA</w:t>
      </w:r>
      <w:bookmarkEnd w:id="125"/>
    </w:p>
    <w:p w14:paraId="39A8E2BE" w14:textId="77777777" w:rsidR="00B65A09" w:rsidRDefault="00B65A09" w:rsidP="00B65A09"/>
    <w:p w14:paraId="03E66C87" w14:textId="32E5CE85" w:rsidR="00857EBD" w:rsidRDefault="00857EBD" w:rsidP="00857EBD">
      <w:r>
        <w:t xml:space="preserve">V letu 2021 se je Služba za informatiko znotraj urada reorganizirala. Kot informacijska podpora je začela delati v sklopu Sektorja za splošne zadeve in informacijsko podporo. </w:t>
      </w:r>
    </w:p>
    <w:p w14:paraId="199C52CE" w14:textId="12A3B5F2" w:rsidR="00857EBD" w:rsidRDefault="00857EBD" w:rsidP="00857EBD">
      <w:r>
        <w:t xml:space="preserve">Izvaljala je aktivnosti, ki se večinoma nanašajo na upravljanje evidenčnega sistema urada in administriranje informacijskih rešitev znotraj notranjega omrežja urada. Te aktivnosti so bile operativne, izobraževalne in administrativne.  </w:t>
      </w:r>
    </w:p>
    <w:p w14:paraId="239A3DD7" w14:textId="65537AFF" w:rsidR="00857EBD" w:rsidRDefault="00273A96" w:rsidP="00857EBD">
      <w:r>
        <w:t>V času</w:t>
      </w:r>
      <w:r w:rsidR="00857EBD">
        <w:t xml:space="preserve"> epidemije covida-19 so bile aktivnosti informacijske podpore usmerjene v nemoteno zagotavljanje varnih pogojev dela sodelavcem, ki so svoje delo opravljali od doma, ob hkratnem zagotavljanju nemotenega dela pri prejemanju in arhiviranju sporočenih podatkov. Sodelavcem </w:t>
      </w:r>
      <w:r>
        <w:t xml:space="preserve">je bilo omogočeno, </w:t>
      </w:r>
      <w:r w:rsidR="00857EBD">
        <w:t>da so lahko nemoteno izvajali videokonferenčne klice</w:t>
      </w:r>
      <w:r>
        <w:t xml:space="preserve"> in</w:t>
      </w:r>
      <w:r w:rsidR="00857EBD">
        <w:t xml:space="preserve"> sodelovali pri on</w:t>
      </w:r>
      <w:r>
        <w:t>-</w:t>
      </w:r>
      <w:r w:rsidR="00857EBD">
        <w:t>line sestankih, ki jih je bilo precej zaradi predsedovanja Slovenije</w:t>
      </w:r>
      <w:r>
        <w:t xml:space="preserve"> Svetu EU</w:t>
      </w:r>
      <w:r w:rsidR="00857EBD">
        <w:t>.</w:t>
      </w:r>
    </w:p>
    <w:p w14:paraId="0228F8D5" w14:textId="7E342577" w:rsidR="00F15DF2" w:rsidRDefault="00F15DF2" w:rsidP="00F15DF2">
      <w:pPr>
        <w:spacing w:line="276" w:lineRule="auto"/>
      </w:pPr>
      <w:r>
        <w:t>V okviru mednarodnega sodelovanja, se je v letu 2021 komunikacijski sistem FIU.net, ki povezuje evropske FIU, preselil v prostore Evropske Komisije, pri čemer je urad aktivno sodeloval.</w:t>
      </w:r>
    </w:p>
    <w:p w14:paraId="75759B20" w14:textId="77777777" w:rsidR="005C427F" w:rsidRDefault="005C427F" w:rsidP="00857EBD"/>
    <w:p w14:paraId="51062630" w14:textId="177E03F9" w:rsidR="00B65A09" w:rsidRDefault="00B65A09" w:rsidP="00E02BEB">
      <w:pPr>
        <w:pStyle w:val="Naslov2"/>
      </w:pPr>
      <w:bookmarkStart w:id="126" w:name="_Toc119581770"/>
      <w:r>
        <w:t>KADROVSKE ZADEVE</w:t>
      </w:r>
      <w:bookmarkEnd w:id="126"/>
    </w:p>
    <w:p w14:paraId="73F3DF0B" w14:textId="77777777" w:rsidR="00B65A09" w:rsidRDefault="00B65A09" w:rsidP="00B65A09"/>
    <w:p w14:paraId="11DA6A47" w14:textId="343A29A4" w:rsidR="00B65A09" w:rsidRDefault="00B869AE" w:rsidP="00B65A09">
      <w:r w:rsidRPr="00B869AE">
        <w:t xml:space="preserve">V </w:t>
      </w:r>
      <w:r w:rsidR="006E5CB3">
        <w:t>u</w:t>
      </w:r>
      <w:r w:rsidRPr="00B869AE">
        <w:t xml:space="preserve">radu je bilo na dan 31. 12. 2021 skupaj z direktorjem zaposlenih 28 uslužbencev, kar je enako kot na dan 31. 12. 2020. Na podlagi Akta o notranji organizaciji in sistemizaciji delovnih mest v Uradu RS za preprečevanje pranja denarja je v </w:t>
      </w:r>
      <w:r w:rsidR="008D2795">
        <w:t>u</w:t>
      </w:r>
      <w:r w:rsidRPr="00B869AE">
        <w:t>radu sistemiziranih 31 delovnih mest, kar pomeni, da je bila konec leta 2021 zasedenost delovnih mest 94%.</w:t>
      </w:r>
    </w:p>
    <w:p w14:paraId="2EC7B9B4" w14:textId="77777777" w:rsidR="00B869AE" w:rsidRDefault="00B869AE" w:rsidP="00B65A09"/>
    <w:p w14:paraId="032BF18D" w14:textId="1C00E909" w:rsidR="00B65A09" w:rsidRDefault="00B65A09" w:rsidP="00E02BEB">
      <w:pPr>
        <w:pStyle w:val="Naslov2"/>
      </w:pPr>
      <w:bookmarkStart w:id="127" w:name="_Toc119581771"/>
      <w:r>
        <w:t>FINANČNO-MATERIALNO POSLOVANJE</w:t>
      </w:r>
      <w:bookmarkEnd w:id="127"/>
    </w:p>
    <w:p w14:paraId="47DE53D6" w14:textId="77777777" w:rsidR="00B65A09" w:rsidRDefault="00B65A09" w:rsidP="00B65A09"/>
    <w:p w14:paraId="374319A1" w14:textId="37AB42D0" w:rsidR="00B65A09" w:rsidRDefault="00B65A09" w:rsidP="00B65A09">
      <w:r>
        <w:t>Višina proračunskih sredstev, načrtovanih v finančnem načrtu urada, je za leto 2020 znašala 1.159.624 EUR. Od načrtovanih sredstev je bilo za plače in druge izdatke zaposlenih, blago in storitve, plačilo članarine organizacije EGMONT, manjše investicije in investicijsko vzdrževanje in za slovensko udeležbo v projektu nadgradnje informacijskega sistema urada porabljenih skupno 1.112.682 EUR oziroma 95,95 % vseh načrtovanih sredstev.</w:t>
      </w:r>
    </w:p>
    <w:p w14:paraId="402F0A0B" w14:textId="77777777" w:rsidR="00141C31" w:rsidRDefault="00141C31" w:rsidP="00B65A09"/>
    <w:p w14:paraId="243AFAA6" w14:textId="77777777" w:rsidR="00B65A09" w:rsidRDefault="00B65A09" w:rsidP="00B65A09"/>
    <w:p w14:paraId="5E55935C" w14:textId="09CC12B1" w:rsidR="00AD4433" w:rsidRDefault="00141C31" w:rsidP="0007162F">
      <w:pPr>
        <w:tabs>
          <w:tab w:val="center" w:pos="7088"/>
        </w:tabs>
      </w:pPr>
      <w:r>
        <w:t xml:space="preserve">Številka: </w:t>
      </w:r>
      <w:r w:rsidR="00185B52">
        <w:t>46000-3/2022</w:t>
      </w:r>
      <w:r w:rsidR="00635143">
        <w:tab/>
      </w:r>
      <w:r w:rsidR="0007162F">
        <w:t>Mag. Anika Vrabec Božič</w:t>
      </w:r>
    </w:p>
    <w:p w14:paraId="5E922FD8" w14:textId="64F47980" w:rsidR="005A0CAB" w:rsidRDefault="00141C31" w:rsidP="0007162F">
      <w:pPr>
        <w:tabs>
          <w:tab w:val="center" w:pos="7088"/>
          <w:tab w:val="right" w:pos="7655"/>
        </w:tabs>
      </w:pPr>
      <w:r>
        <w:t xml:space="preserve">Datum: </w:t>
      </w:r>
      <w:r w:rsidR="00185B52">
        <w:t>12. 12. 2022</w:t>
      </w:r>
      <w:r w:rsidR="00AD4433">
        <w:tab/>
      </w:r>
      <w:r w:rsidR="00185B52">
        <w:t xml:space="preserve">v. d. </w:t>
      </w:r>
      <w:r w:rsidR="00B65A09">
        <w:t>direktor</w:t>
      </w:r>
      <w:r w:rsidR="00185B52">
        <w:t>ja</w:t>
      </w:r>
    </w:p>
    <w:sectPr w:rsidR="005A0CAB" w:rsidSect="004D6314">
      <w:footerReference w:type="default" r:id="rId2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F4145" w14:textId="77777777" w:rsidR="005970CD" w:rsidRDefault="005970CD" w:rsidP="00FA1893">
      <w:pPr>
        <w:spacing w:after="0" w:line="240" w:lineRule="auto"/>
      </w:pPr>
      <w:r>
        <w:separator/>
      </w:r>
    </w:p>
  </w:endnote>
  <w:endnote w:type="continuationSeparator" w:id="0">
    <w:p w14:paraId="2F3BC545" w14:textId="77777777" w:rsidR="005970CD" w:rsidRDefault="005970CD" w:rsidP="00FA1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671814"/>
      <w:docPartObj>
        <w:docPartGallery w:val="Page Numbers (Bottom of Page)"/>
        <w:docPartUnique/>
      </w:docPartObj>
    </w:sdtPr>
    <w:sdtEndPr/>
    <w:sdtContent>
      <w:p w14:paraId="7642FF08" w14:textId="1C4CC60F" w:rsidR="004D6314" w:rsidRDefault="004D6314">
        <w:pPr>
          <w:pStyle w:val="Noga"/>
          <w:jc w:val="right"/>
        </w:pPr>
        <w:r>
          <w:fldChar w:fldCharType="begin"/>
        </w:r>
        <w:r>
          <w:instrText>PAGE   \* MERGEFORMAT</w:instrText>
        </w:r>
        <w:r>
          <w:fldChar w:fldCharType="separate"/>
        </w:r>
        <w:r>
          <w:t>2</w:t>
        </w:r>
        <w:r>
          <w:fldChar w:fldCharType="end"/>
        </w:r>
      </w:p>
    </w:sdtContent>
  </w:sdt>
  <w:p w14:paraId="066986D2" w14:textId="037D3ABC" w:rsidR="006A23F1" w:rsidRDefault="006A23F1" w:rsidP="00F73FE9">
    <w:pPr>
      <w:pStyle w:val="Noga"/>
      <w:tabs>
        <w:tab w:val="clear" w:pos="4536"/>
        <w:tab w:val="clear" w:pos="9072"/>
        <w:tab w:val="left" w:pos="79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79A2E" w14:textId="77777777" w:rsidR="005970CD" w:rsidRDefault="005970CD" w:rsidP="00FA1893">
      <w:pPr>
        <w:spacing w:after="0" w:line="240" w:lineRule="auto"/>
      </w:pPr>
      <w:r>
        <w:separator/>
      </w:r>
    </w:p>
  </w:footnote>
  <w:footnote w:type="continuationSeparator" w:id="0">
    <w:p w14:paraId="5880F058" w14:textId="77777777" w:rsidR="005970CD" w:rsidRDefault="005970CD" w:rsidP="00FA1893">
      <w:pPr>
        <w:spacing w:after="0" w:line="240" w:lineRule="auto"/>
      </w:pPr>
      <w:r>
        <w:continuationSeparator/>
      </w:r>
    </w:p>
  </w:footnote>
  <w:footnote w:id="1">
    <w:p w14:paraId="1C1D9D5B" w14:textId="77777777" w:rsidR="00322214" w:rsidRPr="00322214" w:rsidRDefault="00322214" w:rsidP="00322214">
      <w:pPr>
        <w:rPr>
          <w:sz w:val="18"/>
          <w:szCs w:val="18"/>
        </w:rPr>
      </w:pPr>
      <w:r>
        <w:rPr>
          <w:rStyle w:val="Sprotnaopomba-sklic"/>
        </w:rPr>
        <w:footnoteRef/>
      </w:r>
      <w:r>
        <w:t xml:space="preserve"> </w:t>
      </w:r>
      <w:r w:rsidRPr="00322214">
        <w:rPr>
          <w:sz w:val="18"/>
          <w:szCs w:val="18"/>
        </w:rPr>
        <w:t xml:space="preserve">Glede na to, da gre za letno poročilo o delu urada za leto 2021, ko je bil v veljavi še Zakon o preprečevanju pranja denarja in financiranja terorizma (Uradni list RS št. 68/16, 81/19, 91/20 in 2/21-popr. – ZPPDFT-1), so v poročilu navedeni členi ZPPDFT-1 in ne ZPPDFT-2. </w:t>
      </w:r>
    </w:p>
    <w:p w14:paraId="4905C385" w14:textId="372A7AE2" w:rsidR="00322214" w:rsidRDefault="00322214">
      <w:pPr>
        <w:pStyle w:val="Sprotnaopomba-besedilo"/>
      </w:pPr>
    </w:p>
  </w:footnote>
  <w:footnote w:id="2">
    <w:p w14:paraId="61FD60D7" w14:textId="5C113D79" w:rsidR="00FA1893" w:rsidRPr="00277AC3" w:rsidRDefault="00FA1893">
      <w:pPr>
        <w:pStyle w:val="Sprotnaopomba-besedilo"/>
        <w:rPr>
          <w:sz w:val="18"/>
          <w:szCs w:val="18"/>
        </w:rPr>
      </w:pPr>
      <w:r>
        <w:rPr>
          <w:rStyle w:val="Sprotnaopomba-sklic"/>
        </w:rPr>
        <w:footnoteRef/>
      </w:r>
      <w:r>
        <w:t xml:space="preserve"> </w:t>
      </w:r>
      <w:r w:rsidRPr="00277AC3">
        <w:rPr>
          <w:sz w:val="18"/>
          <w:szCs w:val="18"/>
        </w:rPr>
        <w:t>Projektna skupina za finančno ukrepanje (Financial Action Task Force – FATF) je vodilno mednarodno telo za boj proti pranju denarja in financiranju terorizma, ki postavlja mednarodne standarde na tem področju (40 priporočil FATF iz februarja 2012). Deluje pod okriljem OECD, vendar ni njegovo telo. Slovenija ni članica te skupine predvsem zaradi strateške odločitve FATF, da za stalne članice sprejme le še redke države (ob upoštevanju največje možne velikosti FATF, enakomerne geografske zastopanosti držav članic in pomembnosti oziroma moči posameznega gospodarstva).</w:t>
      </w:r>
    </w:p>
  </w:footnote>
  <w:footnote w:id="3">
    <w:p w14:paraId="2BF0807E" w14:textId="65E35CF4" w:rsidR="003C5CCA" w:rsidRPr="00006164" w:rsidRDefault="003C5CCA" w:rsidP="003C5CCA">
      <w:pPr>
        <w:pStyle w:val="Sprotnaopomba-besedilo"/>
        <w:rPr>
          <w:sz w:val="18"/>
          <w:szCs w:val="18"/>
        </w:rPr>
      </w:pPr>
      <w:r>
        <w:rPr>
          <w:rStyle w:val="Sprotnaopomba-sklic"/>
        </w:rPr>
        <w:footnoteRef/>
      </w:r>
      <w:r>
        <w:t xml:space="preserve"> </w:t>
      </w:r>
      <w:r w:rsidRPr="00006164">
        <w:rPr>
          <w:sz w:val="18"/>
          <w:szCs w:val="18"/>
        </w:rPr>
        <w:t>Zavezanci so definirani v 4. členu ZPPDFT-1 in se v osnovi delijo na finančne</w:t>
      </w:r>
      <w:r>
        <w:rPr>
          <w:sz w:val="18"/>
          <w:szCs w:val="18"/>
        </w:rPr>
        <w:t xml:space="preserve"> (banke, borznoposredniške hiše…)</w:t>
      </w:r>
      <w:r w:rsidRPr="00006164">
        <w:rPr>
          <w:sz w:val="18"/>
          <w:szCs w:val="18"/>
        </w:rPr>
        <w:t xml:space="preserve"> in nefinančne</w:t>
      </w:r>
      <w:r>
        <w:rPr>
          <w:sz w:val="18"/>
          <w:szCs w:val="18"/>
        </w:rPr>
        <w:t xml:space="preserve"> (odvetniki, notarji, davčni svetovalci</w:t>
      </w:r>
      <w:r w:rsidR="00A15375">
        <w:rPr>
          <w:sz w:val="18"/>
          <w:szCs w:val="18"/>
        </w:rPr>
        <w:t>, ponudniki virtualnih valut, nepremičninarji</w:t>
      </w:r>
      <w:r>
        <w:rPr>
          <w:sz w:val="18"/>
          <w:szCs w:val="18"/>
        </w:rPr>
        <w:t>…)</w:t>
      </w:r>
      <w:r w:rsidRPr="00006164">
        <w:rPr>
          <w:sz w:val="18"/>
          <w:szCs w:val="18"/>
        </w:rPr>
        <w:t>.</w:t>
      </w:r>
    </w:p>
  </w:footnote>
  <w:footnote w:id="4">
    <w:p w14:paraId="747AE9E5" w14:textId="77777777" w:rsidR="00322214" w:rsidRPr="00277AC3" w:rsidRDefault="00322214" w:rsidP="00322214">
      <w:pPr>
        <w:pStyle w:val="Sprotnaopomba-besedilo"/>
        <w:rPr>
          <w:sz w:val="18"/>
          <w:szCs w:val="18"/>
        </w:rPr>
      </w:pPr>
      <w:r>
        <w:rPr>
          <w:rStyle w:val="Sprotnaopomba-sklic"/>
        </w:rPr>
        <w:footnoteRef/>
      </w:r>
      <w:r>
        <w:t xml:space="preserve"> </w:t>
      </w:r>
      <w:r w:rsidRPr="00277AC3">
        <w:rPr>
          <w:sz w:val="18"/>
          <w:szCs w:val="18"/>
        </w:rPr>
        <w:t>Naloge urada, ki se nanašajo na preprečevanje pranja denarja in financiranja terorizma, so predlaganje sprememb predpisov, pripravljanje smernic za zavezance, sodelovanje pri pripravi seznama indikatorjev za prepoznavanje sumljivih transakcij, sodelovanje pri strokovnem usposabljanju zavezancev, spremljanje tipologij in trendov.</w:t>
      </w:r>
    </w:p>
  </w:footnote>
  <w:footnote w:id="5">
    <w:p w14:paraId="65D690A7" w14:textId="0F6677DD" w:rsidR="006A2ADF" w:rsidRPr="006A2ADF" w:rsidRDefault="006A2ADF">
      <w:pPr>
        <w:pStyle w:val="Sprotnaopomba-besedilo"/>
        <w:rPr>
          <w:sz w:val="18"/>
          <w:szCs w:val="18"/>
        </w:rPr>
      </w:pPr>
      <w:r>
        <w:rPr>
          <w:rStyle w:val="Sprotnaopomba-sklic"/>
        </w:rPr>
        <w:footnoteRef/>
      </w:r>
      <w:r>
        <w:t xml:space="preserve"> </w:t>
      </w:r>
      <w:r w:rsidRPr="006A2ADF">
        <w:rPr>
          <w:sz w:val="18"/>
          <w:szCs w:val="18"/>
        </w:rPr>
        <w:t>(Uradni list RS, št. 63/07 – uradno prečiščeno besedilo, 65/08, 69/08 – ZTFI-A, 69/08 – ZZavar-E, 40/12 – ZUJF, 158/20 – ZIntPK-C, 203/20 – ZIUPOPDVE, 202/21 – odl. US</w:t>
      </w:r>
      <w:r>
        <w:rPr>
          <w:sz w:val="18"/>
          <w:szCs w:val="18"/>
        </w:rPr>
        <w:t>).</w:t>
      </w:r>
    </w:p>
  </w:footnote>
  <w:footnote w:id="6">
    <w:p w14:paraId="55F31965" w14:textId="375C0FE2" w:rsidR="006A2ADF" w:rsidRPr="006A2ADF" w:rsidRDefault="006A2ADF">
      <w:pPr>
        <w:pStyle w:val="Sprotnaopomba-besedilo"/>
        <w:rPr>
          <w:sz w:val="18"/>
          <w:szCs w:val="18"/>
        </w:rPr>
      </w:pPr>
      <w:r>
        <w:rPr>
          <w:rStyle w:val="Sprotnaopomba-sklic"/>
        </w:rPr>
        <w:footnoteRef/>
      </w:r>
      <w:r>
        <w:t xml:space="preserve"> </w:t>
      </w:r>
      <w:r w:rsidRPr="006A2ADF">
        <w:rPr>
          <w:sz w:val="18"/>
          <w:szCs w:val="18"/>
        </w:rPr>
        <w:t>(Uradni list RS, št. 58/03, 81/03, 109/03, 43/04, 58/04 – popr., 138/04, 35/05, 60/05, 72/05, 112/05, 49/06, 140/06, 9/07, 33/08, 66/08, 88/08, 8/09, 63/09, 73/09, 11/10, 42/10, 82/10, 17/11, 14/12, 17/12, 23/12, 98/12, 16/13, 18/13, 36/13, 51/13, 59/13, 14/14, 28/14, 43/14, 76/14, 91/14, 36/15, 57/15, 4/16, 44/16, 58/16, 84/16, 8/17, 40/17, 41/17, 11/19, 25/19, 54/19, 67/19, 89/20, 104/20, 118/20, 168/20, 31/21, 54/21, 203/21)</w:t>
      </w:r>
      <w:r>
        <w:rPr>
          <w:sz w:val="18"/>
          <w:szCs w:val="18"/>
        </w:rPr>
        <w:t>.</w:t>
      </w:r>
    </w:p>
  </w:footnote>
  <w:footnote w:id="7">
    <w:p w14:paraId="2B1B9E24" w14:textId="77777777" w:rsidR="00954E99" w:rsidRPr="00174D35" w:rsidRDefault="00954E99" w:rsidP="00954E99">
      <w:pPr>
        <w:pStyle w:val="Sprotnaopomba-besedilo"/>
        <w:rPr>
          <w:i/>
          <w:sz w:val="16"/>
          <w:szCs w:val="16"/>
        </w:rPr>
      </w:pPr>
      <w:r w:rsidRPr="00174D35">
        <w:rPr>
          <w:rStyle w:val="Sprotnaopomba-sklic"/>
          <w:rFonts w:cs="Arial"/>
          <w:i/>
          <w:sz w:val="16"/>
          <w:szCs w:val="16"/>
        </w:rPr>
        <w:footnoteRef/>
      </w:r>
      <w:r>
        <w:rPr>
          <w:i/>
          <w:sz w:val="16"/>
          <w:szCs w:val="16"/>
        </w:rPr>
        <w:t>Zavezanci sporočajo podatke o transakcijah na obrazcih, pri čemer je lahko na obrazcu tudi več transakcij, katerih seštevek presega znesek 15.000 EUR.</w:t>
      </w:r>
    </w:p>
  </w:footnote>
  <w:footnote w:id="8">
    <w:p w14:paraId="126B7751" w14:textId="324FA676" w:rsidR="00B92DED" w:rsidRPr="00B92DED" w:rsidRDefault="00B92DED">
      <w:pPr>
        <w:pStyle w:val="Sprotnaopomba-besedilo"/>
        <w:rPr>
          <w:sz w:val="18"/>
          <w:szCs w:val="18"/>
        </w:rPr>
      </w:pPr>
      <w:r>
        <w:rPr>
          <w:rStyle w:val="Sprotnaopomba-sklic"/>
        </w:rPr>
        <w:footnoteRef/>
      </w:r>
      <w:r>
        <w:t xml:space="preserve"> </w:t>
      </w:r>
      <w:r w:rsidRPr="00B92DED">
        <w:rPr>
          <w:sz w:val="18"/>
          <w:szCs w:val="18"/>
        </w:rPr>
        <w:t xml:space="preserve">V nadaljevanju poročila so te transakcije poimenovane kot </w:t>
      </w:r>
      <w:r>
        <w:rPr>
          <w:sz w:val="18"/>
          <w:szCs w:val="18"/>
        </w:rPr>
        <w:t>»</w:t>
      </w:r>
      <w:r w:rsidRPr="00B92DED">
        <w:rPr>
          <w:sz w:val="18"/>
          <w:szCs w:val="18"/>
        </w:rPr>
        <w:t>nakazila, povezana s tveganimi državami</w:t>
      </w:r>
      <w:r>
        <w:rPr>
          <w:sz w:val="18"/>
          <w:szCs w:val="18"/>
        </w:rPr>
        <w:t>«</w:t>
      </w:r>
      <w:r w:rsidRPr="00B92DED">
        <w:rPr>
          <w:sz w:val="18"/>
          <w:szCs w:val="18"/>
        </w:rPr>
        <w:t>.</w:t>
      </w:r>
    </w:p>
  </w:footnote>
  <w:footnote w:id="9">
    <w:p w14:paraId="66F3A44C" w14:textId="28D7F5D9" w:rsidR="005C3E99" w:rsidRDefault="005C3E99">
      <w:pPr>
        <w:pStyle w:val="Sprotnaopomba-besedilo"/>
      </w:pPr>
      <w:r>
        <w:rPr>
          <w:rStyle w:val="Sprotnaopomba-sklic"/>
        </w:rPr>
        <w:footnoteRef/>
      </w:r>
      <w:r>
        <w:t xml:space="preserve"> </w:t>
      </w:r>
      <w:r w:rsidRPr="00EA29F2">
        <w:rPr>
          <w:sz w:val="18"/>
          <w:szCs w:val="18"/>
        </w:rPr>
        <w:t>Podatki v tej koloni predstavljajo število pisnih obvestil ali informacij urada pristojnim organom, ki je manjše od števila obravnavanih zadev, saj lahko urad v enem pisnem izdelku, ki ga pošlje pristojnim organom, obravnava več zadev.</w:t>
      </w:r>
    </w:p>
  </w:footnote>
  <w:footnote w:id="10">
    <w:p w14:paraId="56B06BD6" w14:textId="4B1A3148" w:rsidR="00BD2614" w:rsidRPr="00EA29F2" w:rsidRDefault="00BD2614">
      <w:pPr>
        <w:pStyle w:val="Sprotnaopomba-besedilo"/>
        <w:rPr>
          <w:sz w:val="18"/>
          <w:szCs w:val="18"/>
        </w:rPr>
      </w:pPr>
      <w:r>
        <w:rPr>
          <w:rStyle w:val="Sprotnaopomba-sklic"/>
        </w:rPr>
        <w:footnoteRef/>
      </w:r>
      <w:r>
        <w:t xml:space="preserve"> </w:t>
      </w:r>
      <w:r w:rsidRPr="00EA29F2">
        <w:rPr>
          <w:sz w:val="18"/>
          <w:szCs w:val="18"/>
        </w:rPr>
        <w:t>Navajamo samo tiste zadeve, ki so bile poslane pristojnim organom kot informacije zaradi sumov izvršitve drugih kaznivih dejanj. Informacije, ki smo jih poslali FURS, hkrati pa tudi kot obvestila na policijo, smo statistično zajeli že med obvestili v točki 3.1.3.</w:t>
      </w:r>
    </w:p>
  </w:footnote>
  <w:footnote w:id="11">
    <w:p w14:paraId="579EF254" w14:textId="77777777" w:rsidR="00F35424" w:rsidRPr="00EA29F2" w:rsidRDefault="00F35424" w:rsidP="00F35424">
      <w:pPr>
        <w:pStyle w:val="Sprotnaopomba-besedilo"/>
        <w:rPr>
          <w:sz w:val="18"/>
          <w:szCs w:val="18"/>
        </w:rPr>
      </w:pPr>
      <w:r w:rsidRPr="007B6ED8">
        <w:rPr>
          <w:rStyle w:val="Sprotnaopomba-sklic"/>
          <w:rFonts w:cs="Arial"/>
        </w:rPr>
        <w:footnoteRef/>
      </w:r>
      <w:r w:rsidRPr="00EA29F2">
        <w:rPr>
          <w:sz w:val="18"/>
          <w:szCs w:val="18"/>
        </w:rPr>
        <w:t>Za navedeno sporočanje povratnih informacij uradu o ugotovitvah, do katerih je prišla policija v zvezi s preiskovanjem kaznivega dejanja pranja denarja, se je mednarodno uveljavil angleški izraz »feedback«. Povratne informacije so pomemben kazalnik učinkovitosti urada in policije ter tudi tožilstva.</w:t>
      </w:r>
    </w:p>
  </w:footnote>
  <w:footnote w:id="12">
    <w:p w14:paraId="28E1A01C" w14:textId="1308E58D" w:rsidR="00DC5080" w:rsidRPr="00EA29F2" w:rsidRDefault="00DC5080">
      <w:pPr>
        <w:pStyle w:val="Sprotnaopomba-besedilo"/>
        <w:rPr>
          <w:sz w:val="18"/>
          <w:szCs w:val="18"/>
        </w:rPr>
      </w:pPr>
      <w:r>
        <w:rPr>
          <w:rStyle w:val="Sprotnaopomba-sklic"/>
        </w:rPr>
        <w:footnoteRef/>
      </w:r>
      <w:r>
        <w:t xml:space="preserve"> </w:t>
      </w:r>
      <w:r w:rsidRPr="00EA29F2">
        <w:rPr>
          <w:sz w:val="18"/>
          <w:szCs w:val="18"/>
        </w:rPr>
        <w:t>Podatki za leto 2021 vključujejo sodbe, o katerih je bil urad obveščen do izdaje tega poročila.</w:t>
      </w:r>
    </w:p>
  </w:footnote>
  <w:footnote w:id="13">
    <w:p w14:paraId="03AF7BB6" w14:textId="7933D0E4" w:rsidR="00B04B08" w:rsidRPr="00EA29F2" w:rsidRDefault="00B04B08" w:rsidP="00B04B08">
      <w:pPr>
        <w:pStyle w:val="Sprotnaopomba-besedilo"/>
        <w:rPr>
          <w:sz w:val="18"/>
          <w:szCs w:val="18"/>
        </w:rPr>
      </w:pPr>
      <w:r w:rsidRPr="003C6ACC">
        <w:rPr>
          <w:rStyle w:val="Sprotnaopomba-sklic"/>
        </w:rPr>
        <w:footnoteRef/>
      </w:r>
      <w:r w:rsidRPr="00EA29F2">
        <w:rPr>
          <w:sz w:val="18"/>
          <w:szCs w:val="18"/>
        </w:rPr>
        <w:t xml:space="preserve">Na tem mestu </w:t>
      </w:r>
      <w:r w:rsidR="00420819" w:rsidRPr="00EA29F2">
        <w:rPr>
          <w:sz w:val="18"/>
          <w:szCs w:val="18"/>
        </w:rPr>
        <w:t>ni upoštevano odvzeto</w:t>
      </w:r>
      <w:r w:rsidRPr="00EA29F2">
        <w:rPr>
          <w:sz w:val="18"/>
          <w:szCs w:val="18"/>
        </w:rPr>
        <w:t xml:space="preserve"> premoženj</w:t>
      </w:r>
      <w:r w:rsidR="00420819" w:rsidRPr="00EA29F2">
        <w:rPr>
          <w:sz w:val="18"/>
          <w:szCs w:val="18"/>
        </w:rPr>
        <w:t>e</w:t>
      </w:r>
      <w:r w:rsidRPr="00EA29F2">
        <w:rPr>
          <w:sz w:val="18"/>
          <w:szCs w:val="18"/>
        </w:rPr>
        <w:t xml:space="preserve"> v skladu s 498.a členom ZKP.</w:t>
      </w:r>
    </w:p>
  </w:footnote>
  <w:footnote w:id="14">
    <w:p w14:paraId="25168809" w14:textId="76F2C5E5" w:rsidR="00D00D08" w:rsidRPr="00EA29F2" w:rsidRDefault="00D00D08" w:rsidP="00D00D08">
      <w:pPr>
        <w:pStyle w:val="Sprotnaopomba-besedilo"/>
        <w:rPr>
          <w:sz w:val="18"/>
          <w:szCs w:val="18"/>
        </w:rPr>
      </w:pPr>
      <w:r>
        <w:rPr>
          <w:rStyle w:val="Sprotnaopomba-sklic"/>
        </w:rPr>
        <w:footnoteRef/>
      </w:r>
      <w:r>
        <w:t xml:space="preserve"> </w:t>
      </w:r>
      <w:r w:rsidRPr="00EA29F2">
        <w:rPr>
          <w:sz w:val="18"/>
          <w:szCs w:val="18"/>
        </w:rPr>
        <w:t>Republika Slovenija je bila kot članica odbora strokovnjakov Sveta Evrope za ocenjevanje učinkovitosti sistema preprečevanja pranja denarja in financiranja terorizma (MONEYVAL) ocenjena v petem krogu ocenjevanja tega odbora</w:t>
      </w:r>
      <w:r w:rsidR="00197360" w:rsidRPr="00EA29F2">
        <w:rPr>
          <w:sz w:val="18"/>
          <w:szCs w:val="18"/>
        </w:rPr>
        <w:t xml:space="preserve">. </w:t>
      </w:r>
      <w:r w:rsidRPr="00EA29F2">
        <w:rPr>
          <w:sz w:val="18"/>
          <w:szCs w:val="18"/>
        </w:rPr>
        <w:t>Poročilo petega kroga ocenjevanja je bilo sprejeto na 53. plenarni seji odbora MONEYVAL v juniju 2017. Sistem preprečevanja pranja denarja in financiranja terorizma je bil ocenjen kot zadovoljiv, vendar pa so ocenjevalci ugotovili nekatere pomanjkljivosti in dali priporočila za njihovo odpravo. Priporočila ocenjevalcev so bila v celoti vključena v oba omenjena akcijska načrta – za izboljšanje zakonodajne usklajenosti in učinkovitosti sistema za preprečevanje pranja denarja/financiranja terorizma naše države.</w:t>
      </w:r>
      <w:r w:rsidR="00197360" w:rsidRPr="00EA29F2">
        <w:rPr>
          <w:sz w:val="18"/>
          <w:szCs w:val="18"/>
        </w:rPr>
        <w:t xml:space="preserve"> Slovenija je v letu 2021 oddala že tretje </w:t>
      </w:r>
      <w:r w:rsidR="004939EA" w:rsidRPr="00EA29F2">
        <w:rPr>
          <w:sz w:val="18"/>
          <w:szCs w:val="18"/>
        </w:rPr>
        <w:t>poročilo o napredku</w:t>
      </w:r>
      <w:r w:rsidR="00197360" w:rsidRPr="00EA29F2">
        <w:rPr>
          <w:sz w:val="18"/>
          <w:szCs w:val="18"/>
        </w:rPr>
        <w:t xml:space="preserve"> (več o sodelovanju v skupini MONEYVAL v poglavju 7.1.2.1.)</w:t>
      </w:r>
      <w:r w:rsidR="004939EA" w:rsidRPr="00EA29F2">
        <w:rPr>
          <w:sz w:val="18"/>
          <w:szCs w:val="18"/>
        </w:rPr>
        <w:t>.</w:t>
      </w:r>
    </w:p>
  </w:footnote>
  <w:footnote w:id="15">
    <w:p w14:paraId="6104A084" w14:textId="3730C559" w:rsidR="009133AC" w:rsidRPr="009133AC" w:rsidRDefault="009133AC">
      <w:pPr>
        <w:pStyle w:val="Sprotnaopomba-besedilo"/>
        <w:rPr>
          <w:sz w:val="18"/>
          <w:szCs w:val="18"/>
        </w:rPr>
      </w:pPr>
      <w:r w:rsidRPr="009133AC">
        <w:rPr>
          <w:rStyle w:val="Sprotnaopomba-sklic"/>
          <w:sz w:val="18"/>
          <w:szCs w:val="18"/>
        </w:rPr>
        <w:footnoteRef/>
      </w:r>
      <w:r w:rsidRPr="009133AC">
        <w:rPr>
          <w:sz w:val="18"/>
          <w:szCs w:val="18"/>
        </w:rPr>
        <w:t xml:space="preserve"> Vsebina navedenih srečanj je podrobneje opisana v poglavju 7.2.3.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EAE"/>
    <w:multiLevelType w:val="hybridMultilevel"/>
    <w:tmpl w:val="655257E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 w15:restartNumberingAfterBreak="0">
    <w:nsid w:val="074521C9"/>
    <w:multiLevelType w:val="hybridMultilevel"/>
    <w:tmpl w:val="C61A53A8"/>
    <w:lvl w:ilvl="0" w:tplc="3D4E3404">
      <w:numFmt w:val="bullet"/>
      <w:pStyle w:val="Odstavekseznama"/>
      <w:lvlText w:val="–"/>
      <w:lvlJc w:val="left"/>
      <w:pPr>
        <w:ind w:left="1440" w:hanging="360"/>
      </w:pPr>
      <w:rPr>
        <w:rFonts w:ascii="Calibri" w:eastAsiaTheme="minorHAns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B516018"/>
    <w:multiLevelType w:val="hybridMultilevel"/>
    <w:tmpl w:val="8B9679C0"/>
    <w:lvl w:ilvl="0" w:tplc="04090005">
      <w:start w:val="31"/>
      <w:numFmt w:val="bullet"/>
      <w:lvlText w:val="-"/>
      <w:lvlJc w:val="left"/>
      <w:pPr>
        <w:ind w:left="1800" w:hanging="360"/>
      </w:pPr>
      <w:rPr>
        <w:rFonts w:ascii="Times New Roman" w:eastAsia="Times New Roman" w:hAnsi="Times New Roman" w:cs="Times New Roman"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 w15:restartNumberingAfterBreak="0">
    <w:nsid w:val="16C112A1"/>
    <w:multiLevelType w:val="hybridMultilevel"/>
    <w:tmpl w:val="A8CAC3C2"/>
    <w:lvl w:ilvl="0" w:tplc="D98C612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FA07E61"/>
    <w:multiLevelType w:val="hybridMultilevel"/>
    <w:tmpl w:val="6ACA5D5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EF47785"/>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 w15:restartNumberingAfterBreak="0">
    <w:nsid w:val="39232B24"/>
    <w:multiLevelType w:val="multilevel"/>
    <w:tmpl w:val="60449A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EB11DBE"/>
    <w:multiLevelType w:val="hybridMultilevel"/>
    <w:tmpl w:val="85627704"/>
    <w:lvl w:ilvl="0" w:tplc="00000096">
      <w:numFmt w:val="bullet"/>
      <w:lvlText w:val="–"/>
      <w:lvlJc w:val="left"/>
      <w:pPr>
        <w:ind w:left="720" w:hanging="360"/>
      </w:pPr>
      <w:rPr>
        <w:rFonts w:ascii="Times New Roman" w:hAnsi="Times New Roman" w:cs="Times New Roman" w:hint="default"/>
        <w:color w:val="000000"/>
        <w:sz w:val="20"/>
        <w:szCs w:val="20"/>
        <w:lang w:eastAsia="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33D1EEE"/>
    <w:multiLevelType w:val="hybridMultilevel"/>
    <w:tmpl w:val="786C31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FD643C7"/>
    <w:multiLevelType w:val="multilevel"/>
    <w:tmpl w:val="BA10AC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7A51B8"/>
    <w:multiLevelType w:val="hybridMultilevel"/>
    <w:tmpl w:val="6F60222C"/>
    <w:lvl w:ilvl="0" w:tplc="00000096">
      <w:numFmt w:val="bullet"/>
      <w:lvlText w:val="–"/>
      <w:lvlJc w:val="left"/>
      <w:pPr>
        <w:ind w:left="720" w:hanging="360"/>
      </w:pPr>
      <w:rPr>
        <w:rFonts w:ascii="Times New Roman" w:hAnsi="Times New Roman" w:cs="Times New Roman" w:hint="default"/>
        <w:color w:val="000000"/>
        <w:sz w:val="20"/>
        <w:szCs w:val="20"/>
        <w:lang w:eastAsia="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AC2880"/>
    <w:multiLevelType w:val="hybridMultilevel"/>
    <w:tmpl w:val="EDF22526"/>
    <w:lvl w:ilvl="0" w:tplc="D98C612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16256263">
    <w:abstractNumId w:val="5"/>
  </w:num>
  <w:num w:numId="2" w16cid:durableId="978656938">
    <w:abstractNumId w:val="1"/>
  </w:num>
  <w:num w:numId="3" w16cid:durableId="1010445678">
    <w:abstractNumId w:val="3"/>
  </w:num>
  <w:num w:numId="4" w16cid:durableId="1039012042">
    <w:abstractNumId w:val="4"/>
  </w:num>
  <w:num w:numId="5" w16cid:durableId="621232525">
    <w:abstractNumId w:val="0"/>
  </w:num>
  <w:num w:numId="6" w16cid:durableId="85422272">
    <w:abstractNumId w:val="11"/>
  </w:num>
  <w:num w:numId="7" w16cid:durableId="256865089">
    <w:abstractNumId w:val="5"/>
  </w:num>
  <w:num w:numId="8" w16cid:durableId="1133253789">
    <w:abstractNumId w:val="1"/>
  </w:num>
  <w:num w:numId="9" w16cid:durableId="1365903999">
    <w:abstractNumId w:val="1"/>
  </w:num>
  <w:num w:numId="10" w16cid:durableId="1565095002">
    <w:abstractNumId w:val="1"/>
  </w:num>
  <w:num w:numId="11" w16cid:durableId="1446579310">
    <w:abstractNumId w:val="1"/>
  </w:num>
  <w:num w:numId="12" w16cid:durableId="2103796712">
    <w:abstractNumId w:val="1"/>
  </w:num>
  <w:num w:numId="13" w16cid:durableId="533231038">
    <w:abstractNumId w:val="1"/>
  </w:num>
  <w:num w:numId="14" w16cid:durableId="2118208896">
    <w:abstractNumId w:val="2"/>
  </w:num>
  <w:num w:numId="15" w16cid:durableId="1240403965">
    <w:abstractNumId w:val="1"/>
  </w:num>
  <w:num w:numId="16" w16cid:durableId="87435523">
    <w:abstractNumId w:val="7"/>
  </w:num>
  <w:num w:numId="17" w16cid:durableId="354354838">
    <w:abstractNumId w:val="1"/>
  </w:num>
  <w:num w:numId="18" w16cid:durableId="1212185331">
    <w:abstractNumId w:val="1"/>
  </w:num>
  <w:num w:numId="19" w16cid:durableId="622033189">
    <w:abstractNumId w:val="9"/>
  </w:num>
  <w:num w:numId="20" w16cid:durableId="1634746377">
    <w:abstractNumId w:val="6"/>
  </w:num>
  <w:num w:numId="21" w16cid:durableId="1241596431">
    <w:abstractNumId w:val="1"/>
  </w:num>
  <w:num w:numId="22" w16cid:durableId="450438446">
    <w:abstractNumId w:val="1"/>
  </w:num>
  <w:num w:numId="23" w16cid:durableId="523439586">
    <w:abstractNumId w:val="1"/>
  </w:num>
  <w:num w:numId="24" w16cid:durableId="1595631846">
    <w:abstractNumId w:val="1"/>
  </w:num>
  <w:num w:numId="25" w16cid:durableId="948582310">
    <w:abstractNumId w:val="1"/>
  </w:num>
  <w:num w:numId="26" w16cid:durableId="1289699216">
    <w:abstractNumId w:val="1"/>
  </w:num>
  <w:num w:numId="27" w16cid:durableId="1345090666">
    <w:abstractNumId w:val="1"/>
  </w:num>
  <w:num w:numId="28" w16cid:durableId="2134712254">
    <w:abstractNumId w:val="1"/>
  </w:num>
  <w:num w:numId="29" w16cid:durableId="173761848">
    <w:abstractNumId w:val="1"/>
  </w:num>
  <w:num w:numId="30" w16cid:durableId="704449703">
    <w:abstractNumId w:val="1"/>
  </w:num>
  <w:num w:numId="31" w16cid:durableId="1027483068">
    <w:abstractNumId w:val="10"/>
  </w:num>
  <w:num w:numId="32" w16cid:durableId="457601236">
    <w:abstractNumId w:val="8"/>
  </w:num>
  <w:num w:numId="33" w16cid:durableId="1124812339">
    <w:abstractNumId w:val="1"/>
  </w:num>
  <w:num w:numId="34" w16cid:durableId="751002078">
    <w:abstractNumId w:val="5"/>
  </w:num>
  <w:num w:numId="35" w16cid:durableId="1165440255">
    <w:abstractNumId w:val="5"/>
  </w:num>
  <w:num w:numId="36" w16cid:durableId="335037828">
    <w:abstractNumId w:val="1"/>
  </w:num>
  <w:num w:numId="37" w16cid:durableId="156055414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A09"/>
    <w:rsid w:val="000030B5"/>
    <w:rsid w:val="00004AD1"/>
    <w:rsid w:val="00006164"/>
    <w:rsid w:val="00006168"/>
    <w:rsid w:val="0000765E"/>
    <w:rsid w:val="000119D7"/>
    <w:rsid w:val="00013719"/>
    <w:rsid w:val="00013A71"/>
    <w:rsid w:val="00022F7A"/>
    <w:rsid w:val="00034615"/>
    <w:rsid w:val="000370F8"/>
    <w:rsid w:val="000420CA"/>
    <w:rsid w:val="00045EE0"/>
    <w:rsid w:val="00057AD5"/>
    <w:rsid w:val="00063AFD"/>
    <w:rsid w:val="0007162F"/>
    <w:rsid w:val="00080612"/>
    <w:rsid w:val="00080FE3"/>
    <w:rsid w:val="0008493C"/>
    <w:rsid w:val="00092A2E"/>
    <w:rsid w:val="00096FDD"/>
    <w:rsid w:val="000A194F"/>
    <w:rsid w:val="000A69C0"/>
    <w:rsid w:val="000B07E1"/>
    <w:rsid w:val="000C0135"/>
    <w:rsid w:val="000C1AAA"/>
    <w:rsid w:val="000C4DF0"/>
    <w:rsid w:val="000C5B5B"/>
    <w:rsid w:val="000D16EE"/>
    <w:rsid w:val="000E0325"/>
    <w:rsid w:val="000E08BB"/>
    <w:rsid w:val="000E0C80"/>
    <w:rsid w:val="000E41FC"/>
    <w:rsid w:val="000F0441"/>
    <w:rsid w:val="000F2C3B"/>
    <w:rsid w:val="000F6AC0"/>
    <w:rsid w:val="0010404B"/>
    <w:rsid w:val="00107E23"/>
    <w:rsid w:val="0011001C"/>
    <w:rsid w:val="0011169A"/>
    <w:rsid w:val="0011580A"/>
    <w:rsid w:val="001177EE"/>
    <w:rsid w:val="001179BD"/>
    <w:rsid w:val="0012068D"/>
    <w:rsid w:val="00121B94"/>
    <w:rsid w:val="0012436D"/>
    <w:rsid w:val="00126BB1"/>
    <w:rsid w:val="001317D0"/>
    <w:rsid w:val="00141C31"/>
    <w:rsid w:val="00150ACE"/>
    <w:rsid w:val="00154D55"/>
    <w:rsid w:val="00155EF3"/>
    <w:rsid w:val="001605E4"/>
    <w:rsid w:val="00160F2B"/>
    <w:rsid w:val="001611A5"/>
    <w:rsid w:val="00163459"/>
    <w:rsid w:val="00164995"/>
    <w:rsid w:val="0017540B"/>
    <w:rsid w:val="00177DD5"/>
    <w:rsid w:val="00183A0B"/>
    <w:rsid w:val="00185B52"/>
    <w:rsid w:val="0019433A"/>
    <w:rsid w:val="00194AB4"/>
    <w:rsid w:val="00197360"/>
    <w:rsid w:val="001A3F4B"/>
    <w:rsid w:val="001A6A13"/>
    <w:rsid w:val="001B2CF5"/>
    <w:rsid w:val="001B442C"/>
    <w:rsid w:val="001B64CE"/>
    <w:rsid w:val="001C0152"/>
    <w:rsid w:val="001C2C18"/>
    <w:rsid w:val="001D3236"/>
    <w:rsid w:val="001D3CC6"/>
    <w:rsid w:val="001D4280"/>
    <w:rsid w:val="001E41D8"/>
    <w:rsid w:val="001E6FD5"/>
    <w:rsid w:val="001F1AB9"/>
    <w:rsid w:val="002006BA"/>
    <w:rsid w:val="002031BE"/>
    <w:rsid w:val="002053DC"/>
    <w:rsid w:val="002101CD"/>
    <w:rsid w:val="002118CF"/>
    <w:rsid w:val="00211C74"/>
    <w:rsid w:val="0021402B"/>
    <w:rsid w:val="0021555E"/>
    <w:rsid w:val="00217995"/>
    <w:rsid w:val="00220DE5"/>
    <w:rsid w:val="00225E9E"/>
    <w:rsid w:val="00227EFD"/>
    <w:rsid w:val="00255371"/>
    <w:rsid w:val="0025768C"/>
    <w:rsid w:val="00260D17"/>
    <w:rsid w:val="002644A5"/>
    <w:rsid w:val="00267E3A"/>
    <w:rsid w:val="00271BC6"/>
    <w:rsid w:val="00273A96"/>
    <w:rsid w:val="002741ED"/>
    <w:rsid w:val="00275F52"/>
    <w:rsid w:val="00277073"/>
    <w:rsid w:val="00277AC3"/>
    <w:rsid w:val="00284DA4"/>
    <w:rsid w:val="002866FD"/>
    <w:rsid w:val="00296C54"/>
    <w:rsid w:val="002A7197"/>
    <w:rsid w:val="002A79CC"/>
    <w:rsid w:val="002B35D0"/>
    <w:rsid w:val="002B5DE0"/>
    <w:rsid w:val="002C4978"/>
    <w:rsid w:val="002D113B"/>
    <w:rsid w:val="002D316E"/>
    <w:rsid w:val="002D3C3A"/>
    <w:rsid w:val="002D6D7C"/>
    <w:rsid w:val="002E19D7"/>
    <w:rsid w:val="002E4876"/>
    <w:rsid w:val="002F4061"/>
    <w:rsid w:val="002F7C2D"/>
    <w:rsid w:val="00301DCA"/>
    <w:rsid w:val="00313624"/>
    <w:rsid w:val="00322214"/>
    <w:rsid w:val="00322542"/>
    <w:rsid w:val="00325377"/>
    <w:rsid w:val="003264D6"/>
    <w:rsid w:val="00345525"/>
    <w:rsid w:val="00345B35"/>
    <w:rsid w:val="00351115"/>
    <w:rsid w:val="0035326B"/>
    <w:rsid w:val="00354BD9"/>
    <w:rsid w:val="00354EF7"/>
    <w:rsid w:val="00356100"/>
    <w:rsid w:val="00356C14"/>
    <w:rsid w:val="00364F8F"/>
    <w:rsid w:val="003650A6"/>
    <w:rsid w:val="00366EF9"/>
    <w:rsid w:val="003772F9"/>
    <w:rsid w:val="003909FC"/>
    <w:rsid w:val="003929F5"/>
    <w:rsid w:val="0039693D"/>
    <w:rsid w:val="003A13EF"/>
    <w:rsid w:val="003A3852"/>
    <w:rsid w:val="003A5C93"/>
    <w:rsid w:val="003B0A97"/>
    <w:rsid w:val="003B6BC3"/>
    <w:rsid w:val="003B7E1C"/>
    <w:rsid w:val="003C5CCA"/>
    <w:rsid w:val="003C642C"/>
    <w:rsid w:val="003C6ACC"/>
    <w:rsid w:val="003D0189"/>
    <w:rsid w:val="003E574D"/>
    <w:rsid w:val="003E7F36"/>
    <w:rsid w:val="003F01C5"/>
    <w:rsid w:val="003F3061"/>
    <w:rsid w:val="003F781B"/>
    <w:rsid w:val="00404BAB"/>
    <w:rsid w:val="00405BD0"/>
    <w:rsid w:val="00405C9E"/>
    <w:rsid w:val="004147CD"/>
    <w:rsid w:val="004152C9"/>
    <w:rsid w:val="00420819"/>
    <w:rsid w:val="0042479C"/>
    <w:rsid w:val="004266BB"/>
    <w:rsid w:val="00431EC1"/>
    <w:rsid w:val="00432301"/>
    <w:rsid w:val="004348B0"/>
    <w:rsid w:val="0043591A"/>
    <w:rsid w:val="00443A72"/>
    <w:rsid w:val="0045290E"/>
    <w:rsid w:val="00455663"/>
    <w:rsid w:val="004608A4"/>
    <w:rsid w:val="00463ADD"/>
    <w:rsid w:val="00464527"/>
    <w:rsid w:val="00465532"/>
    <w:rsid w:val="00470FC8"/>
    <w:rsid w:val="004722C2"/>
    <w:rsid w:val="00472498"/>
    <w:rsid w:val="00472A01"/>
    <w:rsid w:val="004748D8"/>
    <w:rsid w:val="0047635C"/>
    <w:rsid w:val="00480533"/>
    <w:rsid w:val="004808B2"/>
    <w:rsid w:val="00483CF5"/>
    <w:rsid w:val="00490BC2"/>
    <w:rsid w:val="00491AF8"/>
    <w:rsid w:val="00492B2A"/>
    <w:rsid w:val="004939EA"/>
    <w:rsid w:val="004A4A8C"/>
    <w:rsid w:val="004A6BC1"/>
    <w:rsid w:val="004B1415"/>
    <w:rsid w:val="004D26FD"/>
    <w:rsid w:val="004D295B"/>
    <w:rsid w:val="004D6314"/>
    <w:rsid w:val="004E45B2"/>
    <w:rsid w:val="004F463D"/>
    <w:rsid w:val="004F7A5F"/>
    <w:rsid w:val="0050109E"/>
    <w:rsid w:val="00502B31"/>
    <w:rsid w:val="00503FB1"/>
    <w:rsid w:val="00507680"/>
    <w:rsid w:val="005108FB"/>
    <w:rsid w:val="00510DFB"/>
    <w:rsid w:val="00514D62"/>
    <w:rsid w:val="0053241E"/>
    <w:rsid w:val="00534103"/>
    <w:rsid w:val="0053420D"/>
    <w:rsid w:val="0054063D"/>
    <w:rsid w:val="005451A3"/>
    <w:rsid w:val="005457CC"/>
    <w:rsid w:val="00546DE7"/>
    <w:rsid w:val="00552405"/>
    <w:rsid w:val="00552F54"/>
    <w:rsid w:val="005543F3"/>
    <w:rsid w:val="0056055A"/>
    <w:rsid w:val="00560AD7"/>
    <w:rsid w:val="005623AC"/>
    <w:rsid w:val="00570088"/>
    <w:rsid w:val="00572791"/>
    <w:rsid w:val="005737A4"/>
    <w:rsid w:val="00576507"/>
    <w:rsid w:val="00576DF4"/>
    <w:rsid w:val="0059544E"/>
    <w:rsid w:val="005970CD"/>
    <w:rsid w:val="00597DB9"/>
    <w:rsid w:val="005A0CAB"/>
    <w:rsid w:val="005A1E59"/>
    <w:rsid w:val="005B446E"/>
    <w:rsid w:val="005B48E4"/>
    <w:rsid w:val="005B6989"/>
    <w:rsid w:val="005B7643"/>
    <w:rsid w:val="005C0800"/>
    <w:rsid w:val="005C3E99"/>
    <w:rsid w:val="005C427F"/>
    <w:rsid w:val="005D4ABA"/>
    <w:rsid w:val="005E1C24"/>
    <w:rsid w:val="005E2E1A"/>
    <w:rsid w:val="005F3C70"/>
    <w:rsid w:val="00601090"/>
    <w:rsid w:val="006017AE"/>
    <w:rsid w:val="00605D32"/>
    <w:rsid w:val="00606A89"/>
    <w:rsid w:val="00610BC1"/>
    <w:rsid w:val="00610E75"/>
    <w:rsid w:val="006143C3"/>
    <w:rsid w:val="00616213"/>
    <w:rsid w:val="00624A80"/>
    <w:rsid w:val="006274B9"/>
    <w:rsid w:val="006331D8"/>
    <w:rsid w:val="0063438C"/>
    <w:rsid w:val="00634D6B"/>
    <w:rsid w:val="00635143"/>
    <w:rsid w:val="00640368"/>
    <w:rsid w:val="006463A1"/>
    <w:rsid w:val="006503BD"/>
    <w:rsid w:val="006508E1"/>
    <w:rsid w:val="00651083"/>
    <w:rsid w:val="006516EA"/>
    <w:rsid w:val="00660D76"/>
    <w:rsid w:val="006716DF"/>
    <w:rsid w:val="00672ACE"/>
    <w:rsid w:val="00672C8E"/>
    <w:rsid w:val="00677B84"/>
    <w:rsid w:val="00680300"/>
    <w:rsid w:val="00680499"/>
    <w:rsid w:val="00683F3C"/>
    <w:rsid w:val="00685030"/>
    <w:rsid w:val="00693BCA"/>
    <w:rsid w:val="00697EEB"/>
    <w:rsid w:val="006A01B9"/>
    <w:rsid w:val="006A0CA8"/>
    <w:rsid w:val="006A126B"/>
    <w:rsid w:val="006A23F1"/>
    <w:rsid w:val="006A23F3"/>
    <w:rsid w:val="006A2968"/>
    <w:rsid w:val="006A2ADF"/>
    <w:rsid w:val="006B05F1"/>
    <w:rsid w:val="006B224F"/>
    <w:rsid w:val="006B7204"/>
    <w:rsid w:val="006C17AE"/>
    <w:rsid w:val="006C2AE1"/>
    <w:rsid w:val="006C33D8"/>
    <w:rsid w:val="006E0FFB"/>
    <w:rsid w:val="006E1169"/>
    <w:rsid w:val="006E157F"/>
    <w:rsid w:val="006E5CB3"/>
    <w:rsid w:val="006E61B7"/>
    <w:rsid w:val="006E65CB"/>
    <w:rsid w:val="006F0001"/>
    <w:rsid w:val="006F551F"/>
    <w:rsid w:val="006F6403"/>
    <w:rsid w:val="006F7F74"/>
    <w:rsid w:val="0070033C"/>
    <w:rsid w:val="007051A0"/>
    <w:rsid w:val="007053F8"/>
    <w:rsid w:val="007101F9"/>
    <w:rsid w:val="0071188D"/>
    <w:rsid w:val="007217CC"/>
    <w:rsid w:val="00731EF6"/>
    <w:rsid w:val="00733D73"/>
    <w:rsid w:val="00736D28"/>
    <w:rsid w:val="00737ED9"/>
    <w:rsid w:val="00745A21"/>
    <w:rsid w:val="0075740D"/>
    <w:rsid w:val="0075795B"/>
    <w:rsid w:val="00767568"/>
    <w:rsid w:val="00775DAC"/>
    <w:rsid w:val="00776F73"/>
    <w:rsid w:val="00777E07"/>
    <w:rsid w:val="00783FFD"/>
    <w:rsid w:val="00791FC0"/>
    <w:rsid w:val="007945DD"/>
    <w:rsid w:val="007A0DAD"/>
    <w:rsid w:val="007A53D5"/>
    <w:rsid w:val="007A689C"/>
    <w:rsid w:val="007A703D"/>
    <w:rsid w:val="007B0E26"/>
    <w:rsid w:val="007B1A45"/>
    <w:rsid w:val="007B334A"/>
    <w:rsid w:val="007B6EF6"/>
    <w:rsid w:val="007C2A03"/>
    <w:rsid w:val="007C3F0D"/>
    <w:rsid w:val="007C5B9C"/>
    <w:rsid w:val="007C5DCA"/>
    <w:rsid w:val="007C6BCA"/>
    <w:rsid w:val="007D2F4B"/>
    <w:rsid w:val="007D6837"/>
    <w:rsid w:val="007D73FD"/>
    <w:rsid w:val="007E026D"/>
    <w:rsid w:val="007E2359"/>
    <w:rsid w:val="007E570D"/>
    <w:rsid w:val="007F6EEF"/>
    <w:rsid w:val="007F77DB"/>
    <w:rsid w:val="007F7E93"/>
    <w:rsid w:val="008002A6"/>
    <w:rsid w:val="0080184B"/>
    <w:rsid w:val="0080483A"/>
    <w:rsid w:val="008116FB"/>
    <w:rsid w:val="008246A6"/>
    <w:rsid w:val="00826AA8"/>
    <w:rsid w:val="00834747"/>
    <w:rsid w:val="008442F5"/>
    <w:rsid w:val="00845090"/>
    <w:rsid w:val="00845B81"/>
    <w:rsid w:val="00855CEB"/>
    <w:rsid w:val="00857EBD"/>
    <w:rsid w:val="008641D9"/>
    <w:rsid w:val="00867B39"/>
    <w:rsid w:val="00870922"/>
    <w:rsid w:val="00873298"/>
    <w:rsid w:val="0087346C"/>
    <w:rsid w:val="00885D44"/>
    <w:rsid w:val="00887011"/>
    <w:rsid w:val="00891754"/>
    <w:rsid w:val="0089252D"/>
    <w:rsid w:val="00895B6C"/>
    <w:rsid w:val="00897CFA"/>
    <w:rsid w:val="008A2B86"/>
    <w:rsid w:val="008A3CD8"/>
    <w:rsid w:val="008A4A68"/>
    <w:rsid w:val="008A5F39"/>
    <w:rsid w:val="008A7C39"/>
    <w:rsid w:val="008B1173"/>
    <w:rsid w:val="008B1D4B"/>
    <w:rsid w:val="008B26D0"/>
    <w:rsid w:val="008B47A9"/>
    <w:rsid w:val="008B796F"/>
    <w:rsid w:val="008C646A"/>
    <w:rsid w:val="008D2795"/>
    <w:rsid w:val="008D5255"/>
    <w:rsid w:val="008E1767"/>
    <w:rsid w:val="008E3760"/>
    <w:rsid w:val="008E7972"/>
    <w:rsid w:val="008F5012"/>
    <w:rsid w:val="008F5107"/>
    <w:rsid w:val="00905829"/>
    <w:rsid w:val="009133AC"/>
    <w:rsid w:val="00914358"/>
    <w:rsid w:val="00916D45"/>
    <w:rsid w:val="00916F26"/>
    <w:rsid w:val="0092484D"/>
    <w:rsid w:val="00926CB3"/>
    <w:rsid w:val="00931C55"/>
    <w:rsid w:val="00942C34"/>
    <w:rsid w:val="00947066"/>
    <w:rsid w:val="00954E99"/>
    <w:rsid w:val="009569B1"/>
    <w:rsid w:val="00956BF0"/>
    <w:rsid w:val="009602EA"/>
    <w:rsid w:val="0096505D"/>
    <w:rsid w:val="009700D4"/>
    <w:rsid w:val="009754F7"/>
    <w:rsid w:val="009822DC"/>
    <w:rsid w:val="00990A04"/>
    <w:rsid w:val="009946A3"/>
    <w:rsid w:val="00995C21"/>
    <w:rsid w:val="009A11DF"/>
    <w:rsid w:val="009A20A1"/>
    <w:rsid w:val="009A3265"/>
    <w:rsid w:val="009A349D"/>
    <w:rsid w:val="009A6286"/>
    <w:rsid w:val="009B1F97"/>
    <w:rsid w:val="009B1FFF"/>
    <w:rsid w:val="009B48C9"/>
    <w:rsid w:val="009B6F2F"/>
    <w:rsid w:val="009C2990"/>
    <w:rsid w:val="009C4613"/>
    <w:rsid w:val="009C7992"/>
    <w:rsid w:val="009D1138"/>
    <w:rsid w:val="009D3000"/>
    <w:rsid w:val="009D34B2"/>
    <w:rsid w:val="009D434E"/>
    <w:rsid w:val="009E11F4"/>
    <w:rsid w:val="009E181E"/>
    <w:rsid w:val="009E4431"/>
    <w:rsid w:val="009E4CB3"/>
    <w:rsid w:val="009F2524"/>
    <w:rsid w:val="009F52D9"/>
    <w:rsid w:val="00A023F7"/>
    <w:rsid w:val="00A058D7"/>
    <w:rsid w:val="00A10D81"/>
    <w:rsid w:val="00A15375"/>
    <w:rsid w:val="00A2315C"/>
    <w:rsid w:val="00A27878"/>
    <w:rsid w:val="00A33A8C"/>
    <w:rsid w:val="00A43FDF"/>
    <w:rsid w:val="00A46371"/>
    <w:rsid w:val="00A4642E"/>
    <w:rsid w:val="00A5029D"/>
    <w:rsid w:val="00A52DBE"/>
    <w:rsid w:val="00A63B50"/>
    <w:rsid w:val="00A66AFD"/>
    <w:rsid w:val="00A726AE"/>
    <w:rsid w:val="00A75875"/>
    <w:rsid w:val="00A76A8A"/>
    <w:rsid w:val="00A84BD5"/>
    <w:rsid w:val="00A86AF3"/>
    <w:rsid w:val="00A9101E"/>
    <w:rsid w:val="00A91356"/>
    <w:rsid w:val="00A94757"/>
    <w:rsid w:val="00AA0051"/>
    <w:rsid w:val="00AA2DE4"/>
    <w:rsid w:val="00AA3D50"/>
    <w:rsid w:val="00AA4B2D"/>
    <w:rsid w:val="00AB2696"/>
    <w:rsid w:val="00AC0412"/>
    <w:rsid w:val="00AC0CFF"/>
    <w:rsid w:val="00AC7644"/>
    <w:rsid w:val="00AD4433"/>
    <w:rsid w:val="00AD4836"/>
    <w:rsid w:val="00AD4AE2"/>
    <w:rsid w:val="00AD7A14"/>
    <w:rsid w:val="00AE3AC4"/>
    <w:rsid w:val="00AE7DFF"/>
    <w:rsid w:val="00AF19B6"/>
    <w:rsid w:val="00AF436C"/>
    <w:rsid w:val="00AF6BC5"/>
    <w:rsid w:val="00B01022"/>
    <w:rsid w:val="00B021CB"/>
    <w:rsid w:val="00B035D0"/>
    <w:rsid w:val="00B04B08"/>
    <w:rsid w:val="00B07B1A"/>
    <w:rsid w:val="00B22FEE"/>
    <w:rsid w:val="00B23BD7"/>
    <w:rsid w:val="00B25898"/>
    <w:rsid w:val="00B35993"/>
    <w:rsid w:val="00B3667A"/>
    <w:rsid w:val="00B4616A"/>
    <w:rsid w:val="00B46640"/>
    <w:rsid w:val="00B47411"/>
    <w:rsid w:val="00B479B0"/>
    <w:rsid w:val="00B51090"/>
    <w:rsid w:val="00B5158B"/>
    <w:rsid w:val="00B51B6A"/>
    <w:rsid w:val="00B523E1"/>
    <w:rsid w:val="00B57A4B"/>
    <w:rsid w:val="00B60701"/>
    <w:rsid w:val="00B63536"/>
    <w:rsid w:val="00B65A09"/>
    <w:rsid w:val="00B67C67"/>
    <w:rsid w:val="00B7640E"/>
    <w:rsid w:val="00B869AE"/>
    <w:rsid w:val="00B87896"/>
    <w:rsid w:val="00B90AF7"/>
    <w:rsid w:val="00B92DED"/>
    <w:rsid w:val="00BA4590"/>
    <w:rsid w:val="00BA67D8"/>
    <w:rsid w:val="00BB1C1D"/>
    <w:rsid w:val="00BB67F7"/>
    <w:rsid w:val="00BC05FB"/>
    <w:rsid w:val="00BC183C"/>
    <w:rsid w:val="00BC33C8"/>
    <w:rsid w:val="00BC656E"/>
    <w:rsid w:val="00BC6615"/>
    <w:rsid w:val="00BC7D47"/>
    <w:rsid w:val="00BD02FB"/>
    <w:rsid w:val="00BD1F1D"/>
    <w:rsid w:val="00BD2614"/>
    <w:rsid w:val="00BD40C5"/>
    <w:rsid w:val="00BD49C7"/>
    <w:rsid w:val="00BE47EC"/>
    <w:rsid w:val="00BF3224"/>
    <w:rsid w:val="00C02AF1"/>
    <w:rsid w:val="00C124DE"/>
    <w:rsid w:val="00C17642"/>
    <w:rsid w:val="00C2245F"/>
    <w:rsid w:val="00C2455B"/>
    <w:rsid w:val="00C3383D"/>
    <w:rsid w:val="00C44145"/>
    <w:rsid w:val="00C44A62"/>
    <w:rsid w:val="00C44C01"/>
    <w:rsid w:val="00C47629"/>
    <w:rsid w:val="00C52229"/>
    <w:rsid w:val="00C52499"/>
    <w:rsid w:val="00C55968"/>
    <w:rsid w:val="00C55A05"/>
    <w:rsid w:val="00C56BAF"/>
    <w:rsid w:val="00C63F16"/>
    <w:rsid w:val="00C65DDD"/>
    <w:rsid w:val="00C720FC"/>
    <w:rsid w:val="00C72904"/>
    <w:rsid w:val="00C741C5"/>
    <w:rsid w:val="00C808E0"/>
    <w:rsid w:val="00C83D8C"/>
    <w:rsid w:val="00C87C33"/>
    <w:rsid w:val="00C922B4"/>
    <w:rsid w:val="00CA44B9"/>
    <w:rsid w:val="00CA6A69"/>
    <w:rsid w:val="00CB301F"/>
    <w:rsid w:val="00CB3F55"/>
    <w:rsid w:val="00CC47BC"/>
    <w:rsid w:val="00CD3E1A"/>
    <w:rsid w:val="00CD6A0F"/>
    <w:rsid w:val="00CE65AC"/>
    <w:rsid w:val="00CE73A7"/>
    <w:rsid w:val="00CF7711"/>
    <w:rsid w:val="00D003E7"/>
    <w:rsid w:val="00D00D08"/>
    <w:rsid w:val="00D02847"/>
    <w:rsid w:val="00D06887"/>
    <w:rsid w:val="00D16B63"/>
    <w:rsid w:val="00D1720B"/>
    <w:rsid w:val="00D17594"/>
    <w:rsid w:val="00D22B13"/>
    <w:rsid w:val="00D24AB6"/>
    <w:rsid w:val="00D3135C"/>
    <w:rsid w:val="00D31FA4"/>
    <w:rsid w:val="00D33A8A"/>
    <w:rsid w:val="00D344AC"/>
    <w:rsid w:val="00D34B67"/>
    <w:rsid w:val="00D35508"/>
    <w:rsid w:val="00D35B1A"/>
    <w:rsid w:val="00D36326"/>
    <w:rsid w:val="00D36CF2"/>
    <w:rsid w:val="00D4302B"/>
    <w:rsid w:val="00D44A88"/>
    <w:rsid w:val="00D513D5"/>
    <w:rsid w:val="00D52972"/>
    <w:rsid w:val="00D55D21"/>
    <w:rsid w:val="00D5707B"/>
    <w:rsid w:val="00D57129"/>
    <w:rsid w:val="00D6217C"/>
    <w:rsid w:val="00D62FFA"/>
    <w:rsid w:val="00D63187"/>
    <w:rsid w:val="00D6351D"/>
    <w:rsid w:val="00D64E07"/>
    <w:rsid w:val="00D64E43"/>
    <w:rsid w:val="00D744E6"/>
    <w:rsid w:val="00D8156B"/>
    <w:rsid w:val="00D849F0"/>
    <w:rsid w:val="00D8554A"/>
    <w:rsid w:val="00D94831"/>
    <w:rsid w:val="00DA74E5"/>
    <w:rsid w:val="00DB1529"/>
    <w:rsid w:val="00DB3CAB"/>
    <w:rsid w:val="00DC4EE7"/>
    <w:rsid w:val="00DC5080"/>
    <w:rsid w:val="00DC5222"/>
    <w:rsid w:val="00DC76AD"/>
    <w:rsid w:val="00DC7B6C"/>
    <w:rsid w:val="00DD7DF0"/>
    <w:rsid w:val="00DE5D2B"/>
    <w:rsid w:val="00DE6709"/>
    <w:rsid w:val="00DF5B16"/>
    <w:rsid w:val="00DF76DE"/>
    <w:rsid w:val="00E02BEB"/>
    <w:rsid w:val="00E04A8E"/>
    <w:rsid w:val="00E14B81"/>
    <w:rsid w:val="00E24EDA"/>
    <w:rsid w:val="00E250C9"/>
    <w:rsid w:val="00E26F1E"/>
    <w:rsid w:val="00E4181C"/>
    <w:rsid w:val="00E61DFF"/>
    <w:rsid w:val="00E62EAF"/>
    <w:rsid w:val="00E6495A"/>
    <w:rsid w:val="00E7494A"/>
    <w:rsid w:val="00E853BB"/>
    <w:rsid w:val="00E85C28"/>
    <w:rsid w:val="00E90ADA"/>
    <w:rsid w:val="00E92156"/>
    <w:rsid w:val="00E93D0B"/>
    <w:rsid w:val="00E9405C"/>
    <w:rsid w:val="00E943E8"/>
    <w:rsid w:val="00EA213D"/>
    <w:rsid w:val="00EA29F2"/>
    <w:rsid w:val="00EA665D"/>
    <w:rsid w:val="00EA7A1D"/>
    <w:rsid w:val="00EB043F"/>
    <w:rsid w:val="00EB5CFB"/>
    <w:rsid w:val="00EC1A05"/>
    <w:rsid w:val="00EC4FBC"/>
    <w:rsid w:val="00ED07DC"/>
    <w:rsid w:val="00ED14CA"/>
    <w:rsid w:val="00ED751B"/>
    <w:rsid w:val="00EE47A9"/>
    <w:rsid w:val="00EF04EB"/>
    <w:rsid w:val="00F019EC"/>
    <w:rsid w:val="00F020CB"/>
    <w:rsid w:val="00F02D79"/>
    <w:rsid w:val="00F033EF"/>
    <w:rsid w:val="00F03CE9"/>
    <w:rsid w:val="00F06E38"/>
    <w:rsid w:val="00F07D43"/>
    <w:rsid w:val="00F11AF0"/>
    <w:rsid w:val="00F156D5"/>
    <w:rsid w:val="00F15DF2"/>
    <w:rsid w:val="00F17EEE"/>
    <w:rsid w:val="00F22316"/>
    <w:rsid w:val="00F270AB"/>
    <w:rsid w:val="00F32498"/>
    <w:rsid w:val="00F337FC"/>
    <w:rsid w:val="00F338AD"/>
    <w:rsid w:val="00F343AA"/>
    <w:rsid w:val="00F35424"/>
    <w:rsid w:val="00F4018C"/>
    <w:rsid w:val="00F444AC"/>
    <w:rsid w:val="00F474BE"/>
    <w:rsid w:val="00F53DA1"/>
    <w:rsid w:val="00F569C7"/>
    <w:rsid w:val="00F5715B"/>
    <w:rsid w:val="00F617D1"/>
    <w:rsid w:val="00F66AC7"/>
    <w:rsid w:val="00F7059E"/>
    <w:rsid w:val="00F70CFC"/>
    <w:rsid w:val="00F70FDA"/>
    <w:rsid w:val="00F73FE9"/>
    <w:rsid w:val="00F80C00"/>
    <w:rsid w:val="00F81D0B"/>
    <w:rsid w:val="00F829AE"/>
    <w:rsid w:val="00F87246"/>
    <w:rsid w:val="00FA151C"/>
    <w:rsid w:val="00FA1893"/>
    <w:rsid w:val="00FA4CD1"/>
    <w:rsid w:val="00FB32C0"/>
    <w:rsid w:val="00FB5247"/>
    <w:rsid w:val="00FC325D"/>
    <w:rsid w:val="00FC702A"/>
    <w:rsid w:val="00FC7122"/>
    <w:rsid w:val="00FD2076"/>
    <w:rsid w:val="00FD3BB6"/>
    <w:rsid w:val="00FE03A9"/>
    <w:rsid w:val="00FE0AE9"/>
    <w:rsid w:val="00FE0F7D"/>
    <w:rsid w:val="00FE2EDA"/>
    <w:rsid w:val="00FE3B79"/>
    <w:rsid w:val="00FE3E4E"/>
    <w:rsid w:val="00FE79F2"/>
    <w:rsid w:val="00FF29A4"/>
    <w:rsid w:val="00FF6B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7DB9CA"/>
  <w15:docId w15:val="{194F3FEB-E79D-4007-AF26-12E5C4CC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40368"/>
    <w:pPr>
      <w:jc w:val="both"/>
    </w:pPr>
    <w:rPr>
      <w:rFonts w:ascii="Arial" w:hAnsi="Arial"/>
      <w:sz w:val="20"/>
    </w:rPr>
  </w:style>
  <w:style w:type="paragraph" w:styleId="Naslov1">
    <w:name w:val="heading 1"/>
    <w:basedOn w:val="Navaden"/>
    <w:next w:val="Navaden"/>
    <w:link w:val="Naslov1Znak"/>
    <w:uiPriority w:val="9"/>
    <w:qFormat/>
    <w:rsid w:val="00D52972"/>
    <w:pPr>
      <w:keepNext/>
      <w:keepLines/>
      <w:numPr>
        <w:numId w:val="1"/>
      </w:numPr>
      <w:pBdr>
        <w:top w:val="single" w:sz="4" w:space="1" w:color="auto"/>
        <w:bottom w:val="single" w:sz="4" w:space="1" w:color="auto"/>
      </w:pBdr>
      <w:shd w:val="clear" w:color="auto" w:fill="F2F2F2" w:themeFill="background1" w:themeFillShade="F2"/>
      <w:spacing w:before="240" w:after="0"/>
      <w:outlineLvl w:val="0"/>
    </w:pPr>
    <w:rPr>
      <w:rFonts w:eastAsiaTheme="majorEastAsia" w:cstheme="majorBidi"/>
      <w:color w:val="0070C0"/>
      <w:sz w:val="28"/>
      <w:szCs w:val="32"/>
    </w:rPr>
  </w:style>
  <w:style w:type="paragraph" w:styleId="Naslov2">
    <w:name w:val="heading 2"/>
    <w:basedOn w:val="Navaden"/>
    <w:next w:val="Navaden"/>
    <w:link w:val="Naslov2Znak"/>
    <w:uiPriority w:val="99"/>
    <w:unhideWhenUsed/>
    <w:qFormat/>
    <w:rsid w:val="00D52972"/>
    <w:pPr>
      <w:keepNext/>
      <w:keepLines/>
      <w:numPr>
        <w:ilvl w:val="1"/>
        <w:numId w:val="1"/>
      </w:numPr>
      <w:spacing w:before="40" w:after="0"/>
      <w:outlineLvl w:val="1"/>
    </w:pPr>
    <w:rPr>
      <w:rFonts w:eastAsiaTheme="majorEastAsia" w:cstheme="majorBidi"/>
      <w:color w:val="0070C0"/>
      <w:sz w:val="24"/>
      <w:szCs w:val="26"/>
    </w:rPr>
  </w:style>
  <w:style w:type="paragraph" w:styleId="Naslov3">
    <w:name w:val="heading 3"/>
    <w:basedOn w:val="Navaden"/>
    <w:next w:val="Navaden"/>
    <w:link w:val="Naslov3Znak"/>
    <w:uiPriority w:val="9"/>
    <w:unhideWhenUsed/>
    <w:qFormat/>
    <w:rsid w:val="00D52972"/>
    <w:pPr>
      <w:keepNext/>
      <w:keepLines/>
      <w:numPr>
        <w:ilvl w:val="2"/>
        <w:numId w:val="1"/>
      </w:numPr>
      <w:spacing w:before="40" w:after="0"/>
      <w:outlineLvl w:val="2"/>
    </w:pPr>
    <w:rPr>
      <w:rFonts w:eastAsiaTheme="majorEastAsia" w:cstheme="majorBidi"/>
      <w:color w:val="0070C0"/>
      <w:sz w:val="24"/>
      <w:szCs w:val="24"/>
    </w:rPr>
  </w:style>
  <w:style w:type="paragraph" w:styleId="Naslov4">
    <w:name w:val="heading 4"/>
    <w:basedOn w:val="Navaden"/>
    <w:next w:val="Navaden"/>
    <w:link w:val="Naslov4Znak"/>
    <w:uiPriority w:val="9"/>
    <w:unhideWhenUsed/>
    <w:qFormat/>
    <w:rsid w:val="007B1A45"/>
    <w:pPr>
      <w:keepNext/>
      <w:keepLines/>
      <w:numPr>
        <w:ilvl w:val="3"/>
        <w:numId w:val="1"/>
      </w:numPr>
      <w:spacing w:before="40" w:after="0"/>
      <w:outlineLvl w:val="3"/>
    </w:pPr>
    <w:rPr>
      <w:rFonts w:eastAsiaTheme="majorEastAsia" w:cstheme="majorBidi"/>
      <w:iCs/>
      <w:color w:val="0070C0"/>
      <w:sz w:val="22"/>
    </w:rPr>
  </w:style>
  <w:style w:type="paragraph" w:styleId="Naslov5">
    <w:name w:val="heading 5"/>
    <w:basedOn w:val="Navaden"/>
    <w:next w:val="Navaden"/>
    <w:link w:val="Naslov5Znak"/>
    <w:uiPriority w:val="9"/>
    <w:semiHidden/>
    <w:unhideWhenUsed/>
    <w:qFormat/>
    <w:rsid w:val="00B65A09"/>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B65A0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B65A0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B65A0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B65A0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52972"/>
    <w:rPr>
      <w:rFonts w:ascii="Arial" w:eastAsiaTheme="majorEastAsia" w:hAnsi="Arial" w:cstheme="majorBidi"/>
      <w:color w:val="0070C0"/>
      <w:sz w:val="28"/>
      <w:szCs w:val="32"/>
      <w:shd w:val="clear" w:color="auto" w:fill="F2F2F2" w:themeFill="background1" w:themeFillShade="F2"/>
    </w:rPr>
  </w:style>
  <w:style w:type="character" w:customStyle="1" w:styleId="Naslov2Znak">
    <w:name w:val="Naslov 2 Znak"/>
    <w:basedOn w:val="Privzetapisavaodstavka"/>
    <w:link w:val="Naslov2"/>
    <w:uiPriority w:val="99"/>
    <w:rsid w:val="00D52972"/>
    <w:rPr>
      <w:rFonts w:ascii="Arial" w:eastAsiaTheme="majorEastAsia" w:hAnsi="Arial" w:cstheme="majorBidi"/>
      <w:color w:val="0070C0"/>
      <w:sz w:val="24"/>
      <w:szCs w:val="26"/>
    </w:rPr>
  </w:style>
  <w:style w:type="character" w:customStyle="1" w:styleId="Naslov3Znak">
    <w:name w:val="Naslov 3 Znak"/>
    <w:basedOn w:val="Privzetapisavaodstavka"/>
    <w:link w:val="Naslov3"/>
    <w:uiPriority w:val="9"/>
    <w:rsid w:val="00D52972"/>
    <w:rPr>
      <w:rFonts w:ascii="Arial" w:eastAsiaTheme="majorEastAsia" w:hAnsi="Arial" w:cstheme="majorBidi"/>
      <w:color w:val="0070C0"/>
      <w:sz w:val="24"/>
      <w:szCs w:val="24"/>
    </w:rPr>
  </w:style>
  <w:style w:type="character" w:customStyle="1" w:styleId="Naslov4Znak">
    <w:name w:val="Naslov 4 Znak"/>
    <w:basedOn w:val="Privzetapisavaodstavka"/>
    <w:link w:val="Naslov4"/>
    <w:uiPriority w:val="9"/>
    <w:rsid w:val="007B1A45"/>
    <w:rPr>
      <w:rFonts w:ascii="Arial" w:eastAsiaTheme="majorEastAsia" w:hAnsi="Arial" w:cstheme="majorBidi"/>
      <w:iCs/>
      <w:color w:val="0070C0"/>
    </w:rPr>
  </w:style>
  <w:style w:type="character" w:customStyle="1" w:styleId="Naslov5Znak">
    <w:name w:val="Naslov 5 Znak"/>
    <w:basedOn w:val="Privzetapisavaodstavka"/>
    <w:link w:val="Naslov5"/>
    <w:uiPriority w:val="9"/>
    <w:semiHidden/>
    <w:rsid w:val="00B65A09"/>
    <w:rPr>
      <w:rFonts w:asciiTheme="majorHAnsi" w:eastAsiaTheme="majorEastAsia" w:hAnsiTheme="majorHAnsi" w:cstheme="majorBidi"/>
      <w:color w:val="2F5496" w:themeColor="accent1" w:themeShade="BF"/>
      <w:sz w:val="20"/>
    </w:rPr>
  </w:style>
  <w:style w:type="character" w:customStyle="1" w:styleId="Naslov6Znak">
    <w:name w:val="Naslov 6 Znak"/>
    <w:basedOn w:val="Privzetapisavaodstavka"/>
    <w:link w:val="Naslov6"/>
    <w:uiPriority w:val="9"/>
    <w:semiHidden/>
    <w:rsid w:val="00B65A09"/>
    <w:rPr>
      <w:rFonts w:asciiTheme="majorHAnsi" w:eastAsiaTheme="majorEastAsia" w:hAnsiTheme="majorHAnsi" w:cstheme="majorBidi"/>
      <w:color w:val="1F3763" w:themeColor="accent1" w:themeShade="7F"/>
      <w:sz w:val="20"/>
    </w:rPr>
  </w:style>
  <w:style w:type="character" w:customStyle="1" w:styleId="Naslov7Znak">
    <w:name w:val="Naslov 7 Znak"/>
    <w:basedOn w:val="Privzetapisavaodstavka"/>
    <w:link w:val="Naslov7"/>
    <w:uiPriority w:val="9"/>
    <w:semiHidden/>
    <w:rsid w:val="00B65A09"/>
    <w:rPr>
      <w:rFonts w:asciiTheme="majorHAnsi" w:eastAsiaTheme="majorEastAsia" w:hAnsiTheme="majorHAnsi" w:cstheme="majorBidi"/>
      <w:i/>
      <w:iCs/>
      <w:color w:val="1F3763" w:themeColor="accent1" w:themeShade="7F"/>
      <w:sz w:val="20"/>
    </w:rPr>
  </w:style>
  <w:style w:type="character" w:customStyle="1" w:styleId="Naslov8Znak">
    <w:name w:val="Naslov 8 Znak"/>
    <w:basedOn w:val="Privzetapisavaodstavka"/>
    <w:link w:val="Naslov8"/>
    <w:uiPriority w:val="9"/>
    <w:semiHidden/>
    <w:rsid w:val="00B65A09"/>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B65A09"/>
    <w:rPr>
      <w:rFonts w:asciiTheme="majorHAnsi" w:eastAsiaTheme="majorEastAsia" w:hAnsiTheme="majorHAnsi" w:cstheme="majorBidi"/>
      <w:i/>
      <w:iCs/>
      <w:color w:val="272727" w:themeColor="text1" w:themeTint="D8"/>
      <w:sz w:val="21"/>
      <w:szCs w:val="21"/>
    </w:rPr>
  </w:style>
  <w:style w:type="paragraph" w:styleId="NaslovTOC">
    <w:name w:val="TOC Heading"/>
    <w:basedOn w:val="Naslov1"/>
    <w:next w:val="Navaden"/>
    <w:uiPriority w:val="39"/>
    <w:unhideWhenUsed/>
    <w:qFormat/>
    <w:rsid w:val="00345B35"/>
    <w:pPr>
      <w:numPr>
        <w:numId w:val="0"/>
      </w:numPr>
      <w:outlineLvl w:val="9"/>
    </w:pPr>
    <w:rPr>
      <w:lang w:eastAsia="sl-SI"/>
    </w:rPr>
  </w:style>
  <w:style w:type="paragraph" w:styleId="Kazalovsebine1">
    <w:name w:val="toc 1"/>
    <w:basedOn w:val="Navaden"/>
    <w:next w:val="Navaden"/>
    <w:autoRedefine/>
    <w:uiPriority w:val="39"/>
    <w:unhideWhenUsed/>
    <w:rsid w:val="002B5DE0"/>
    <w:pPr>
      <w:spacing w:after="100"/>
      <w:ind w:left="454" w:right="454" w:hanging="454"/>
    </w:pPr>
    <w:rPr>
      <w:b/>
    </w:rPr>
  </w:style>
  <w:style w:type="paragraph" w:styleId="Kazalovsebine2">
    <w:name w:val="toc 2"/>
    <w:basedOn w:val="Navaden"/>
    <w:next w:val="Navaden"/>
    <w:autoRedefine/>
    <w:uiPriority w:val="39"/>
    <w:unhideWhenUsed/>
    <w:rsid w:val="00640368"/>
    <w:pPr>
      <w:spacing w:after="100"/>
      <w:ind w:left="851" w:right="454" w:hanging="567"/>
    </w:pPr>
  </w:style>
  <w:style w:type="paragraph" w:styleId="Kazalovsebine3">
    <w:name w:val="toc 3"/>
    <w:basedOn w:val="Navaden"/>
    <w:next w:val="Navaden"/>
    <w:autoRedefine/>
    <w:uiPriority w:val="39"/>
    <w:unhideWhenUsed/>
    <w:rsid w:val="00FF6B53"/>
    <w:pPr>
      <w:tabs>
        <w:tab w:val="right" w:leader="dot" w:pos="9061"/>
      </w:tabs>
      <w:spacing w:after="100"/>
      <w:ind w:left="1134" w:right="454" w:hanging="680"/>
    </w:pPr>
  </w:style>
  <w:style w:type="character" w:styleId="Hiperpovezava">
    <w:name w:val="Hyperlink"/>
    <w:basedOn w:val="Privzetapisavaodstavka"/>
    <w:uiPriority w:val="99"/>
    <w:unhideWhenUsed/>
    <w:rsid w:val="00345B35"/>
    <w:rPr>
      <w:color w:val="0563C1" w:themeColor="hyperlink"/>
      <w:u w:val="single"/>
    </w:rPr>
  </w:style>
  <w:style w:type="paragraph" w:styleId="Odstavekseznama">
    <w:name w:val="List Paragraph"/>
    <w:basedOn w:val="Navaden"/>
    <w:link w:val="OdstavekseznamaZnak"/>
    <w:uiPriority w:val="34"/>
    <w:qFormat/>
    <w:rsid w:val="00D52972"/>
    <w:pPr>
      <w:numPr>
        <w:numId w:val="2"/>
      </w:numPr>
      <w:spacing w:after="120" w:line="240" w:lineRule="auto"/>
    </w:pPr>
  </w:style>
  <w:style w:type="character" w:styleId="Pripombasklic">
    <w:name w:val="annotation reference"/>
    <w:basedOn w:val="Privzetapisavaodstavka"/>
    <w:uiPriority w:val="99"/>
    <w:semiHidden/>
    <w:unhideWhenUsed/>
    <w:rsid w:val="009B6F2F"/>
    <w:rPr>
      <w:sz w:val="16"/>
      <w:szCs w:val="16"/>
    </w:rPr>
  </w:style>
  <w:style w:type="paragraph" w:styleId="Pripombabesedilo">
    <w:name w:val="annotation text"/>
    <w:basedOn w:val="Navaden"/>
    <w:link w:val="PripombabesediloZnak"/>
    <w:uiPriority w:val="99"/>
    <w:unhideWhenUsed/>
    <w:rsid w:val="009B6F2F"/>
    <w:pPr>
      <w:spacing w:line="240" w:lineRule="auto"/>
    </w:pPr>
    <w:rPr>
      <w:szCs w:val="20"/>
    </w:rPr>
  </w:style>
  <w:style w:type="character" w:customStyle="1" w:styleId="PripombabesediloZnak">
    <w:name w:val="Pripomba – besedilo Znak"/>
    <w:basedOn w:val="Privzetapisavaodstavka"/>
    <w:link w:val="Pripombabesedilo"/>
    <w:uiPriority w:val="99"/>
    <w:rsid w:val="009B6F2F"/>
    <w:rPr>
      <w:sz w:val="20"/>
      <w:szCs w:val="20"/>
    </w:rPr>
  </w:style>
  <w:style w:type="paragraph" w:styleId="Zadevapripombe">
    <w:name w:val="annotation subject"/>
    <w:basedOn w:val="Pripombabesedilo"/>
    <w:next w:val="Pripombabesedilo"/>
    <w:link w:val="ZadevapripombeZnak"/>
    <w:uiPriority w:val="99"/>
    <w:semiHidden/>
    <w:unhideWhenUsed/>
    <w:rsid w:val="009B6F2F"/>
    <w:rPr>
      <w:b/>
      <w:bCs/>
    </w:rPr>
  </w:style>
  <w:style w:type="character" w:customStyle="1" w:styleId="ZadevapripombeZnak">
    <w:name w:val="Zadeva pripombe Znak"/>
    <w:basedOn w:val="PripombabesediloZnak"/>
    <w:link w:val="Zadevapripombe"/>
    <w:uiPriority w:val="99"/>
    <w:semiHidden/>
    <w:rsid w:val="009B6F2F"/>
    <w:rPr>
      <w:b/>
      <w:bCs/>
      <w:sz w:val="20"/>
      <w:szCs w:val="20"/>
    </w:rPr>
  </w:style>
  <w:style w:type="paragraph" w:styleId="Sprotnaopomba-besedilo">
    <w:name w:val="footnote text"/>
    <w:basedOn w:val="Navaden"/>
    <w:link w:val="Sprotnaopomba-besediloZnak"/>
    <w:unhideWhenUsed/>
    <w:rsid w:val="00FA1893"/>
    <w:pPr>
      <w:spacing w:after="0" w:line="240" w:lineRule="auto"/>
    </w:pPr>
    <w:rPr>
      <w:szCs w:val="20"/>
    </w:rPr>
  </w:style>
  <w:style w:type="character" w:customStyle="1" w:styleId="Sprotnaopomba-besediloZnak">
    <w:name w:val="Sprotna opomba - besedilo Znak"/>
    <w:basedOn w:val="Privzetapisavaodstavka"/>
    <w:link w:val="Sprotnaopomba-besedilo"/>
    <w:rsid w:val="00FA1893"/>
    <w:rPr>
      <w:sz w:val="20"/>
      <w:szCs w:val="20"/>
    </w:rPr>
  </w:style>
  <w:style w:type="character" w:styleId="Sprotnaopomba-sklic">
    <w:name w:val="footnote reference"/>
    <w:basedOn w:val="Privzetapisavaodstavka"/>
    <w:semiHidden/>
    <w:unhideWhenUsed/>
    <w:rsid w:val="00FA1893"/>
    <w:rPr>
      <w:vertAlign w:val="superscript"/>
    </w:rPr>
  </w:style>
  <w:style w:type="paragraph" w:styleId="Kazalovsebine4">
    <w:name w:val="toc 4"/>
    <w:basedOn w:val="Navaden"/>
    <w:next w:val="Navaden"/>
    <w:autoRedefine/>
    <w:uiPriority w:val="39"/>
    <w:unhideWhenUsed/>
    <w:rsid w:val="007B1A45"/>
    <w:pPr>
      <w:tabs>
        <w:tab w:val="left" w:pos="1540"/>
        <w:tab w:val="right" w:leader="dot" w:pos="9062"/>
      </w:tabs>
      <w:spacing w:after="100"/>
      <w:ind w:left="1475" w:right="454" w:hanging="851"/>
      <w:jc w:val="left"/>
    </w:pPr>
    <w:rPr>
      <w:rFonts w:eastAsiaTheme="minorEastAsia"/>
      <w:noProof/>
      <w:lang w:eastAsia="sl-SI"/>
    </w:rPr>
  </w:style>
  <w:style w:type="paragraph" w:styleId="Kazalovsebine5">
    <w:name w:val="toc 5"/>
    <w:basedOn w:val="Navaden"/>
    <w:next w:val="Navaden"/>
    <w:autoRedefine/>
    <w:uiPriority w:val="39"/>
    <w:unhideWhenUsed/>
    <w:rsid w:val="006A23F1"/>
    <w:pPr>
      <w:spacing w:after="100"/>
      <w:ind w:left="880"/>
      <w:jc w:val="left"/>
    </w:pPr>
    <w:rPr>
      <w:rFonts w:asciiTheme="minorHAnsi" w:eastAsiaTheme="minorEastAsia" w:hAnsiTheme="minorHAnsi"/>
      <w:sz w:val="22"/>
      <w:lang w:eastAsia="sl-SI"/>
    </w:rPr>
  </w:style>
  <w:style w:type="paragraph" w:styleId="Kazalovsebine6">
    <w:name w:val="toc 6"/>
    <w:basedOn w:val="Navaden"/>
    <w:next w:val="Navaden"/>
    <w:autoRedefine/>
    <w:uiPriority w:val="39"/>
    <w:unhideWhenUsed/>
    <w:rsid w:val="006A23F1"/>
    <w:pPr>
      <w:spacing w:after="100"/>
      <w:ind w:left="1100"/>
      <w:jc w:val="left"/>
    </w:pPr>
    <w:rPr>
      <w:rFonts w:asciiTheme="minorHAnsi" w:eastAsiaTheme="minorEastAsia" w:hAnsiTheme="minorHAnsi"/>
      <w:sz w:val="22"/>
      <w:lang w:eastAsia="sl-SI"/>
    </w:rPr>
  </w:style>
  <w:style w:type="paragraph" w:styleId="Kazalovsebine7">
    <w:name w:val="toc 7"/>
    <w:basedOn w:val="Navaden"/>
    <w:next w:val="Navaden"/>
    <w:autoRedefine/>
    <w:uiPriority w:val="39"/>
    <w:unhideWhenUsed/>
    <w:rsid w:val="006A23F1"/>
    <w:pPr>
      <w:spacing w:after="100"/>
      <w:ind w:left="1320"/>
      <w:jc w:val="left"/>
    </w:pPr>
    <w:rPr>
      <w:rFonts w:asciiTheme="minorHAnsi" w:eastAsiaTheme="minorEastAsia" w:hAnsiTheme="minorHAnsi"/>
      <w:sz w:val="22"/>
      <w:lang w:eastAsia="sl-SI"/>
    </w:rPr>
  </w:style>
  <w:style w:type="paragraph" w:styleId="Kazalovsebine8">
    <w:name w:val="toc 8"/>
    <w:basedOn w:val="Navaden"/>
    <w:next w:val="Navaden"/>
    <w:autoRedefine/>
    <w:uiPriority w:val="39"/>
    <w:unhideWhenUsed/>
    <w:rsid w:val="006A23F1"/>
    <w:pPr>
      <w:spacing w:after="100"/>
      <w:ind w:left="1540"/>
      <w:jc w:val="left"/>
    </w:pPr>
    <w:rPr>
      <w:rFonts w:asciiTheme="minorHAnsi" w:eastAsiaTheme="minorEastAsia" w:hAnsiTheme="minorHAnsi"/>
      <w:sz w:val="22"/>
      <w:lang w:eastAsia="sl-SI"/>
    </w:rPr>
  </w:style>
  <w:style w:type="paragraph" w:styleId="Kazalovsebine9">
    <w:name w:val="toc 9"/>
    <w:basedOn w:val="Navaden"/>
    <w:next w:val="Navaden"/>
    <w:autoRedefine/>
    <w:uiPriority w:val="39"/>
    <w:unhideWhenUsed/>
    <w:rsid w:val="006A23F1"/>
    <w:pPr>
      <w:spacing w:after="100"/>
      <w:ind w:left="1760"/>
      <w:jc w:val="left"/>
    </w:pPr>
    <w:rPr>
      <w:rFonts w:asciiTheme="minorHAnsi" w:eastAsiaTheme="minorEastAsia" w:hAnsiTheme="minorHAnsi"/>
      <w:sz w:val="22"/>
      <w:lang w:eastAsia="sl-SI"/>
    </w:rPr>
  </w:style>
  <w:style w:type="character" w:styleId="Nerazreenaomemba">
    <w:name w:val="Unresolved Mention"/>
    <w:basedOn w:val="Privzetapisavaodstavka"/>
    <w:uiPriority w:val="99"/>
    <w:semiHidden/>
    <w:unhideWhenUsed/>
    <w:rsid w:val="006A23F1"/>
    <w:rPr>
      <w:color w:val="605E5C"/>
      <w:shd w:val="clear" w:color="auto" w:fill="E1DFDD"/>
    </w:rPr>
  </w:style>
  <w:style w:type="paragraph" w:styleId="Glava">
    <w:name w:val="header"/>
    <w:basedOn w:val="Navaden"/>
    <w:link w:val="GlavaZnak"/>
    <w:unhideWhenUsed/>
    <w:rsid w:val="006A23F1"/>
    <w:pPr>
      <w:tabs>
        <w:tab w:val="center" w:pos="4536"/>
        <w:tab w:val="right" w:pos="9072"/>
      </w:tabs>
      <w:spacing w:after="0" w:line="240" w:lineRule="auto"/>
    </w:pPr>
  </w:style>
  <w:style w:type="character" w:customStyle="1" w:styleId="GlavaZnak">
    <w:name w:val="Glava Znak"/>
    <w:basedOn w:val="Privzetapisavaodstavka"/>
    <w:link w:val="Glava"/>
    <w:uiPriority w:val="99"/>
    <w:rsid w:val="006A23F1"/>
    <w:rPr>
      <w:rFonts w:ascii="Arial" w:hAnsi="Arial"/>
      <w:sz w:val="20"/>
    </w:rPr>
  </w:style>
  <w:style w:type="paragraph" w:styleId="Noga">
    <w:name w:val="footer"/>
    <w:basedOn w:val="Navaden"/>
    <w:link w:val="NogaZnak"/>
    <w:uiPriority w:val="99"/>
    <w:unhideWhenUsed/>
    <w:rsid w:val="006A23F1"/>
    <w:pPr>
      <w:tabs>
        <w:tab w:val="center" w:pos="4536"/>
        <w:tab w:val="right" w:pos="9072"/>
      </w:tabs>
      <w:spacing w:after="0" w:line="240" w:lineRule="auto"/>
    </w:pPr>
  </w:style>
  <w:style w:type="character" w:customStyle="1" w:styleId="NogaZnak">
    <w:name w:val="Noga Znak"/>
    <w:basedOn w:val="Privzetapisavaodstavka"/>
    <w:link w:val="Noga"/>
    <w:uiPriority w:val="99"/>
    <w:rsid w:val="006A23F1"/>
    <w:rPr>
      <w:rFonts w:ascii="Arial" w:hAnsi="Arial"/>
      <w:sz w:val="20"/>
    </w:rPr>
  </w:style>
  <w:style w:type="character" w:customStyle="1" w:styleId="OdstavekseznamaZnak">
    <w:name w:val="Odstavek seznama Znak"/>
    <w:link w:val="Odstavekseznama"/>
    <w:uiPriority w:val="34"/>
    <w:locked/>
    <w:rsid w:val="00313624"/>
    <w:rPr>
      <w:rFonts w:ascii="Arial" w:hAnsi="Arial"/>
      <w:sz w:val="20"/>
    </w:rPr>
  </w:style>
  <w:style w:type="paragraph" w:styleId="Telobesedila">
    <w:name w:val="Body Text"/>
    <w:basedOn w:val="Navaden"/>
    <w:link w:val="TelobesedilaZnak"/>
    <w:uiPriority w:val="99"/>
    <w:rsid w:val="00AD7A14"/>
    <w:pPr>
      <w:spacing w:after="0" w:line="240" w:lineRule="auto"/>
      <w:ind w:right="-766"/>
    </w:pPr>
    <w:rPr>
      <w:rFonts w:ascii="Times New Roman" w:eastAsia="Times New Roman" w:hAnsi="Times New Roman" w:cs="Arial"/>
      <w:sz w:val="24"/>
      <w:szCs w:val="20"/>
    </w:rPr>
  </w:style>
  <w:style w:type="character" w:customStyle="1" w:styleId="TelobesedilaZnak">
    <w:name w:val="Telo besedila Znak"/>
    <w:basedOn w:val="Privzetapisavaodstavka"/>
    <w:link w:val="Telobesedila"/>
    <w:uiPriority w:val="99"/>
    <w:rsid w:val="00AD7A14"/>
    <w:rPr>
      <w:rFonts w:ascii="Times New Roman" w:eastAsia="Times New Roman" w:hAnsi="Times New Roman" w:cs="Arial"/>
      <w:sz w:val="24"/>
      <w:szCs w:val="20"/>
    </w:rPr>
  </w:style>
  <w:style w:type="paragraph" w:styleId="Telobesedila2">
    <w:name w:val="Body Text 2"/>
    <w:basedOn w:val="Navaden"/>
    <w:link w:val="Telobesedila2Znak"/>
    <w:uiPriority w:val="99"/>
    <w:unhideWhenUsed/>
    <w:rsid w:val="006F551F"/>
    <w:pPr>
      <w:spacing w:after="120" w:line="480" w:lineRule="auto"/>
    </w:pPr>
  </w:style>
  <w:style w:type="character" w:customStyle="1" w:styleId="Telobesedila2Znak">
    <w:name w:val="Telo besedila 2 Znak"/>
    <w:basedOn w:val="Privzetapisavaodstavka"/>
    <w:link w:val="Telobesedila2"/>
    <w:uiPriority w:val="99"/>
    <w:rsid w:val="006F551F"/>
    <w:rPr>
      <w:rFonts w:ascii="Arial" w:hAnsi="Arial"/>
      <w:sz w:val="20"/>
    </w:rPr>
  </w:style>
  <w:style w:type="paragraph" w:styleId="Konnaopomba-besedilo">
    <w:name w:val="endnote text"/>
    <w:basedOn w:val="Navaden"/>
    <w:link w:val="Konnaopomba-besediloZnak"/>
    <w:uiPriority w:val="99"/>
    <w:semiHidden/>
    <w:unhideWhenUsed/>
    <w:rsid w:val="009133AC"/>
    <w:pPr>
      <w:spacing w:after="0" w:line="240" w:lineRule="auto"/>
    </w:pPr>
    <w:rPr>
      <w:szCs w:val="20"/>
    </w:rPr>
  </w:style>
  <w:style w:type="character" w:customStyle="1" w:styleId="Konnaopomba-besediloZnak">
    <w:name w:val="Končna opomba - besedilo Znak"/>
    <w:basedOn w:val="Privzetapisavaodstavka"/>
    <w:link w:val="Konnaopomba-besedilo"/>
    <w:uiPriority w:val="99"/>
    <w:semiHidden/>
    <w:rsid w:val="009133AC"/>
    <w:rPr>
      <w:rFonts w:ascii="Arial" w:hAnsi="Arial"/>
      <w:sz w:val="20"/>
      <w:szCs w:val="20"/>
    </w:rPr>
  </w:style>
  <w:style w:type="character" w:styleId="Konnaopomba-sklic">
    <w:name w:val="endnote reference"/>
    <w:basedOn w:val="Privzetapisavaodstavka"/>
    <w:uiPriority w:val="99"/>
    <w:semiHidden/>
    <w:unhideWhenUsed/>
    <w:rsid w:val="009133AC"/>
    <w:rPr>
      <w:vertAlign w:val="superscript"/>
    </w:rPr>
  </w:style>
  <w:style w:type="table" w:styleId="Tabelatemnamrea5poudarek5">
    <w:name w:val="Grid Table 5 Dark Accent 5"/>
    <w:basedOn w:val="Navadnatabela"/>
    <w:uiPriority w:val="50"/>
    <w:rsid w:val="00432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elatemnamrea5poudarek4">
    <w:name w:val="Grid Table 5 Dark Accent 4"/>
    <w:basedOn w:val="Navadnatabela"/>
    <w:uiPriority w:val="50"/>
    <w:rsid w:val="0043230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elamrea">
    <w:name w:val="Table Grid"/>
    <w:basedOn w:val="Navadnatabela"/>
    <w:uiPriority w:val="39"/>
    <w:rsid w:val="00633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temnamrea5poudarek1">
    <w:name w:val="Grid Table 5 Dark Accent 1"/>
    <w:basedOn w:val="Navadnatabela"/>
    <w:uiPriority w:val="50"/>
    <w:rsid w:val="00897C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elaseznam3poudarek5">
    <w:name w:val="List Table 3 Accent 5"/>
    <w:basedOn w:val="Navadnatabela"/>
    <w:uiPriority w:val="48"/>
    <w:rsid w:val="00897CF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elaseznam4poudarek5">
    <w:name w:val="List Table 4 Accent 5"/>
    <w:basedOn w:val="Navadnatabela"/>
    <w:uiPriority w:val="49"/>
    <w:rsid w:val="00897CF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temenseznam5poudarek5">
    <w:name w:val="List Table 5 Dark Accent 5"/>
    <w:basedOn w:val="Navadnatabela"/>
    <w:uiPriority w:val="50"/>
    <w:rsid w:val="00897CFA"/>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459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radni-list.si/1/objava.jsp?sop=2013-01-2514" TargetMode="External"/><Relationship Id="rId18" Type="http://schemas.openxmlformats.org/officeDocument/2006/relationships/hyperlink" Target="http://www.uradni-list.si/1/objava.jsp?sop=2021-01-2627" TargetMode="External"/><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yperlink" Target="http://www.uradni-list.si/1/objava.jsp?sop=2012-01-4002" TargetMode="External"/><Relationship Id="rId17" Type="http://schemas.openxmlformats.org/officeDocument/2006/relationships/hyperlink" Target="http://www.uradni-list.si/1/objava.jsp?sop=2019-01-2924" TargetMode="External"/><Relationship Id="rId25"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hyperlink" Target="http://www.uradni-list.si/1/objava.jsp?sop=2018-01-3751" TargetMode="External"/><Relationship Id="rId20" Type="http://schemas.openxmlformats.org/officeDocument/2006/relationships/chart" Target="charts/char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2-01-2328" TargetMode="External"/><Relationship Id="rId24"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hyperlink" Target="http://www.uradni-list.si/1/objava.jsp?sop=2017-01-0407" TargetMode="External"/><Relationship Id="rId23" Type="http://schemas.openxmlformats.org/officeDocument/2006/relationships/chart" Target="charts/chart4.xml"/><Relationship Id="rId28" Type="http://schemas.openxmlformats.org/officeDocument/2006/relationships/fontTable" Target="fontTable.xml"/><Relationship Id="rId10" Type="http://schemas.openxmlformats.org/officeDocument/2006/relationships/hyperlink" Target="http://www.uradni-list.si/1/objava.jsp?sop=2011-01-3295"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uradni-list.si/1/objava.jsp?sop=2010-01-5696" TargetMode="External"/><Relationship Id="rId14" Type="http://schemas.openxmlformats.org/officeDocument/2006/relationships/hyperlink" Target="http://www.uradni-list.si/1/objava.jsp?sop=2016-01-1265" TargetMode="External"/><Relationship Id="rId22" Type="http://schemas.openxmlformats.org/officeDocument/2006/relationships/chart" Target="charts/chart3.xm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Mfuppdw64sedc05\MF81031\STATISTIKA%20ST\STATISTIKA%20ST\Statistika%20ST\2021\Grafi_Tabele\GT%20tortica_2020%20-%20Copy%20za%2020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Mfuppdw64sedc05\MF81031\STATISTIKA%20ST\STATISTIKA%20ST\Statistika%20ST\2021\Grafi_Tabele\Prijave_GRAF_20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f81031\AppData\Roaming\Microsoft\Excel\PodaneKO%20torta-OBVINFAA%20Graf_2020%20(version%201).xlsb" TargetMode="Externa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oleObject" Target="file:///\\Mfuppdw64sedc05\MF81031\STATISTIKA%20ST\STATISTIKA%20ST\Statistika%20ST\2021\Grafi_Tabele\PodaneKO%20torta-OBVINFAA%20Graf_2020.xlsx" TargetMode="Externa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mf81031\AppData\Roaming\Microsoft\Excel\PodaneKO%20torta-OBVINFAA%20Graf_2020%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manualLayout>
          <c:layoutTarget val="inner"/>
          <c:xMode val="edge"/>
          <c:yMode val="edge"/>
          <c:x val="0.10328754118501145"/>
          <c:y val="0.18799546002695608"/>
          <c:w val="0.60622223605448533"/>
          <c:h val="0.77825469705468875"/>
        </c:manualLayout>
      </c:layout>
      <c:pie3DChart>
        <c:varyColors val="1"/>
        <c:ser>
          <c:idx val="0"/>
          <c:order val="0"/>
          <c:explosion val="22"/>
          <c:dLbls>
            <c:dLbl>
              <c:idx val="0"/>
              <c:layout>
                <c:manualLayout>
                  <c:x val="-0.16618045084789937"/>
                  <c:y val="8.5941689721217282E-2"/>
                </c:manualLayout>
              </c:layout>
              <c:tx>
                <c:rich>
                  <a:bodyPr/>
                  <a:lstStyle/>
                  <a:p>
                    <a:fld id="{57A1D454-15B4-4301-BEC1-B817204FC93A}" type="CATEGORYNAME">
                      <a:rPr lang="en-US"/>
                      <a:pPr/>
                      <a:t>[IME KATEGORIJE]</a:t>
                    </a:fld>
                    <a:r>
                      <a:rPr lang="en-US" baseline="0"/>
                      <a:t> 82,27%</a:t>
                    </a:r>
                  </a:p>
                </c:rich>
              </c:tx>
              <c:dLblPos val="bestFit"/>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0-7180-4E06-9D0C-1E0DB5F72FD5}"/>
                </c:ext>
              </c:extLst>
            </c:dLbl>
            <c:dLbl>
              <c:idx val="1"/>
              <c:layout>
                <c:manualLayout>
                  <c:x val="1.7196061583536395E-2"/>
                  <c:y val="-8.4608745940655719E-2"/>
                </c:manualLayout>
              </c:layout>
              <c:tx>
                <c:rich>
                  <a:bodyPr/>
                  <a:lstStyle/>
                  <a:p>
                    <a:fld id="{BCED5E25-1305-475C-AB25-3A18432DFC74}" type="CATEGORYNAME">
                      <a:rPr lang="en-US"/>
                      <a:pPr/>
                      <a:t>[IME KATEGORIJE]</a:t>
                    </a:fld>
                    <a:r>
                      <a:rPr lang="en-US" baseline="0"/>
                      <a:t> 9,76%</a:t>
                    </a:r>
                  </a:p>
                </c:rich>
              </c:tx>
              <c:dLblPos val="bestFit"/>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7180-4E06-9D0C-1E0DB5F72FD5}"/>
                </c:ext>
              </c:extLst>
            </c:dLbl>
            <c:dLbl>
              <c:idx val="2"/>
              <c:layout>
                <c:manualLayout>
                  <c:x val="4.9605074051560429E-2"/>
                  <c:y val="-0.15598467759097681"/>
                </c:manualLayout>
              </c:layout>
              <c:tx>
                <c:rich>
                  <a:bodyPr/>
                  <a:lstStyle/>
                  <a:p>
                    <a:fld id="{451852F6-DBC2-497B-B1C2-9E99DE32838A}" type="CATEGORYNAME">
                      <a:rPr lang="en-US"/>
                      <a:pPr/>
                      <a:t>[IME KATEGORIJE]</a:t>
                    </a:fld>
                    <a:r>
                      <a:rPr lang="en-US" baseline="0"/>
                      <a:t> 7,93%</a:t>
                    </a:r>
                  </a:p>
                </c:rich>
              </c:tx>
              <c:dLblPos val="bestFit"/>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2-7180-4E06-9D0C-1E0DB5F72FD5}"/>
                </c:ext>
              </c:extLst>
            </c:dLbl>
            <c:dLbl>
              <c:idx val="3"/>
              <c:layout>
                <c:manualLayout>
                  <c:x val="0.13159171979624629"/>
                  <c:y val="-9.5466553167340568E-2"/>
                </c:manualLayout>
              </c:layout>
              <c:tx>
                <c:rich>
                  <a:bodyPr/>
                  <a:lstStyle/>
                  <a:p>
                    <a:r>
                      <a:rPr lang="en-US"/>
                      <a:t>Ostali</a:t>
                    </a:r>
                    <a:r>
                      <a:rPr lang="en-US" baseline="0"/>
                      <a:t> 0,035%</a:t>
                    </a:r>
                  </a:p>
                </c:rich>
              </c:tx>
              <c:dLblPos val="bestFit"/>
              <c:showLegendKey val="0"/>
              <c:showVal val="0"/>
              <c:showCatName val="1"/>
              <c:showSerName val="0"/>
              <c:showPercent val="1"/>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3-7180-4E06-9D0C-1E0DB5F72FD5}"/>
                </c:ext>
              </c:extLst>
            </c:dLbl>
            <c:dLbl>
              <c:idx val="4"/>
              <c:layout>
                <c:manualLayout>
                  <c:x val="0.16751551477968307"/>
                  <c:y val="2.318791232177026E-3"/>
                </c:manualLayout>
              </c:layout>
              <c:tx>
                <c:rich>
                  <a:bodyPr/>
                  <a:lstStyle/>
                  <a:p>
                    <a:fld id="{3AE1D952-B0FF-4CE4-BCCA-5CBC5F477B12}" type="CATEGORYNAME">
                      <a:rPr lang="en-US"/>
                      <a:pPr/>
                      <a:t>[IME KATEGORIJE]</a:t>
                    </a:fld>
                    <a:r>
                      <a:rPr lang="en-US" baseline="0"/>
                      <a:t> 0,005%</a:t>
                    </a:r>
                  </a:p>
                </c:rich>
              </c:tx>
              <c:dLblPos val="bestFit"/>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4-7180-4E06-9D0C-1E0DB5F72FD5}"/>
                </c:ext>
              </c:extLst>
            </c:dLbl>
            <c:dLbl>
              <c:idx val="5"/>
              <c:layout>
                <c:manualLayout>
                  <c:x val="0.19701531922513277"/>
                  <c:y val="-2.2302204129502734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7180-4E06-9D0C-1E0DB5F72FD5}"/>
                </c:ext>
              </c:extLst>
            </c:dLbl>
            <c:dLbl>
              <c:idx val="6"/>
              <c:layout>
                <c:manualLayout>
                  <c:x val="0.21688045726779656"/>
                  <c:y val="-7.9737051217221702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497905445840817"/>
                      <c:h val="0.14252577575131764"/>
                    </c:manualLayout>
                  </c15:layout>
                </c:ext>
                <c:ext xmlns:c16="http://schemas.microsoft.com/office/drawing/2014/chart" uri="{C3380CC4-5D6E-409C-BE32-E72D297353CC}">
                  <c16:uniqueId val="{00000006-7180-4E06-9D0C-1E0DB5F72FD5}"/>
                </c:ext>
              </c:extLst>
            </c:dLbl>
            <c:numFmt formatCode="0.00%" sourceLinked="0"/>
            <c:spPr>
              <a:noFill/>
              <a:ln>
                <a:noFill/>
              </a:ln>
              <a:effectLst/>
            </c:spPr>
            <c:dLblPos val="bestFit"/>
            <c:showLegendKey val="0"/>
            <c:showVal val="0"/>
            <c:showCatName val="1"/>
            <c:showSerName val="0"/>
            <c:showPercent val="1"/>
            <c:showBubbleSize val="0"/>
            <c:separator> </c:separator>
            <c:showLeaderLines val="1"/>
            <c:extLst>
              <c:ext xmlns:c15="http://schemas.microsoft.com/office/drawing/2012/chart" uri="{CE6537A1-D6FC-4f65-9D91-7224C49458BB}"/>
            </c:extLst>
          </c:dLbls>
          <c:cat>
            <c:strRef>
              <c:f>Sheet1!$B$5:$B$9</c:f>
              <c:strCache>
                <c:ptCount val="5"/>
                <c:pt idx="0">
                  <c:v>Banke</c:v>
                </c:pt>
                <c:pt idx="1">
                  <c:v>Hranilnice</c:v>
                </c:pt>
                <c:pt idx="2">
                  <c:v>Igralnice</c:v>
                </c:pt>
                <c:pt idx="3">
                  <c:v>Ostali</c:v>
                </c:pt>
                <c:pt idx="4">
                  <c:v>Odvetniki</c:v>
                </c:pt>
              </c:strCache>
            </c:strRef>
          </c:cat>
          <c:val>
            <c:numRef>
              <c:f>Sheet1!$C$5:$C$9</c:f>
              <c:numCache>
                <c:formatCode>#,##0</c:formatCode>
                <c:ptCount val="5"/>
                <c:pt idx="0">
                  <c:v>35358</c:v>
                </c:pt>
                <c:pt idx="1">
                  <c:v>4195</c:v>
                </c:pt>
                <c:pt idx="2">
                  <c:v>3410</c:v>
                </c:pt>
                <c:pt idx="3" formatCode="General">
                  <c:v>15</c:v>
                </c:pt>
                <c:pt idx="4" formatCode="General">
                  <c:v>2</c:v>
                </c:pt>
              </c:numCache>
            </c:numRef>
          </c:val>
          <c:extLst>
            <c:ext xmlns:c16="http://schemas.microsoft.com/office/drawing/2014/chart" uri="{C3380CC4-5D6E-409C-BE32-E72D297353CC}">
              <c16:uniqueId val="{00000007-7180-4E06-9D0C-1E0DB5F72FD5}"/>
            </c:ext>
          </c:extLst>
        </c:ser>
        <c:dLbls>
          <c:showLegendKey val="0"/>
          <c:showVal val="0"/>
          <c:showCatName val="0"/>
          <c:showSerName val="0"/>
          <c:showPercent val="0"/>
          <c:showBubbleSize val="0"/>
          <c:showLeaderLines val="1"/>
        </c:dLbls>
      </c:pie3DChart>
    </c:plotArea>
    <c:legend>
      <c:legendPos val="r"/>
      <c:layout>
        <c:manualLayout>
          <c:xMode val="edge"/>
          <c:yMode val="edge"/>
          <c:x val="0.81765379152474593"/>
          <c:y val="0.21456820600127688"/>
          <c:w val="0.13564451553888512"/>
          <c:h val="0.62491735830318507"/>
        </c:manualLayout>
      </c:layout>
      <c:overlay val="0"/>
      <c:txPr>
        <a:bodyPr/>
        <a:lstStyle/>
        <a:p>
          <a:pPr rtl="0">
            <a:defRPr/>
          </a:pPr>
          <a:endParaRPr lang="sl-SI"/>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bar3DChart>
        <c:barDir val="col"/>
        <c:grouping val="percentStacked"/>
        <c:varyColors val="0"/>
        <c:ser>
          <c:idx val="0"/>
          <c:order val="0"/>
          <c:tx>
            <c:strRef>
              <c:f>GRAF!$T$2</c:f>
              <c:strCache>
                <c:ptCount val="1"/>
                <c:pt idx="0">
                  <c:v>ZAVEZANCI </c:v>
                </c:pt>
              </c:strCache>
            </c:strRef>
          </c:tx>
          <c:invertIfNegative val="0"/>
          <c:cat>
            <c:numRef>
              <c:f>GRAF!$U$1:$AE$1</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GRAF!$U$2:$AE$2</c:f>
              <c:numCache>
                <c:formatCode>General</c:formatCode>
                <c:ptCount val="11"/>
                <c:pt idx="0">
                  <c:v>262</c:v>
                </c:pt>
                <c:pt idx="1">
                  <c:v>502</c:v>
                </c:pt>
                <c:pt idx="2">
                  <c:v>542</c:v>
                </c:pt>
                <c:pt idx="3">
                  <c:v>423</c:v>
                </c:pt>
                <c:pt idx="4">
                  <c:v>464</c:v>
                </c:pt>
                <c:pt idx="5">
                  <c:v>392</c:v>
                </c:pt>
                <c:pt idx="6">
                  <c:v>486</c:v>
                </c:pt>
                <c:pt idx="7">
                  <c:v>685</c:v>
                </c:pt>
                <c:pt idx="8">
                  <c:v>913</c:v>
                </c:pt>
                <c:pt idx="9">
                  <c:v>944</c:v>
                </c:pt>
                <c:pt idx="10">
                  <c:v>879</c:v>
                </c:pt>
              </c:numCache>
            </c:numRef>
          </c:val>
          <c:extLst>
            <c:ext xmlns:c16="http://schemas.microsoft.com/office/drawing/2014/chart" uri="{C3380CC4-5D6E-409C-BE32-E72D297353CC}">
              <c16:uniqueId val="{00000000-BFFB-4853-9387-096D25F8BD9B}"/>
            </c:ext>
          </c:extLst>
        </c:ser>
        <c:ser>
          <c:idx val="1"/>
          <c:order val="1"/>
          <c:tx>
            <c:strRef>
              <c:f>GRAF!$T$3</c:f>
              <c:strCache>
                <c:ptCount val="1"/>
                <c:pt idx="0">
                  <c:v>POBUDE DRŽAVNIH ORGANOV</c:v>
                </c:pt>
              </c:strCache>
            </c:strRef>
          </c:tx>
          <c:invertIfNegative val="0"/>
          <c:cat>
            <c:numRef>
              <c:f>GRAF!$U$1:$AE$1</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GRAF!$U$3:$AE$3</c:f>
              <c:numCache>
                <c:formatCode>General</c:formatCode>
                <c:ptCount val="11"/>
                <c:pt idx="0">
                  <c:v>28</c:v>
                </c:pt>
                <c:pt idx="1">
                  <c:v>36</c:v>
                </c:pt>
                <c:pt idx="2">
                  <c:v>30</c:v>
                </c:pt>
                <c:pt idx="3">
                  <c:v>39</c:v>
                </c:pt>
                <c:pt idx="4">
                  <c:v>35</c:v>
                </c:pt>
                <c:pt idx="5">
                  <c:v>32</c:v>
                </c:pt>
                <c:pt idx="6">
                  <c:v>38</c:v>
                </c:pt>
                <c:pt idx="7">
                  <c:v>52</c:v>
                </c:pt>
                <c:pt idx="8">
                  <c:v>86</c:v>
                </c:pt>
                <c:pt idx="9">
                  <c:v>116</c:v>
                </c:pt>
                <c:pt idx="10">
                  <c:v>133</c:v>
                </c:pt>
              </c:numCache>
            </c:numRef>
          </c:val>
          <c:extLst>
            <c:ext xmlns:c16="http://schemas.microsoft.com/office/drawing/2014/chart" uri="{C3380CC4-5D6E-409C-BE32-E72D297353CC}">
              <c16:uniqueId val="{00000001-BFFB-4853-9387-096D25F8BD9B}"/>
            </c:ext>
          </c:extLst>
        </c:ser>
        <c:ser>
          <c:idx val="2"/>
          <c:order val="2"/>
          <c:tx>
            <c:strRef>
              <c:f>GRAF!$T$4</c:f>
              <c:strCache>
                <c:ptCount val="1"/>
                <c:pt idx="0">
                  <c:v>SPOROČILA NADZORNIH ORGANOV</c:v>
                </c:pt>
              </c:strCache>
            </c:strRef>
          </c:tx>
          <c:invertIfNegative val="0"/>
          <c:cat>
            <c:numRef>
              <c:f>GRAF!$U$1:$AE$1</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GRAF!$U$4:$AE$4</c:f>
              <c:numCache>
                <c:formatCode>General</c:formatCode>
                <c:ptCount val="11"/>
                <c:pt idx="0">
                  <c:v>4</c:v>
                </c:pt>
                <c:pt idx="1">
                  <c:v>6</c:v>
                </c:pt>
                <c:pt idx="2">
                  <c:v>3</c:v>
                </c:pt>
                <c:pt idx="3">
                  <c:v>0</c:v>
                </c:pt>
                <c:pt idx="4">
                  <c:v>2</c:v>
                </c:pt>
                <c:pt idx="5">
                  <c:v>3</c:v>
                </c:pt>
                <c:pt idx="6">
                  <c:v>3</c:v>
                </c:pt>
                <c:pt idx="7">
                  <c:v>5</c:v>
                </c:pt>
                <c:pt idx="8">
                  <c:v>14</c:v>
                </c:pt>
                <c:pt idx="9">
                  <c:v>16</c:v>
                </c:pt>
                <c:pt idx="10">
                  <c:v>14</c:v>
                </c:pt>
              </c:numCache>
            </c:numRef>
          </c:val>
          <c:extLst>
            <c:ext xmlns:c16="http://schemas.microsoft.com/office/drawing/2014/chart" uri="{C3380CC4-5D6E-409C-BE32-E72D297353CC}">
              <c16:uniqueId val="{00000002-BFFB-4853-9387-096D25F8BD9B}"/>
            </c:ext>
          </c:extLst>
        </c:ser>
        <c:ser>
          <c:idx val="3"/>
          <c:order val="3"/>
          <c:tx>
            <c:strRef>
              <c:f>GRAF!$T$5</c:f>
              <c:strCache>
                <c:ptCount val="1"/>
                <c:pt idx="0">
                  <c:v>IZLOČIL URAD</c:v>
                </c:pt>
              </c:strCache>
            </c:strRef>
          </c:tx>
          <c:invertIfNegative val="0"/>
          <c:cat>
            <c:numRef>
              <c:f>GRAF!$U$1:$AE$1</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GRAF!$U$5:$AE$5</c:f>
              <c:numCache>
                <c:formatCode>General</c:formatCode>
                <c:ptCount val="11"/>
                <c:pt idx="0">
                  <c:v>17</c:v>
                </c:pt>
                <c:pt idx="1">
                  <c:v>3</c:v>
                </c:pt>
                <c:pt idx="2">
                  <c:v>0</c:v>
                </c:pt>
                <c:pt idx="3">
                  <c:v>2</c:v>
                </c:pt>
                <c:pt idx="4">
                  <c:v>0</c:v>
                </c:pt>
                <c:pt idx="5">
                  <c:v>2</c:v>
                </c:pt>
                <c:pt idx="6">
                  <c:v>3</c:v>
                </c:pt>
                <c:pt idx="7">
                  <c:v>4</c:v>
                </c:pt>
                <c:pt idx="8">
                  <c:v>1</c:v>
                </c:pt>
                <c:pt idx="9">
                  <c:v>3</c:v>
                </c:pt>
                <c:pt idx="10">
                  <c:v>18</c:v>
                </c:pt>
              </c:numCache>
            </c:numRef>
          </c:val>
          <c:extLst>
            <c:ext xmlns:c16="http://schemas.microsoft.com/office/drawing/2014/chart" uri="{C3380CC4-5D6E-409C-BE32-E72D297353CC}">
              <c16:uniqueId val="{00000003-BFFB-4853-9387-096D25F8BD9B}"/>
            </c:ext>
          </c:extLst>
        </c:ser>
        <c:ser>
          <c:idx val="4"/>
          <c:order val="4"/>
          <c:tx>
            <c:strRef>
              <c:f>GRAF!$T$6</c:f>
              <c:strCache>
                <c:ptCount val="1"/>
                <c:pt idx="0">
                  <c:v>TUJI FIU</c:v>
                </c:pt>
              </c:strCache>
            </c:strRef>
          </c:tx>
          <c:invertIfNegative val="0"/>
          <c:cat>
            <c:numRef>
              <c:f>GRAF!$U$1:$AE$1</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GRAF!$U$6:$AE$6</c:f>
              <c:numCache>
                <c:formatCode>General</c:formatCode>
                <c:ptCount val="11"/>
                <c:pt idx="0">
                  <c:v>16</c:v>
                </c:pt>
                <c:pt idx="1">
                  <c:v>12</c:v>
                </c:pt>
                <c:pt idx="2">
                  <c:v>25</c:v>
                </c:pt>
                <c:pt idx="3">
                  <c:v>16</c:v>
                </c:pt>
                <c:pt idx="4">
                  <c:v>20</c:v>
                </c:pt>
                <c:pt idx="5">
                  <c:v>20</c:v>
                </c:pt>
                <c:pt idx="6">
                  <c:v>28</c:v>
                </c:pt>
                <c:pt idx="7">
                  <c:v>42</c:v>
                </c:pt>
                <c:pt idx="8">
                  <c:v>55</c:v>
                </c:pt>
                <c:pt idx="9">
                  <c:v>58</c:v>
                </c:pt>
                <c:pt idx="10">
                  <c:v>59</c:v>
                </c:pt>
              </c:numCache>
            </c:numRef>
          </c:val>
          <c:extLst>
            <c:ext xmlns:c16="http://schemas.microsoft.com/office/drawing/2014/chart" uri="{C3380CC4-5D6E-409C-BE32-E72D297353CC}">
              <c16:uniqueId val="{00000004-BFFB-4853-9387-096D25F8BD9B}"/>
            </c:ext>
          </c:extLst>
        </c:ser>
        <c:dLbls>
          <c:showLegendKey val="0"/>
          <c:showVal val="0"/>
          <c:showCatName val="0"/>
          <c:showSerName val="0"/>
          <c:showPercent val="0"/>
          <c:showBubbleSize val="0"/>
        </c:dLbls>
        <c:gapWidth val="150"/>
        <c:shape val="box"/>
        <c:axId val="547402200"/>
        <c:axId val="1"/>
        <c:axId val="0"/>
      </c:bar3DChart>
      <c:catAx>
        <c:axId val="547402200"/>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Arial"/>
                <a:ea typeface="Arial"/>
                <a:cs typeface="Arial"/>
              </a:defRPr>
            </a:pPr>
            <a:endParaRPr lang="sl-SI"/>
          </a:p>
        </c:txPr>
        <c:crossAx val="1"/>
        <c:crosses val="autoZero"/>
        <c:auto val="1"/>
        <c:lblAlgn val="ctr"/>
        <c:lblOffset val="100"/>
        <c:noMultiLvlLbl val="0"/>
      </c:catAx>
      <c:valAx>
        <c:axId val="1"/>
        <c:scaling>
          <c:orientation val="minMax"/>
        </c:scaling>
        <c:delete val="0"/>
        <c:axPos val="l"/>
        <c:majorGridlines/>
        <c:numFmt formatCode="0%" sourceLinked="1"/>
        <c:majorTickMark val="out"/>
        <c:minorTickMark val="none"/>
        <c:tickLblPos val="nextTo"/>
        <c:spPr>
          <a:noFill/>
        </c:spPr>
        <c:txPr>
          <a:bodyPr rot="0" vert="horz"/>
          <a:lstStyle/>
          <a:p>
            <a:pPr>
              <a:defRPr sz="1000" b="0" i="0" u="none" strike="noStrike" baseline="0">
                <a:solidFill>
                  <a:srgbClr val="000000"/>
                </a:solidFill>
                <a:latin typeface="Arial"/>
                <a:ea typeface="Arial"/>
                <a:cs typeface="Arial"/>
              </a:defRPr>
            </a:pPr>
            <a:endParaRPr lang="sl-SI"/>
          </a:p>
        </c:txPr>
        <c:crossAx val="547402200"/>
        <c:crosses val="autoZero"/>
        <c:crossBetween val="between"/>
      </c:valAx>
      <c:spPr>
        <a:noFill/>
        <a:ln w="25400">
          <a:noFill/>
        </a:ln>
      </c:spPr>
    </c:plotArea>
    <c:legend>
      <c:legendPos val="r"/>
      <c:layout>
        <c:manualLayout>
          <c:xMode val="edge"/>
          <c:yMode val="edge"/>
          <c:x val="0.64565914639567246"/>
          <c:y val="0.28571511612698836"/>
          <c:w val="0.33753547566454895"/>
          <c:h val="0.58631122788559076"/>
        </c:manualLayout>
      </c:layout>
      <c:overlay val="0"/>
      <c:txPr>
        <a:bodyPr/>
        <a:lstStyle/>
        <a:p>
          <a:pPr>
            <a:defRPr sz="845" b="0" i="0" u="none" strike="noStrike" baseline="0">
              <a:solidFill>
                <a:srgbClr val="000000"/>
              </a:solidFill>
              <a:latin typeface="Arial"/>
              <a:ea typeface="Arial"/>
              <a:cs typeface="Arial"/>
            </a:defRPr>
          </a:pPr>
          <a:endParaRPr lang="sl-SI"/>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sl-SI"/>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896371702018415"/>
          <c:y val="8.8737260882930172E-2"/>
          <c:w val="0.6632659670619091"/>
          <c:h val="0.75767918088737263"/>
        </c:manualLayout>
      </c:layout>
      <c:lineChart>
        <c:grouping val="standard"/>
        <c:varyColors val="0"/>
        <c:ser>
          <c:idx val="0"/>
          <c:order val="0"/>
          <c:tx>
            <c:strRef>
              <c:f>Sheet1!$T$2</c:f>
              <c:strCache>
                <c:ptCount val="1"/>
                <c:pt idx="0">
                  <c:v>Prejeto</c:v>
                </c:pt>
              </c:strCache>
            </c:strRef>
          </c:tx>
          <c:spPr>
            <a:ln w="38100">
              <a:solidFill>
                <a:srgbClr val="000080"/>
              </a:solidFill>
              <a:prstDash val="solid"/>
            </a:ln>
          </c:spPr>
          <c:marker>
            <c:symbol val="square"/>
            <c:size val="3"/>
            <c:spPr>
              <a:noFill/>
              <a:ln w="9525">
                <a:noFill/>
              </a:ln>
            </c:spPr>
          </c:marker>
          <c:cat>
            <c:numRef>
              <c:f>Sheet1!$U$1:$AE$1</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Sheet1!$U$2:$AE$2</c:f>
              <c:numCache>
                <c:formatCode>General</c:formatCode>
                <c:ptCount val="11"/>
                <c:pt idx="0">
                  <c:v>327</c:v>
                </c:pt>
                <c:pt idx="1">
                  <c:v>559</c:v>
                </c:pt>
                <c:pt idx="2">
                  <c:v>600</c:v>
                </c:pt>
                <c:pt idx="3">
                  <c:v>481</c:v>
                </c:pt>
                <c:pt idx="4">
                  <c:v>521</c:v>
                </c:pt>
                <c:pt idx="5">
                  <c:v>499</c:v>
                </c:pt>
                <c:pt idx="6">
                  <c:v>558</c:v>
                </c:pt>
                <c:pt idx="7">
                  <c:v>787</c:v>
                </c:pt>
                <c:pt idx="8">
                  <c:v>1069</c:v>
                </c:pt>
                <c:pt idx="9">
                  <c:v>1143</c:v>
                </c:pt>
                <c:pt idx="10">
                  <c:v>1103</c:v>
                </c:pt>
              </c:numCache>
            </c:numRef>
          </c:val>
          <c:smooth val="0"/>
          <c:extLst>
            <c:ext xmlns:c16="http://schemas.microsoft.com/office/drawing/2014/chart" uri="{C3380CC4-5D6E-409C-BE32-E72D297353CC}">
              <c16:uniqueId val="{00000000-769E-4F92-B37F-E86E27863D84}"/>
            </c:ext>
          </c:extLst>
        </c:ser>
        <c:ser>
          <c:idx val="1"/>
          <c:order val="1"/>
          <c:tx>
            <c:strRef>
              <c:f>Sheet1!$T$3</c:f>
              <c:strCache>
                <c:ptCount val="1"/>
                <c:pt idx="0">
                  <c:v>Obvestila</c:v>
                </c:pt>
              </c:strCache>
            </c:strRef>
          </c:tx>
          <c:spPr>
            <a:ln w="25400">
              <a:solidFill>
                <a:srgbClr val="FF0000"/>
              </a:solidFill>
              <a:prstDash val="solid"/>
            </a:ln>
          </c:spPr>
          <c:marker>
            <c:symbol val="none"/>
          </c:marker>
          <c:cat>
            <c:numRef>
              <c:f>Sheet1!$U$1:$AE$1</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Sheet1!$U$3:$AE$3</c:f>
              <c:numCache>
                <c:formatCode>General</c:formatCode>
                <c:ptCount val="11"/>
                <c:pt idx="0">
                  <c:v>99</c:v>
                </c:pt>
                <c:pt idx="1">
                  <c:v>175</c:v>
                </c:pt>
                <c:pt idx="2">
                  <c:v>170</c:v>
                </c:pt>
                <c:pt idx="3">
                  <c:v>190</c:v>
                </c:pt>
                <c:pt idx="4">
                  <c:v>259</c:v>
                </c:pt>
                <c:pt idx="5">
                  <c:v>245</c:v>
                </c:pt>
                <c:pt idx="6">
                  <c:v>243</c:v>
                </c:pt>
                <c:pt idx="7">
                  <c:v>328</c:v>
                </c:pt>
                <c:pt idx="8">
                  <c:v>351</c:v>
                </c:pt>
                <c:pt idx="9">
                  <c:v>452</c:v>
                </c:pt>
                <c:pt idx="10">
                  <c:v>434</c:v>
                </c:pt>
              </c:numCache>
            </c:numRef>
          </c:val>
          <c:smooth val="0"/>
          <c:extLst>
            <c:ext xmlns:c16="http://schemas.microsoft.com/office/drawing/2014/chart" uri="{C3380CC4-5D6E-409C-BE32-E72D297353CC}">
              <c16:uniqueId val="{00000001-769E-4F92-B37F-E86E27863D84}"/>
            </c:ext>
          </c:extLst>
        </c:ser>
        <c:ser>
          <c:idx val="2"/>
          <c:order val="2"/>
          <c:tx>
            <c:strRef>
              <c:f>Sheet1!$T$4</c:f>
              <c:strCache>
                <c:ptCount val="1"/>
                <c:pt idx="0">
                  <c:v>Informacije</c:v>
                </c:pt>
              </c:strCache>
            </c:strRef>
          </c:tx>
          <c:spPr>
            <a:ln w="25400">
              <a:solidFill>
                <a:srgbClr val="0070C0"/>
              </a:solidFill>
              <a:prstDash val="solid"/>
            </a:ln>
          </c:spPr>
          <c:marker>
            <c:symbol val="none"/>
          </c:marker>
          <c:cat>
            <c:numRef>
              <c:f>Sheet1!$U$1:$AE$1</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Sheet1!$U$4:$AE$4</c:f>
              <c:numCache>
                <c:formatCode>General</c:formatCode>
                <c:ptCount val="11"/>
                <c:pt idx="0">
                  <c:v>58</c:v>
                </c:pt>
                <c:pt idx="1">
                  <c:v>73</c:v>
                </c:pt>
                <c:pt idx="2">
                  <c:v>109</c:v>
                </c:pt>
                <c:pt idx="3">
                  <c:v>124</c:v>
                </c:pt>
                <c:pt idx="4">
                  <c:v>107</c:v>
                </c:pt>
                <c:pt idx="5">
                  <c:v>150</c:v>
                </c:pt>
                <c:pt idx="6">
                  <c:v>117</c:v>
                </c:pt>
                <c:pt idx="7">
                  <c:v>149</c:v>
                </c:pt>
                <c:pt idx="8">
                  <c:v>243</c:v>
                </c:pt>
                <c:pt idx="9">
                  <c:v>489</c:v>
                </c:pt>
                <c:pt idx="10">
                  <c:v>801</c:v>
                </c:pt>
              </c:numCache>
            </c:numRef>
          </c:val>
          <c:smooth val="0"/>
          <c:extLst>
            <c:ext xmlns:c16="http://schemas.microsoft.com/office/drawing/2014/chart" uri="{C3380CC4-5D6E-409C-BE32-E72D297353CC}">
              <c16:uniqueId val="{00000002-769E-4F92-B37F-E86E27863D84}"/>
            </c:ext>
          </c:extLst>
        </c:ser>
        <c:ser>
          <c:idx val="3"/>
          <c:order val="3"/>
          <c:tx>
            <c:strRef>
              <c:f>Sheet1!$T$5</c:f>
              <c:strCache>
                <c:ptCount val="1"/>
                <c:pt idx="0">
                  <c:v>Zaključeno v Uradu</c:v>
                </c:pt>
              </c:strCache>
            </c:strRef>
          </c:tx>
          <c:spPr>
            <a:ln w="25400"/>
          </c:spPr>
          <c:marker>
            <c:symbol val="none"/>
          </c:marker>
          <c:cat>
            <c:numRef>
              <c:f>Sheet1!$U$1:$AE$1</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Sheet1!$U$5:$AE$5</c:f>
              <c:numCache>
                <c:formatCode>General</c:formatCode>
                <c:ptCount val="11"/>
                <c:pt idx="0">
                  <c:v>98</c:v>
                </c:pt>
                <c:pt idx="1">
                  <c:v>130</c:v>
                </c:pt>
                <c:pt idx="2">
                  <c:v>155</c:v>
                </c:pt>
                <c:pt idx="3">
                  <c:v>208</c:v>
                </c:pt>
                <c:pt idx="4">
                  <c:v>206</c:v>
                </c:pt>
                <c:pt idx="5">
                  <c:v>136</c:v>
                </c:pt>
                <c:pt idx="6">
                  <c:v>75</c:v>
                </c:pt>
                <c:pt idx="7">
                  <c:v>82</c:v>
                </c:pt>
                <c:pt idx="8">
                  <c:v>187</c:v>
                </c:pt>
                <c:pt idx="9">
                  <c:v>298</c:v>
                </c:pt>
                <c:pt idx="10">
                  <c:v>521</c:v>
                </c:pt>
              </c:numCache>
            </c:numRef>
          </c:val>
          <c:smooth val="0"/>
          <c:extLst>
            <c:ext xmlns:c16="http://schemas.microsoft.com/office/drawing/2014/chart" uri="{C3380CC4-5D6E-409C-BE32-E72D297353CC}">
              <c16:uniqueId val="{00000003-769E-4F92-B37F-E86E27863D84}"/>
            </c:ext>
          </c:extLst>
        </c:ser>
        <c:ser>
          <c:idx val="4"/>
          <c:order val="4"/>
          <c:tx>
            <c:strRef>
              <c:f>Sheet1!$T$6</c:f>
              <c:strCache>
                <c:ptCount val="1"/>
                <c:pt idx="0">
                  <c:v>Skupaj zaključeno</c:v>
                </c:pt>
              </c:strCache>
            </c:strRef>
          </c:tx>
          <c:spPr>
            <a:ln>
              <a:solidFill>
                <a:schemeClr val="accent2">
                  <a:lumMod val="75000"/>
                </a:schemeClr>
              </a:solidFill>
            </a:ln>
          </c:spPr>
          <c:marker>
            <c:symbol val="none"/>
          </c:marker>
          <c:cat>
            <c:numRef>
              <c:f>Sheet1!$U$1:$AE$1</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Sheet1!$U$6:$AE$6</c:f>
              <c:numCache>
                <c:formatCode>General</c:formatCode>
                <c:ptCount val="11"/>
                <c:pt idx="0">
                  <c:v>255</c:v>
                </c:pt>
                <c:pt idx="1">
                  <c:v>378</c:v>
                </c:pt>
                <c:pt idx="2">
                  <c:v>434</c:v>
                </c:pt>
                <c:pt idx="3">
                  <c:v>522</c:v>
                </c:pt>
                <c:pt idx="4">
                  <c:v>572</c:v>
                </c:pt>
                <c:pt idx="5">
                  <c:v>531</c:v>
                </c:pt>
                <c:pt idx="6">
                  <c:v>435</c:v>
                </c:pt>
                <c:pt idx="7">
                  <c:v>559</c:v>
                </c:pt>
                <c:pt idx="8">
                  <c:v>781</c:v>
                </c:pt>
                <c:pt idx="9">
                  <c:v>1239</c:v>
                </c:pt>
                <c:pt idx="10">
                  <c:v>1931</c:v>
                </c:pt>
              </c:numCache>
            </c:numRef>
          </c:val>
          <c:smooth val="0"/>
          <c:extLst>
            <c:ext xmlns:c16="http://schemas.microsoft.com/office/drawing/2014/chart" uri="{C3380CC4-5D6E-409C-BE32-E72D297353CC}">
              <c16:uniqueId val="{00000004-769E-4F92-B37F-E86E27863D84}"/>
            </c:ext>
          </c:extLst>
        </c:ser>
        <c:dLbls>
          <c:showLegendKey val="0"/>
          <c:showVal val="0"/>
          <c:showCatName val="0"/>
          <c:showSerName val="0"/>
          <c:showPercent val="0"/>
          <c:showBubbleSize val="0"/>
        </c:dLbls>
        <c:marker val="1"/>
        <c:smooth val="0"/>
        <c:axId val="78080256"/>
        <c:axId val="78094336"/>
      </c:lineChart>
      <c:catAx>
        <c:axId val="780802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sl-SI"/>
          </a:p>
        </c:txPr>
        <c:crossAx val="78094336"/>
        <c:crosses val="autoZero"/>
        <c:auto val="1"/>
        <c:lblAlgn val="ctr"/>
        <c:lblOffset val="100"/>
        <c:tickLblSkip val="1"/>
        <c:tickMarkSkip val="1"/>
        <c:noMultiLvlLbl val="0"/>
      </c:catAx>
      <c:valAx>
        <c:axId val="7809433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sl-SI"/>
          </a:p>
        </c:txPr>
        <c:crossAx val="78080256"/>
        <c:crosses val="autoZero"/>
        <c:crossBetween val="between"/>
      </c:valAx>
      <c:spPr>
        <a:solidFill>
          <a:srgbClr val="C0C0C0"/>
        </a:solidFill>
        <a:ln w="12700">
          <a:solidFill>
            <a:srgbClr val="808080"/>
          </a:solidFill>
          <a:prstDash val="solid"/>
        </a:ln>
      </c:spPr>
    </c:plotArea>
    <c:legend>
      <c:legendPos val="b"/>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sl-SI"/>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sl-SI"/>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5966497000576064E-2"/>
          <c:y val="3.7671232876712327E-2"/>
          <c:w val="0.91330220442032817"/>
          <c:h val="0.47191015829801963"/>
        </c:manualLayout>
      </c:layout>
      <c:barChart>
        <c:barDir val="col"/>
        <c:grouping val="clustered"/>
        <c:varyColors val="0"/>
        <c:ser>
          <c:idx val="0"/>
          <c:order val="0"/>
          <c:tx>
            <c:strRef>
              <c:f>Sheet1!$B$1</c:f>
              <c:strCache>
                <c:ptCount val="1"/>
                <c:pt idx="0">
                  <c:v>prenos sredstev med državami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Število zadev</c:v>
                </c:pt>
              </c:strCache>
            </c:strRef>
          </c:cat>
          <c:val>
            <c:numRef>
              <c:f>Sheet1!$B$2</c:f>
              <c:numCache>
                <c:formatCode>General</c:formatCode>
                <c:ptCount val="1"/>
                <c:pt idx="0">
                  <c:v>251</c:v>
                </c:pt>
              </c:numCache>
            </c:numRef>
          </c:val>
          <c:extLst>
            <c:ext xmlns:c16="http://schemas.microsoft.com/office/drawing/2014/chart" uri="{C3380CC4-5D6E-409C-BE32-E72D297353CC}">
              <c16:uniqueId val="{00000000-481D-4917-AFBB-B57E1DD3BD75}"/>
            </c:ext>
          </c:extLst>
        </c:ser>
        <c:ser>
          <c:idx val="1"/>
          <c:order val="1"/>
          <c:tx>
            <c:strRef>
              <c:f>Sheet1!$C$1</c:f>
              <c:strCache>
                <c:ptCount val="1"/>
                <c:pt idx="0">
                  <c:v>prenos sredstev med računi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Število zadev</c:v>
                </c:pt>
              </c:strCache>
            </c:strRef>
          </c:cat>
          <c:val>
            <c:numRef>
              <c:f>Sheet1!$C$2</c:f>
              <c:numCache>
                <c:formatCode>0</c:formatCode>
                <c:ptCount val="1"/>
                <c:pt idx="0">
                  <c:v>215</c:v>
                </c:pt>
              </c:numCache>
            </c:numRef>
          </c:val>
          <c:extLst>
            <c:ext xmlns:c16="http://schemas.microsoft.com/office/drawing/2014/chart" uri="{C3380CC4-5D6E-409C-BE32-E72D297353CC}">
              <c16:uniqueId val="{00000001-481D-4917-AFBB-B57E1DD3BD75}"/>
            </c:ext>
          </c:extLst>
        </c:ser>
        <c:ser>
          <c:idx val="2"/>
          <c:order val="2"/>
          <c:tx>
            <c:strRef>
              <c:f>Sheet1!$D$1</c:f>
              <c:strCache>
                <c:ptCount val="1"/>
                <c:pt idx="0">
                  <c:v>dvig gotovine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Število zadev</c:v>
                </c:pt>
              </c:strCache>
            </c:strRef>
          </c:cat>
          <c:val>
            <c:numRef>
              <c:f>Sheet1!$D$2</c:f>
              <c:numCache>
                <c:formatCode>General</c:formatCode>
                <c:ptCount val="1"/>
                <c:pt idx="0">
                  <c:v>113</c:v>
                </c:pt>
              </c:numCache>
            </c:numRef>
          </c:val>
          <c:extLst>
            <c:ext xmlns:c16="http://schemas.microsoft.com/office/drawing/2014/chart" uri="{C3380CC4-5D6E-409C-BE32-E72D297353CC}">
              <c16:uniqueId val="{00000002-481D-4917-AFBB-B57E1DD3BD75}"/>
            </c:ext>
          </c:extLst>
        </c:ser>
        <c:ser>
          <c:idx val="3"/>
          <c:order val="3"/>
          <c:tx>
            <c:strRef>
              <c:f>Sheet1!$E$1</c:f>
              <c:strCache>
                <c:ptCount val="1"/>
                <c:pt idx="0">
                  <c:v>prenos sredstev preko meje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Število zadev</c:v>
                </c:pt>
              </c:strCache>
            </c:strRef>
          </c:cat>
          <c:val>
            <c:numRef>
              <c:f>Sheet1!$E$2</c:f>
              <c:numCache>
                <c:formatCode>General</c:formatCode>
                <c:ptCount val="1"/>
                <c:pt idx="0">
                  <c:v>59</c:v>
                </c:pt>
              </c:numCache>
            </c:numRef>
          </c:val>
          <c:extLst>
            <c:ext xmlns:c16="http://schemas.microsoft.com/office/drawing/2014/chart" uri="{C3380CC4-5D6E-409C-BE32-E72D297353CC}">
              <c16:uniqueId val="{00000003-481D-4917-AFBB-B57E1DD3BD75}"/>
            </c:ext>
          </c:extLst>
        </c:ser>
        <c:ser>
          <c:idx val="4"/>
          <c:order val="4"/>
          <c:tx>
            <c:strRef>
              <c:f>Sheet1!$F$1</c:f>
              <c:strCache>
                <c:ptCount val="1"/>
                <c:pt idx="0">
                  <c:v>polog gotovine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Število zadev</c:v>
                </c:pt>
              </c:strCache>
            </c:strRef>
          </c:cat>
          <c:val>
            <c:numRef>
              <c:f>Sheet1!$F$2</c:f>
              <c:numCache>
                <c:formatCode>General</c:formatCode>
                <c:ptCount val="1"/>
                <c:pt idx="0">
                  <c:v>50</c:v>
                </c:pt>
              </c:numCache>
            </c:numRef>
          </c:val>
          <c:extLst>
            <c:ext xmlns:c16="http://schemas.microsoft.com/office/drawing/2014/chart" uri="{C3380CC4-5D6E-409C-BE32-E72D297353CC}">
              <c16:uniqueId val="{00000004-481D-4917-AFBB-B57E1DD3BD75}"/>
            </c:ext>
          </c:extLst>
        </c:ser>
        <c:ser>
          <c:idx val="5"/>
          <c:order val="5"/>
          <c:tx>
            <c:strRef>
              <c:f>Sheet1!$G$1</c:f>
              <c:strCache>
                <c:ptCount val="1"/>
                <c:pt idx="0">
                  <c:v>lažni prikazi namena transakcij</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Število zadev</c:v>
                </c:pt>
              </c:strCache>
            </c:strRef>
          </c:cat>
          <c:val>
            <c:numRef>
              <c:f>Sheet1!$G$2</c:f>
              <c:numCache>
                <c:formatCode>General</c:formatCode>
                <c:ptCount val="1"/>
                <c:pt idx="0">
                  <c:v>35</c:v>
                </c:pt>
              </c:numCache>
            </c:numRef>
          </c:val>
          <c:extLst>
            <c:ext xmlns:c16="http://schemas.microsoft.com/office/drawing/2014/chart" uri="{C3380CC4-5D6E-409C-BE32-E72D297353CC}">
              <c16:uniqueId val="{00000005-481D-4917-AFBB-B57E1DD3BD75}"/>
            </c:ext>
          </c:extLst>
        </c:ser>
        <c:ser>
          <c:idx val="6"/>
          <c:order val="6"/>
          <c:tx>
            <c:strRef>
              <c:f>Sheet1!$H$1</c:f>
              <c:strCache>
                <c:ptCount val="1"/>
                <c:pt idx="0">
                  <c:v>uporaba sredstev za gospodarsko poslovanje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Število zadev</c:v>
                </c:pt>
              </c:strCache>
            </c:strRef>
          </c:cat>
          <c:val>
            <c:numRef>
              <c:f>Sheet1!$H$2</c:f>
              <c:numCache>
                <c:formatCode>General</c:formatCode>
                <c:ptCount val="1"/>
                <c:pt idx="0">
                  <c:v>28</c:v>
                </c:pt>
              </c:numCache>
            </c:numRef>
          </c:val>
          <c:extLst>
            <c:ext xmlns:c16="http://schemas.microsoft.com/office/drawing/2014/chart" uri="{C3380CC4-5D6E-409C-BE32-E72D297353CC}">
              <c16:uniqueId val="{00000006-481D-4917-AFBB-B57E1DD3BD75}"/>
            </c:ext>
          </c:extLst>
        </c:ser>
        <c:ser>
          <c:idx val="7"/>
          <c:order val="7"/>
          <c:tx>
            <c:strRef>
              <c:f>Sheet1!$I$1</c:f>
              <c:strCache>
                <c:ptCount val="1"/>
                <c:pt idx="0">
                  <c:v>fiktivne pogodbe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Število zadev</c:v>
                </c:pt>
              </c:strCache>
            </c:strRef>
          </c:cat>
          <c:val>
            <c:numRef>
              <c:f>Sheet1!$I$2</c:f>
              <c:numCache>
                <c:formatCode>General</c:formatCode>
                <c:ptCount val="1"/>
                <c:pt idx="0">
                  <c:v>26</c:v>
                </c:pt>
              </c:numCache>
            </c:numRef>
          </c:val>
          <c:extLst>
            <c:ext xmlns:c16="http://schemas.microsoft.com/office/drawing/2014/chart" uri="{C3380CC4-5D6E-409C-BE32-E72D297353CC}">
              <c16:uniqueId val="{00000007-481D-4917-AFBB-B57E1DD3BD75}"/>
            </c:ext>
          </c:extLst>
        </c:ser>
        <c:ser>
          <c:idx val="8"/>
          <c:order val="8"/>
          <c:tx>
            <c:strRef>
              <c:f>Sheet1!$J$1</c:f>
              <c:strCache>
                <c:ptCount val="1"/>
                <c:pt idx="0">
                  <c:v>dvigi gotovine na bankomatu v tujini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c:f>
              <c:strCache>
                <c:ptCount val="1"/>
                <c:pt idx="0">
                  <c:v>Število zadev</c:v>
                </c:pt>
              </c:strCache>
            </c:strRef>
          </c:cat>
          <c:val>
            <c:numRef>
              <c:f>Sheet1!$J$2</c:f>
              <c:numCache>
                <c:formatCode>General</c:formatCode>
                <c:ptCount val="1"/>
                <c:pt idx="0">
                  <c:v>15</c:v>
                </c:pt>
              </c:numCache>
            </c:numRef>
          </c:val>
          <c:extLst>
            <c:ext xmlns:c16="http://schemas.microsoft.com/office/drawing/2014/chart" uri="{C3380CC4-5D6E-409C-BE32-E72D297353CC}">
              <c16:uniqueId val="{00000008-481D-4917-AFBB-B57E1DD3BD75}"/>
            </c:ext>
          </c:extLst>
        </c:ser>
        <c:ser>
          <c:idx val="9"/>
          <c:order val="9"/>
          <c:tx>
            <c:strRef>
              <c:f>Sheet1!$K$1</c:f>
              <c:strCache>
                <c:ptCount val="1"/>
                <c:pt idx="0">
                  <c:v>uporaba sistemov za prenos sredstev</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c:f>
              <c:strCache>
                <c:ptCount val="1"/>
                <c:pt idx="0">
                  <c:v>Število zadev</c:v>
                </c:pt>
              </c:strCache>
            </c:strRef>
          </c:cat>
          <c:val>
            <c:numRef>
              <c:f>Sheet1!$K$2</c:f>
              <c:numCache>
                <c:formatCode>General</c:formatCode>
                <c:ptCount val="1"/>
                <c:pt idx="0">
                  <c:v>15</c:v>
                </c:pt>
              </c:numCache>
            </c:numRef>
          </c:val>
          <c:extLst>
            <c:ext xmlns:c16="http://schemas.microsoft.com/office/drawing/2014/chart" uri="{C3380CC4-5D6E-409C-BE32-E72D297353CC}">
              <c16:uniqueId val="{00000009-481D-4917-AFBB-B57E1DD3BD75}"/>
            </c:ext>
          </c:extLst>
        </c:ser>
        <c:ser>
          <c:idx val="10"/>
          <c:order val="10"/>
          <c:tx>
            <c:strRef>
              <c:f>Sheet1!$L$1</c:f>
              <c:strCache>
                <c:ptCount val="1"/>
                <c:pt idx="0">
                  <c:v>investiranje v nepremičnine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c:f>
              <c:strCache>
                <c:ptCount val="1"/>
                <c:pt idx="0">
                  <c:v>Število zadev</c:v>
                </c:pt>
              </c:strCache>
            </c:strRef>
          </c:cat>
          <c:val>
            <c:numRef>
              <c:f>Sheet1!$L$2</c:f>
              <c:numCache>
                <c:formatCode>General</c:formatCode>
                <c:ptCount val="1"/>
                <c:pt idx="0">
                  <c:v>14</c:v>
                </c:pt>
              </c:numCache>
            </c:numRef>
          </c:val>
          <c:extLst>
            <c:ext xmlns:c16="http://schemas.microsoft.com/office/drawing/2014/chart" uri="{C3380CC4-5D6E-409C-BE32-E72D297353CC}">
              <c16:uniqueId val="{0000000A-481D-4917-AFBB-B57E1DD3BD75}"/>
            </c:ext>
          </c:extLst>
        </c:ser>
        <c:ser>
          <c:idx val="11"/>
          <c:order val="11"/>
          <c:tx>
            <c:strRef>
              <c:f>Sheet1!$M$1</c:f>
              <c:strCache>
                <c:ptCount val="1"/>
                <c:pt idx="0">
                  <c:v>ustvarjanje lažnih obveznosti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c:f>
              <c:strCache>
                <c:ptCount val="1"/>
                <c:pt idx="0">
                  <c:v>Število zadev</c:v>
                </c:pt>
              </c:strCache>
            </c:strRef>
          </c:cat>
          <c:val>
            <c:numRef>
              <c:f>Sheet1!$M$2</c:f>
              <c:numCache>
                <c:formatCode>General</c:formatCode>
                <c:ptCount val="1"/>
                <c:pt idx="0">
                  <c:v>7</c:v>
                </c:pt>
              </c:numCache>
            </c:numRef>
          </c:val>
          <c:extLst>
            <c:ext xmlns:c16="http://schemas.microsoft.com/office/drawing/2014/chart" uri="{C3380CC4-5D6E-409C-BE32-E72D297353CC}">
              <c16:uniqueId val="{0000000B-481D-4917-AFBB-B57E1DD3BD75}"/>
            </c:ext>
          </c:extLst>
        </c:ser>
        <c:ser>
          <c:idx val="12"/>
          <c:order val="12"/>
          <c:tx>
            <c:strRef>
              <c:f>Sheet1!$N$1</c:f>
              <c:strCache>
                <c:ptCount val="1"/>
                <c:pt idx="0">
                  <c:v>uporaba denarnih mul in "cash" kurirjev</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c:f>
              <c:strCache>
                <c:ptCount val="1"/>
                <c:pt idx="0">
                  <c:v>Število zadev</c:v>
                </c:pt>
              </c:strCache>
            </c:strRef>
          </c:cat>
          <c:val>
            <c:numRef>
              <c:f>Sheet1!$N$2</c:f>
              <c:numCache>
                <c:formatCode>General</c:formatCode>
                <c:ptCount val="1"/>
                <c:pt idx="0">
                  <c:v>7</c:v>
                </c:pt>
              </c:numCache>
            </c:numRef>
          </c:val>
          <c:extLst>
            <c:ext xmlns:c16="http://schemas.microsoft.com/office/drawing/2014/chart" uri="{C3380CC4-5D6E-409C-BE32-E72D297353CC}">
              <c16:uniqueId val="{0000000C-481D-4917-AFBB-B57E1DD3BD75}"/>
            </c:ext>
          </c:extLst>
        </c:ser>
        <c:ser>
          <c:idx val="13"/>
          <c:order val="13"/>
          <c:tx>
            <c:strRef>
              <c:f>Sheet1!$O$1</c:f>
              <c:strCache>
                <c:ptCount val="1"/>
                <c:pt idx="0">
                  <c:v>drobljenje zneskov in izmikanje identifikaciji</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81D-4917-AFBB-B57E1DD3BD7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c:f>
              <c:strCache>
                <c:ptCount val="1"/>
                <c:pt idx="0">
                  <c:v>Število zadev</c:v>
                </c:pt>
              </c:strCache>
            </c:strRef>
          </c:cat>
          <c:val>
            <c:numRef>
              <c:f>Sheet1!$O$2</c:f>
              <c:numCache>
                <c:formatCode>General</c:formatCode>
                <c:ptCount val="1"/>
                <c:pt idx="0">
                  <c:v>6</c:v>
                </c:pt>
              </c:numCache>
            </c:numRef>
          </c:val>
          <c:extLst>
            <c:ext xmlns:c16="http://schemas.microsoft.com/office/drawing/2014/chart" uri="{C3380CC4-5D6E-409C-BE32-E72D297353CC}">
              <c16:uniqueId val="{0000000E-481D-4917-AFBB-B57E1DD3BD75}"/>
            </c:ext>
          </c:extLst>
        </c:ser>
        <c:dLbls>
          <c:showLegendKey val="0"/>
          <c:showVal val="0"/>
          <c:showCatName val="0"/>
          <c:showSerName val="0"/>
          <c:showPercent val="0"/>
          <c:showBubbleSize val="0"/>
        </c:dLbls>
        <c:gapWidth val="150"/>
        <c:axId val="371749096"/>
        <c:axId val="371747528"/>
      </c:barChart>
      <c:catAx>
        <c:axId val="371749096"/>
        <c:scaling>
          <c:orientation val="minMax"/>
        </c:scaling>
        <c:delete val="0"/>
        <c:axPos val="b"/>
        <c:numFmt formatCode="General" sourceLinked="0"/>
        <c:majorTickMark val="out"/>
        <c:minorTickMark val="none"/>
        <c:tickLblPos val="nextTo"/>
        <c:crossAx val="371747528"/>
        <c:crosses val="autoZero"/>
        <c:auto val="1"/>
        <c:lblAlgn val="ctr"/>
        <c:lblOffset val="100"/>
        <c:noMultiLvlLbl val="0"/>
      </c:catAx>
      <c:valAx>
        <c:axId val="371747528"/>
        <c:scaling>
          <c:orientation val="minMax"/>
        </c:scaling>
        <c:delete val="0"/>
        <c:axPos val="l"/>
        <c:majorGridlines/>
        <c:numFmt formatCode="General" sourceLinked="1"/>
        <c:majorTickMark val="out"/>
        <c:minorTickMark val="none"/>
        <c:tickLblPos val="nextTo"/>
        <c:crossAx val="371749096"/>
        <c:crosses val="autoZero"/>
        <c:crossBetween val="between"/>
      </c:valAx>
    </c:plotArea>
    <c:legend>
      <c:legendPos val="b"/>
      <c:layout>
        <c:manualLayout>
          <c:xMode val="edge"/>
          <c:yMode val="edge"/>
          <c:x val="5.3059311053185516E-2"/>
          <c:y val="0.58393065863712668"/>
          <c:w val="0.90675415197644382"/>
          <c:h val="0.37270477491474224"/>
        </c:manualLayout>
      </c:layout>
      <c:overlay val="0"/>
      <c:txPr>
        <a:bodyPr/>
        <a:lstStyle/>
        <a:p>
          <a:pPr>
            <a:defRPr>
              <a:solidFill>
                <a:schemeClr val="tx1"/>
              </a:solidFill>
            </a:defRPr>
          </a:pPr>
          <a:endParaRPr lang="sl-SI"/>
        </a:p>
      </c:txPr>
    </c:legend>
    <c:plotVisOnly val="1"/>
    <c:dispBlanksAs val="gap"/>
    <c:showDLblsOverMax val="0"/>
  </c:chart>
  <c:spPr>
    <a:ln>
      <a:solidFill>
        <a:schemeClr val="tx1"/>
      </a:solidFill>
    </a:ln>
  </c:spPr>
  <c:txPr>
    <a:bodyPr/>
    <a:lstStyle/>
    <a:p>
      <a:pPr>
        <a:defRPr sz="800" baseline="0"/>
      </a:pPr>
      <a:endParaRPr lang="sl-SI"/>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9538868849228445E-2"/>
          <c:y val="1.5738194974257106E-2"/>
          <c:w val="0.90987868284228768"/>
          <c:h val="0.73672055427251981"/>
        </c:manualLayout>
      </c:layout>
      <c:lineChart>
        <c:grouping val="standard"/>
        <c:varyColors val="0"/>
        <c:ser>
          <c:idx val="0"/>
          <c:order val="0"/>
          <c:tx>
            <c:strRef>
              <c:f>Sheet1!$B$2</c:f>
              <c:strCache>
                <c:ptCount val="1"/>
                <c:pt idx="0">
                  <c:v>Podane kazenske ovadbe Policije</c:v>
                </c:pt>
              </c:strCache>
            </c:strRef>
          </c:tx>
          <c:spPr>
            <a:ln w="38100">
              <a:solidFill>
                <a:srgbClr val="000080"/>
              </a:solidFill>
              <a:prstDash val="solid"/>
            </a:ln>
          </c:spPr>
          <c:marker>
            <c:symbol val="square"/>
            <c:size val="5"/>
            <c:spPr>
              <a:solidFill>
                <a:srgbClr val="000080"/>
              </a:solidFill>
              <a:ln>
                <a:solidFill>
                  <a:srgbClr val="000080"/>
                </a:solidFill>
                <a:prstDash val="solid"/>
              </a:ln>
            </c:spPr>
          </c:marker>
          <c:dLbls>
            <c:dLbl>
              <c:idx val="0"/>
              <c:layout>
                <c:manualLayout>
                  <c:x val="-2.7963597631716592E-2"/>
                  <c:y val="-5.27545070145677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CBA-4644-8294-D60FA830DF77}"/>
                </c:ext>
              </c:extLst>
            </c:dLbl>
            <c:dLbl>
              <c:idx val="1"/>
              <c:layout>
                <c:manualLayout>
                  <c:x val="-2.6230526270532798E-2"/>
                  <c:y val="-3.34208693024226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CBA-4644-8294-D60FA830DF77}"/>
                </c:ext>
              </c:extLst>
            </c:dLbl>
            <c:dLbl>
              <c:idx val="2"/>
              <c:layout>
                <c:manualLayout>
                  <c:x val="-3.1429863921481005E-2"/>
                  <c:y val="-4.37145299100891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CBA-4644-8294-D60FA830DF77}"/>
                </c:ext>
              </c:extLst>
            </c:dLbl>
            <c:dLbl>
              <c:idx val="3"/>
              <c:layout>
                <c:manualLayout>
                  <c:x val="-3.489609931939601E-2"/>
                  <c:y val="-3.5466391794847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CBA-4644-8294-D60FA830DF77}"/>
                </c:ext>
              </c:extLst>
            </c:dLbl>
            <c:dLbl>
              <c:idx val="4"/>
              <c:layout>
                <c:manualLayout>
                  <c:x val="-8.3231667399355867E-3"/>
                  <c:y val="-3.57890608501523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CBA-4644-8294-D60FA830DF77}"/>
                </c:ext>
              </c:extLst>
            </c:dLbl>
            <c:dLbl>
              <c:idx val="5"/>
              <c:layout>
                <c:manualLayout>
                  <c:x val="-1.1012176500732255E-2"/>
                  <c:y val="3.19284802043422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CBA-4644-8294-D60FA830DF77}"/>
                </c:ext>
              </c:extLst>
            </c:dLbl>
            <c:dLbl>
              <c:idx val="6"/>
              <c:layout>
                <c:manualLayout>
                  <c:x val="-1.3214403700033036E-2"/>
                  <c:y val="-2.2349936143039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CBA-4644-8294-D60FA830DF77}"/>
                </c:ext>
              </c:extLst>
            </c:dLbl>
            <c:spPr>
              <a:noFill/>
              <a:ln w="25400">
                <a:noFill/>
              </a:ln>
            </c:spPr>
            <c:txPr>
              <a:bodyPr/>
              <a:lstStyle/>
              <a:p>
                <a:pPr>
                  <a:defRPr sz="1000" b="1"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Sheet1!$D$1:$N$1</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Sheet1!$D$2:$N$2</c:f>
              <c:numCache>
                <c:formatCode>General</c:formatCode>
                <c:ptCount val="11"/>
                <c:pt idx="0">
                  <c:v>39</c:v>
                </c:pt>
                <c:pt idx="1">
                  <c:v>49</c:v>
                </c:pt>
                <c:pt idx="2">
                  <c:v>62</c:v>
                </c:pt>
                <c:pt idx="3">
                  <c:v>47</c:v>
                </c:pt>
                <c:pt idx="4">
                  <c:v>39</c:v>
                </c:pt>
                <c:pt idx="5">
                  <c:v>42</c:v>
                </c:pt>
                <c:pt idx="6">
                  <c:v>41</c:v>
                </c:pt>
                <c:pt idx="7">
                  <c:v>21</c:v>
                </c:pt>
                <c:pt idx="8">
                  <c:v>44</c:v>
                </c:pt>
                <c:pt idx="9">
                  <c:v>26</c:v>
                </c:pt>
                <c:pt idx="10">
                  <c:v>49</c:v>
                </c:pt>
              </c:numCache>
            </c:numRef>
          </c:val>
          <c:smooth val="0"/>
          <c:extLst>
            <c:ext xmlns:c16="http://schemas.microsoft.com/office/drawing/2014/chart" uri="{C3380CC4-5D6E-409C-BE32-E72D297353CC}">
              <c16:uniqueId val="{00000007-ACBA-4644-8294-D60FA830DF77}"/>
            </c:ext>
          </c:extLst>
        </c:ser>
        <c:ser>
          <c:idx val="1"/>
          <c:order val="1"/>
          <c:tx>
            <c:strRef>
              <c:f>Sheet1!$B$3</c:f>
              <c:strCache>
                <c:ptCount val="1"/>
                <c:pt idx="0">
                  <c:v>Obvestila Urada</c:v>
                </c:pt>
              </c:strCache>
            </c:strRef>
          </c:tx>
          <c:spPr>
            <a:ln w="38100">
              <a:solidFill>
                <a:srgbClr val="800080"/>
              </a:solidFill>
              <a:prstDash val="solid"/>
            </a:ln>
          </c:spPr>
          <c:marker>
            <c:symbol val="square"/>
            <c:size val="5"/>
            <c:spPr>
              <a:solidFill>
                <a:srgbClr val="800080"/>
              </a:solidFill>
              <a:ln>
                <a:solidFill>
                  <a:srgbClr val="800080"/>
                </a:solidFill>
                <a:prstDash val="solid"/>
              </a:ln>
            </c:spPr>
          </c:marker>
          <c:dLbls>
            <c:dLbl>
              <c:idx val="0"/>
              <c:layout>
                <c:manualLayout>
                  <c:x val="-1.0632575101387315E-2"/>
                  <c:y val="-2.91648330332842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CBA-4644-8294-D60FA830DF77}"/>
                </c:ext>
              </c:extLst>
            </c:dLbl>
            <c:dLbl>
              <c:idx val="1"/>
              <c:layout>
                <c:manualLayout>
                  <c:x val="-1.7565015005368261E-2"/>
                  <c:y val="-2.34901100699596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CBA-4644-8294-D60FA830DF77}"/>
                </c:ext>
              </c:extLst>
            </c:dLbl>
            <c:dLbl>
              <c:idx val="2"/>
              <c:layout>
                <c:manualLayout>
                  <c:x val="-2.4497454909349237E-2"/>
                  <c:y val="-3.55653468403053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CBA-4644-8294-D60FA830DF77}"/>
                </c:ext>
              </c:extLst>
            </c:dLbl>
            <c:dLbl>
              <c:idx val="3"/>
              <c:layout>
                <c:manualLayout>
                  <c:x val="-3.489609931939601E-2"/>
                  <c:y val="-3.50374541808140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CBA-4644-8294-D60FA830DF77}"/>
                </c:ext>
              </c:extLst>
            </c:dLbl>
            <c:dLbl>
              <c:idx val="4"/>
              <c:layout>
                <c:manualLayout>
                  <c:x val="-3.4896130211245421E-2"/>
                  <c:y val="-3.75450555328966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CBA-4644-8294-D60FA830DF77}"/>
                </c:ext>
              </c:extLst>
            </c:dLbl>
            <c:spPr>
              <a:noFill/>
              <a:ln w="25400">
                <a:noFill/>
              </a:ln>
            </c:spPr>
            <c:txPr>
              <a:bodyPr/>
              <a:lstStyle/>
              <a:p>
                <a:pPr>
                  <a:defRPr sz="1000" b="1"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Sheet1!$D$1:$N$1</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Sheet1!$D$3:$N$3</c:f>
              <c:numCache>
                <c:formatCode>General</c:formatCode>
                <c:ptCount val="11"/>
                <c:pt idx="0">
                  <c:v>22</c:v>
                </c:pt>
                <c:pt idx="1">
                  <c:v>26</c:v>
                </c:pt>
                <c:pt idx="2">
                  <c:v>42</c:v>
                </c:pt>
                <c:pt idx="3">
                  <c:v>23</c:v>
                </c:pt>
                <c:pt idx="4">
                  <c:v>19</c:v>
                </c:pt>
                <c:pt idx="5">
                  <c:v>31</c:v>
                </c:pt>
                <c:pt idx="6">
                  <c:v>21</c:v>
                </c:pt>
                <c:pt idx="7">
                  <c:v>18</c:v>
                </c:pt>
                <c:pt idx="8">
                  <c:v>24</c:v>
                </c:pt>
                <c:pt idx="9">
                  <c:v>23</c:v>
                </c:pt>
                <c:pt idx="10">
                  <c:v>12</c:v>
                </c:pt>
              </c:numCache>
            </c:numRef>
          </c:val>
          <c:smooth val="0"/>
          <c:extLst>
            <c:ext xmlns:c16="http://schemas.microsoft.com/office/drawing/2014/chart" uri="{C3380CC4-5D6E-409C-BE32-E72D297353CC}">
              <c16:uniqueId val="{0000000D-ACBA-4644-8294-D60FA830DF77}"/>
            </c:ext>
          </c:extLst>
        </c:ser>
        <c:dLbls>
          <c:showLegendKey val="0"/>
          <c:showVal val="0"/>
          <c:showCatName val="0"/>
          <c:showSerName val="0"/>
          <c:showPercent val="0"/>
          <c:showBubbleSize val="0"/>
        </c:dLbls>
        <c:marker val="1"/>
        <c:smooth val="0"/>
        <c:axId val="77733888"/>
        <c:axId val="77735424"/>
      </c:lineChart>
      <c:catAx>
        <c:axId val="77733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77735424"/>
        <c:crosses val="autoZero"/>
        <c:auto val="1"/>
        <c:lblAlgn val="ctr"/>
        <c:lblOffset val="100"/>
        <c:tickMarkSkip val="1"/>
        <c:noMultiLvlLbl val="0"/>
      </c:catAx>
      <c:valAx>
        <c:axId val="7773542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77733888"/>
        <c:crosses val="autoZero"/>
        <c:crossBetween val="between"/>
      </c:valAx>
      <c:spPr>
        <a:solidFill>
          <a:srgbClr val="C0C0C0"/>
        </a:solidFill>
        <a:ln w="12700">
          <a:solidFill>
            <a:srgbClr val="808080"/>
          </a:solidFill>
          <a:prstDash val="solid"/>
        </a:ln>
      </c:spPr>
    </c:plotArea>
    <c:legend>
      <c:legendPos val="b"/>
      <c:layout>
        <c:manualLayout>
          <c:xMode val="edge"/>
          <c:yMode val="edge"/>
          <c:x val="0.14384748700173397"/>
          <c:y val="0.84988452655889546"/>
          <c:w val="0.72963604852686303"/>
          <c:h val="0.13856812933025403"/>
        </c:manualLayout>
      </c:layout>
      <c:overlay val="0"/>
      <c:spPr>
        <a:solidFill>
          <a:srgbClr val="FFFFFF"/>
        </a:solidFill>
        <a:ln w="3175">
          <a:solidFill>
            <a:srgbClr val="000000"/>
          </a:solidFill>
          <a:prstDash val="solid"/>
        </a:ln>
      </c:spPr>
      <c:txPr>
        <a:bodyPr/>
        <a:lstStyle/>
        <a:p>
          <a:pPr>
            <a:defRPr sz="920" b="1" i="0" u="none" strike="noStrike" baseline="0">
              <a:solidFill>
                <a:srgbClr val="000000"/>
              </a:solidFill>
              <a:latin typeface="Arial"/>
              <a:ea typeface="Arial"/>
              <a:cs typeface="Arial"/>
            </a:defRPr>
          </a:pPr>
          <a:endParaRPr lang="sl-SI"/>
        </a:p>
      </c:txPr>
    </c:legend>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sl-SI"/>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3757258691783959E-2"/>
          <c:y val="6.6998312252533221E-2"/>
          <c:w val="0.93080799752239363"/>
          <c:h val="0.73297100244141333"/>
        </c:manualLayout>
      </c:layout>
      <c:lineChart>
        <c:grouping val="standard"/>
        <c:varyColors val="0"/>
        <c:ser>
          <c:idx val="0"/>
          <c:order val="0"/>
          <c:tx>
            <c:strRef>
              <c:f>Sheet1!$B$4</c:f>
              <c:strCache>
                <c:ptCount val="1"/>
                <c:pt idx="0">
                  <c:v>Postopek začelo tožilstvo</c:v>
                </c:pt>
              </c:strCache>
            </c:strRef>
          </c:tx>
          <c:spPr>
            <a:ln w="38100">
              <a:solidFill>
                <a:srgbClr val="000080"/>
              </a:solidFill>
              <a:prstDash val="solid"/>
            </a:ln>
          </c:spPr>
          <c:marker>
            <c:symbol val="square"/>
            <c:size val="5"/>
            <c:spPr>
              <a:solidFill>
                <a:srgbClr val="000080"/>
              </a:solidFill>
              <a:ln>
                <a:solidFill>
                  <a:srgbClr val="000080"/>
                </a:solidFill>
                <a:prstDash val="solid"/>
              </a:ln>
            </c:spPr>
          </c:marker>
          <c:dLbls>
            <c:dLbl>
              <c:idx val="0"/>
              <c:layout>
                <c:manualLayout>
                  <c:x val="1.1623139582193036E-4"/>
                  <c:y val="-4.45477050077267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F0-411B-8058-93CF152ED8E2}"/>
                </c:ext>
              </c:extLst>
            </c:dLbl>
            <c:dLbl>
              <c:idx val="1"/>
              <c:layout>
                <c:manualLayout>
                  <c:x val="-1.8722825337912224E-2"/>
                  <c:y val="-5.12871481842866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F0-411B-8058-93CF152ED8E2}"/>
                </c:ext>
              </c:extLst>
            </c:dLbl>
            <c:dLbl>
              <c:idx val="4"/>
              <c:layout>
                <c:manualLayout>
                  <c:x val="-3.1384231978912411E-3"/>
                  <c:y val="-3.68779262822698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AF0-411B-8058-93CF152ED8E2}"/>
                </c:ext>
              </c:extLst>
            </c:dLbl>
            <c:dLbl>
              <c:idx val="5"/>
              <c:layout>
                <c:manualLayout>
                  <c:x val="-7.1427071644364027E-3"/>
                  <c:y val="-3.68779262822698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AF0-411B-8058-93CF152ED8E2}"/>
                </c:ext>
              </c:extLst>
            </c:dLbl>
            <c:dLbl>
              <c:idx val="6"/>
              <c:layout>
                <c:manualLayout>
                  <c:x val="-1.277053947439334E-2"/>
                  <c:y val="-3.68779262822698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AF0-411B-8058-93CF152ED8E2}"/>
                </c:ext>
              </c:extLst>
            </c:dLbl>
            <c:dLbl>
              <c:idx val="7"/>
              <c:layout>
                <c:manualLayout>
                  <c:x val="-1.3528067620597609E-2"/>
                  <c:y val="-3.68779262822698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AF0-411B-8058-93CF152ED8E2}"/>
                </c:ext>
              </c:extLst>
            </c:dLbl>
            <c:dLbl>
              <c:idx val="9"/>
              <c:layout>
                <c:manualLayout>
                  <c:x val="-3.6796489750543877E-3"/>
                  <c:y val="-2.82323931410590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AF0-411B-8058-93CF152ED8E2}"/>
                </c:ext>
              </c:extLst>
            </c:dLbl>
            <c:dLbl>
              <c:idx val="10"/>
              <c:layout>
                <c:manualLayout>
                  <c:x val="4.3295660925272034E-4"/>
                  <c:y val="-2.82323931410590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AF0-411B-8058-93CF152ED8E2}"/>
                </c:ext>
              </c:extLst>
            </c:dLbl>
            <c:dLbl>
              <c:idx val="11"/>
              <c:layout>
                <c:manualLayout>
                  <c:x val="-1.00648389979743E-2"/>
                  <c:y val="-4.648407421694772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AF0-411B-8058-93CF152ED8E2}"/>
                </c:ext>
              </c:extLst>
            </c:dLbl>
            <c:dLbl>
              <c:idx val="13"/>
              <c:layout>
                <c:manualLayout>
                  <c:x val="-3.4809950615813753E-2"/>
                  <c:y val="-3.79147278389064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AF0-411B-8058-93CF152ED8E2}"/>
                </c:ext>
              </c:extLst>
            </c:dLbl>
            <c:dLbl>
              <c:idx val="14"/>
              <c:layout>
                <c:manualLayout>
                  <c:x val="-3.7650472028692802E-2"/>
                  <c:y val="-5.27092609245571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AF0-411B-8058-93CF152ED8E2}"/>
                </c:ext>
              </c:extLst>
            </c:dLbl>
            <c:dLbl>
              <c:idx val="16"/>
              <c:layout>
                <c:manualLayout>
                  <c:x val="-2.1447976528555658E-2"/>
                  <c:y val="-3.58561808818714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AF0-411B-8058-93CF152ED8E2}"/>
                </c:ext>
              </c:extLst>
            </c:dLbl>
            <c:dLbl>
              <c:idx val="17"/>
              <c:layout>
                <c:manualLayout>
                  <c:x val="-1.9931571926975301E-2"/>
                  <c:y val="-5.17062798856854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AF0-411B-8058-93CF152ED8E2}"/>
                </c:ext>
              </c:extLst>
            </c:dLbl>
            <c:spPr>
              <a:noFill/>
              <a:ln w="25400">
                <a:noFill/>
              </a:ln>
            </c:spPr>
            <c:txPr>
              <a:bodyPr/>
              <a:lstStyle/>
              <a:p>
                <a:pPr>
                  <a:defRPr sz="1000" b="1"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Sheet1!$C$1:$M$1</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Sheet1!$C$4:$M$4</c:f>
              <c:numCache>
                <c:formatCode>General</c:formatCode>
                <c:ptCount val="11"/>
                <c:pt idx="0">
                  <c:v>10</c:v>
                </c:pt>
                <c:pt idx="1">
                  <c:v>13</c:v>
                </c:pt>
                <c:pt idx="2">
                  <c:v>6</c:v>
                </c:pt>
                <c:pt idx="3">
                  <c:v>21</c:v>
                </c:pt>
                <c:pt idx="4">
                  <c:v>12</c:v>
                </c:pt>
                <c:pt idx="5">
                  <c:v>9</c:v>
                </c:pt>
                <c:pt idx="6">
                  <c:v>13</c:v>
                </c:pt>
                <c:pt idx="7">
                  <c:v>0</c:v>
                </c:pt>
                <c:pt idx="8">
                  <c:v>1</c:v>
                </c:pt>
                <c:pt idx="9">
                  <c:v>10</c:v>
                </c:pt>
                <c:pt idx="10">
                  <c:v>4</c:v>
                </c:pt>
              </c:numCache>
            </c:numRef>
          </c:val>
          <c:smooth val="0"/>
          <c:extLst>
            <c:ext xmlns:c16="http://schemas.microsoft.com/office/drawing/2014/chart" uri="{C3380CC4-5D6E-409C-BE32-E72D297353CC}">
              <c16:uniqueId val="{0000000D-CAF0-411B-8058-93CF152ED8E2}"/>
            </c:ext>
          </c:extLst>
        </c:ser>
        <c:ser>
          <c:idx val="1"/>
          <c:order val="1"/>
          <c:tx>
            <c:strRef>
              <c:f>Sheet1!$B$5</c:f>
              <c:strCache>
                <c:ptCount val="1"/>
                <c:pt idx="0">
                  <c:v>Obvestila Urada</c:v>
                </c:pt>
              </c:strCache>
            </c:strRef>
          </c:tx>
          <c:spPr>
            <a:ln w="38100">
              <a:solidFill>
                <a:srgbClr val="993366"/>
              </a:solidFill>
              <a:prstDash val="solid"/>
            </a:ln>
          </c:spPr>
          <c:marker>
            <c:symbol val="square"/>
            <c:size val="5"/>
            <c:spPr>
              <a:solidFill>
                <a:srgbClr val="993366"/>
              </a:solidFill>
              <a:ln>
                <a:solidFill>
                  <a:srgbClr val="993366"/>
                </a:solidFill>
                <a:prstDash val="solid"/>
              </a:ln>
            </c:spPr>
          </c:marker>
          <c:dLbls>
            <c:dLbl>
              <c:idx val="0"/>
              <c:layout>
                <c:manualLayout>
                  <c:x val="-1.5312163874034955E-3"/>
                  <c:y val="-2.96158635047548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AF0-411B-8058-93CF152ED8E2}"/>
                </c:ext>
              </c:extLst>
            </c:dLbl>
            <c:dLbl>
              <c:idx val="1"/>
              <c:layout>
                <c:manualLayout>
                  <c:x val="-1.6358313860918877E-2"/>
                  <c:y val="-4.400275326768609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AF0-411B-8058-93CF152ED8E2}"/>
                </c:ext>
              </c:extLst>
            </c:dLbl>
            <c:dLbl>
              <c:idx val="2"/>
              <c:layout>
                <c:manualLayout>
                  <c:x val="-1.8005829068630304E-2"/>
                  <c:y val="-4.19320146575969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AF0-411B-8058-93CF152ED8E2}"/>
                </c:ext>
              </c:extLst>
            </c:dLbl>
            <c:dLbl>
              <c:idx val="3"/>
              <c:layout>
                <c:manualLayout>
                  <c:x val="-3.2832757317650618E-2"/>
                  <c:y val="-3.92072153920156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AF0-411B-8058-93CF152ED8E2}"/>
                </c:ext>
              </c:extLst>
            </c:dLbl>
            <c:spPr>
              <a:noFill/>
              <a:ln w="25400">
                <a:noFill/>
              </a:ln>
            </c:spPr>
            <c:txPr>
              <a:bodyPr/>
              <a:lstStyle/>
              <a:p>
                <a:pPr>
                  <a:defRPr sz="1000" b="1" i="0" u="none" strike="noStrike" baseline="0">
                    <a:solidFill>
                      <a:srgbClr val="000000"/>
                    </a:solidFill>
                    <a:latin typeface="Arial"/>
                    <a:ea typeface="Arial"/>
                    <a:cs typeface="Arial"/>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Sheet1!$C$1:$M$1</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Sheet1!$C$5:$M$5</c:f>
              <c:numCache>
                <c:formatCode>General</c:formatCode>
                <c:ptCount val="11"/>
                <c:pt idx="0">
                  <c:v>2</c:v>
                </c:pt>
                <c:pt idx="1">
                  <c:v>3</c:v>
                </c:pt>
                <c:pt idx="2">
                  <c:v>3</c:v>
                </c:pt>
                <c:pt idx="3">
                  <c:v>4</c:v>
                </c:pt>
                <c:pt idx="4">
                  <c:v>2</c:v>
                </c:pt>
                <c:pt idx="5">
                  <c:v>3</c:v>
                </c:pt>
                <c:pt idx="6">
                  <c:v>4</c:v>
                </c:pt>
                <c:pt idx="7">
                  <c:v>0</c:v>
                </c:pt>
                <c:pt idx="8">
                  <c:v>0</c:v>
                </c:pt>
                <c:pt idx="9">
                  <c:v>6</c:v>
                </c:pt>
                <c:pt idx="10">
                  <c:v>0</c:v>
                </c:pt>
              </c:numCache>
            </c:numRef>
          </c:val>
          <c:smooth val="0"/>
          <c:extLst>
            <c:ext xmlns:c16="http://schemas.microsoft.com/office/drawing/2014/chart" uri="{C3380CC4-5D6E-409C-BE32-E72D297353CC}">
              <c16:uniqueId val="{00000012-CAF0-411B-8058-93CF152ED8E2}"/>
            </c:ext>
          </c:extLst>
        </c:ser>
        <c:dLbls>
          <c:showLegendKey val="0"/>
          <c:showVal val="1"/>
          <c:showCatName val="0"/>
          <c:showSerName val="0"/>
          <c:showPercent val="0"/>
          <c:showBubbleSize val="0"/>
        </c:dLbls>
        <c:marker val="1"/>
        <c:smooth val="0"/>
        <c:axId val="313859528"/>
        <c:axId val="595440208"/>
      </c:lineChart>
      <c:catAx>
        <c:axId val="3138595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sl-SI"/>
          </a:p>
        </c:txPr>
        <c:crossAx val="595440208"/>
        <c:crosses val="autoZero"/>
        <c:auto val="1"/>
        <c:lblAlgn val="ctr"/>
        <c:lblOffset val="100"/>
        <c:tickLblSkip val="1"/>
        <c:tickMarkSkip val="1"/>
        <c:noMultiLvlLbl val="0"/>
      </c:catAx>
      <c:valAx>
        <c:axId val="59544020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sl-SI"/>
          </a:p>
        </c:txPr>
        <c:crossAx val="313859528"/>
        <c:crosses val="autoZero"/>
        <c:crossBetween val="between"/>
      </c:valAx>
      <c:spPr>
        <a:solidFill>
          <a:srgbClr val="C0C0C0"/>
        </a:solidFill>
        <a:ln w="12700">
          <a:solidFill>
            <a:srgbClr val="808080"/>
          </a:solidFill>
          <a:prstDash val="solid"/>
        </a:ln>
      </c:spPr>
    </c:plotArea>
    <c:legend>
      <c:legendPos val="r"/>
      <c:layout>
        <c:manualLayout>
          <c:xMode val="edge"/>
          <c:yMode val="edge"/>
          <c:x val="0.14762778962022013"/>
          <c:y val="0.8710047324050646"/>
          <c:w val="0.74488571801452996"/>
          <c:h val="0.10991759363412906"/>
        </c:manualLayout>
      </c:layout>
      <c:overlay val="0"/>
      <c:spPr>
        <a:solidFill>
          <a:srgbClr val="FFFFFF"/>
        </a:solidFill>
        <a:ln w="3175">
          <a:solidFill>
            <a:srgbClr val="000000"/>
          </a:solidFill>
          <a:prstDash val="solid"/>
        </a:ln>
      </c:spPr>
      <c:txPr>
        <a:bodyPr/>
        <a:lstStyle/>
        <a:p>
          <a:pPr>
            <a:defRPr sz="920" b="1" i="0" u="none" strike="noStrike" baseline="0">
              <a:solidFill>
                <a:srgbClr val="000000"/>
              </a:solidFill>
              <a:latin typeface="Arial"/>
              <a:ea typeface="Arial"/>
              <a:cs typeface="Arial"/>
            </a:defRPr>
          </a:pPr>
          <a:endParaRPr lang="sl-SI"/>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sl-SI"/>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hPercent val="100"/>
      <c:rotY val="0"/>
      <c:depthPercent val="100"/>
      <c:rAngAx val="0"/>
    </c:view3D>
    <c:floor>
      <c:thickness val="0"/>
    </c:floor>
    <c:sideWall>
      <c:thickness val="0"/>
    </c:sideWall>
    <c:backWall>
      <c:thickness val="0"/>
    </c:backWall>
    <c:plotArea>
      <c:layout>
        <c:manualLayout>
          <c:layoutTarget val="inner"/>
          <c:xMode val="edge"/>
          <c:yMode val="edge"/>
          <c:x val="0"/>
          <c:y val="0.16710571361646157"/>
          <c:w val="0.99826666504899375"/>
          <c:h val="0.59270557494344389"/>
        </c:manualLayout>
      </c:layout>
      <c:pie3DChart>
        <c:varyColors val="1"/>
        <c:ser>
          <c:idx val="0"/>
          <c:order val="0"/>
          <c:explosion val="30"/>
          <c:dPt>
            <c:idx val="0"/>
            <c:bubble3D val="0"/>
            <c:explosion val="15"/>
            <c:extLst>
              <c:ext xmlns:c16="http://schemas.microsoft.com/office/drawing/2014/chart" uri="{C3380CC4-5D6E-409C-BE32-E72D297353CC}">
                <c16:uniqueId val="{00000001-72EF-483B-8537-7C1821A0C7A6}"/>
              </c:ext>
            </c:extLst>
          </c:dPt>
          <c:dPt>
            <c:idx val="1"/>
            <c:bubble3D val="0"/>
            <c:explosion val="11"/>
            <c:extLst>
              <c:ext xmlns:c16="http://schemas.microsoft.com/office/drawing/2014/chart" uri="{C3380CC4-5D6E-409C-BE32-E72D297353CC}">
                <c16:uniqueId val="{00000003-72EF-483B-8537-7C1821A0C7A6}"/>
              </c:ext>
            </c:extLst>
          </c:dPt>
          <c:dPt>
            <c:idx val="2"/>
            <c:bubble3D val="0"/>
            <c:explosion val="1"/>
            <c:spPr>
              <a:solidFill>
                <a:schemeClr val="bg1">
                  <a:lumMod val="65000"/>
                </a:schemeClr>
              </a:solidFill>
            </c:spPr>
            <c:extLst>
              <c:ext xmlns:c16="http://schemas.microsoft.com/office/drawing/2014/chart" uri="{C3380CC4-5D6E-409C-BE32-E72D297353CC}">
                <c16:uniqueId val="{00000005-72EF-483B-8537-7C1821A0C7A6}"/>
              </c:ext>
            </c:extLst>
          </c:dPt>
          <c:dPt>
            <c:idx val="3"/>
            <c:bubble3D val="0"/>
            <c:explosion val="2"/>
            <c:spPr>
              <a:solidFill>
                <a:srgbClr val="FFC000"/>
              </a:solidFill>
            </c:spPr>
            <c:extLst>
              <c:ext xmlns:c16="http://schemas.microsoft.com/office/drawing/2014/chart" uri="{C3380CC4-5D6E-409C-BE32-E72D297353CC}">
                <c16:uniqueId val="{00000007-72EF-483B-8537-7C1821A0C7A6}"/>
              </c:ext>
            </c:extLst>
          </c:dPt>
          <c:dPt>
            <c:idx val="4"/>
            <c:bubble3D val="0"/>
            <c:explosion val="1"/>
            <c:extLst>
              <c:ext xmlns:c16="http://schemas.microsoft.com/office/drawing/2014/chart" uri="{C3380CC4-5D6E-409C-BE32-E72D297353CC}">
                <c16:uniqueId val="{00000009-72EF-483B-8537-7C1821A0C7A6}"/>
              </c:ext>
            </c:extLst>
          </c:dPt>
          <c:dLbls>
            <c:dLbl>
              <c:idx val="0"/>
              <c:layout>
                <c:manualLayout>
                  <c:x val="-0.10491877058615041"/>
                  <c:y val="3.913713180061846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2EF-483B-8537-7C1821A0C7A6}"/>
                </c:ext>
              </c:extLst>
            </c:dLbl>
            <c:dLbl>
              <c:idx val="1"/>
              <c:layout>
                <c:manualLayout>
                  <c:x val="-0.13001793057953323"/>
                  <c:y val="-0.2079379287052477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2EF-483B-8537-7C1821A0C7A6}"/>
                </c:ext>
              </c:extLst>
            </c:dLbl>
            <c:dLbl>
              <c:idx val="2"/>
              <c:layout>
                <c:manualLayout>
                  <c:x val="2.2035154334738582E-2"/>
                  <c:y val="-0.24429266308978154"/>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2EF-483B-8537-7C1821A0C7A6}"/>
                </c:ext>
              </c:extLst>
            </c:dLbl>
            <c:dLbl>
              <c:idx val="3"/>
              <c:layout>
                <c:manualLayout>
                  <c:x val="0.11323910783543299"/>
                  <c:y val="2.994560213524864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2EF-483B-8537-7C1821A0C7A6}"/>
                </c:ext>
              </c:extLst>
            </c:dLbl>
            <c:dLbl>
              <c:idx val="4"/>
              <c:layout>
                <c:manualLayout>
                  <c:x val="8.5649828317948734E-2"/>
                  <c:y val="4.862988689425278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2EF-483B-8537-7C1821A0C7A6}"/>
                </c:ext>
              </c:extLst>
            </c:dLbl>
            <c:spPr>
              <a:noFill/>
              <a:ln>
                <a:noFill/>
              </a:ln>
              <a:effectLst/>
            </c:spPr>
            <c:txPr>
              <a:bodyPr/>
              <a:lstStyle/>
              <a:p>
                <a:pPr>
                  <a:defRPr b="1"/>
                </a:pPr>
                <a:endParaRPr lang="sl-SI"/>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Sheet1!$B$26:$B$29</c:f>
              <c:strCache>
                <c:ptCount val="4"/>
                <c:pt idx="0">
                  <c:v>Podane kazenske ovadbe Policije brez UPPD</c:v>
                </c:pt>
                <c:pt idx="1">
                  <c:v>Postopek začelo tožilstvo brez UPPD</c:v>
                </c:pt>
                <c:pt idx="2">
                  <c:v>Obvestila Urada na pobudo državnih organov</c:v>
                </c:pt>
                <c:pt idx="3">
                  <c:v>Obvestila Urada na podlagi prijav organizacij in drugih prijaviteljev</c:v>
                </c:pt>
              </c:strCache>
            </c:strRef>
          </c:cat>
          <c:val>
            <c:numRef>
              <c:f>Sheet1!$C$26:$C$29</c:f>
              <c:numCache>
                <c:formatCode>General</c:formatCode>
                <c:ptCount val="4"/>
                <c:pt idx="0">
                  <c:v>198</c:v>
                </c:pt>
                <c:pt idx="1">
                  <c:v>68</c:v>
                </c:pt>
                <c:pt idx="2">
                  <c:v>108</c:v>
                </c:pt>
                <c:pt idx="3">
                  <c:v>219</c:v>
                </c:pt>
              </c:numCache>
            </c:numRef>
          </c:val>
          <c:extLst>
            <c:ext xmlns:c16="http://schemas.microsoft.com/office/drawing/2014/chart" uri="{C3380CC4-5D6E-409C-BE32-E72D297353CC}">
              <c16:uniqueId val="{0000000A-72EF-483B-8537-7C1821A0C7A6}"/>
            </c:ext>
          </c:extLst>
        </c:ser>
        <c:dLbls>
          <c:showLegendKey val="0"/>
          <c:showVal val="0"/>
          <c:showCatName val="0"/>
          <c:showSerName val="0"/>
          <c:showPercent val="0"/>
          <c:showBubbleSize val="0"/>
          <c:showLeaderLines val="0"/>
        </c:dLbls>
      </c:pie3DChart>
      <c:spPr>
        <a:scene3d>
          <a:camera prst="orthographicFront"/>
          <a:lightRig rig="threePt" dir="t"/>
        </a:scene3d>
        <a:sp3d>
          <a:bevelT w="19050"/>
        </a:sp3d>
      </c:spPr>
    </c:plotArea>
    <c:legend>
      <c:legendPos val="b"/>
      <c:layout>
        <c:manualLayout>
          <c:xMode val="edge"/>
          <c:yMode val="edge"/>
          <c:x val="0.22965566804149476"/>
          <c:y val="0.73762495776015924"/>
          <c:w val="0.57816644447221877"/>
          <c:h val="0.23649624129095137"/>
        </c:manualLayout>
      </c:layout>
      <c:overlay val="0"/>
      <c:txPr>
        <a:bodyPr/>
        <a:lstStyle/>
        <a:p>
          <a:pPr>
            <a:defRPr sz="900" baseline="0"/>
          </a:pPr>
          <a:endParaRPr lang="sl-SI"/>
        </a:p>
      </c:txPr>
    </c:legend>
    <c:plotVisOnly val="1"/>
    <c:dispBlanksAs val="zero"/>
    <c:showDLblsOverMax val="0"/>
  </c:chart>
  <c:externalData r:id="rId1">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ED15A04-968E-46EF-8015-63A783F4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69</Pages>
  <Words>28405</Words>
  <Characters>161909</Characters>
  <Application>Microsoft Office Word</Application>
  <DocSecurity>0</DocSecurity>
  <Lines>1349</Lines>
  <Paragraphs>379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Lucija Frlec</dc:creator>
  <cp:keywords/>
  <dc:description/>
  <cp:lastModifiedBy>UPPD</cp:lastModifiedBy>
  <cp:revision>27</cp:revision>
  <cp:lastPrinted>2022-11-15T09:17:00Z</cp:lastPrinted>
  <dcterms:created xsi:type="dcterms:W3CDTF">2023-04-25T08:24:00Z</dcterms:created>
  <dcterms:modified xsi:type="dcterms:W3CDTF">2023-04-26T08:32:00Z</dcterms:modified>
</cp:coreProperties>
</file>