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1E97" w14:textId="3D5B6731" w:rsidR="00C7456D" w:rsidRPr="00A519D0" w:rsidRDefault="00930752" w:rsidP="00C7456D">
      <w:pPr>
        <w:jc w:val="center"/>
        <w:rPr>
          <w:lang w:val="en-US"/>
        </w:rPr>
      </w:pPr>
      <w:bookmarkStart w:id="0" w:name="_Hlk119315358"/>
      <w:r w:rsidRPr="00A519D0">
        <w:rPr>
          <w:rFonts w:cs="Arial"/>
          <w:noProof/>
          <w:lang w:val="en-US" w:eastAsia="en-GB"/>
        </w:rPr>
        <w:drawing>
          <wp:inline distT="0" distB="0" distL="0" distR="0" wp14:anchorId="417BF866" wp14:editId="0882D103">
            <wp:extent cx="3386455" cy="837495"/>
            <wp:effectExtent l="0" t="0" r="4445" b="1270"/>
            <wp:docPr id="6" name="Picture 6" descr="Head of the document with the coat of arms of the Republic of Slovenia and the full title of the Office for Money Laundering Prevention of the Republic of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d of the document with the coat of arms of the Republic of Slovenia and the full title of the Office for Money Laundering Prevention of the Republic of Slovenia."/>
                    <pic:cNvPicPr>
                      <a:picLocks noChangeAspect="1" noChangeArrowheads="1"/>
                    </pic:cNvPicPr>
                  </pic:nvPicPr>
                  <pic:blipFill>
                    <a:blip r:embed="rId8" cstate="print">
                      <a:extLst>
                        <a:ext uri="{28A0092B-C50C-407E-A947-70E740481C1C}">
                          <a14:useLocalDpi xmlns:a14="http://schemas.microsoft.com/office/drawing/2010/main" val="0"/>
                        </a:ext>
                      </a:extLst>
                    </a:blip>
                    <a:srcRect l="11173" t="34208"/>
                    <a:stretch>
                      <a:fillRect/>
                    </a:stretch>
                  </pic:blipFill>
                  <pic:spPr bwMode="auto">
                    <a:xfrm>
                      <a:off x="0" y="0"/>
                      <a:ext cx="3386455" cy="837495"/>
                    </a:xfrm>
                    <a:prstGeom prst="rect">
                      <a:avLst/>
                    </a:prstGeom>
                    <a:noFill/>
                    <a:ln>
                      <a:noFill/>
                    </a:ln>
                    <a:extLst>
                      <a:ext uri="{53640926-AAD7-44D8-BBD7-CCE9431645EC}">
                        <a14:shadowObscured xmlns:a14="http://schemas.microsoft.com/office/drawing/2010/main"/>
                      </a:ext>
                    </a:extLst>
                  </pic:spPr>
                </pic:pic>
              </a:graphicData>
            </a:graphic>
          </wp:inline>
        </w:drawing>
      </w:r>
    </w:p>
    <w:p w14:paraId="2669ADA1" w14:textId="5C4DC1F4" w:rsidR="00C7456D" w:rsidRPr="00A519D0" w:rsidRDefault="00C7456D" w:rsidP="00C7456D">
      <w:pPr>
        <w:jc w:val="center"/>
        <w:rPr>
          <w:lang w:val="en-US"/>
        </w:rPr>
      </w:pPr>
    </w:p>
    <w:p w14:paraId="03586F15" w14:textId="201E16BF" w:rsidR="00C7456D" w:rsidRPr="00A519D0" w:rsidRDefault="00C7456D" w:rsidP="00B65A09">
      <w:pPr>
        <w:rPr>
          <w:lang w:val="en-US"/>
        </w:rPr>
      </w:pPr>
    </w:p>
    <w:p w14:paraId="0493432F" w14:textId="77777777" w:rsidR="00C7456D" w:rsidRPr="00A519D0" w:rsidRDefault="00C7456D" w:rsidP="00B65A09">
      <w:pPr>
        <w:rPr>
          <w:lang w:val="en-US"/>
        </w:rPr>
      </w:pPr>
    </w:p>
    <w:p w14:paraId="2CDD90CB" w14:textId="77777777" w:rsidR="00C7456D" w:rsidRPr="00A519D0" w:rsidRDefault="00C7456D" w:rsidP="00B65A09">
      <w:pPr>
        <w:rPr>
          <w:lang w:val="en-US"/>
        </w:rPr>
      </w:pPr>
    </w:p>
    <w:p w14:paraId="1FFB5439" w14:textId="77777777" w:rsidR="00C7456D" w:rsidRPr="00A519D0" w:rsidRDefault="00C7456D" w:rsidP="00B65A09">
      <w:pPr>
        <w:rPr>
          <w:lang w:val="en-US"/>
        </w:rPr>
      </w:pPr>
    </w:p>
    <w:p w14:paraId="2F9C6613" w14:textId="2F4E6578" w:rsidR="008F5107" w:rsidRPr="00A519D0" w:rsidRDefault="00D35508" w:rsidP="00B65A09">
      <w:pPr>
        <w:rPr>
          <w:lang w:val="en-US"/>
        </w:rPr>
      </w:pPr>
      <w:r w:rsidRPr="00A519D0">
        <w:rPr>
          <w:lang w:val="en-US"/>
        </w:rPr>
        <w:tab/>
      </w:r>
    </w:p>
    <w:p w14:paraId="7BCEFF28" w14:textId="4F1F8C28" w:rsidR="008F5107" w:rsidRPr="00A519D0" w:rsidRDefault="008F5107" w:rsidP="00D35508">
      <w:pPr>
        <w:pStyle w:val="Kazalovsebine1"/>
        <w:ind w:left="0" w:firstLine="0"/>
        <w:rPr>
          <w:lang w:val="en-US"/>
        </w:rPr>
      </w:pPr>
    </w:p>
    <w:p w14:paraId="0850ABD5" w14:textId="77777777" w:rsidR="008F5107" w:rsidRPr="00A519D0" w:rsidRDefault="008F5107" w:rsidP="00B65A09">
      <w:pPr>
        <w:rPr>
          <w:lang w:val="en-US"/>
        </w:rPr>
      </w:pPr>
    </w:p>
    <w:p w14:paraId="5E95CCFF" w14:textId="33E633F8" w:rsidR="00D35508" w:rsidRPr="00A519D0" w:rsidRDefault="00D35508" w:rsidP="00B65A09">
      <w:pPr>
        <w:rPr>
          <w:lang w:val="en-US"/>
        </w:rPr>
      </w:pPr>
    </w:p>
    <w:p w14:paraId="21648910" w14:textId="77777777" w:rsidR="00D35508" w:rsidRPr="00A519D0" w:rsidRDefault="00D35508" w:rsidP="00B65A09">
      <w:pPr>
        <w:rPr>
          <w:sz w:val="40"/>
          <w:szCs w:val="40"/>
          <w:lang w:val="en-US"/>
        </w:rPr>
      </w:pPr>
    </w:p>
    <w:p w14:paraId="7404D76D" w14:textId="73D9A79B" w:rsidR="00B65A09" w:rsidRPr="00A519D0" w:rsidRDefault="004041BC" w:rsidP="00680499">
      <w:pPr>
        <w:jc w:val="center"/>
        <w:rPr>
          <w:b/>
          <w:sz w:val="32"/>
          <w:szCs w:val="32"/>
          <w:lang w:val="en-US"/>
        </w:rPr>
      </w:pPr>
      <w:r w:rsidRPr="00A519D0">
        <w:rPr>
          <w:b/>
          <w:sz w:val="32"/>
          <w:szCs w:val="32"/>
          <w:lang w:val="en-US"/>
        </w:rPr>
        <w:t>THE REPORT ON ACTIVITIES OF THE OFFICE FOR MONEY LAUNDERING PREVENTION OF THE REPUBLIC OF SLOVENIA FOR THE YEAR 2021</w:t>
      </w:r>
    </w:p>
    <w:p w14:paraId="7FFFC92F" w14:textId="12D6153A" w:rsidR="00024513" w:rsidRPr="00A519D0" w:rsidRDefault="00024513" w:rsidP="00680499">
      <w:pPr>
        <w:jc w:val="center"/>
        <w:rPr>
          <w:b/>
          <w:sz w:val="32"/>
          <w:szCs w:val="32"/>
          <w:lang w:val="en-US"/>
        </w:rPr>
      </w:pPr>
    </w:p>
    <w:p w14:paraId="39F8FD01" w14:textId="0D55F425" w:rsidR="00024513" w:rsidRPr="00A519D0" w:rsidRDefault="00024513" w:rsidP="00680499">
      <w:pPr>
        <w:jc w:val="center"/>
        <w:rPr>
          <w:rFonts w:cs="Arial"/>
          <w:b/>
          <w:bCs/>
          <w:sz w:val="40"/>
          <w:szCs w:val="40"/>
          <w:lang w:val="en-US"/>
        </w:rPr>
      </w:pPr>
      <w:r w:rsidRPr="00A519D0">
        <w:rPr>
          <w:b/>
          <w:sz w:val="32"/>
          <w:szCs w:val="32"/>
          <w:lang w:val="en-US"/>
        </w:rPr>
        <w:t>Unofficial translation</w:t>
      </w:r>
    </w:p>
    <w:p w14:paraId="2ABD88E1" w14:textId="77777777" w:rsidR="00B65A09" w:rsidRPr="00A519D0" w:rsidRDefault="00B65A09" w:rsidP="00B65A09">
      <w:pPr>
        <w:rPr>
          <w:lang w:val="en-US"/>
        </w:rPr>
      </w:pPr>
    </w:p>
    <w:p w14:paraId="4438F8FB" w14:textId="77777777" w:rsidR="00B65A09" w:rsidRPr="00A519D0" w:rsidRDefault="00B65A09" w:rsidP="00B65A09">
      <w:pPr>
        <w:rPr>
          <w:lang w:val="en-US"/>
        </w:rPr>
      </w:pPr>
    </w:p>
    <w:p w14:paraId="58B480F9" w14:textId="77777777" w:rsidR="00B65A09" w:rsidRPr="00A519D0" w:rsidRDefault="00B65A09" w:rsidP="00B65A09">
      <w:pPr>
        <w:rPr>
          <w:lang w:val="en-US"/>
        </w:rPr>
      </w:pPr>
    </w:p>
    <w:p w14:paraId="089496D0" w14:textId="77777777" w:rsidR="00B65A09" w:rsidRPr="00A519D0" w:rsidRDefault="00B65A09" w:rsidP="00B65A09">
      <w:pPr>
        <w:rPr>
          <w:lang w:val="en-US"/>
        </w:rPr>
      </w:pPr>
    </w:p>
    <w:p w14:paraId="5A5D3BBD" w14:textId="4F627290" w:rsidR="00B65A09" w:rsidRPr="00A519D0" w:rsidRDefault="00B65A09" w:rsidP="00B65A09">
      <w:pPr>
        <w:rPr>
          <w:lang w:val="en-US"/>
        </w:rPr>
      </w:pPr>
    </w:p>
    <w:p w14:paraId="0ED1DCE0" w14:textId="241339B2" w:rsidR="00680499" w:rsidRPr="00A519D0" w:rsidRDefault="00680499" w:rsidP="00B65A09">
      <w:pPr>
        <w:rPr>
          <w:lang w:val="en-US"/>
        </w:rPr>
      </w:pPr>
    </w:p>
    <w:p w14:paraId="10991D9C" w14:textId="5D11A922" w:rsidR="00680499" w:rsidRPr="00A519D0" w:rsidRDefault="00680499" w:rsidP="00B65A09">
      <w:pPr>
        <w:rPr>
          <w:lang w:val="en-US"/>
        </w:rPr>
      </w:pPr>
    </w:p>
    <w:p w14:paraId="099277CA" w14:textId="530A2C37" w:rsidR="00680499" w:rsidRPr="00A519D0" w:rsidRDefault="00680499" w:rsidP="00B65A09">
      <w:pPr>
        <w:rPr>
          <w:lang w:val="en-US"/>
        </w:rPr>
      </w:pPr>
    </w:p>
    <w:p w14:paraId="484F1DC9" w14:textId="77777777" w:rsidR="00680499" w:rsidRPr="00A519D0" w:rsidRDefault="00680499" w:rsidP="00B65A09">
      <w:pPr>
        <w:rPr>
          <w:lang w:val="en-US"/>
        </w:rPr>
      </w:pPr>
    </w:p>
    <w:p w14:paraId="28547547" w14:textId="77777777" w:rsidR="00903170" w:rsidRDefault="00903170" w:rsidP="00680499">
      <w:pPr>
        <w:jc w:val="right"/>
        <w:rPr>
          <w:sz w:val="32"/>
          <w:szCs w:val="32"/>
          <w:lang w:val="en-US"/>
        </w:rPr>
      </w:pPr>
    </w:p>
    <w:p w14:paraId="3B7CC619" w14:textId="77777777" w:rsidR="00903170" w:rsidRDefault="00903170" w:rsidP="00680499">
      <w:pPr>
        <w:jc w:val="right"/>
        <w:rPr>
          <w:sz w:val="32"/>
          <w:szCs w:val="32"/>
          <w:lang w:val="en-US"/>
        </w:rPr>
      </w:pPr>
    </w:p>
    <w:p w14:paraId="5A8B93D5" w14:textId="77777777" w:rsidR="001A643D" w:rsidRDefault="001A643D" w:rsidP="00680499">
      <w:pPr>
        <w:jc w:val="right"/>
        <w:rPr>
          <w:sz w:val="32"/>
          <w:szCs w:val="32"/>
          <w:lang w:val="en-US"/>
        </w:rPr>
      </w:pPr>
    </w:p>
    <w:p w14:paraId="6D8AF5B9" w14:textId="4450604F" w:rsidR="00B65A09" w:rsidRPr="00A519D0" w:rsidRDefault="008038AA" w:rsidP="00782722">
      <w:pPr>
        <w:ind w:left="4956" w:firstLine="708"/>
        <w:jc w:val="center"/>
        <w:rPr>
          <w:sz w:val="32"/>
          <w:szCs w:val="32"/>
          <w:lang w:val="en-US"/>
        </w:rPr>
      </w:pPr>
      <w:r w:rsidRPr="00A519D0">
        <w:rPr>
          <w:sz w:val="32"/>
          <w:szCs w:val="32"/>
          <w:lang w:val="en-US"/>
        </w:rPr>
        <w:t>November</w:t>
      </w:r>
      <w:r w:rsidR="00680499" w:rsidRPr="00A519D0">
        <w:rPr>
          <w:sz w:val="32"/>
          <w:szCs w:val="32"/>
          <w:lang w:val="en-US"/>
        </w:rPr>
        <w:t xml:space="preserve"> 2022</w:t>
      </w:r>
    </w:p>
    <w:p w14:paraId="35B5D759" w14:textId="12A23754" w:rsidR="00B65A09" w:rsidRPr="00965FBA" w:rsidRDefault="00680499" w:rsidP="00A60C49">
      <w:pPr>
        <w:jc w:val="left"/>
        <w:rPr>
          <w:b/>
          <w:bCs/>
          <w:lang w:val="en-US"/>
        </w:rPr>
      </w:pPr>
      <w:r w:rsidRPr="00A519D0">
        <w:rPr>
          <w:lang w:val="en-US"/>
        </w:rPr>
        <w:br w:type="page"/>
      </w:r>
      <w:bookmarkEnd w:id="0"/>
      <w:r w:rsidR="004041BC" w:rsidRPr="00965FBA">
        <w:rPr>
          <w:b/>
          <w:bCs/>
          <w:lang w:val="en-US"/>
        </w:rPr>
        <w:lastRenderedPageBreak/>
        <w:t>PREAMBLE</w:t>
      </w:r>
    </w:p>
    <w:p w14:paraId="1C134C13" w14:textId="77777777" w:rsidR="00B65A09" w:rsidRPr="00A519D0" w:rsidRDefault="00B65A09" w:rsidP="00B65A09">
      <w:pPr>
        <w:rPr>
          <w:lang w:val="en-US"/>
        </w:rPr>
      </w:pPr>
    </w:p>
    <w:p w14:paraId="3C9B051C" w14:textId="1F816959" w:rsidR="00B65A09" w:rsidRPr="00A519D0" w:rsidRDefault="0067136C" w:rsidP="0067136C">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Pr>
          <w:lang w:val="en-US"/>
        </w:rPr>
      </w:pPr>
      <w:bookmarkStart w:id="1" w:name="_Hlk143852932"/>
      <w:r w:rsidRPr="00A519D0">
        <w:rPr>
          <w:lang w:val="en-US"/>
        </w:rPr>
        <w:t xml:space="preserve">The Act on the Prevention of Money Laundering and Terrorist Financing (Official Gazette of the Republic of Slovenia No. 48/2022 </w:t>
      </w:r>
      <w:r w:rsidR="008038AA" w:rsidRPr="00A519D0">
        <w:rPr>
          <w:lang w:val="en-US"/>
        </w:rPr>
        <w:t>- hereinafter</w:t>
      </w:r>
      <w:r w:rsidRPr="00A519D0">
        <w:rPr>
          <w:lang w:val="en-US"/>
        </w:rPr>
        <w:t xml:space="preserve">: APMLFT-2) in its Article 130 stipulates that the </w:t>
      </w:r>
      <w:r w:rsidRPr="00A519D0">
        <w:rPr>
          <w:b/>
          <w:bCs/>
          <w:lang w:val="en-US"/>
        </w:rPr>
        <w:t xml:space="preserve">Office for Money Laundering Prevention (hereinafter: OMLP) shall submit to the Government of the Republic of Slovenia </w:t>
      </w:r>
      <w:r w:rsidRPr="00A519D0">
        <w:rPr>
          <w:lang w:val="en-US"/>
        </w:rPr>
        <w:t xml:space="preserve">a report on its activities at least </w:t>
      </w:r>
      <w:r w:rsidR="00A60C49" w:rsidRPr="00A519D0">
        <w:rPr>
          <w:lang w:val="en-US"/>
        </w:rPr>
        <w:t>o</w:t>
      </w:r>
      <w:r w:rsidRPr="00A519D0">
        <w:rPr>
          <w:lang w:val="en-US"/>
        </w:rPr>
        <w:t>nce annually.</w:t>
      </w:r>
      <w:r w:rsidRPr="00A519D0">
        <w:rPr>
          <w:rStyle w:val="Sprotnaopomba-sklic"/>
          <w:lang w:val="en-US"/>
        </w:rPr>
        <w:t xml:space="preserve"> </w:t>
      </w:r>
      <w:r w:rsidR="00322214" w:rsidRPr="00A519D0">
        <w:rPr>
          <w:rStyle w:val="Sprotnaopomba-sklic"/>
          <w:lang w:val="en-US"/>
        </w:rPr>
        <w:footnoteReference w:id="1"/>
      </w:r>
      <w:bookmarkEnd w:id="1"/>
    </w:p>
    <w:p w14:paraId="02919819" w14:textId="77777777" w:rsidR="004041BC" w:rsidRPr="00A519D0" w:rsidRDefault="004041BC" w:rsidP="004041BC">
      <w:pPr>
        <w:pStyle w:val="Telobesedila"/>
        <w:ind w:right="-44"/>
        <w:rPr>
          <w:rFonts w:ascii="Arial" w:hAnsi="Arial"/>
          <w:sz w:val="20"/>
          <w:lang w:val="en-US"/>
        </w:rPr>
      </w:pPr>
    </w:p>
    <w:p w14:paraId="2684AFA8" w14:textId="5567A984" w:rsidR="004041BC" w:rsidRPr="00A519D0" w:rsidRDefault="004041BC" w:rsidP="004041BC">
      <w:pPr>
        <w:pStyle w:val="Telobesedila"/>
        <w:ind w:right="-44"/>
        <w:rPr>
          <w:rFonts w:ascii="Arial" w:hAnsi="Arial"/>
          <w:bCs/>
          <w:sz w:val="20"/>
          <w:lang w:val="en-US"/>
        </w:rPr>
      </w:pPr>
      <w:r w:rsidRPr="00A519D0">
        <w:rPr>
          <w:rFonts w:ascii="Arial" w:hAnsi="Arial"/>
          <w:bCs/>
          <w:sz w:val="20"/>
          <w:lang w:val="en-US"/>
        </w:rPr>
        <w:t>The report on the activities of the OMLP for the year 20</w:t>
      </w:r>
      <w:r w:rsidR="0067136C" w:rsidRPr="00A519D0">
        <w:rPr>
          <w:rFonts w:ascii="Arial" w:hAnsi="Arial"/>
          <w:bCs/>
          <w:sz w:val="20"/>
          <w:lang w:val="en-US"/>
        </w:rPr>
        <w:t>21</w:t>
      </w:r>
      <w:r w:rsidRPr="00A519D0">
        <w:rPr>
          <w:rFonts w:ascii="Arial" w:hAnsi="Arial"/>
          <w:bCs/>
          <w:sz w:val="20"/>
          <w:lang w:val="en-US"/>
        </w:rPr>
        <w:t xml:space="preserve"> has already been the </w:t>
      </w:r>
      <w:r w:rsidRPr="00A519D0">
        <w:rPr>
          <w:rFonts w:ascii="Arial" w:hAnsi="Arial"/>
          <w:b/>
          <w:sz w:val="20"/>
          <w:lang w:val="en-US"/>
        </w:rPr>
        <w:t>twenty-</w:t>
      </w:r>
      <w:r w:rsidR="0067136C" w:rsidRPr="00A519D0">
        <w:rPr>
          <w:rFonts w:ascii="Arial" w:hAnsi="Arial"/>
          <w:b/>
          <w:sz w:val="20"/>
          <w:lang w:val="en-US"/>
        </w:rPr>
        <w:t>sixth</w:t>
      </w:r>
      <w:r w:rsidRPr="00A519D0">
        <w:rPr>
          <w:rFonts w:ascii="Arial" w:hAnsi="Arial"/>
          <w:b/>
          <w:sz w:val="20"/>
          <w:lang w:val="en-US"/>
        </w:rPr>
        <w:t xml:space="preserve"> report to the Government </w:t>
      </w:r>
      <w:r w:rsidRPr="00A519D0">
        <w:rPr>
          <w:rFonts w:ascii="Arial" w:hAnsi="Arial"/>
          <w:bCs/>
          <w:sz w:val="20"/>
          <w:lang w:val="en-US"/>
        </w:rPr>
        <w:t xml:space="preserve">and refers to the period from </w:t>
      </w:r>
      <w:r w:rsidRPr="00A519D0">
        <w:rPr>
          <w:rFonts w:ascii="Arial" w:hAnsi="Arial"/>
          <w:b/>
          <w:sz w:val="20"/>
          <w:lang w:val="en-US"/>
        </w:rPr>
        <w:t>1 January 20</w:t>
      </w:r>
      <w:r w:rsidR="0067136C" w:rsidRPr="00A519D0">
        <w:rPr>
          <w:rFonts w:ascii="Arial" w:hAnsi="Arial"/>
          <w:b/>
          <w:sz w:val="20"/>
          <w:lang w:val="en-US"/>
        </w:rPr>
        <w:t>21</w:t>
      </w:r>
      <w:r w:rsidRPr="00A519D0">
        <w:rPr>
          <w:rFonts w:ascii="Arial" w:hAnsi="Arial"/>
          <w:b/>
          <w:sz w:val="20"/>
          <w:lang w:val="en-US"/>
        </w:rPr>
        <w:t xml:space="preserve"> until 31 December 20</w:t>
      </w:r>
      <w:r w:rsidR="0067136C" w:rsidRPr="00A519D0">
        <w:rPr>
          <w:rFonts w:ascii="Arial" w:hAnsi="Arial"/>
          <w:b/>
          <w:sz w:val="20"/>
          <w:lang w:val="en-US"/>
        </w:rPr>
        <w:t>21</w:t>
      </w:r>
      <w:r w:rsidRPr="00A519D0">
        <w:rPr>
          <w:rFonts w:ascii="Arial" w:hAnsi="Arial"/>
          <w:bCs/>
          <w:sz w:val="20"/>
          <w:lang w:val="en-US"/>
        </w:rPr>
        <w:t>. The stated period has been shown separately regarding statistical and other numerical data; to allow for year-by-year comparison also certain data from previous years has been stated in the report and its attachments.</w:t>
      </w:r>
    </w:p>
    <w:p w14:paraId="003E4EE7" w14:textId="35E674DA" w:rsidR="00B65A09" w:rsidRPr="00A519D0" w:rsidRDefault="00B65A09" w:rsidP="00B65A09">
      <w:pPr>
        <w:rPr>
          <w:lang w:val="en-US"/>
        </w:rPr>
      </w:pPr>
    </w:p>
    <w:p w14:paraId="2334CF31" w14:textId="3B334A64" w:rsidR="00B65A09" w:rsidRPr="00A519D0" w:rsidRDefault="00142ED7" w:rsidP="00B65A09">
      <w:pPr>
        <w:pStyle w:val="Naslov2"/>
        <w:rPr>
          <w:lang w:val="en-US"/>
        </w:rPr>
      </w:pPr>
      <w:r w:rsidRPr="00A519D0">
        <w:rPr>
          <w:lang w:val="en-US"/>
        </w:rPr>
        <w:t>ORGANIZATIONAL CHART OF THE OMLP</w:t>
      </w:r>
    </w:p>
    <w:p w14:paraId="6FAD0625" w14:textId="77777777" w:rsidR="00A60C49" w:rsidRPr="00A519D0" w:rsidRDefault="00A60C49" w:rsidP="00142ED7">
      <w:pPr>
        <w:rPr>
          <w:lang w:val="en-US"/>
        </w:rPr>
      </w:pPr>
    </w:p>
    <w:p w14:paraId="209AABB6" w14:textId="3576A080" w:rsidR="00142ED7" w:rsidRPr="00A519D0" w:rsidRDefault="00142ED7" w:rsidP="00142ED7">
      <w:pPr>
        <w:rPr>
          <w:b/>
          <w:lang w:val="en-US"/>
        </w:rPr>
      </w:pPr>
      <w:r w:rsidRPr="00A519D0">
        <w:rPr>
          <w:lang w:val="en-US"/>
        </w:rPr>
        <w:t>With the implementation of preventive measures in the fight against money laundering and terrorist financing and by establishment of the offices for money laundering prevention 27 years ago, the system of detection of money laundering has intended a special role also to the obliged entities (financial and non-financial institutions)</w:t>
      </w:r>
      <w:r w:rsidR="003C5CCA" w:rsidRPr="00A519D0">
        <w:rPr>
          <w:rStyle w:val="Sprotnaopomba-sklic"/>
          <w:lang w:val="en-US"/>
        </w:rPr>
        <w:footnoteReference w:id="2"/>
      </w:r>
      <w:r w:rsidR="003C5CCA" w:rsidRPr="00A519D0">
        <w:rPr>
          <w:lang w:val="en-US"/>
        </w:rPr>
        <w:t xml:space="preserve"> </w:t>
      </w:r>
      <w:r w:rsidRPr="00A519D0">
        <w:rPr>
          <w:lang w:val="en-US"/>
        </w:rPr>
        <w:t xml:space="preserve">and afore mentioned offices as well. The international expression for those offices is </w:t>
      </w:r>
      <w:r w:rsidRPr="00A519D0">
        <w:rPr>
          <w:b/>
          <w:bCs/>
          <w:lang w:val="en-US"/>
        </w:rPr>
        <w:t>“Financial Intelligence Unit – FIU”</w:t>
      </w:r>
      <w:r w:rsidRPr="00A519D0">
        <w:rPr>
          <w:lang w:val="en-US"/>
        </w:rPr>
        <w:t xml:space="preserve">, meaning that one of its duties is receiving, </w:t>
      </w:r>
      <w:proofErr w:type="gramStart"/>
      <w:r w:rsidRPr="00A519D0">
        <w:rPr>
          <w:lang w:val="en-US"/>
        </w:rPr>
        <w:t>analy</w:t>
      </w:r>
      <w:r w:rsidR="00A519D0">
        <w:rPr>
          <w:lang w:val="en-US"/>
        </w:rPr>
        <w:t>z</w:t>
      </w:r>
      <w:r w:rsidRPr="00A519D0">
        <w:rPr>
          <w:lang w:val="en-US"/>
        </w:rPr>
        <w:t>ing</w:t>
      </w:r>
      <w:proofErr w:type="gramEnd"/>
      <w:r w:rsidRPr="00A519D0">
        <w:rPr>
          <w:lang w:val="en-US"/>
        </w:rPr>
        <w:t xml:space="preserve"> and sending financial and other intelligence to the competent authorities. This duty has been stipulated by the definition of the Financial Action Task Force (FATF), according to which the office for money laundering prevention is the “</w:t>
      </w:r>
      <w:r w:rsidRPr="00A519D0">
        <w:rPr>
          <w:bCs/>
          <w:lang w:val="en-US"/>
        </w:rPr>
        <w:t>central national unit for receiving, analy</w:t>
      </w:r>
      <w:r w:rsidR="00A519D0">
        <w:rPr>
          <w:bCs/>
          <w:lang w:val="en-US"/>
        </w:rPr>
        <w:t>z</w:t>
      </w:r>
      <w:r w:rsidRPr="00A519D0">
        <w:rPr>
          <w:bCs/>
          <w:lang w:val="en-US"/>
        </w:rPr>
        <w:t>ing and informing the competent authorities on suspicious transaction reports and other information relevant to money laundering or terrorist financing”.</w:t>
      </w:r>
      <w:r w:rsidRPr="00A519D0">
        <w:rPr>
          <w:b/>
          <w:lang w:val="en-US"/>
        </w:rPr>
        <w:t xml:space="preserve"> </w:t>
      </w:r>
    </w:p>
    <w:p w14:paraId="36754FFF" w14:textId="77777777" w:rsidR="00520BB9" w:rsidRPr="00A519D0" w:rsidRDefault="00520BB9" w:rsidP="00177F71">
      <w:pPr>
        <w:pStyle w:val="Telobesedila"/>
        <w:spacing w:line="276" w:lineRule="auto"/>
        <w:ind w:right="-44"/>
        <w:rPr>
          <w:rFonts w:ascii="Arial" w:hAnsi="Arial"/>
          <w:sz w:val="20"/>
          <w:lang w:val="en-US"/>
        </w:rPr>
      </w:pPr>
      <w:r w:rsidRPr="00A519D0">
        <w:rPr>
          <w:rFonts w:ascii="Arial" w:hAnsi="Arial"/>
          <w:sz w:val="20"/>
          <w:lang w:val="en-US"/>
        </w:rPr>
        <w:t>The FIUs can be administrative, police, judicial/</w:t>
      </w:r>
      <w:proofErr w:type="gramStart"/>
      <w:r w:rsidRPr="00A519D0">
        <w:rPr>
          <w:rFonts w:ascii="Arial" w:hAnsi="Arial"/>
          <w:sz w:val="20"/>
          <w:lang w:val="en-US"/>
        </w:rPr>
        <w:t>court</w:t>
      </w:r>
      <w:proofErr w:type="gramEnd"/>
      <w:r w:rsidRPr="00A519D0">
        <w:rPr>
          <w:rFonts w:ascii="Arial" w:hAnsi="Arial"/>
          <w:sz w:val="20"/>
          <w:lang w:val="en-US"/>
        </w:rPr>
        <w:t xml:space="preserve"> and hybrid types, however the majority of them are administrative. Almost half of the FIUs from EU Member States are administrative FIUs. Slovenia has also decided for the administrative type of the FIU, which does not have police competences, but has a special role in the detection and prevention of money laundering and terrorist financing. </w:t>
      </w:r>
      <w:r w:rsidR="00322214" w:rsidRPr="00A519D0">
        <w:rPr>
          <w:rStyle w:val="Sprotnaopomba-sklic"/>
          <w:rFonts w:ascii="Arial" w:hAnsi="Arial"/>
          <w:sz w:val="20"/>
          <w:lang w:val="en-US"/>
        </w:rPr>
        <w:footnoteReference w:id="3"/>
      </w:r>
      <w:r w:rsidR="00322214" w:rsidRPr="00A519D0">
        <w:rPr>
          <w:rFonts w:ascii="Arial" w:hAnsi="Arial"/>
          <w:sz w:val="20"/>
          <w:lang w:val="en-US"/>
        </w:rPr>
        <w:t xml:space="preserve"> </w:t>
      </w:r>
      <w:r w:rsidR="00B65A09" w:rsidRPr="00A519D0">
        <w:rPr>
          <w:rFonts w:ascii="Arial" w:hAnsi="Arial"/>
          <w:sz w:val="20"/>
          <w:lang w:val="en-US"/>
        </w:rPr>
        <w:t xml:space="preserve"> </w:t>
      </w:r>
      <w:r w:rsidRPr="00A519D0">
        <w:rPr>
          <w:rFonts w:ascii="Arial" w:hAnsi="Arial"/>
          <w:sz w:val="20"/>
          <w:lang w:val="en-US"/>
        </w:rPr>
        <w:t xml:space="preserve">The advantage of such FIUs is also the possibility to develop trust and cooperation of the FIU with financial institutions, especially banks. </w:t>
      </w:r>
    </w:p>
    <w:p w14:paraId="7A266B3E" w14:textId="77777777" w:rsidR="00520BB9" w:rsidRPr="00A519D0" w:rsidRDefault="00520BB9" w:rsidP="00520BB9">
      <w:pPr>
        <w:pStyle w:val="Telobesedila"/>
        <w:ind w:right="-44"/>
        <w:rPr>
          <w:lang w:val="en-US"/>
        </w:rPr>
      </w:pPr>
    </w:p>
    <w:p w14:paraId="1A99932C" w14:textId="6156DCCF" w:rsidR="00002527" w:rsidRPr="00A519D0" w:rsidRDefault="00002527" w:rsidP="00002527">
      <w:pPr>
        <w:rPr>
          <w:lang w:val="en-US"/>
        </w:rPr>
      </w:pPr>
      <w:bookmarkStart w:id="2" w:name="_Hlk145503397"/>
      <w:r w:rsidRPr="00A519D0">
        <w:rPr>
          <w:lang w:val="en-US"/>
        </w:rPr>
        <w:t xml:space="preserve">Namely, the OMLP </w:t>
      </w:r>
      <w:r w:rsidRPr="00A519D0">
        <w:rPr>
          <w:b/>
          <w:bCs/>
          <w:lang w:val="en-US"/>
        </w:rPr>
        <w:t>is an administrative office within the Ministry of Finance</w:t>
      </w:r>
      <w:r w:rsidRPr="00A519D0">
        <w:rPr>
          <w:lang w:val="en-US"/>
        </w:rPr>
        <w:t xml:space="preserve"> and acts as a clearing house between the financial institutions and law enforcement authorities. Within its competences, OMLP analyses suspicious transactions sent by the obliged entities and if it establishes </w:t>
      </w:r>
      <w:r w:rsidR="00CF22D3">
        <w:rPr>
          <w:lang w:val="en-US"/>
        </w:rPr>
        <w:t>grounds</w:t>
      </w:r>
      <w:r w:rsidR="00CF22D3" w:rsidRPr="00A519D0">
        <w:rPr>
          <w:lang w:val="en-US"/>
        </w:rPr>
        <w:t xml:space="preserve"> </w:t>
      </w:r>
      <w:r w:rsidRPr="00A519D0">
        <w:rPr>
          <w:lang w:val="en-US"/>
        </w:rPr>
        <w:t>for suspicion of money laundering, terrorist financing or other criminal offences, it forwards its analys</w:t>
      </w:r>
      <w:r w:rsidR="00697263" w:rsidRPr="00A519D0">
        <w:rPr>
          <w:lang w:val="en-US"/>
        </w:rPr>
        <w:t>i</w:t>
      </w:r>
      <w:r w:rsidRPr="00A519D0">
        <w:rPr>
          <w:lang w:val="en-US"/>
        </w:rPr>
        <w:t xml:space="preserve">s of gathered data as a notification or information to the competent authorities (Police, State Prosecutor Office) for further investigation. </w:t>
      </w:r>
      <w:r w:rsidR="008038AA" w:rsidRPr="00A519D0">
        <w:rPr>
          <w:lang w:val="en-US"/>
        </w:rPr>
        <w:t>Regarding</w:t>
      </w:r>
      <w:r w:rsidRPr="00A519D0">
        <w:rPr>
          <w:lang w:val="en-US"/>
        </w:rPr>
        <w:t xml:space="preserve"> the notifications of OMLP it is necessary to point out, that these are intelligence data containing analysis of financial and other data, and not criminal reports in the sense of the Criminal Procedure Act. </w:t>
      </w:r>
    </w:p>
    <w:bookmarkEnd w:id="2"/>
    <w:p w14:paraId="4FDAEA72" w14:textId="415D7748" w:rsidR="00002527" w:rsidRPr="00A519D0" w:rsidRDefault="00002527" w:rsidP="00002527">
      <w:pPr>
        <w:pStyle w:val="Telobesedila"/>
        <w:ind w:right="-44"/>
        <w:rPr>
          <w:lang w:val="en-US"/>
        </w:rPr>
      </w:pPr>
    </w:p>
    <w:p w14:paraId="19D1E724" w14:textId="7100A1CB" w:rsidR="00B65A09" w:rsidRPr="00A519D0" w:rsidRDefault="00A1376B" w:rsidP="00B65A09">
      <w:pPr>
        <w:rPr>
          <w:lang w:val="en-US"/>
        </w:rPr>
      </w:pPr>
      <w:r w:rsidRPr="00A519D0">
        <w:rPr>
          <w:lang w:val="en-US"/>
        </w:rPr>
        <w:lastRenderedPageBreak/>
        <w:t>In comparison to year 2020 the organi</w:t>
      </w:r>
      <w:r w:rsidR="00A519D0">
        <w:rPr>
          <w:lang w:val="en-US"/>
        </w:rPr>
        <w:t>z</w:t>
      </w:r>
      <w:r w:rsidRPr="00A519D0">
        <w:rPr>
          <w:lang w:val="en-US"/>
        </w:rPr>
        <w:t>ational chart has changed based on amendments of Public Employees Act</w:t>
      </w:r>
      <w:r w:rsidR="006A2ADF" w:rsidRPr="00A519D0">
        <w:rPr>
          <w:rStyle w:val="Sprotnaopomba-sklic"/>
          <w:lang w:val="en-US"/>
        </w:rPr>
        <w:footnoteReference w:id="4"/>
      </w:r>
      <w:r w:rsidR="006A2ADF" w:rsidRPr="00A519D0">
        <w:rPr>
          <w:lang w:val="en-US"/>
        </w:rPr>
        <w:t xml:space="preserve"> </w:t>
      </w:r>
      <w:r w:rsidRPr="00A519D0">
        <w:rPr>
          <w:lang w:val="en-US"/>
        </w:rPr>
        <w:t>and Decree on the internal organi</w:t>
      </w:r>
      <w:r w:rsidR="00A519D0">
        <w:rPr>
          <w:lang w:val="en-US"/>
        </w:rPr>
        <w:t>z</w:t>
      </w:r>
      <w:r w:rsidRPr="00A519D0">
        <w:rPr>
          <w:lang w:val="en-US"/>
        </w:rPr>
        <w:t xml:space="preserve">ation, job classification, posts and titles in public administration and </w:t>
      </w:r>
      <w:r w:rsidR="008038AA" w:rsidRPr="00A519D0">
        <w:rPr>
          <w:lang w:val="en-US"/>
        </w:rPr>
        <w:t>judicial</w:t>
      </w:r>
      <w:r w:rsidRPr="00A519D0">
        <w:rPr>
          <w:lang w:val="en-US"/>
        </w:rPr>
        <w:t xml:space="preserve"> bodies</w:t>
      </w:r>
      <w:r w:rsidR="002E51B6" w:rsidRPr="00A519D0">
        <w:rPr>
          <w:rStyle w:val="Sprotnaopomba-sklic"/>
          <w:lang w:val="en-US"/>
        </w:rPr>
        <w:footnoteReference w:id="5"/>
      </w:r>
      <w:r w:rsidR="00697263" w:rsidRPr="00A519D0">
        <w:rPr>
          <w:lang w:val="en-US"/>
        </w:rPr>
        <w:t>. T</w:t>
      </w:r>
      <w:r w:rsidR="000C0C16" w:rsidRPr="00A519D0">
        <w:rPr>
          <w:lang w:val="en-US"/>
        </w:rPr>
        <w:t xml:space="preserve">he </w:t>
      </w:r>
      <w:r w:rsidR="000C0C16" w:rsidRPr="00A519D0">
        <w:rPr>
          <w:b/>
          <w:bCs/>
          <w:lang w:val="en-US"/>
        </w:rPr>
        <w:t>reorgani</w:t>
      </w:r>
      <w:r w:rsidR="00A519D0">
        <w:rPr>
          <w:b/>
          <w:bCs/>
          <w:lang w:val="en-US"/>
        </w:rPr>
        <w:t>z</w:t>
      </w:r>
      <w:r w:rsidR="000C0C16" w:rsidRPr="00A519D0">
        <w:rPr>
          <w:b/>
          <w:bCs/>
          <w:lang w:val="en-US"/>
        </w:rPr>
        <w:t>ation</w:t>
      </w:r>
      <w:r w:rsidR="000C0C16" w:rsidRPr="00A519D0">
        <w:rPr>
          <w:lang w:val="en-US"/>
        </w:rPr>
        <w:t xml:space="preserve"> was implemented in 2021</w:t>
      </w:r>
      <w:r w:rsidRPr="00A519D0">
        <w:rPr>
          <w:lang w:val="en-US"/>
        </w:rPr>
        <w:t>.</w:t>
      </w:r>
      <w:r w:rsidR="000C0C16" w:rsidRPr="00A519D0">
        <w:rPr>
          <w:lang w:val="en-US"/>
        </w:rPr>
        <w:t xml:space="preserve"> The main change </w:t>
      </w:r>
      <w:r w:rsidR="00E41471" w:rsidRPr="00A519D0">
        <w:rPr>
          <w:lang w:val="en-US"/>
        </w:rPr>
        <w:t>was</w:t>
      </w:r>
      <w:r w:rsidR="000C0C16" w:rsidRPr="00A519D0">
        <w:rPr>
          <w:lang w:val="en-US"/>
        </w:rPr>
        <w:t xml:space="preserve"> the aboli</w:t>
      </w:r>
      <w:r w:rsidR="00E41471" w:rsidRPr="00A519D0">
        <w:rPr>
          <w:lang w:val="en-US"/>
        </w:rPr>
        <w:t>tion</w:t>
      </w:r>
      <w:r w:rsidR="000C0C16" w:rsidRPr="00A519D0">
        <w:rPr>
          <w:lang w:val="en-US"/>
        </w:rPr>
        <w:t xml:space="preserve"> of the </w:t>
      </w:r>
      <w:r w:rsidR="004F79A9" w:rsidRPr="00A519D0">
        <w:rPr>
          <w:lang w:val="en-US"/>
        </w:rPr>
        <w:t>Division</w:t>
      </w:r>
      <w:r w:rsidR="000C0C16" w:rsidRPr="00A519D0">
        <w:rPr>
          <w:lang w:val="en-US"/>
        </w:rPr>
        <w:t xml:space="preserve"> of prevention and supervision, its tasks were transferred to newly established </w:t>
      </w:r>
      <w:r w:rsidR="00697263" w:rsidRPr="00A519D0">
        <w:rPr>
          <w:lang w:val="en-US"/>
        </w:rPr>
        <w:t>Legal Affairs Division, Division of I</w:t>
      </w:r>
      <w:r w:rsidR="000C0C16" w:rsidRPr="00A519D0">
        <w:rPr>
          <w:lang w:val="en-US"/>
        </w:rPr>
        <w:t>nternational Affairs an</w:t>
      </w:r>
      <w:r w:rsidR="00E41471" w:rsidRPr="00A519D0">
        <w:rPr>
          <w:lang w:val="en-US"/>
        </w:rPr>
        <w:t>d</w:t>
      </w:r>
      <w:r w:rsidR="000C0C16" w:rsidRPr="00A519D0">
        <w:rPr>
          <w:lang w:val="en-US"/>
        </w:rPr>
        <w:t xml:space="preserve"> Prevention</w:t>
      </w:r>
      <w:r w:rsidR="00697263" w:rsidRPr="00A519D0">
        <w:rPr>
          <w:lang w:val="en-US"/>
        </w:rPr>
        <w:t>,</w:t>
      </w:r>
      <w:r w:rsidR="000C0C16" w:rsidRPr="00A519D0">
        <w:rPr>
          <w:lang w:val="en-US"/>
        </w:rPr>
        <w:t xml:space="preserve"> and Inspection</w:t>
      </w:r>
      <w:r w:rsidR="00E41471" w:rsidRPr="00A519D0">
        <w:rPr>
          <w:lang w:val="en-US"/>
        </w:rPr>
        <w:t>.</w:t>
      </w:r>
      <w:r w:rsidR="00697EEB" w:rsidRPr="00A519D0">
        <w:rPr>
          <w:lang w:val="en-US"/>
        </w:rPr>
        <w:t xml:space="preserve"> </w:t>
      </w:r>
      <w:r w:rsidR="006104FB" w:rsidRPr="00A519D0">
        <w:rPr>
          <w:lang w:val="en-US"/>
        </w:rPr>
        <w:t>Additionally,</w:t>
      </w:r>
      <w:r w:rsidR="00E41471" w:rsidRPr="00A519D0">
        <w:rPr>
          <w:lang w:val="en-US"/>
        </w:rPr>
        <w:t xml:space="preserve"> the General Affairs Division and IT Support was created that took over some tasks previously done by </w:t>
      </w:r>
      <w:r w:rsidR="008038AA" w:rsidRPr="00A519D0">
        <w:rPr>
          <w:lang w:val="en-US"/>
        </w:rPr>
        <w:t>management and</w:t>
      </w:r>
      <w:r w:rsidR="006764B7" w:rsidRPr="00A519D0">
        <w:rPr>
          <w:lang w:val="en-US"/>
        </w:rPr>
        <w:t xml:space="preserve"> IT support. Department of Suspicious transactions was renamed to Division for </w:t>
      </w:r>
      <w:r w:rsidR="00697263" w:rsidRPr="00A519D0">
        <w:rPr>
          <w:lang w:val="en-US"/>
        </w:rPr>
        <w:t>M</w:t>
      </w:r>
      <w:r w:rsidR="006764B7" w:rsidRPr="00A519D0">
        <w:rPr>
          <w:lang w:val="en-US"/>
        </w:rPr>
        <w:t xml:space="preserve">onitoring, </w:t>
      </w:r>
      <w:r w:rsidR="00697263" w:rsidRPr="00A519D0">
        <w:rPr>
          <w:lang w:val="en-US"/>
        </w:rPr>
        <w:t>A</w:t>
      </w:r>
      <w:r w:rsidR="006764B7" w:rsidRPr="00A519D0">
        <w:rPr>
          <w:lang w:val="en-US"/>
        </w:rPr>
        <w:t xml:space="preserve">nalysis and </w:t>
      </w:r>
      <w:r w:rsidR="00697263" w:rsidRPr="00A519D0">
        <w:rPr>
          <w:lang w:val="en-US"/>
        </w:rPr>
        <w:t>S</w:t>
      </w:r>
      <w:r w:rsidR="006764B7" w:rsidRPr="00A519D0">
        <w:rPr>
          <w:lang w:val="en-US"/>
        </w:rPr>
        <w:t xml:space="preserve">upervision, its tasks remined unchanged. </w:t>
      </w:r>
    </w:p>
    <w:p w14:paraId="3AB4812F" w14:textId="3CC7A8FC" w:rsidR="00B65A09" w:rsidRPr="00A519D0" w:rsidRDefault="004F79A9" w:rsidP="00B65A09">
      <w:pPr>
        <w:rPr>
          <w:b/>
          <w:bCs/>
          <w:lang w:val="en-US"/>
        </w:rPr>
      </w:pPr>
      <w:r w:rsidRPr="00A519D0">
        <w:rPr>
          <w:b/>
          <w:bCs/>
          <w:lang w:val="en-US"/>
        </w:rPr>
        <w:t>Organizational chart of the OMLP</w:t>
      </w:r>
      <w:r w:rsidR="00A84BD5" w:rsidRPr="00A519D0">
        <w:rPr>
          <w:b/>
          <w:bCs/>
          <w:lang w:val="en-US"/>
        </w:rPr>
        <w:t>:</w:t>
      </w:r>
    </w:p>
    <w:p w14:paraId="2E7BE2E3" w14:textId="19B32E32" w:rsidR="002016E2" w:rsidRPr="00A519D0" w:rsidRDefault="002016E2" w:rsidP="00B65A09">
      <w:pPr>
        <w:rPr>
          <w:lang w:val="en-US"/>
        </w:rPr>
      </w:pPr>
      <w:r w:rsidRPr="00A519D0">
        <w:rPr>
          <w:noProof/>
          <w:lang w:val="en-US"/>
        </w:rPr>
        <w:drawing>
          <wp:inline distT="0" distB="0" distL="0" distR="0" wp14:anchorId="09FFFB46" wp14:editId="6F0DB07A">
            <wp:extent cx="5760720" cy="2019300"/>
            <wp:effectExtent l="0" t="0" r="87630" b="0"/>
            <wp:docPr id="4" name="Diagram 4" descr="Grafično je prikazana organizacijska shema urada. Shema je v nadaljevanju dokumenta opisana tudi v besedilni oblik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C7A941A" w14:textId="3860249D" w:rsidR="00B65A09" w:rsidRPr="00A519D0" w:rsidRDefault="006764B7" w:rsidP="00B65A09">
      <w:pPr>
        <w:rPr>
          <w:lang w:val="en-US"/>
        </w:rPr>
      </w:pPr>
      <w:r w:rsidRPr="00A519D0">
        <w:rPr>
          <w:lang w:val="en-US"/>
        </w:rPr>
        <w:t>Besides the management</w:t>
      </w:r>
      <w:r w:rsidR="00697263" w:rsidRPr="00A519D0">
        <w:rPr>
          <w:lang w:val="en-US"/>
        </w:rPr>
        <w:t>,</w:t>
      </w:r>
      <w:r w:rsidRPr="00A519D0">
        <w:rPr>
          <w:lang w:val="en-US"/>
        </w:rPr>
        <w:t xml:space="preserve"> the OMLP consists of 5 organi</w:t>
      </w:r>
      <w:r w:rsidR="00A519D0">
        <w:rPr>
          <w:lang w:val="en-US"/>
        </w:rPr>
        <w:t>z</w:t>
      </w:r>
      <w:r w:rsidRPr="00A519D0">
        <w:rPr>
          <w:lang w:val="en-US"/>
        </w:rPr>
        <w:t>ational units, namely</w:t>
      </w:r>
      <w:r w:rsidR="00B65A09" w:rsidRPr="00A519D0">
        <w:rPr>
          <w:lang w:val="en-US"/>
        </w:rPr>
        <w:t>:</w:t>
      </w:r>
    </w:p>
    <w:p w14:paraId="05909F16" w14:textId="6C7BB24A" w:rsidR="00B65A09" w:rsidRPr="00A519D0" w:rsidRDefault="006764B7" w:rsidP="007A689C">
      <w:pPr>
        <w:pStyle w:val="Odstavekseznama"/>
        <w:ind w:left="851" w:hanging="284"/>
        <w:rPr>
          <w:b/>
          <w:bCs/>
          <w:lang w:val="en-US"/>
        </w:rPr>
      </w:pPr>
      <w:r w:rsidRPr="00A519D0">
        <w:rPr>
          <w:b/>
          <w:bCs/>
          <w:lang w:val="en-US"/>
        </w:rPr>
        <w:t>General Affairs Division and IT Support</w:t>
      </w:r>
      <w:r w:rsidR="00B65A09" w:rsidRPr="00A519D0">
        <w:rPr>
          <w:b/>
          <w:bCs/>
          <w:lang w:val="en-US"/>
        </w:rPr>
        <w:t>,</w:t>
      </w:r>
    </w:p>
    <w:p w14:paraId="1833C95D" w14:textId="2E98690A" w:rsidR="00B65A09" w:rsidRPr="00A519D0" w:rsidRDefault="004F79A9" w:rsidP="007A689C">
      <w:pPr>
        <w:pStyle w:val="Odstavekseznama"/>
        <w:ind w:left="851" w:hanging="284"/>
        <w:rPr>
          <w:b/>
          <w:bCs/>
          <w:lang w:val="en-US"/>
        </w:rPr>
      </w:pPr>
      <w:r w:rsidRPr="00A519D0">
        <w:rPr>
          <w:b/>
          <w:bCs/>
          <w:lang w:val="en-US"/>
        </w:rPr>
        <w:t>Division of international Affairs and Prevention</w:t>
      </w:r>
      <w:r w:rsidR="00B65A09" w:rsidRPr="00A519D0">
        <w:rPr>
          <w:b/>
          <w:bCs/>
          <w:lang w:val="en-US"/>
        </w:rPr>
        <w:t>,</w:t>
      </w:r>
    </w:p>
    <w:p w14:paraId="15C0BB5F" w14:textId="160FE15A" w:rsidR="00B65A09" w:rsidRPr="00A519D0" w:rsidRDefault="00873298" w:rsidP="007A689C">
      <w:pPr>
        <w:pStyle w:val="Odstavekseznama"/>
        <w:ind w:left="851" w:hanging="284"/>
        <w:rPr>
          <w:b/>
          <w:bCs/>
          <w:lang w:val="en-US"/>
        </w:rPr>
      </w:pPr>
      <w:r w:rsidRPr="00A519D0">
        <w:rPr>
          <w:b/>
          <w:bCs/>
          <w:lang w:val="en-US"/>
        </w:rPr>
        <w:t>In</w:t>
      </w:r>
      <w:r w:rsidR="004F79A9" w:rsidRPr="00A519D0">
        <w:rPr>
          <w:b/>
          <w:bCs/>
          <w:lang w:val="en-US"/>
        </w:rPr>
        <w:t>spection</w:t>
      </w:r>
      <w:r w:rsidR="00B65A09" w:rsidRPr="00A519D0">
        <w:rPr>
          <w:b/>
          <w:bCs/>
          <w:lang w:val="en-US"/>
        </w:rPr>
        <w:t>,</w:t>
      </w:r>
    </w:p>
    <w:p w14:paraId="4E39195C" w14:textId="3B16A993" w:rsidR="00873298" w:rsidRPr="00A519D0" w:rsidRDefault="004F79A9" w:rsidP="007A689C">
      <w:pPr>
        <w:pStyle w:val="Odstavekseznama"/>
        <w:ind w:left="851" w:hanging="284"/>
        <w:rPr>
          <w:b/>
          <w:bCs/>
          <w:lang w:val="en-US"/>
        </w:rPr>
      </w:pPr>
      <w:r w:rsidRPr="00A519D0">
        <w:rPr>
          <w:b/>
          <w:bCs/>
          <w:lang w:val="en-US"/>
        </w:rPr>
        <w:t>Legal Affairs Division and</w:t>
      </w:r>
    </w:p>
    <w:p w14:paraId="1DE0E309" w14:textId="43ABD89B" w:rsidR="00B65A09" w:rsidRPr="00A519D0" w:rsidRDefault="004F79A9" w:rsidP="007A689C">
      <w:pPr>
        <w:pStyle w:val="Odstavekseznama"/>
        <w:ind w:left="851" w:hanging="284"/>
        <w:rPr>
          <w:b/>
          <w:bCs/>
          <w:lang w:val="en-US"/>
        </w:rPr>
      </w:pPr>
      <w:r w:rsidRPr="00A519D0">
        <w:rPr>
          <w:b/>
          <w:bCs/>
          <w:lang w:val="en-US"/>
        </w:rPr>
        <w:t>Division for Monitoring, Analysis and Supervision</w:t>
      </w:r>
      <w:r w:rsidR="00873298" w:rsidRPr="00A519D0">
        <w:rPr>
          <w:b/>
          <w:bCs/>
          <w:lang w:val="en-US"/>
        </w:rPr>
        <w:t>.</w:t>
      </w:r>
    </w:p>
    <w:p w14:paraId="78E1138D" w14:textId="13AD0E8A" w:rsidR="007A689C" w:rsidRPr="00A519D0" w:rsidRDefault="007A689C" w:rsidP="007A689C">
      <w:pPr>
        <w:jc w:val="left"/>
        <w:rPr>
          <w:lang w:val="en-US"/>
        </w:rPr>
      </w:pPr>
    </w:p>
    <w:p w14:paraId="57729A99" w14:textId="6AED5A32" w:rsidR="00B65A09" w:rsidRPr="00A519D0" w:rsidRDefault="00637054" w:rsidP="00B65A09">
      <w:pPr>
        <w:pStyle w:val="Naslov1"/>
        <w:rPr>
          <w:lang w:val="en-US"/>
        </w:rPr>
      </w:pPr>
      <w:bookmarkStart w:id="3" w:name="_Toc119581676"/>
      <w:r w:rsidRPr="00A519D0">
        <w:rPr>
          <w:lang w:val="en-US"/>
        </w:rPr>
        <w:t>CASH TRANSACTIONS</w:t>
      </w:r>
      <w:r w:rsidR="00605D32" w:rsidRPr="00A519D0">
        <w:rPr>
          <w:lang w:val="en-US"/>
        </w:rPr>
        <w:t xml:space="preserve">, </w:t>
      </w:r>
      <w:r w:rsidRPr="00A519D0">
        <w:rPr>
          <w:lang w:val="en-US"/>
        </w:rPr>
        <w:t>TRANSFERS TO HIGH RISK THIRD COUNTRIES AND CASH TRANSFERS VIA EU BORDER</w:t>
      </w:r>
      <w:bookmarkEnd w:id="3"/>
    </w:p>
    <w:p w14:paraId="4279ECEE" w14:textId="5A833D14" w:rsidR="00F6344E" w:rsidRPr="00A519D0" w:rsidRDefault="00F6344E" w:rsidP="00B65A09">
      <w:pPr>
        <w:rPr>
          <w:lang w:val="en-US"/>
        </w:rPr>
      </w:pPr>
    </w:p>
    <w:p w14:paraId="4C83E378" w14:textId="270520F3" w:rsidR="00F6344E" w:rsidRPr="00A519D0" w:rsidRDefault="00F6344E" w:rsidP="00F6344E">
      <w:pPr>
        <w:pStyle w:val="Telobesedila"/>
        <w:ind w:right="-22"/>
        <w:rPr>
          <w:rFonts w:ascii="Arial" w:hAnsi="Arial"/>
          <w:sz w:val="20"/>
          <w:lang w:val="en-US"/>
        </w:rPr>
      </w:pPr>
      <w:r w:rsidRPr="00A519D0">
        <w:rPr>
          <w:rFonts w:ascii="Arial" w:hAnsi="Arial"/>
          <w:sz w:val="20"/>
          <w:lang w:val="en-US"/>
        </w:rPr>
        <w:t xml:space="preserve">Since 19 November 2016, when the APMLFT-1 came into force, the OMLP received according to </w:t>
      </w:r>
      <w:r w:rsidR="00697263" w:rsidRPr="00A519D0">
        <w:rPr>
          <w:rFonts w:ascii="Arial" w:hAnsi="Arial"/>
          <w:sz w:val="20"/>
          <w:lang w:val="en-US"/>
        </w:rPr>
        <w:t xml:space="preserve">the </w:t>
      </w:r>
      <w:r w:rsidRPr="00A519D0">
        <w:rPr>
          <w:rFonts w:ascii="Arial" w:hAnsi="Arial"/>
          <w:sz w:val="20"/>
          <w:lang w:val="en-US"/>
        </w:rPr>
        <w:t>Article 4 of the APMLTF-1 data on all transactions exceeding certain thresholds</w:t>
      </w:r>
      <w:r w:rsidR="00697263" w:rsidRPr="00A519D0">
        <w:rPr>
          <w:rFonts w:ascii="Arial" w:hAnsi="Arial"/>
          <w:sz w:val="20"/>
          <w:lang w:val="en-US"/>
        </w:rPr>
        <w:t xml:space="preserve"> from obliged entities</w:t>
      </w:r>
      <w:r w:rsidRPr="00A519D0">
        <w:rPr>
          <w:rFonts w:ascii="Arial" w:hAnsi="Arial"/>
          <w:sz w:val="20"/>
          <w:lang w:val="en-US"/>
        </w:rPr>
        <w:t>, namely:</w:t>
      </w:r>
    </w:p>
    <w:p w14:paraId="1F7C5B70" w14:textId="7FD94047" w:rsidR="00F6344E" w:rsidRPr="00A519D0" w:rsidRDefault="00F6344E" w:rsidP="00F6344E">
      <w:pPr>
        <w:pStyle w:val="Telobesedila"/>
        <w:ind w:right="-22"/>
        <w:rPr>
          <w:rFonts w:ascii="Arial" w:hAnsi="Arial"/>
          <w:sz w:val="20"/>
          <w:lang w:val="en-US"/>
        </w:rPr>
      </w:pPr>
      <w:r w:rsidRPr="00A519D0">
        <w:rPr>
          <w:rFonts w:ascii="Arial" w:hAnsi="Arial"/>
          <w:sz w:val="20"/>
          <w:lang w:val="en-US"/>
        </w:rPr>
        <w:t xml:space="preserve"> </w:t>
      </w:r>
    </w:p>
    <w:p w14:paraId="00CC9F19" w14:textId="622F9694" w:rsidR="00F6344E" w:rsidRPr="00A519D0" w:rsidRDefault="00F6344E" w:rsidP="00A75696">
      <w:pPr>
        <w:pStyle w:val="Telobesedila"/>
        <w:numPr>
          <w:ilvl w:val="0"/>
          <w:numId w:val="5"/>
        </w:numPr>
        <w:ind w:right="-22"/>
        <w:rPr>
          <w:rFonts w:ascii="Arial" w:hAnsi="Arial"/>
          <w:sz w:val="20"/>
          <w:lang w:val="en-US"/>
        </w:rPr>
      </w:pPr>
      <w:r w:rsidRPr="00A519D0">
        <w:rPr>
          <w:rFonts w:ascii="Arial" w:hAnsi="Arial"/>
          <w:sz w:val="20"/>
          <w:lang w:val="en-US"/>
        </w:rPr>
        <w:t>data on all cash transactions exceeding 15.000 EUR (hereinafter: cash transactions)</w:t>
      </w:r>
    </w:p>
    <w:p w14:paraId="56B0A11A" w14:textId="77777777" w:rsidR="00F6344E" w:rsidRPr="00A519D0" w:rsidRDefault="00F6344E" w:rsidP="00F6344E">
      <w:pPr>
        <w:pStyle w:val="Telobesedila"/>
        <w:ind w:left="720" w:right="-22"/>
        <w:rPr>
          <w:rFonts w:ascii="Arial" w:hAnsi="Arial"/>
          <w:sz w:val="20"/>
          <w:lang w:val="en-US"/>
        </w:rPr>
      </w:pPr>
    </w:p>
    <w:p w14:paraId="45003987" w14:textId="0ACDE29F" w:rsidR="00F6344E" w:rsidRPr="00A519D0" w:rsidRDefault="00F6344E" w:rsidP="00A75696">
      <w:pPr>
        <w:pStyle w:val="Telobesedila"/>
        <w:numPr>
          <w:ilvl w:val="0"/>
          <w:numId w:val="5"/>
        </w:numPr>
        <w:ind w:right="-22"/>
        <w:rPr>
          <w:rFonts w:ascii="Arial" w:hAnsi="Arial"/>
          <w:sz w:val="20"/>
          <w:lang w:val="en-US"/>
        </w:rPr>
      </w:pPr>
      <w:r w:rsidRPr="00A519D0">
        <w:rPr>
          <w:rFonts w:ascii="Arial" w:hAnsi="Arial"/>
          <w:sz w:val="20"/>
          <w:lang w:val="en-US"/>
        </w:rPr>
        <w:t xml:space="preserve">data on all transfers exceeding 15.000 EUR, which were </w:t>
      </w:r>
      <w:proofErr w:type="gramStart"/>
      <w:r w:rsidRPr="00A519D0">
        <w:rPr>
          <w:rFonts w:ascii="Arial" w:hAnsi="Arial"/>
          <w:sz w:val="20"/>
          <w:lang w:val="en-US"/>
        </w:rPr>
        <w:t>on the basis of</w:t>
      </w:r>
      <w:proofErr w:type="gramEnd"/>
      <w:r w:rsidRPr="00A519D0">
        <w:rPr>
          <w:rFonts w:ascii="Arial" w:hAnsi="Arial"/>
          <w:sz w:val="20"/>
          <w:lang w:val="en-US"/>
        </w:rPr>
        <w:t xml:space="preserve"> customer`s demand performed to countries or accounts of natural persons and legal persons with residence or </w:t>
      </w:r>
      <w:r w:rsidRPr="00A519D0">
        <w:rPr>
          <w:rFonts w:ascii="Arial" w:hAnsi="Arial"/>
          <w:sz w:val="20"/>
          <w:lang w:val="en-US"/>
        </w:rPr>
        <w:lastRenderedPageBreak/>
        <w:t xml:space="preserve">headquarters in jurisdictions with a higher risk </w:t>
      </w:r>
      <w:r w:rsidR="002D71A5" w:rsidRPr="00A519D0">
        <w:rPr>
          <w:rFonts w:ascii="Arial" w:hAnsi="Arial"/>
          <w:sz w:val="20"/>
          <w:lang w:val="en-US"/>
        </w:rPr>
        <w:t>for</w:t>
      </w:r>
      <w:r w:rsidRPr="00A519D0">
        <w:rPr>
          <w:rFonts w:ascii="Arial" w:hAnsi="Arial"/>
          <w:sz w:val="20"/>
          <w:lang w:val="en-US"/>
        </w:rPr>
        <w:t xml:space="preserve"> money laundering and terrorist financing (hereinafter: transfers referring to risk countries)</w:t>
      </w:r>
    </w:p>
    <w:p w14:paraId="3190F572" w14:textId="77777777" w:rsidR="00F6344E" w:rsidRPr="00A519D0" w:rsidRDefault="00F6344E" w:rsidP="00F6344E">
      <w:pPr>
        <w:pStyle w:val="Telobesedila"/>
        <w:ind w:left="720" w:right="-22"/>
        <w:rPr>
          <w:rFonts w:ascii="Arial" w:hAnsi="Arial"/>
          <w:sz w:val="20"/>
          <w:lang w:val="en-US"/>
        </w:rPr>
      </w:pPr>
    </w:p>
    <w:p w14:paraId="34ABD9C5" w14:textId="64732CF7" w:rsidR="00F6344E" w:rsidRPr="00A519D0" w:rsidRDefault="00F6344E" w:rsidP="00A75696">
      <w:pPr>
        <w:pStyle w:val="Telobesedila"/>
        <w:numPr>
          <w:ilvl w:val="0"/>
          <w:numId w:val="5"/>
        </w:numPr>
        <w:ind w:right="-22"/>
        <w:rPr>
          <w:rFonts w:ascii="Arial" w:hAnsi="Arial"/>
          <w:sz w:val="20"/>
          <w:lang w:val="en-US"/>
        </w:rPr>
      </w:pPr>
      <w:r w:rsidRPr="00A519D0">
        <w:rPr>
          <w:rFonts w:ascii="Arial" w:hAnsi="Arial"/>
          <w:sz w:val="20"/>
          <w:lang w:val="en-US"/>
        </w:rPr>
        <w:t xml:space="preserve">data on transfers of cash equal or exceeding 10.000 EUR when crossing the Slovenian part of the EU border, according to the Regulation of the European Parliament and of the Council on controls of cash entering or leaving the Community (hereinafter: cash transfers crossing the EU borders). </w:t>
      </w:r>
    </w:p>
    <w:p w14:paraId="77CB0134" w14:textId="77777777" w:rsidR="00F6344E" w:rsidRPr="00A519D0" w:rsidRDefault="00F6344E" w:rsidP="00B65A09">
      <w:pPr>
        <w:rPr>
          <w:lang w:val="en-US"/>
        </w:rPr>
      </w:pPr>
    </w:p>
    <w:p w14:paraId="32BCACB7" w14:textId="14B7D263" w:rsidR="00B65A09" w:rsidRPr="00A519D0" w:rsidRDefault="00F6344E" w:rsidP="00B65A09">
      <w:pPr>
        <w:pStyle w:val="Naslov2"/>
        <w:rPr>
          <w:lang w:val="en-US"/>
        </w:rPr>
      </w:pPr>
      <w:bookmarkStart w:id="4" w:name="_Toc119581677"/>
      <w:r w:rsidRPr="00A519D0">
        <w:rPr>
          <w:lang w:val="en-US"/>
        </w:rPr>
        <w:t>CASH TRANSACTIOND EXCEEDING</w:t>
      </w:r>
      <w:r w:rsidR="00B65A09" w:rsidRPr="00A519D0">
        <w:rPr>
          <w:lang w:val="en-US"/>
        </w:rPr>
        <w:t xml:space="preserve"> 15.000 EUR</w:t>
      </w:r>
      <w:bookmarkEnd w:id="4"/>
    </w:p>
    <w:p w14:paraId="6B0ECC65" w14:textId="77777777" w:rsidR="006C1BCF" w:rsidRPr="00A519D0" w:rsidRDefault="006C1BCF" w:rsidP="006C1BCF">
      <w:pPr>
        <w:rPr>
          <w:lang w:val="en-US"/>
        </w:rPr>
      </w:pPr>
    </w:p>
    <w:p w14:paraId="78D069BE" w14:textId="618034FB" w:rsidR="00F6344E" w:rsidRPr="00A519D0" w:rsidRDefault="00F6344E" w:rsidP="00F6344E">
      <w:pPr>
        <w:pStyle w:val="Telobesedila"/>
        <w:ind w:right="-22"/>
        <w:rPr>
          <w:rFonts w:ascii="Arial" w:hAnsi="Arial"/>
          <w:sz w:val="20"/>
          <w:lang w:val="en-US"/>
        </w:rPr>
      </w:pPr>
      <w:r w:rsidRPr="00A519D0">
        <w:rPr>
          <w:rFonts w:ascii="Arial" w:hAnsi="Arial"/>
          <w:sz w:val="20"/>
          <w:lang w:val="en-US"/>
        </w:rPr>
        <w:t xml:space="preserve">Since 19 November 2016, according to Article 68 of APMLFT-1, obliged entities </w:t>
      </w:r>
      <w:proofErr w:type="gramStart"/>
      <w:r w:rsidRPr="00A519D0">
        <w:rPr>
          <w:rFonts w:ascii="Arial" w:hAnsi="Arial"/>
          <w:sz w:val="20"/>
          <w:lang w:val="en-US"/>
        </w:rPr>
        <w:t>have to</w:t>
      </w:r>
      <w:proofErr w:type="gramEnd"/>
      <w:r w:rsidRPr="00A519D0">
        <w:rPr>
          <w:rFonts w:ascii="Arial" w:hAnsi="Arial"/>
          <w:sz w:val="20"/>
          <w:lang w:val="en-US"/>
        </w:rPr>
        <w:t xml:space="preserve"> send to the OMLP reports on cash transactions exceeding 15.000 EUR. Since 1 September 2017, when the Rules on the method of reporting data to the OMLP (Official Gazette of the Republic of Slovenia No. 32/17) came into force, the obliged entities </w:t>
      </w:r>
      <w:proofErr w:type="gramStart"/>
      <w:r w:rsidRPr="00A519D0">
        <w:rPr>
          <w:rFonts w:ascii="Arial" w:hAnsi="Arial"/>
          <w:sz w:val="20"/>
          <w:lang w:val="en-US"/>
        </w:rPr>
        <w:t>have to</w:t>
      </w:r>
      <w:proofErr w:type="gramEnd"/>
      <w:r w:rsidRPr="00A519D0">
        <w:rPr>
          <w:rFonts w:ascii="Arial" w:hAnsi="Arial"/>
          <w:sz w:val="20"/>
          <w:lang w:val="en-US"/>
        </w:rPr>
        <w:t xml:space="preserve"> send data on cash transactions via protected electronic connection.  </w:t>
      </w:r>
    </w:p>
    <w:p w14:paraId="0E7D636B" w14:textId="77777777" w:rsidR="006C1BCF" w:rsidRPr="00A519D0" w:rsidRDefault="006C1BCF" w:rsidP="00F6344E">
      <w:pPr>
        <w:pStyle w:val="Telobesedila"/>
        <w:ind w:right="-22"/>
        <w:rPr>
          <w:rFonts w:ascii="Arial" w:hAnsi="Arial"/>
          <w:sz w:val="20"/>
          <w:lang w:val="en-US"/>
        </w:rPr>
      </w:pPr>
    </w:p>
    <w:p w14:paraId="42ADE314" w14:textId="177BA729" w:rsidR="006C1BCF" w:rsidRPr="00A519D0" w:rsidRDefault="006C1BCF" w:rsidP="006C1BCF">
      <w:pPr>
        <w:rPr>
          <w:rFonts w:cs="Arial"/>
          <w:szCs w:val="20"/>
          <w:lang w:val="en-US" w:eastAsia="sl-SI"/>
        </w:rPr>
      </w:pPr>
      <w:r w:rsidRPr="00A519D0">
        <w:rPr>
          <w:b/>
          <w:sz w:val="23"/>
          <w:szCs w:val="23"/>
          <w:lang w:val="en-US"/>
        </w:rPr>
        <w:t>I</w:t>
      </w:r>
      <w:r w:rsidRPr="00A519D0">
        <w:rPr>
          <w:rFonts w:cs="Arial"/>
          <w:b/>
          <w:szCs w:val="20"/>
          <w:lang w:val="en-US"/>
        </w:rPr>
        <w:t>n 2021, the OMLP received data (via protected electronic connection) from obliged entities on 42.980</w:t>
      </w:r>
      <w:r w:rsidR="0009234A" w:rsidRPr="00A519D0">
        <w:rPr>
          <w:rFonts w:cs="Arial"/>
          <w:b/>
          <w:szCs w:val="20"/>
          <w:lang w:val="en-US"/>
        </w:rPr>
        <w:t xml:space="preserve"> cash transactions</w:t>
      </w:r>
      <w:r w:rsidRPr="00A519D0">
        <w:rPr>
          <w:rFonts w:cs="Arial"/>
          <w:b/>
          <w:szCs w:val="20"/>
          <w:vertAlign w:val="superscript"/>
          <w:lang w:val="en-US"/>
        </w:rPr>
        <w:footnoteReference w:id="6"/>
      </w:r>
      <w:r w:rsidRPr="00A519D0">
        <w:rPr>
          <w:rFonts w:cs="Arial"/>
          <w:b/>
          <w:szCs w:val="20"/>
          <w:lang w:val="en-US"/>
        </w:rPr>
        <w:t xml:space="preserve"> exceeding 15.000 EUR in the total amount 1.536.055.994 </w:t>
      </w:r>
      <w:r w:rsidRPr="00A519D0">
        <w:rPr>
          <w:rFonts w:cs="Arial"/>
          <w:b/>
          <w:szCs w:val="20"/>
          <w:lang w:val="en-US" w:eastAsia="sl-SI"/>
        </w:rPr>
        <w:t>EUR</w:t>
      </w:r>
      <w:r w:rsidRPr="00A519D0">
        <w:rPr>
          <w:rFonts w:cs="Arial"/>
          <w:szCs w:val="20"/>
          <w:lang w:val="en-US" w:eastAsia="sl-SI"/>
        </w:rPr>
        <w:t>.</w:t>
      </w:r>
    </w:p>
    <w:p w14:paraId="5C12CF07" w14:textId="112DDC22" w:rsidR="00F6344E" w:rsidRPr="00A519D0" w:rsidRDefault="00F6344E" w:rsidP="00F6344E">
      <w:pPr>
        <w:pStyle w:val="Telobesedila"/>
        <w:ind w:right="-22"/>
        <w:rPr>
          <w:rFonts w:ascii="Arial" w:hAnsi="Arial"/>
          <w:b/>
          <w:bCs/>
          <w:sz w:val="20"/>
          <w:lang w:val="en-US"/>
        </w:rPr>
      </w:pPr>
      <w:r w:rsidRPr="00A519D0">
        <w:rPr>
          <w:rFonts w:ascii="Arial" w:hAnsi="Arial"/>
          <w:sz w:val="20"/>
          <w:lang w:val="en-US"/>
        </w:rPr>
        <w:t>The share of reported cash transactions by sectors has been similar as in previous years, where we</w:t>
      </w:r>
      <w:r w:rsidR="007B67CF">
        <w:rPr>
          <w:rFonts w:ascii="Arial" w:hAnsi="Arial"/>
          <w:sz w:val="20"/>
          <w:lang w:val="en-US"/>
        </w:rPr>
        <w:t xml:space="preserve"> </w:t>
      </w:r>
      <w:r w:rsidRPr="00A519D0">
        <w:rPr>
          <w:rFonts w:ascii="Arial" w:hAnsi="Arial"/>
          <w:sz w:val="20"/>
          <w:lang w:val="en-US"/>
        </w:rPr>
        <w:t xml:space="preserve">jointly display the number of reported cash transactions for casinos together with gaming saloons and savings houses with savings and loan services. </w:t>
      </w:r>
      <w:r w:rsidRPr="00A519D0">
        <w:rPr>
          <w:rFonts w:ascii="Arial" w:hAnsi="Arial"/>
          <w:b/>
          <w:bCs/>
          <w:sz w:val="20"/>
          <w:lang w:val="en-US"/>
        </w:rPr>
        <w:t xml:space="preserve">It has been established, that – in comparison with the year </w:t>
      </w:r>
      <w:r w:rsidR="005F42F5" w:rsidRPr="00A519D0">
        <w:rPr>
          <w:rFonts w:ascii="Arial" w:hAnsi="Arial"/>
          <w:b/>
          <w:bCs/>
          <w:sz w:val="20"/>
          <w:lang w:val="en-US"/>
        </w:rPr>
        <w:t>2020</w:t>
      </w:r>
      <w:r w:rsidRPr="00A519D0">
        <w:rPr>
          <w:rFonts w:ascii="Arial" w:hAnsi="Arial"/>
          <w:b/>
          <w:bCs/>
          <w:sz w:val="20"/>
          <w:lang w:val="en-US"/>
        </w:rPr>
        <w:t xml:space="preserve"> - the total amount of funds in all reported cash transactions increased for </w:t>
      </w:r>
      <w:r w:rsidR="005F42F5" w:rsidRPr="00A519D0">
        <w:rPr>
          <w:rFonts w:ascii="Arial" w:hAnsi="Arial"/>
          <w:b/>
          <w:bCs/>
          <w:sz w:val="20"/>
          <w:lang w:val="en-US"/>
        </w:rPr>
        <w:t>19,9</w:t>
      </w:r>
      <w:r w:rsidRPr="00A519D0">
        <w:rPr>
          <w:rFonts w:ascii="Arial" w:hAnsi="Arial"/>
          <w:b/>
          <w:bCs/>
          <w:sz w:val="20"/>
          <w:lang w:val="en-US"/>
        </w:rPr>
        <w:t xml:space="preserve">%, whereas the number of transactions themselves </w:t>
      </w:r>
      <w:r w:rsidR="005F42F5" w:rsidRPr="00A519D0">
        <w:rPr>
          <w:rFonts w:ascii="Arial" w:hAnsi="Arial"/>
          <w:b/>
          <w:bCs/>
          <w:sz w:val="20"/>
          <w:lang w:val="en-US"/>
        </w:rPr>
        <w:t>in</w:t>
      </w:r>
      <w:r w:rsidRPr="00A519D0">
        <w:rPr>
          <w:rFonts w:ascii="Arial" w:hAnsi="Arial"/>
          <w:b/>
          <w:bCs/>
          <w:sz w:val="20"/>
          <w:lang w:val="en-US"/>
        </w:rPr>
        <w:t xml:space="preserve">creased for </w:t>
      </w:r>
      <w:r w:rsidR="005F42F5" w:rsidRPr="00A519D0">
        <w:rPr>
          <w:rFonts w:ascii="Arial" w:hAnsi="Arial"/>
          <w:b/>
          <w:bCs/>
          <w:sz w:val="20"/>
          <w:lang w:val="en-US"/>
        </w:rPr>
        <w:t>18,7</w:t>
      </w:r>
      <w:r w:rsidRPr="00A519D0">
        <w:rPr>
          <w:rFonts w:ascii="Arial" w:hAnsi="Arial"/>
          <w:b/>
          <w:bCs/>
          <w:sz w:val="20"/>
          <w:lang w:val="en-US"/>
        </w:rPr>
        <w:t xml:space="preserve">%. </w:t>
      </w:r>
    </w:p>
    <w:p w14:paraId="589D30C2" w14:textId="77777777" w:rsidR="00F6344E" w:rsidRPr="00A519D0" w:rsidRDefault="00F6344E" w:rsidP="00F6344E">
      <w:pPr>
        <w:pStyle w:val="Telobesedila"/>
        <w:ind w:right="-22"/>
        <w:rPr>
          <w:sz w:val="23"/>
          <w:szCs w:val="23"/>
          <w:lang w:val="en-US"/>
        </w:rPr>
      </w:pPr>
    </w:p>
    <w:p w14:paraId="001858C5" w14:textId="2762C9D0" w:rsidR="00B65A09" w:rsidRPr="00A519D0" w:rsidRDefault="005F42F5" w:rsidP="00D22B13">
      <w:pPr>
        <w:spacing w:line="276" w:lineRule="auto"/>
        <w:ind w:left="1418" w:right="-22" w:hanging="1418"/>
        <w:rPr>
          <w:b/>
          <w:bCs/>
          <w:i/>
          <w:iCs/>
          <w:sz w:val="18"/>
          <w:szCs w:val="18"/>
          <w:lang w:val="en-US"/>
        </w:rPr>
      </w:pPr>
      <w:r w:rsidRPr="00A519D0">
        <w:rPr>
          <w:b/>
          <w:bCs/>
          <w:i/>
          <w:iCs/>
          <w:sz w:val="18"/>
          <w:szCs w:val="18"/>
          <w:lang w:val="en-US"/>
        </w:rPr>
        <w:t xml:space="preserve">Table </w:t>
      </w:r>
      <w:r w:rsidR="00954E99" w:rsidRPr="00A519D0">
        <w:rPr>
          <w:b/>
          <w:bCs/>
          <w:i/>
          <w:iCs/>
          <w:sz w:val="18"/>
          <w:szCs w:val="18"/>
          <w:lang w:val="en-US"/>
        </w:rPr>
        <w:t xml:space="preserve"> </w:t>
      </w:r>
      <w:r w:rsidR="00954E99" w:rsidRPr="00A519D0">
        <w:rPr>
          <w:b/>
          <w:bCs/>
          <w:i/>
          <w:iCs/>
          <w:sz w:val="18"/>
          <w:szCs w:val="18"/>
          <w:lang w:val="en-US"/>
        </w:rPr>
        <w:fldChar w:fldCharType="begin"/>
      </w:r>
      <w:r w:rsidR="00954E99" w:rsidRPr="00A519D0">
        <w:rPr>
          <w:b/>
          <w:bCs/>
          <w:i/>
          <w:iCs/>
          <w:sz w:val="18"/>
          <w:szCs w:val="18"/>
          <w:lang w:val="en-US"/>
        </w:rPr>
        <w:instrText xml:space="preserve"> SEQ Tabela \* ARABIC </w:instrText>
      </w:r>
      <w:r w:rsidR="00954E99" w:rsidRPr="00A519D0">
        <w:rPr>
          <w:b/>
          <w:bCs/>
          <w:i/>
          <w:iCs/>
          <w:sz w:val="18"/>
          <w:szCs w:val="18"/>
          <w:lang w:val="en-US"/>
        </w:rPr>
        <w:fldChar w:fldCharType="separate"/>
      </w:r>
      <w:r w:rsidR="0035326B" w:rsidRPr="00A519D0">
        <w:rPr>
          <w:b/>
          <w:bCs/>
          <w:i/>
          <w:iCs/>
          <w:sz w:val="18"/>
          <w:szCs w:val="18"/>
          <w:lang w:val="en-US"/>
        </w:rPr>
        <w:t>1</w:t>
      </w:r>
      <w:r w:rsidR="00954E99" w:rsidRPr="00A519D0">
        <w:rPr>
          <w:b/>
          <w:bCs/>
          <w:i/>
          <w:iCs/>
          <w:sz w:val="18"/>
          <w:szCs w:val="18"/>
          <w:lang w:val="en-US"/>
        </w:rPr>
        <w:fldChar w:fldCharType="end"/>
      </w:r>
      <w:r w:rsidR="00954E99" w:rsidRPr="00A519D0">
        <w:rPr>
          <w:b/>
          <w:bCs/>
          <w:i/>
          <w:iCs/>
          <w:sz w:val="18"/>
          <w:szCs w:val="18"/>
          <w:lang w:val="en-US"/>
        </w:rPr>
        <w:t>:</w:t>
      </w:r>
      <w:r w:rsidR="00954E99" w:rsidRPr="00A519D0">
        <w:rPr>
          <w:b/>
          <w:bCs/>
          <w:i/>
          <w:iCs/>
          <w:sz w:val="18"/>
          <w:szCs w:val="18"/>
          <w:lang w:val="en-US"/>
        </w:rPr>
        <w:tab/>
      </w:r>
      <w:r w:rsidRPr="00A519D0">
        <w:rPr>
          <w:b/>
          <w:i/>
          <w:lang w:val="en-US"/>
        </w:rPr>
        <w:t xml:space="preserve">Number and share of cash transactions exceeding </w:t>
      </w:r>
      <w:r w:rsidR="007B67CF">
        <w:rPr>
          <w:b/>
          <w:i/>
          <w:lang w:val="en-US"/>
        </w:rPr>
        <w:t>15</w:t>
      </w:r>
      <w:r w:rsidRPr="00A519D0">
        <w:rPr>
          <w:b/>
          <w:i/>
          <w:lang w:val="en-US"/>
        </w:rPr>
        <w:t xml:space="preserve">.000 EUR in the period 2019-2021 by obliged </w:t>
      </w:r>
      <w:r w:rsidR="008038AA" w:rsidRPr="00A519D0">
        <w:rPr>
          <w:b/>
          <w:i/>
          <w:lang w:val="en-US"/>
        </w:rPr>
        <w:t>entities.</w:t>
      </w:r>
    </w:p>
    <w:tbl>
      <w:tblPr>
        <w:tblStyle w:val="Tabelatemnamrea5poudarek5"/>
        <w:tblW w:w="9209" w:type="dxa"/>
        <w:tblLook w:val="04A0" w:firstRow="1" w:lastRow="0" w:firstColumn="1" w:lastColumn="0" w:noHBand="0" w:noVBand="1"/>
      </w:tblPr>
      <w:tblGrid>
        <w:gridCol w:w="2106"/>
        <w:gridCol w:w="1496"/>
        <w:gridCol w:w="865"/>
        <w:gridCol w:w="1496"/>
        <w:gridCol w:w="860"/>
        <w:gridCol w:w="1496"/>
        <w:gridCol w:w="890"/>
      </w:tblGrid>
      <w:tr w:rsidR="00A9101E" w:rsidRPr="00A519D0" w14:paraId="3B46818A" w14:textId="77777777" w:rsidTr="00F56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540AF29" w14:textId="72D460F7" w:rsidR="006331D8" w:rsidRPr="00A519D0" w:rsidRDefault="005F42F5" w:rsidP="00F569C7">
            <w:pPr>
              <w:spacing w:line="360" w:lineRule="auto"/>
              <w:rPr>
                <w:color w:val="auto"/>
                <w:lang w:val="en-US"/>
              </w:rPr>
            </w:pPr>
            <w:r w:rsidRPr="00A519D0">
              <w:rPr>
                <w:color w:val="auto"/>
                <w:lang w:val="en-US"/>
              </w:rPr>
              <w:t>Obliged entity</w:t>
            </w:r>
          </w:p>
        </w:tc>
        <w:tc>
          <w:tcPr>
            <w:tcW w:w="1496" w:type="dxa"/>
          </w:tcPr>
          <w:p w14:paraId="6D8C7A0E" w14:textId="269E4E29" w:rsidR="006331D8" w:rsidRPr="00A519D0" w:rsidRDefault="006331D8" w:rsidP="00F569C7">
            <w:pPr>
              <w:spacing w:line="360" w:lineRule="auto"/>
              <w:jc w:val="right"/>
              <w:cnfStyle w:val="100000000000" w:firstRow="1" w:lastRow="0" w:firstColumn="0" w:lastColumn="0" w:oddVBand="0" w:evenVBand="0" w:oddHBand="0" w:evenHBand="0" w:firstRowFirstColumn="0" w:firstRowLastColumn="0" w:lastRowFirstColumn="0" w:lastRowLastColumn="0"/>
              <w:rPr>
                <w:color w:val="auto"/>
                <w:lang w:val="en-US"/>
              </w:rPr>
            </w:pPr>
            <w:r w:rsidRPr="00A519D0">
              <w:rPr>
                <w:color w:val="auto"/>
                <w:lang w:val="en-US"/>
              </w:rPr>
              <w:t>2019</w:t>
            </w:r>
          </w:p>
        </w:tc>
        <w:tc>
          <w:tcPr>
            <w:tcW w:w="956" w:type="dxa"/>
          </w:tcPr>
          <w:p w14:paraId="413353D6" w14:textId="77777777" w:rsidR="006331D8" w:rsidRPr="00A519D0" w:rsidRDefault="006331D8" w:rsidP="00F569C7">
            <w:pPr>
              <w:spacing w:line="360" w:lineRule="auto"/>
              <w:cnfStyle w:val="100000000000" w:firstRow="1" w:lastRow="0" w:firstColumn="0" w:lastColumn="0" w:oddVBand="0" w:evenVBand="0" w:oddHBand="0" w:evenHBand="0" w:firstRowFirstColumn="0" w:firstRowLastColumn="0" w:lastRowFirstColumn="0" w:lastRowLastColumn="0"/>
              <w:rPr>
                <w:color w:val="auto"/>
                <w:lang w:val="en-US"/>
              </w:rPr>
            </w:pPr>
          </w:p>
        </w:tc>
        <w:tc>
          <w:tcPr>
            <w:tcW w:w="1496" w:type="dxa"/>
          </w:tcPr>
          <w:p w14:paraId="6924102E" w14:textId="46F8EA0E" w:rsidR="006331D8" w:rsidRPr="00A519D0" w:rsidRDefault="006331D8" w:rsidP="00F569C7">
            <w:pPr>
              <w:spacing w:line="360" w:lineRule="auto"/>
              <w:jc w:val="right"/>
              <w:cnfStyle w:val="100000000000" w:firstRow="1" w:lastRow="0" w:firstColumn="0" w:lastColumn="0" w:oddVBand="0" w:evenVBand="0" w:oddHBand="0" w:evenHBand="0" w:firstRowFirstColumn="0" w:firstRowLastColumn="0" w:lastRowFirstColumn="0" w:lastRowLastColumn="0"/>
              <w:rPr>
                <w:color w:val="auto"/>
                <w:lang w:val="en-US"/>
              </w:rPr>
            </w:pPr>
            <w:r w:rsidRPr="00A519D0">
              <w:rPr>
                <w:color w:val="auto"/>
                <w:lang w:val="en-US"/>
              </w:rPr>
              <w:t>2020</w:t>
            </w:r>
          </w:p>
        </w:tc>
        <w:tc>
          <w:tcPr>
            <w:tcW w:w="947" w:type="dxa"/>
          </w:tcPr>
          <w:p w14:paraId="278DB3F1" w14:textId="77777777" w:rsidR="006331D8" w:rsidRPr="00A519D0" w:rsidRDefault="006331D8" w:rsidP="00F569C7">
            <w:pPr>
              <w:spacing w:line="360" w:lineRule="auto"/>
              <w:cnfStyle w:val="100000000000" w:firstRow="1" w:lastRow="0" w:firstColumn="0" w:lastColumn="0" w:oddVBand="0" w:evenVBand="0" w:oddHBand="0" w:evenHBand="0" w:firstRowFirstColumn="0" w:firstRowLastColumn="0" w:lastRowFirstColumn="0" w:lastRowLastColumn="0"/>
              <w:rPr>
                <w:color w:val="auto"/>
                <w:lang w:val="en-US"/>
              </w:rPr>
            </w:pPr>
          </w:p>
        </w:tc>
        <w:tc>
          <w:tcPr>
            <w:tcW w:w="1496" w:type="dxa"/>
          </w:tcPr>
          <w:p w14:paraId="023CE85D" w14:textId="5F88EEA9" w:rsidR="006331D8" w:rsidRPr="00A519D0" w:rsidRDefault="006331D8" w:rsidP="00F569C7">
            <w:pPr>
              <w:spacing w:line="360" w:lineRule="auto"/>
              <w:jc w:val="right"/>
              <w:cnfStyle w:val="100000000000" w:firstRow="1" w:lastRow="0" w:firstColumn="0" w:lastColumn="0" w:oddVBand="0" w:evenVBand="0" w:oddHBand="0" w:evenHBand="0" w:firstRowFirstColumn="0" w:firstRowLastColumn="0" w:lastRowFirstColumn="0" w:lastRowLastColumn="0"/>
              <w:rPr>
                <w:color w:val="auto"/>
                <w:lang w:val="en-US"/>
              </w:rPr>
            </w:pPr>
            <w:r w:rsidRPr="00A519D0">
              <w:rPr>
                <w:color w:val="auto"/>
                <w:lang w:val="en-US"/>
              </w:rPr>
              <w:t>2021</w:t>
            </w:r>
          </w:p>
        </w:tc>
        <w:tc>
          <w:tcPr>
            <w:tcW w:w="1001" w:type="dxa"/>
          </w:tcPr>
          <w:p w14:paraId="75AAFA05" w14:textId="77777777" w:rsidR="006331D8" w:rsidRPr="00A519D0" w:rsidRDefault="006331D8" w:rsidP="00F569C7">
            <w:pPr>
              <w:spacing w:line="360" w:lineRule="auto"/>
              <w:cnfStyle w:val="100000000000" w:firstRow="1" w:lastRow="0" w:firstColumn="0" w:lastColumn="0" w:oddVBand="0" w:evenVBand="0" w:oddHBand="0" w:evenHBand="0" w:firstRowFirstColumn="0" w:firstRowLastColumn="0" w:lastRowFirstColumn="0" w:lastRowLastColumn="0"/>
              <w:rPr>
                <w:color w:val="auto"/>
                <w:lang w:val="en-US"/>
              </w:rPr>
            </w:pPr>
          </w:p>
        </w:tc>
      </w:tr>
      <w:tr w:rsidR="005F3C70" w:rsidRPr="00A519D0" w14:paraId="3354B571" w14:textId="77777777" w:rsidTr="00F5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AE44EF2" w14:textId="77777777" w:rsidR="006331D8" w:rsidRPr="00A519D0" w:rsidRDefault="006331D8" w:rsidP="00F569C7">
            <w:pPr>
              <w:spacing w:line="360" w:lineRule="auto"/>
              <w:rPr>
                <w:color w:val="auto"/>
                <w:lang w:val="en-US"/>
              </w:rPr>
            </w:pPr>
          </w:p>
        </w:tc>
        <w:tc>
          <w:tcPr>
            <w:tcW w:w="1496" w:type="dxa"/>
          </w:tcPr>
          <w:p w14:paraId="43B55C27" w14:textId="16013E6C" w:rsidR="006331D8" w:rsidRPr="00A519D0" w:rsidRDefault="005F42F5"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Number</w:t>
            </w:r>
          </w:p>
        </w:tc>
        <w:tc>
          <w:tcPr>
            <w:tcW w:w="956" w:type="dxa"/>
          </w:tcPr>
          <w:p w14:paraId="1F9D0D86" w14:textId="07497559" w:rsidR="006331D8" w:rsidRPr="00A519D0" w:rsidRDefault="005F42F5"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Share</w:t>
            </w:r>
          </w:p>
        </w:tc>
        <w:tc>
          <w:tcPr>
            <w:tcW w:w="1496" w:type="dxa"/>
          </w:tcPr>
          <w:p w14:paraId="671CA0D9" w14:textId="21E2E3DB" w:rsidR="006331D8" w:rsidRPr="00A519D0" w:rsidRDefault="005F42F5"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Number</w:t>
            </w:r>
          </w:p>
        </w:tc>
        <w:tc>
          <w:tcPr>
            <w:tcW w:w="947" w:type="dxa"/>
          </w:tcPr>
          <w:p w14:paraId="5053967F" w14:textId="3EDEF391" w:rsidR="006331D8" w:rsidRPr="00A519D0" w:rsidRDefault="005F42F5"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Share</w:t>
            </w:r>
          </w:p>
        </w:tc>
        <w:tc>
          <w:tcPr>
            <w:tcW w:w="1496" w:type="dxa"/>
          </w:tcPr>
          <w:p w14:paraId="31C17508" w14:textId="60056190" w:rsidR="006331D8" w:rsidRPr="00A519D0" w:rsidRDefault="005F42F5"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Number</w:t>
            </w:r>
          </w:p>
        </w:tc>
        <w:tc>
          <w:tcPr>
            <w:tcW w:w="1001" w:type="dxa"/>
          </w:tcPr>
          <w:p w14:paraId="65B38726" w14:textId="25D87BAF" w:rsidR="006331D8" w:rsidRPr="00A519D0" w:rsidRDefault="005F42F5"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Share</w:t>
            </w:r>
          </w:p>
        </w:tc>
      </w:tr>
      <w:tr w:rsidR="005F3C70" w:rsidRPr="00A519D0" w14:paraId="0CDAA91B" w14:textId="77777777" w:rsidTr="00F569C7">
        <w:tc>
          <w:tcPr>
            <w:cnfStyle w:val="001000000000" w:firstRow="0" w:lastRow="0" w:firstColumn="1" w:lastColumn="0" w:oddVBand="0" w:evenVBand="0" w:oddHBand="0" w:evenHBand="0" w:firstRowFirstColumn="0" w:firstRowLastColumn="0" w:lastRowFirstColumn="0" w:lastRowLastColumn="0"/>
            <w:tcW w:w="1817" w:type="dxa"/>
          </w:tcPr>
          <w:p w14:paraId="53C17476" w14:textId="735B265B" w:rsidR="006331D8" w:rsidRPr="00A519D0" w:rsidRDefault="005F42F5" w:rsidP="00F569C7">
            <w:pPr>
              <w:spacing w:line="360" w:lineRule="auto"/>
              <w:rPr>
                <w:color w:val="auto"/>
                <w:lang w:val="en-US"/>
              </w:rPr>
            </w:pPr>
            <w:r w:rsidRPr="00A519D0">
              <w:rPr>
                <w:color w:val="auto"/>
                <w:lang w:val="en-US"/>
              </w:rPr>
              <w:t>Banks</w:t>
            </w:r>
          </w:p>
        </w:tc>
        <w:tc>
          <w:tcPr>
            <w:tcW w:w="1496" w:type="dxa"/>
          </w:tcPr>
          <w:p w14:paraId="3F9DA67D" w14:textId="620B2685"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35.157</w:t>
            </w:r>
          </w:p>
        </w:tc>
        <w:tc>
          <w:tcPr>
            <w:tcW w:w="956" w:type="dxa"/>
          </w:tcPr>
          <w:p w14:paraId="1E08D82A" w14:textId="226AAFDB"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82,03 %</w:t>
            </w:r>
          </w:p>
        </w:tc>
        <w:tc>
          <w:tcPr>
            <w:tcW w:w="1496" w:type="dxa"/>
          </w:tcPr>
          <w:p w14:paraId="54597310" w14:textId="69119BBC"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30.769</w:t>
            </w:r>
          </w:p>
        </w:tc>
        <w:tc>
          <w:tcPr>
            <w:tcW w:w="947" w:type="dxa"/>
          </w:tcPr>
          <w:p w14:paraId="06A0024F" w14:textId="102F12CE"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85,01 %</w:t>
            </w:r>
          </w:p>
        </w:tc>
        <w:tc>
          <w:tcPr>
            <w:tcW w:w="1496" w:type="dxa"/>
          </w:tcPr>
          <w:p w14:paraId="43854DD7" w14:textId="6F49ABFA"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35.358</w:t>
            </w:r>
          </w:p>
        </w:tc>
        <w:tc>
          <w:tcPr>
            <w:tcW w:w="1001" w:type="dxa"/>
          </w:tcPr>
          <w:p w14:paraId="6C081356" w14:textId="27C6F493"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82,27 %</w:t>
            </w:r>
          </w:p>
        </w:tc>
      </w:tr>
      <w:tr w:rsidR="005F3C70" w:rsidRPr="00A519D0" w14:paraId="0ABA2BF0" w14:textId="77777777" w:rsidTr="00F5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3B9622C9" w14:textId="05075EEB" w:rsidR="006331D8" w:rsidRPr="00A519D0" w:rsidRDefault="005F42F5" w:rsidP="00F569C7">
            <w:pPr>
              <w:spacing w:line="360" w:lineRule="auto"/>
              <w:rPr>
                <w:color w:val="auto"/>
                <w:lang w:val="en-US"/>
              </w:rPr>
            </w:pPr>
            <w:r w:rsidRPr="00A519D0">
              <w:rPr>
                <w:color w:val="auto"/>
                <w:lang w:val="en-US"/>
              </w:rPr>
              <w:t>Saving Houses</w:t>
            </w:r>
          </w:p>
        </w:tc>
        <w:tc>
          <w:tcPr>
            <w:tcW w:w="1496" w:type="dxa"/>
          </w:tcPr>
          <w:p w14:paraId="09C158C8" w14:textId="6E8A7FC9"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4.568</w:t>
            </w:r>
          </w:p>
        </w:tc>
        <w:tc>
          <w:tcPr>
            <w:tcW w:w="956" w:type="dxa"/>
          </w:tcPr>
          <w:p w14:paraId="5977A960" w14:textId="33C3519D"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10,66 %</w:t>
            </w:r>
          </w:p>
        </w:tc>
        <w:tc>
          <w:tcPr>
            <w:tcW w:w="1496" w:type="dxa"/>
          </w:tcPr>
          <w:p w14:paraId="5EA9B4F8" w14:textId="0192209E"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3.652</w:t>
            </w:r>
          </w:p>
        </w:tc>
        <w:tc>
          <w:tcPr>
            <w:tcW w:w="947" w:type="dxa"/>
          </w:tcPr>
          <w:p w14:paraId="2F9079EB" w14:textId="5B26E9F7"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10,09 %</w:t>
            </w:r>
          </w:p>
        </w:tc>
        <w:tc>
          <w:tcPr>
            <w:tcW w:w="1496" w:type="dxa"/>
          </w:tcPr>
          <w:p w14:paraId="54A1EE75" w14:textId="2EFBB67E"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4.195</w:t>
            </w:r>
          </w:p>
        </w:tc>
        <w:tc>
          <w:tcPr>
            <w:tcW w:w="1001" w:type="dxa"/>
          </w:tcPr>
          <w:p w14:paraId="6345E049" w14:textId="07A73149"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9,76 %</w:t>
            </w:r>
          </w:p>
        </w:tc>
      </w:tr>
      <w:tr w:rsidR="005F3C70" w:rsidRPr="00A519D0" w14:paraId="0CBE4BEF" w14:textId="77777777" w:rsidTr="00F569C7">
        <w:tc>
          <w:tcPr>
            <w:cnfStyle w:val="001000000000" w:firstRow="0" w:lastRow="0" w:firstColumn="1" w:lastColumn="0" w:oddVBand="0" w:evenVBand="0" w:oddHBand="0" w:evenHBand="0" w:firstRowFirstColumn="0" w:firstRowLastColumn="0" w:lastRowFirstColumn="0" w:lastRowLastColumn="0"/>
            <w:tcW w:w="1817" w:type="dxa"/>
          </w:tcPr>
          <w:p w14:paraId="23343A61" w14:textId="14D0489F" w:rsidR="006331D8" w:rsidRPr="00A519D0" w:rsidRDefault="005F42F5" w:rsidP="00F569C7">
            <w:pPr>
              <w:spacing w:line="360" w:lineRule="auto"/>
              <w:rPr>
                <w:color w:val="auto"/>
                <w:lang w:val="en-US"/>
              </w:rPr>
            </w:pPr>
            <w:r w:rsidRPr="00A519D0">
              <w:rPr>
                <w:color w:val="auto"/>
                <w:lang w:val="en-US"/>
              </w:rPr>
              <w:t>Casinos</w:t>
            </w:r>
          </w:p>
        </w:tc>
        <w:tc>
          <w:tcPr>
            <w:tcW w:w="1496" w:type="dxa"/>
          </w:tcPr>
          <w:p w14:paraId="25B06AD0" w14:textId="10E05D96"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3.113</w:t>
            </w:r>
          </w:p>
        </w:tc>
        <w:tc>
          <w:tcPr>
            <w:tcW w:w="956" w:type="dxa"/>
          </w:tcPr>
          <w:p w14:paraId="7BFE83A7" w14:textId="602478AD"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7,26 %</w:t>
            </w:r>
          </w:p>
        </w:tc>
        <w:tc>
          <w:tcPr>
            <w:tcW w:w="1496" w:type="dxa"/>
          </w:tcPr>
          <w:p w14:paraId="6E0D928E" w14:textId="6151EB41"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1.771</w:t>
            </w:r>
          </w:p>
        </w:tc>
        <w:tc>
          <w:tcPr>
            <w:tcW w:w="947" w:type="dxa"/>
          </w:tcPr>
          <w:p w14:paraId="19BC3937" w14:textId="1176084F"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4,89 %</w:t>
            </w:r>
          </w:p>
        </w:tc>
        <w:tc>
          <w:tcPr>
            <w:tcW w:w="1496" w:type="dxa"/>
          </w:tcPr>
          <w:p w14:paraId="64EBAE8C" w14:textId="25685D8C"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3.410</w:t>
            </w:r>
          </w:p>
        </w:tc>
        <w:tc>
          <w:tcPr>
            <w:tcW w:w="1001" w:type="dxa"/>
          </w:tcPr>
          <w:p w14:paraId="40941A35" w14:textId="7EB784E6"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7,93 %</w:t>
            </w:r>
          </w:p>
        </w:tc>
      </w:tr>
      <w:tr w:rsidR="005F3C70" w:rsidRPr="00A519D0" w14:paraId="3AD36F65" w14:textId="77777777" w:rsidTr="00F5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7B73B9C8" w14:textId="536519A0" w:rsidR="006331D8" w:rsidRPr="00A519D0" w:rsidRDefault="005F42F5" w:rsidP="00F569C7">
            <w:pPr>
              <w:spacing w:line="360" w:lineRule="auto"/>
              <w:rPr>
                <w:color w:val="auto"/>
                <w:lang w:val="en-US"/>
              </w:rPr>
            </w:pPr>
            <w:r w:rsidRPr="00A519D0">
              <w:rPr>
                <w:color w:val="auto"/>
                <w:lang w:val="en-US"/>
              </w:rPr>
              <w:t>Notaries</w:t>
            </w:r>
            <w:r w:rsidR="006331D8" w:rsidRPr="00A519D0">
              <w:rPr>
                <w:color w:val="auto"/>
                <w:lang w:val="en-US"/>
              </w:rPr>
              <w:t>/</w:t>
            </w:r>
            <w:r w:rsidRPr="00A519D0">
              <w:rPr>
                <w:color w:val="auto"/>
                <w:lang w:val="en-US"/>
              </w:rPr>
              <w:t>Lawyers</w:t>
            </w:r>
          </w:p>
        </w:tc>
        <w:tc>
          <w:tcPr>
            <w:tcW w:w="1496" w:type="dxa"/>
          </w:tcPr>
          <w:p w14:paraId="21AB2312" w14:textId="7CE0B6C1"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17</w:t>
            </w:r>
          </w:p>
        </w:tc>
        <w:tc>
          <w:tcPr>
            <w:tcW w:w="956" w:type="dxa"/>
          </w:tcPr>
          <w:p w14:paraId="3D6D354B" w14:textId="688A4047"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0,04 %</w:t>
            </w:r>
          </w:p>
        </w:tc>
        <w:tc>
          <w:tcPr>
            <w:tcW w:w="1496" w:type="dxa"/>
          </w:tcPr>
          <w:p w14:paraId="21A24A3A" w14:textId="1AD0C581"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1</w:t>
            </w:r>
          </w:p>
        </w:tc>
        <w:tc>
          <w:tcPr>
            <w:tcW w:w="947" w:type="dxa"/>
          </w:tcPr>
          <w:p w14:paraId="6A064D96" w14:textId="7CF5FD5B"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0,00 %</w:t>
            </w:r>
          </w:p>
        </w:tc>
        <w:tc>
          <w:tcPr>
            <w:tcW w:w="1496" w:type="dxa"/>
          </w:tcPr>
          <w:p w14:paraId="0EDB6E61" w14:textId="0405867F"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2</w:t>
            </w:r>
          </w:p>
        </w:tc>
        <w:tc>
          <w:tcPr>
            <w:tcW w:w="1001" w:type="dxa"/>
          </w:tcPr>
          <w:p w14:paraId="13262E85" w14:textId="60B1E4B5"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A519D0">
              <w:rPr>
                <w:lang w:val="en-US"/>
              </w:rPr>
              <w:t>0,00 %</w:t>
            </w:r>
          </w:p>
        </w:tc>
      </w:tr>
      <w:tr w:rsidR="005F3C70" w:rsidRPr="00A519D0" w14:paraId="53EA057B" w14:textId="77777777" w:rsidTr="00F569C7">
        <w:tc>
          <w:tcPr>
            <w:cnfStyle w:val="001000000000" w:firstRow="0" w:lastRow="0" w:firstColumn="1" w:lastColumn="0" w:oddVBand="0" w:evenVBand="0" w:oddHBand="0" w:evenHBand="0" w:firstRowFirstColumn="0" w:firstRowLastColumn="0" w:lastRowFirstColumn="0" w:lastRowLastColumn="0"/>
            <w:tcW w:w="1817" w:type="dxa"/>
          </w:tcPr>
          <w:p w14:paraId="5C654FAE" w14:textId="76E4F27F" w:rsidR="006331D8" w:rsidRPr="00A519D0" w:rsidRDefault="005F42F5" w:rsidP="00F569C7">
            <w:pPr>
              <w:spacing w:line="360" w:lineRule="auto"/>
              <w:rPr>
                <w:color w:val="auto"/>
                <w:lang w:val="en-US"/>
              </w:rPr>
            </w:pPr>
            <w:r w:rsidRPr="00A519D0">
              <w:rPr>
                <w:color w:val="auto"/>
                <w:lang w:val="en-US"/>
              </w:rPr>
              <w:t>Others</w:t>
            </w:r>
          </w:p>
        </w:tc>
        <w:tc>
          <w:tcPr>
            <w:tcW w:w="1496" w:type="dxa"/>
          </w:tcPr>
          <w:p w14:paraId="35AEA5D2" w14:textId="547CE787"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6</w:t>
            </w:r>
          </w:p>
        </w:tc>
        <w:tc>
          <w:tcPr>
            <w:tcW w:w="956" w:type="dxa"/>
          </w:tcPr>
          <w:p w14:paraId="081C3A71" w14:textId="43FD5B8E"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0,01 %</w:t>
            </w:r>
          </w:p>
        </w:tc>
        <w:tc>
          <w:tcPr>
            <w:tcW w:w="1496" w:type="dxa"/>
          </w:tcPr>
          <w:p w14:paraId="3DFAA9AA" w14:textId="69AE2EC6"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2</w:t>
            </w:r>
          </w:p>
        </w:tc>
        <w:tc>
          <w:tcPr>
            <w:tcW w:w="947" w:type="dxa"/>
          </w:tcPr>
          <w:p w14:paraId="544BA377" w14:textId="7606CF7D"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0,01 %</w:t>
            </w:r>
          </w:p>
        </w:tc>
        <w:tc>
          <w:tcPr>
            <w:tcW w:w="1496" w:type="dxa"/>
          </w:tcPr>
          <w:p w14:paraId="74CAFBB9" w14:textId="4E5F515E"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15</w:t>
            </w:r>
          </w:p>
        </w:tc>
        <w:tc>
          <w:tcPr>
            <w:tcW w:w="1001" w:type="dxa"/>
          </w:tcPr>
          <w:p w14:paraId="2A27CCD6" w14:textId="2821B3E3"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A519D0">
              <w:rPr>
                <w:lang w:val="en-US"/>
              </w:rPr>
              <w:t>0,03 %</w:t>
            </w:r>
          </w:p>
        </w:tc>
      </w:tr>
      <w:tr w:rsidR="005F3C70" w:rsidRPr="00A519D0" w14:paraId="316200F9" w14:textId="77777777" w:rsidTr="00F5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53E1346C" w14:textId="1DCAF360" w:rsidR="006331D8" w:rsidRPr="00A519D0" w:rsidRDefault="002D33E7" w:rsidP="00F569C7">
            <w:pPr>
              <w:spacing w:line="360" w:lineRule="auto"/>
              <w:rPr>
                <w:color w:val="auto"/>
                <w:lang w:val="en-US"/>
              </w:rPr>
            </w:pPr>
            <w:r w:rsidRPr="00A519D0">
              <w:rPr>
                <w:color w:val="auto"/>
                <w:lang w:val="en-US"/>
              </w:rPr>
              <w:t>Total cash transactions</w:t>
            </w:r>
          </w:p>
        </w:tc>
        <w:tc>
          <w:tcPr>
            <w:tcW w:w="1496" w:type="dxa"/>
          </w:tcPr>
          <w:p w14:paraId="01A4ECED" w14:textId="4A299538"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sidRPr="00A519D0">
              <w:rPr>
                <w:b/>
                <w:bCs/>
                <w:lang w:val="en-US"/>
              </w:rPr>
              <w:t>42.879</w:t>
            </w:r>
          </w:p>
        </w:tc>
        <w:tc>
          <w:tcPr>
            <w:tcW w:w="956" w:type="dxa"/>
          </w:tcPr>
          <w:p w14:paraId="2F2203D6" w14:textId="77777777"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p>
        </w:tc>
        <w:tc>
          <w:tcPr>
            <w:tcW w:w="1496" w:type="dxa"/>
          </w:tcPr>
          <w:p w14:paraId="46F9E403" w14:textId="3B76D9F5"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sidRPr="00A519D0">
              <w:rPr>
                <w:b/>
                <w:bCs/>
                <w:lang w:val="en-US"/>
              </w:rPr>
              <w:t>36.195</w:t>
            </w:r>
          </w:p>
        </w:tc>
        <w:tc>
          <w:tcPr>
            <w:tcW w:w="947" w:type="dxa"/>
          </w:tcPr>
          <w:p w14:paraId="7BAD2010" w14:textId="77777777"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p>
        </w:tc>
        <w:tc>
          <w:tcPr>
            <w:tcW w:w="1496" w:type="dxa"/>
          </w:tcPr>
          <w:p w14:paraId="3BB40D95" w14:textId="2BCB9B74"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sidRPr="00A519D0">
              <w:rPr>
                <w:b/>
                <w:bCs/>
                <w:lang w:val="en-US"/>
              </w:rPr>
              <w:t>42.980</w:t>
            </w:r>
          </w:p>
        </w:tc>
        <w:tc>
          <w:tcPr>
            <w:tcW w:w="1001" w:type="dxa"/>
          </w:tcPr>
          <w:p w14:paraId="0579EC11" w14:textId="77777777"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p>
        </w:tc>
      </w:tr>
      <w:tr w:rsidR="005F3C70" w:rsidRPr="00A519D0" w14:paraId="5F42A888" w14:textId="77777777" w:rsidTr="00F569C7">
        <w:tc>
          <w:tcPr>
            <w:cnfStyle w:val="001000000000" w:firstRow="0" w:lastRow="0" w:firstColumn="1" w:lastColumn="0" w:oddVBand="0" w:evenVBand="0" w:oddHBand="0" w:evenHBand="0" w:firstRowFirstColumn="0" w:firstRowLastColumn="0" w:lastRowFirstColumn="0" w:lastRowLastColumn="0"/>
            <w:tcW w:w="1817" w:type="dxa"/>
          </w:tcPr>
          <w:p w14:paraId="17CC1E29" w14:textId="088EF231" w:rsidR="006331D8" w:rsidRPr="00A519D0" w:rsidRDefault="002D33E7" w:rsidP="00F569C7">
            <w:pPr>
              <w:spacing w:line="360" w:lineRule="auto"/>
              <w:rPr>
                <w:color w:val="auto"/>
                <w:lang w:val="en-US"/>
              </w:rPr>
            </w:pPr>
            <w:r w:rsidRPr="00A519D0">
              <w:rPr>
                <w:color w:val="auto"/>
                <w:lang w:val="en-US"/>
              </w:rPr>
              <w:t>Total amount</w:t>
            </w:r>
          </w:p>
        </w:tc>
        <w:tc>
          <w:tcPr>
            <w:tcW w:w="1496" w:type="dxa"/>
          </w:tcPr>
          <w:p w14:paraId="0CADCC3C" w14:textId="7A5F2120" w:rsidR="006331D8" w:rsidRPr="00A519D0" w:rsidRDefault="005F3C70" w:rsidP="00F569C7">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r w:rsidRPr="00A519D0">
              <w:rPr>
                <w:b/>
                <w:bCs/>
                <w:lang w:val="en-US"/>
              </w:rPr>
              <w:t>1.533.261.465</w:t>
            </w:r>
          </w:p>
        </w:tc>
        <w:tc>
          <w:tcPr>
            <w:tcW w:w="956" w:type="dxa"/>
          </w:tcPr>
          <w:p w14:paraId="0280DC43" w14:textId="77777777"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p>
        </w:tc>
        <w:tc>
          <w:tcPr>
            <w:tcW w:w="1496" w:type="dxa"/>
          </w:tcPr>
          <w:p w14:paraId="248EAE3D" w14:textId="1106FA36" w:rsidR="006331D8" w:rsidRPr="00A519D0" w:rsidRDefault="005F3C70" w:rsidP="00F569C7">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r w:rsidRPr="00A519D0">
              <w:rPr>
                <w:b/>
                <w:bCs/>
                <w:lang w:val="en-US"/>
              </w:rPr>
              <w:t>1.280.791.830</w:t>
            </w:r>
          </w:p>
        </w:tc>
        <w:tc>
          <w:tcPr>
            <w:tcW w:w="947" w:type="dxa"/>
          </w:tcPr>
          <w:p w14:paraId="10BF20F9" w14:textId="77777777"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p>
        </w:tc>
        <w:tc>
          <w:tcPr>
            <w:tcW w:w="1496" w:type="dxa"/>
          </w:tcPr>
          <w:p w14:paraId="0F60AD87" w14:textId="59617D8D" w:rsidR="006331D8" w:rsidRPr="00A519D0" w:rsidRDefault="005F3C70" w:rsidP="00F569C7">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r w:rsidRPr="00A519D0">
              <w:rPr>
                <w:b/>
                <w:bCs/>
                <w:lang w:val="en-US"/>
              </w:rPr>
              <w:t>1.536.055.994</w:t>
            </w:r>
          </w:p>
        </w:tc>
        <w:tc>
          <w:tcPr>
            <w:tcW w:w="1001" w:type="dxa"/>
          </w:tcPr>
          <w:p w14:paraId="0AEDC8F2" w14:textId="77777777" w:rsidR="006331D8" w:rsidRPr="00A519D0" w:rsidRDefault="006331D8" w:rsidP="00F569C7">
            <w:pPr>
              <w:spacing w:line="360" w:lineRule="auto"/>
              <w:cnfStyle w:val="000000000000" w:firstRow="0" w:lastRow="0" w:firstColumn="0" w:lastColumn="0" w:oddVBand="0" w:evenVBand="0" w:oddHBand="0" w:evenHBand="0" w:firstRowFirstColumn="0" w:firstRowLastColumn="0" w:lastRowFirstColumn="0" w:lastRowLastColumn="0"/>
              <w:rPr>
                <w:lang w:val="en-US"/>
              </w:rPr>
            </w:pPr>
          </w:p>
        </w:tc>
      </w:tr>
      <w:tr w:rsidR="005F3C70" w:rsidRPr="00A519D0" w14:paraId="2F76E5A7" w14:textId="77777777" w:rsidTr="00F5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B48413A" w14:textId="7023D641" w:rsidR="006331D8" w:rsidRPr="00A519D0" w:rsidRDefault="002D33E7" w:rsidP="00F569C7">
            <w:pPr>
              <w:spacing w:line="360" w:lineRule="auto"/>
              <w:rPr>
                <w:color w:val="auto"/>
                <w:lang w:val="en-US"/>
              </w:rPr>
            </w:pPr>
            <w:r w:rsidRPr="00A519D0">
              <w:rPr>
                <w:color w:val="auto"/>
                <w:lang w:val="en-US"/>
              </w:rPr>
              <w:t>Amount/transaction</w:t>
            </w:r>
          </w:p>
        </w:tc>
        <w:tc>
          <w:tcPr>
            <w:tcW w:w="1496" w:type="dxa"/>
          </w:tcPr>
          <w:p w14:paraId="3DFAFD0D" w14:textId="102F157C" w:rsidR="006331D8" w:rsidRPr="00A519D0" w:rsidRDefault="005F3C70"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sidRPr="00A519D0">
              <w:rPr>
                <w:b/>
                <w:bCs/>
                <w:lang w:val="en-US"/>
              </w:rPr>
              <w:t>35.773</w:t>
            </w:r>
          </w:p>
        </w:tc>
        <w:tc>
          <w:tcPr>
            <w:tcW w:w="956" w:type="dxa"/>
          </w:tcPr>
          <w:p w14:paraId="60CAB14A" w14:textId="77777777"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p>
        </w:tc>
        <w:tc>
          <w:tcPr>
            <w:tcW w:w="1496" w:type="dxa"/>
          </w:tcPr>
          <w:p w14:paraId="5B004E5B" w14:textId="3042E069" w:rsidR="006331D8" w:rsidRPr="00A519D0" w:rsidRDefault="005F3C70"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sidRPr="00A519D0">
              <w:rPr>
                <w:b/>
                <w:bCs/>
                <w:lang w:val="en-US"/>
              </w:rPr>
              <w:t>35.386</w:t>
            </w:r>
          </w:p>
        </w:tc>
        <w:tc>
          <w:tcPr>
            <w:tcW w:w="947" w:type="dxa"/>
          </w:tcPr>
          <w:p w14:paraId="35CAD72B" w14:textId="77777777"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p>
        </w:tc>
        <w:tc>
          <w:tcPr>
            <w:tcW w:w="1496" w:type="dxa"/>
          </w:tcPr>
          <w:p w14:paraId="41AD6BDB" w14:textId="25266210" w:rsidR="006331D8" w:rsidRPr="00A519D0" w:rsidRDefault="005F3C70" w:rsidP="00F569C7">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sidRPr="00A519D0">
              <w:rPr>
                <w:b/>
                <w:bCs/>
                <w:lang w:val="en-US"/>
              </w:rPr>
              <w:t>35.739</w:t>
            </w:r>
          </w:p>
        </w:tc>
        <w:tc>
          <w:tcPr>
            <w:tcW w:w="1001" w:type="dxa"/>
          </w:tcPr>
          <w:p w14:paraId="350F853B" w14:textId="77777777" w:rsidR="006331D8" w:rsidRPr="00A519D0" w:rsidRDefault="006331D8" w:rsidP="00F569C7">
            <w:pPr>
              <w:spacing w:line="360" w:lineRule="auto"/>
              <w:cnfStyle w:val="000000100000" w:firstRow="0" w:lastRow="0" w:firstColumn="0" w:lastColumn="0" w:oddVBand="0" w:evenVBand="0" w:oddHBand="1" w:evenHBand="0" w:firstRowFirstColumn="0" w:firstRowLastColumn="0" w:lastRowFirstColumn="0" w:lastRowLastColumn="0"/>
              <w:rPr>
                <w:lang w:val="en-US"/>
              </w:rPr>
            </w:pPr>
          </w:p>
        </w:tc>
      </w:tr>
    </w:tbl>
    <w:p w14:paraId="41123550" w14:textId="77777777" w:rsidR="00B65A09" w:rsidRPr="00A519D0" w:rsidRDefault="00B65A09" w:rsidP="00B65A09">
      <w:pPr>
        <w:rPr>
          <w:lang w:val="en-US"/>
        </w:rPr>
      </w:pPr>
    </w:p>
    <w:p w14:paraId="4979A214" w14:textId="7B2C9755" w:rsidR="002D33E7" w:rsidRPr="00A519D0" w:rsidRDefault="002D33E7" w:rsidP="002D33E7">
      <w:pPr>
        <w:spacing w:line="276" w:lineRule="auto"/>
        <w:rPr>
          <w:lang w:val="en-US"/>
        </w:rPr>
      </w:pPr>
      <w:r w:rsidRPr="00A519D0">
        <w:rPr>
          <w:lang w:val="en-US"/>
        </w:rPr>
        <w:t xml:space="preserve">As can be seen from </w:t>
      </w:r>
      <w:r w:rsidR="002D71A5" w:rsidRPr="00A519D0">
        <w:rPr>
          <w:lang w:val="en-US"/>
        </w:rPr>
        <w:t>this</w:t>
      </w:r>
      <w:r w:rsidRPr="00A519D0">
        <w:rPr>
          <w:lang w:val="en-US"/>
        </w:rPr>
        <w:t xml:space="preserve"> comparison, </w:t>
      </w:r>
      <w:proofErr w:type="gramStart"/>
      <w:r w:rsidRPr="00A519D0">
        <w:rPr>
          <w:lang w:val="en-US"/>
        </w:rPr>
        <w:t>the majority of</w:t>
      </w:r>
      <w:proofErr w:type="gramEnd"/>
      <w:r w:rsidRPr="00A519D0">
        <w:rPr>
          <w:lang w:val="en-US"/>
        </w:rPr>
        <w:t xml:space="preserve"> cash transactions w</w:t>
      </w:r>
      <w:r w:rsidR="002D71A5" w:rsidRPr="00A519D0">
        <w:rPr>
          <w:lang w:val="en-US"/>
        </w:rPr>
        <w:t>as</w:t>
      </w:r>
      <w:r w:rsidRPr="00A519D0">
        <w:rPr>
          <w:lang w:val="en-US"/>
        </w:rPr>
        <w:t xml:space="preserve"> reported to OMLP from the banking sector, followed by the sector of savings houses and casinos, while other obliged entities (exchange offices, lawyers etc.) sent less than 20 cash transactions per year. One of the main findings of the </w:t>
      </w:r>
      <w:proofErr w:type="gramStart"/>
      <w:r w:rsidRPr="00A519D0">
        <w:rPr>
          <w:lang w:val="en-US"/>
        </w:rPr>
        <w:t xml:space="preserve">year </w:t>
      </w:r>
      <w:r w:rsidR="00AF61AE">
        <w:rPr>
          <w:lang w:val="en-US"/>
        </w:rPr>
        <w:t>to</w:t>
      </w:r>
      <w:r w:rsidRPr="00A519D0">
        <w:rPr>
          <w:lang w:val="en-US"/>
        </w:rPr>
        <w:t xml:space="preserve"> year</w:t>
      </w:r>
      <w:proofErr w:type="gramEnd"/>
      <w:r w:rsidR="009700C2" w:rsidRPr="00A519D0">
        <w:rPr>
          <w:lang w:val="en-US"/>
        </w:rPr>
        <w:t xml:space="preserve"> comparison</w:t>
      </w:r>
      <w:r w:rsidRPr="00A519D0">
        <w:rPr>
          <w:lang w:val="en-US"/>
        </w:rPr>
        <w:t xml:space="preserve"> is that in 2021 the number of transactions and the sum of transactions, </w:t>
      </w:r>
      <w:r w:rsidRPr="00A519D0">
        <w:rPr>
          <w:lang w:val="en-US"/>
        </w:rPr>
        <w:lastRenderedPageBreak/>
        <w:t>giving the fact that average amount by reported cash transaction did not change much, raised to levels reached in 2019.</w:t>
      </w:r>
    </w:p>
    <w:p w14:paraId="06010354" w14:textId="77777777" w:rsidR="00B65A09" w:rsidRPr="00A519D0" w:rsidRDefault="00B65A09" w:rsidP="00B65A09">
      <w:pPr>
        <w:rPr>
          <w:lang w:val="en-US"/>
        </w:rPr>
      </w:pPr>
    </w:p>
    <w:p w14:paraId="6FE95959" w14:textId="0DB62767" w:rsidR="00B65A09" w:rsidRPr="00A519D0" w:rsidRDefault="009700C2" w:rsidP="00B65A09">
      <w:pPr>
        <w:pStyle w:val="Naslov2"/>
        <w:rPr>
          <w:lang w:val="en-US"/>
        </w:rPr>
      </w:pPr>
      <w:bookmarkStart w:id="5" w:name="_Toc119581678"/>
      <w:r w:rsidRPr="00A519D0">
        <w:rPr>
          <w:lang w:val="en-US"/>
        </w:rPr>
        <w:t xml:space="preserve">TRANSFERS EXCEEDING </w:t>
      </w:r>
      <w:r w:rsidR="00B65A09" w:rsidRPr="00A519D0">
        <w:rPr>
          <w:lang w:val="en-US"/>
        </w:rPr>
        <w:t xml:space="preserve">15.000 EUR, </w:t>
      </w:r>
      <w:r w:rsidRPr="00A519D0">
        <w:rPr>
          <w:lang w:val="en-US"/>
        </w:rPr>
        <w:t>RELATED WITH THE RISK COUNTRIES</w:t>
      </w:r>
      <w:bookmarkEnd w:id="5"/>
    </w:p>
    <w:p w14:paraId="66158F22" w14:textId="77777777" w:rsidR="00B65A09" w:rsidRPr="00A519D0" w:rsidRDefault="00B65A09" w:rsidP="00B65A09">
      <w:pPr>
        <w:rPr>
          <w:lang w:val="en-US"/>
        </w:rPr>
      </w:pPr>
    </w:p>
    <w:p w14:paraId="6AFA13EE" w14:textId="77777777" w:rsidR="002D71A5" w:rsidRPr="00A519D0" w:rsidRDefault="009700C2" w:rsidP="002D71A5">
      <w:pPr>
        <w:pStyle w:val="Telobesedila"/>
        <w:ind w:left="851" w:right="-22" w:hanging="851"/>
        <w:jc w:val="left"/>
        <w:rPr>
          <w:rFonts w:ascii="Arial" w:hAnsi="Arial"/>
          <w:sz w:val="20"/>
          <w:lang w:val="en-US"/>
        </w:rPr>
      </w:pPr>
      <w:r w:rsidRPr="00A519D0">
        <w:rPr>
          <w:rFonts w:ascii="Arial" w:hAnsi="Arial"/>
          <w:sz w:val="20"/>
          <w:lang w:val="en-US"/>
        </w:rPr>
        <w:t xml:space="preserve">Since 19 November 2016, obliged entities shall according to Article 68 of the APMLFT-1 in three days </w:t>
      </w:r>
    </w:p>
    <w:p w14:paraId="0EC12FCA" w14:textId="02C46A0D" w:rsidR="002D71A5" w:rsidRPr="00A519D0" w:rsidRDefault="002D71A5" w:rsidP="002D71A5">
      <w:pPr>
        <w:pStyle w:val="Telobesedila"/>
        <w:ind w:left="851" w:right="-22" w:hanging="851"/>
        <w:jc w:val="left"/>
        <w:rPr>
          <w:rFonts w:ascii="Arial" w:hAnsi="Arial"/>
          <w:sz w:val="20"/>
          <w:lang w:val="en-US"/>
        </w:rPr>
      </w:pPr>
      <w:proofErr w:type="gramStart"/>
      <w:r w:rsidRPr="00A519D0">
        <w:rPr>
          <w:rFonts w:ascii="Arial" w:hAnsi="Arial"/>
          <w:sz w:val="20"/>
          <w:lang w:val="en-US"/>
        </w:rPr>
        <w:t>a</w:t>
      </w:r>
      <w:r w:rsidR="009700C2" w:rsidRPr="00A519D0">
        <w:rPr>
          <w:rFonts w:ascii="Arial" w:hAnsi="Arial"/>
          <w:sz w:val="20"/>
          <w:lang w:val="en-US"/>
        </w:rPr>
        <w:t>t</w:t>
      </w:r>
      <w:r w:rsidRPr="00A519D0">
        <w:rPr>
          <w:rFonts w:ascii="Arial" w:hAnsi="Arial"/>
          <w:sz w:val="20"/>
          <w:lang w:val="en-US"/>
        </w:rPr>
        <w:t xml:space="preserve"> </w:t>
      </w:r>
      <w:r w:rsidR="009700C2" w:rsidRPr="00A519D0">
        <w:rPr>
          <w:rFonts w:ascii="Arial" w:hAnsi="Arial"/>
          <w:sz w:val="20"/>
          <w:lang w:val="en-US"/>
        </w:rPr>
        <w:t xml:space="preserve"> the</w:t>
      </w:r>
      <w:proofErr w:type="gramEnd"/>
      <w:r w:rsidR="009700C2" w:rsidRPr="00A519D0">
        <w:rPr>
          <w:rFonts w:ascii="Arial" w:hAnsi="Arial"/>
          <w:sz w:val="20"/>
          <w:lang w:val="en-US"/>
        </w:rPr>
        <w:t xml:space="preserve"> latest, </w:t>
      </w:r>
      <w:r w:rsidRPr="00A519D0">
        <w:rPr>
          <w:rFonts w:ascii="Arial" w:hAnsi="Arial"/>
          <w:sz w:val="20"/>
          <w:lang w:val="en-US"/>
        </w:rPr>
        <w:t xml:space="preserve"> </w:t>
      </w:r>
      <w:r w:rsidR="009700C2" w:rsidRPr="00A519D0">
        <w:rPr>
          <w:rFonts w:ascii="Arial" w:hAnsi="Arial"/>
          <w:sz w:val="20"/>
          <w:lang w:val="en-US"/>
        </w:rPr>
        <w:t xml:space="preserve">report to the OMLP </w:t>
      </w:r>
      <w:r w:rsidRPr="00A519D0">
        <w:rPr>
          <w:rFonts w:ascii="Arial" w:hAnsi="Arial"/>
          <w:sz w:val="20"/>
          <w:lang w:val="en-US"/>
        </w:rPr>
        <w:t xml:space="preserve"> </w:t>
      </w:r>
      <w:r w:rsidR="009700C2" w:rsidRPr="00A519D0">
        <w:rPr>
          <w:rFonts w:ascii="Arial" w:hAnsi="Arial"/>
          <w:sz w:val="20"/>
          <w:lang w:val="en-US"/>
        </w:rPr>
        <w:t xml:space="preserve">data </w:t>
      </w:r>
      <w:r w:rsidRPr="00A519D0">
        <w:rPr>
          <w:rFonts w:ascii="Arial" w:hAnsi="Arial"/>
          <w:sz w:val="20"/>
          <w:lang w:val="en-US"/>
        </w:rPr>
        <w:t xml:space="preserve"> </w:t>
      </w:r>
      <w:r w:rsidR="009700C2" w:rsidRPr="00A519D0">
        <w:rPr>
          <w:rFonts w:ascii="Arial" w:hAnsi="Arial"/>
          <w:sz w:val="20"/>
          <w:lang w:val="en-US"/>
        </w:rPr>
        <w:t xml:space="preserve">on </w:t>
      </w:r>
      <w:r w:rsidRPr="00A519D0">
        <w:rPr>
          <w:rFonts w:ascii="Arial" w:hAnsi="Arial"/>
          <w:sz w:val="20"/>
          <w:lang w:val="en-US"/>
        </w:rPr>
        <w:t xml:space="preserve"> </w:t>
      </w:r>
      <w:r w:rsidR="009700C2" w:rsidRPr="00A519D0">
        <w:rPr>
          <w:rFonts w:ascii="Arial" w:hAnsi="Arial"/>
          <w:sz w:val="20"/>
          <w:lang w:val="en-US"/>
        </w:rPr>
        <w:t xml:space="preserve">every </w:t>
      </w:r>
      <w:r w:rsidRPr="00A519D0">
        <w:rPr>
          <w:rFonts w:ascii="Arial" w:hAnsi="Arial"/>
          <w:sz w:val="20"/>
          <w:lang w:val="en-US"/>
        </w:rPr>
        <w:t xml:space="preserve"> </w:t>
      </w:r>
      <w:r w:rsidR="009700C2" w:rsidRPr="00A519D0">
        <w:rPr>
          <w:rFonts w:ascii="Arial" w:hAnsi="Arial"/>
          <w:sz w:val="20"/>
          <w:lang w:val="en-US"/>
        </w:rPr>
        <w:t>transfer</w:t>
      </w:r>
      <w:r w:rsidRPr="00A519D0">
        <w:rPr>
          <w:rFonts w:ascii="Arial" w:hAnsi="Arial"/>
          <w:sz w:val="20"/>
          <w:lang w:val="en-US"/>
        </w:rPr>
        <w:t xml:space="preserve"> </w:t>
      </w:r>
      <w:r w:rsidR="009700C2" w:rsidRPr="00A519D0">
        <w:rPr>
          <w:rFonts w:ascii="Arial" w:hAnsi="Arial"/>
          <w:sz w:val="20"/>
          <w:lang w:val="en-US"/>
        </w:rPr>
        <w:t xml:space="preserve"> exceeding 15.000 EUR, which was on the </w:t>
      </w:r>
    </w:p>
    <w:p w14:paraId="5CADDD66" w14:textId="44252B6C" w:rsidR="009700C2" w:rsidRPr="00A519D0" w:rsidRDefault="009700C2" w:rsidP="002D71A5">
      <w:pPr>
        <w:pStyle w:val="Telobesedila"/>
        <w:ind w:left="851" w:right="-22" w:hanging="851"/>
        <w:jc w:val="left"/>
        <w:rPr>
          <w:rFonts w:ascii="Arial" w:hAnsi="Arial"/>
          <w:sz w:val="20"/>
          <w:lang w:val="en-US"/>
        </w:rPr>
      </w:pPr>
      <w:r w:rsidRPr="00A519D0">
        <w:rPr>
          <w:rFonts w:ascii="Arial" w:hAnsi="Arial"/>
          <w:sz w:val="20"/>
          <w:lang w:val="en-US"/>
        </w:rPr>
        <w:t>basis of demand of the client performed:</w:t>
      </w:r>
    </w:p>
    <w:p w14:paraId="60FF98A4" w14:textId="77777777" w:rsidR="002D71A5" w:rsidRPr="00A519D0" w:rsidRDefault="002D71A5" w:rsidP="002D71A5">
      <w:pPr>
        <w:pStyle w:val="Telobesedila"/>
        <w:ind w:left="851" w:right="-22" w:hanging="851"/>
        <w:jc w:val="left"/>
        <w:rPr>
          <w:rFonts w:ascii="Arial" w:hAnsi="Arial"/>
          <w:sz w:val="20"/>
          <w:lang w:val="en-US"/>
        </w:rPr>
      </w:pPr>
    </w:p>
    <w:p w14:paraId="11B955DC" w14:textId="78B68DD0" w:rsidR="009700C2" w:rsidRPr="00A519D0" w:rsidRDefault="009700C2" w:rsidP="00AE039F">
      <w:pPr>
        <w:pStyle w:val="Odstavekseznama"/>
        <w:numPr>
          <w:ilvl w:val="0"/>
          <w:numId w:val="16"/>
        </w:numPr>
        <w:ind w:right="-22"/>
        <w:rPr>
          <w:lang w:val="en-US"/>
        </w:rPr>
      </w:pPr>
      <w:r w:rsidRPr="00A519D0">
        <w:rPr>
          <w:lang w:val="en-US"/>
        </w:rPr>
        <w:t xml:space="preserve">to accounts of natural and legal persons with permanent or temporary residence or headquarters in countries with higher or increased risk for </w:t>
      </w:r>
      <w:r w:rsidR="00457A36" w:rsidRPr="00A519D0">
        <w:rPr>
          <w:lang w:val="en-US"/>
        </w:rPr>
        <w:t>money laundering or terrorist financing or</w:t>
      </w:r>
    </w:p>
    <w:p w14:paraId="5681F512" w14:textId="2DBC84BF" w:rsidR="00AE039F" w:rsidRPr="00A519D0" w:rsidRDefault="008038AA" w:rsidP="00AE039F">
      <w:pPr>
        <w:pStyle w:val="Odstavekseznama"/>
        <w:numPr>
          <w:ilvl w:val="0"/>
          <w:numId w:val="16"/>
        </w:numPr>
        <w:rPr>
          <w:lang w:val="en-US"/>
        </w:rPr>
      </w:pPr>
      <w:r w:rsidRPr="00A519D0">
        <w:rPr>
          <w:lang w:val="en-US"/>
        </w:rPr>
        <w:t>to accounts held in countries from the previous indent</w:t>
      </w:r>
      <w:r w:rsidR="00AE039F" w:rsidRPr="00A519D0">
        <w:rPr>
          <w:lang w:val="en-US"/>
        </w:rPr>
        <w:t>.</w:t>
      </w:r>
      <w:r w:rsidR="00AE039F" w:rsidRPr="00A519D0">
        <w:rPr>
          <w:rStyle w:val="Sprotnaopomba-sklic"/>
          <w:lang w:val="en-US"/>
        </w:rPr>
        <w:footnoteReference w:id="7"/>
      </w:r>
    </w:p>
    <w:p w14:paraId="4BB56856" w14:textId="163CCEDB" w:rsidR="009700C2" w:rsidRPr="00A519D0" w:rsidRDefault="009700C2" w:rsidP="009700C2">
      <w:pPr>
        <w:pStyle w:val="Telobesedila"/>
        <w:ind w:right="-22"/>
        <w:rPr>
          <w:rFonts w:ascii="Arial" w:hAnsi="Arial"/>
          <w:sz w:val="20"/>
          <w:lang w:val="en-US"/>
        </w:rPr>
      </w:pPr>
      <w:r w:rsidRPr="00A519D0">
        <w:rPr>
          <w:rFonts w:ascii="Arial" w:hAnsi="Arial"/>
          <w:sz w:val="20"/>
          <w:lang w:val="en-US"/>
        </w:rPr>
        <w:t>The list of countries with higher or increased risk for money laundering or terrorist financing (hereinafter: list of higher risk countries) changed three times in 2021 and included altogether between 74 and 77 countries. The list of risk countries is publicly available at the website of the OMLP.</w:t>
      </w:r>
    </w:p>
    <w:p w14:paraId="499BCD9D" w14:textId="77777777" w:rsidR="002D71A5" w:rsidRPr="00A519D0" w:rsidRDefault="002D71A5" w:rsidP="00457A36">
      <w:pPr>
        <w:pStyle w:val="Telobesedila"/>
        <w:ind w:right="-22"/>
        <w:rPr>
          <w:rFonts w:ascii="Arial" w:hAnsi="Arial"/>
          <w:sz w:val="20"/>
          <w:lang w:val="en-US"/>
        </w:rPr>
      </w:pPr>
    </w:p>
    <w:p w14:paraId="168C8B91" w14:textId="0E6B612C" w:rsidR="009700C2" w:rsidRPr="00A519D0" w:rsidRDefault="009700C2" w:rsidP="00457A36">
      <w:pPr>
        <w:pStyle w:val="Telobesedila"/>
        <w:ind w:right="-22"/>
        <w:rPr>
          <w:rFonts w:ascii="Arial" w:hAnsi="Arial"/>
          <w:sz w:val="20"/>
          <w:lang w:val="en-US"/>
        </w:rPr>
      </w:pPr>
      <w:r w:rsidRPr="00A519D0">
        <w:rPr>
          <w:rFonts w:ascii="Arial" w:hAnsi="Arial"/>
          <w:sz w:val="20"/>
          <w:lang w:val="en-US"/>
        </w:rPr>
        <w:t xml:space="preserve">In the period from 1 January 2021 until 31 December 2021, obliged entities reported to the OMLP data </w:t>
      </w:r>
      <w:r w:rsidR="00A519D0" w:rsidRPr="00A519D0">
        <w:rPr>
          <w:rFonts w:ascii="Arial" w:hAnsi="Arial"/>
          <w:sz w:val="20"/>
          <w:lang w:val="en-US"/>
        </w:rPr>
        <w:t xml:space="preserve">on </w:t>
      </w:r>
      <w:r w:rsidRPr="00A519D0">
        <w:rPr>
          <w:rFonts w:ascii="Arial" w:hAnsi="Arial"/>
          <w:sz w:val="20"/>
          <w:lang w:val="en-US"/>
        </w:rPr>
        <w:t xml:space="preserve">altogether 3.875 transactions in the total value of </w:t>
      </w:r>
      <w:r w:rsidR="00B541CC" w:rsidRPr="00A519D0">
        <w:rPr>
          <w:rFonts w:ascii="Arial" w:hAnsi="Arial"/>
          <w:sz w:val="20"/>
          <w:lang w:val="en-US"/>
        </w:rPr>
        <w:t>521.218.955 EUR, 100.096.602 USD and 797.956 CHF (together 635.412.734 EUR according to</w:t>
      </w:r>
      <w:r w:rsidR="002D2D5D" w:rsidRPr="00A519D0">
        <w:rPr>
          <w:rFonts w:ascii="Arial" w:hAnsi="Arial"/>
          <w:sz w:val="20"/>
          <w:lang w:val="en-US"/>
        </w:rPr>
        <w:t xml:space="preserve"> the</w:t>
      </w:r>
      <w:r w:rsidR="00B541CC" w:rsidRPr="00A519D0">
        <w:rPr>
          <w:rFonts w:ascii="Arial" w:hAnsi="Arial"/>
          <w:sz w:val="20"/>
          <w:lang w:val="en-US"/>
        </w:rPr>
        <w:t xml:space="preserve"> bank exchange rate of 31. 12. 2021) that were transferred to persons with seat in risk countries or to accounts opened in risk countries.  </w:t>
      </w:r>
    </w:p>
    <w:p w14:paraId="0CB10A9F" w14:textId="77777777" w:rsidR="002D2D5D" w:rsidRPr="00A519D0" w:rsidRDefault="002D2D5D" w:rsidP="00457A36">
      <w:pPr>
        <w:pStyle w:val="Telobesedila"/>
        <w:ind w:right="-22"/>
        <w:rPr>
          <w:rFonts w:ascii="Arial" w:hAnsi="Arial"/>
          <w:sz w:val="20"/>
          <w:lang w:val="en-US"/>
        </w:rPr>
      </w:pPr>
    </w:p>
    <w:p w14:paraId="57436681" w14:textId="77777777" w:rsidR="00B65A09" w:rsidRPr="00A519D0" w:rsidRDefault="00B65A09" w:rsidP="00457A36">
      <w:pPr>
        <w:pStyle w:val="Telobesedila"/>
        <w:ind w:right="-22"/>
        <w:rPr>
          <w:rFonts w:ascii="Arial" w:hAnsi="Arial"/>
          <w:sz w:val="20"/>
          <w:lang w:val="en-US"/>
        </w:rPr>
      </w:pPr>
    </w:p>
    <w:p w14:paraId="4FC04B03" w14:textId="394666F4" w:rsidR="00B65A09" w:rsidRPr="00A519D0" w:rsidRDefault="00810113" w:rsidP="00B65A09">
      <w:pPr>
        <w:pStyle w:val="Naslov2"/>
        <w:rPr>
          <w:lang w:val="en-US"/>
        </w:rPr>
      </w:pPr>
      <w:bookmarkStart w:id="6" w:name="_Toc119581681"/>
      <w:r w:rsidRPr="00A519D0">
        <w:rPr>
          <w:lang w:val="en-US"/>
        </w:rPr>
        <w:t>TRANSFERS OF CASH AMOUNT TO OR EXCEEDING</w:t>
      </w:r>
      <w:r w:rsidR="00B65A09" w:rsidRPr="00A519D0">
        <w:rPr>
          <w:lang w:val="en-US"/>
        </w:rPr>
        <w:t xml:space="preserve"> 10.000 EUR </w:t>
      </w:r>
      <w:r w:rsidRPr="00A519D0">
        <w:rPr>
          <w:lang w:val="en-US"/>
        </w:rPr>
        <w:t>VIA EU BORDERS</w:t>
      </w:r>
      <w:bookmarkEnd w:id="6"/>
    </w:p>
    <w:p w14:paraId="021A4A15" w14:textId="77777777" w:rsidR="002D2D5D" w:rsidRPr="00A519D0" w:rsidRDefault="002D2D5D" w:rsidP="00F444AC">
      <w:pPr>
        <w:spacing w:line="276" w:lineRule="auto"/>
        <w:rPr>
          <w:lang w:val="en-US"/>
        </w:rPr>
      </w:pPr>
    </w:p>
    <w:p w14:paraId="6C902622" w14:textId="1B622C1A" w:rsidR="00872B96" w:rsidRPr="00A519D0" w:rsidRDefault="00872B96" w:rsidP="00F444AC">
      <w:pPr>
        <w:spacing w:line="276" w:lineRule="auto"/>
        <w:rPr>
          <w:lang w:val="en-US"/>
        </w:rPr>
      </w:pPr>
      <w:r w:rsidRPr="00A519D0">
        <w:rPr>
          <w:lang w:val="en-US"/>
        </w:rPr>
        <w:t>As stipulated by Article 120 of APMLFT-1, the customs authorities are obliged to report to OMLP (within three days at latest), data on any declared import or export of cash amounting to or exceeding 10.000 EUR when entering or leaving EU</w:t>
      </w:r>
      <w:r w:rsidRPr="00A519D0">
        <w:rPr>
          <w:bCs/>
          <w:lang w:val="en-US"/>
        </w:rPr>
        <w:t>.</w:t>
      </w:r>
      <w:r w:rsidRPr="00A519D0">
        <w:rPr>
          <w:b/>
          <w:lang w:val="en-US"/>
        </w:rPr>
        <w:t xml:space="preserve"> In 2021, there were altogether 46 reported transfers of cash at the Slovenian part of the EU border, which </w:t>
      </w:r>
      <w:r w:rsidR="002D2D5D" w:rsidRPr="00A519D0">
        <w:rPr>
          <w:b/>
          <w:lang w:val="en-US"/>
        </w:rPr>
        <w:t>was</w:t>
      </w:r>
      <w:r w:rsidRPr="00A519D0">
        <w:rPr>
          <w:b/>
          <w:lang w:val="en-US"/>
        </w:rPr>
        <w:t xml:space="preserve"> 10 % less than in 2020, when there were 51 of such transfers. </w:t>
      </w:r>
      <w:r w:rsidRPr="00A519D0">
        <w:rPr>
          <w:lang w:val="en-US"/>
        </w:rPr>
        <w:t>In 2021, there were no non-reported transfers of cash via EU borders.</w:t>
      </w:r>
    </w:p>
    <w:p w14:paraId="443A66A2" w14:textId="71532763" w:rsidR="00872B96" w:rsidRPr="00A519D0" w:rsidRDefault="00872B96" w:rsidP="00872B96">
      <w:pPr>
        <w:rPr>
          <w:b/>
          <w:lang w:val="en-US"/>
        </w:rPr>
      </w:pPr>
      <w:r w:rsidRPr="00A519D0">
        <w:rPr>
          <w:lang w:val="en-US"/>
        </w:rPr>
        <w:t xml:space="preserve">Among 46 reported transfers, there were </w:t>
      </w:r>
      <w:r w:rsidRPr="00A519D0">
        <w:rPr>
          <w:b/>
          <w:bCs/>
          <w:lang w:val="en-US"/>
        </w:rPr>
        <w:t>15</w:t>
      </w:r>
      <w:r w:rsidRPr="00A519D0">
        <w:rPr>
          <w:b/>
          <w:lang w:val="en-US"/>
        </w:rPr>
        <w:t xml:space="preserve"> transfers </w:t>
      </w:r>
      <w:r w:rsidRPr="00A519D0">
        <w:rPr>
          <w:b/>
          <w:u w:val="single"/>
          <w:lang w:val="en-US"/>
        </w:rPr>
        <w:t>to</w:t>
      </w:r>
      <w:r w:rsidRPr="00A519D0">
        <w:rPr>
          <w:b/>
          <w:lang w:val="en-US"/>
        </w:rPr>
        <w:t xml:space="preserve"> EU in total amount of </w:t>
      </w:r>
      <w:r w:rsidRPr="00A519D0">
        <w:rPr>
          <w:b/>
          <w:bCs/>
          <w:color w:val="000000" w:themeColor="text1"/>
          <w:lang w:val="en-US"/>
        </w:rPr>
        <w:t>387.965 EUR and 24.500 USD</w:t>
      </w:r>
      <w:r w:rsidRPr="00A519D0">
        <w:rPr>
          <w:b/>
          <w:bCs/>
          <w:lang w:val="en-US"/>
        </w:rPr>
        <w:t xml:space="preserve">, and 31 transfers </w:t>
      </w:r>
      <w:r w:rsidRPr="00A519D0">
        <w:rPr>
          <w:b/>
          <w:bCs/>
          <w:u w:val="single"/>
          <w:lang w:val="en-US"/>
        </w:rPr>
        <w:t>from</w:t>
      </w:r>
      <w:r w:rsidRPr="00A519D0">
        <w:rPr>
          <w:b/>
          <w:bCs/>
          <w:lang w:val="en-US"/>
        </w:rPr>
        <w:t xml:space="preserve"> EU in total amount of </w:t>
      </w:r>
      <w:r w:rsidRPr="00A519D0">
        <w:rPr>
          <w:b/>
          <w:bCs/>
          <w:color w:val="000000" w:themeColor="text1"/>
          <w:lang w:val="en-US"/>
        </w:rPr>
        <w:t>405.500 EUR, 400.550 USD and 194.000 CHF</w:t>
      </w:r>
      <w:r w:rsidRPr="00A519D0">
        <w:rPr>
          <w:b/>
          <w:lang w:val="en-US"/>
        </w:rPr>
        <w:t xml:space="preserve">.  </w:t>
      </w:r>
      <w:proofErr w:type="gramStart"/>
      <w:r w:rsidRPr="00A519D0">
        <w:rPr>
          <w:b/>
          <w:lang w:val="en-US"/>
        </w:rPr>
        <w:t>The majority of</w:t>
      </w:r>
      <w:proofErr w:type="gramEnd"/>
      <w:r w:rsidRPr="00A519D0">
        <w:rPr>
          <w:b/>
          <w:lang w:val="en-US"/>
        </w:rPr>
        <w:t xml:space="preserve"> all transfers </w:t>
      </w:r>
      <w:r w:rsidRPr="00A519D0">
        <w:rPr>
          <w:b/>
          <w:u w:val="single"/>
          <w:lang w:val="en-US"/>
        </w:rPr>
        <w:t>to</w:t>
      </w:r>
      <w:r w:rsidRPr="00A519D0">
        <w:rPr>
          <w:b/>
          <w:lang w:val="en-US"/>
        </w:rPr>
        <w:t xml:space="preserve"> EU referred to the personal use, 55% of all transfers </w:t>
      </w:r>
      <w:r w:rsidRPr="00A519D0">
        <w:rPr>
          <w:b/>
          <w:u w:val="single"/>
          <w:lang w:val="en-US"/>
        </w:rPr>
        <w:t>from</w:t>
      </w:r>
      <w:r w:rsidRPr="00A519D0">
        <w:rPr>
          <w:b/>
          <w:lang w:val="en-US"/>
        </w:rPr>
        <w:t xml:space="preserve"> EU referred to cash for the needs of ships. </w:t>
      </w:r>
    </w:p>
    <w:p w14:paraId="7AE44462" w14:textId="2335B8C0" w:rsidR="00322542" w:rsidRPr="00A519D0" w:rsidRDefault="00322542" w:rsidP="00322542">
      <w:pPr>
        <w:spacing w:line="276" w:lineRule="auto"/>
        <w:rPr>
          <w:color w:val="FF0000"/>
          <w:lang w:val="en-US"/>
        </w:rPr>
      </w:pPr>
    </w:p>
    <w:p w14:paraId="77AAD8AC" w14:textId="5D6B5AF5" w:rsidR="00B65A09" w:rsidRPr="00A519D0" w:rsidRDefault="00872B96" w:rsidP="00B65A09">
      <w:pPr>
        <w:pStyle w:val="Naslov1"/>
        <w:rPr>
          <w:lang w:val="en-US"/>
        </w:rPr>
      </w:pPr>
      <w:r w:rsidRPr="00A519D0">
        <w:rPr>
          <w:lang w:val="en-US"/>
        </w:rPr>
        <w:t>ACTIVITIES OF OMLP IN THE FIELD OF SUSPICIOUS TRANSACTIONS</w:t>
      </w:r>
    </w:p>
    <w:p w14:paraId="70473B03" w14:textId="77777777" w:rsidR="00B65A09" w:rsidRPr="00A519D0" w:rsidRDefault="00B65A09" w:rsidP="00B65A09">
      <w:pPr>
        <w:rPr>
          <w:lang w:val="en-US"/>
        </w:rPr>
      </w:pPr>
    </w:p>
    <w:p w14:paraId="68EEE23D" w14:textId="1282B397" w:rsidR="00A16466" w:rsidRPr="00A519D0" w:rsidRDefault="00A16466" w:rsidP="00A16466">
      <w:pPr>
        <w:spacing w:line="276" w:lineRule="auto"/>
        <w:rPr>
          <w:color w:val="000000" w:themeColor="text1"/>
          <w:lang w:val="en-US"/>
        </w:rPr>
      </w:pPr>
      <w:r w:rsidRPr="00A519D0">
        <w:rPr>
          <w:color w:val="000000" w:themeColor="text1"/>
          <w:lang w:val="en-US"/>
        </w:rPr>
        <w:t>In 2021</w:t>
      </w:r>
      <w:r w:rsidR="00FA7958" w:rsidRPr="00A519D0">
        <w:rPr>
          <w:color w:val="000000" w:themeColor="text1"/>
          <w:lang w:val="en-US"/>
        </w:rPr>
        <w:t>,</w:t>
      </w:r>
      <w:r w:rsidRPr="00A519D0">
        <w:rPr>
          <w:color w:val="000000" w:themeColor="text1"/>
          <w:lang w:val="en-US"/>
        </w:rPr>
        <w:t xml:space="preserve"> the OMLP </w:t>
      </w:r>
      <w:r w:rsidR="002D2D5D" w:rsidRPr="00A519D0">
        <w:rPr>
          <w:color w:val="000000" w:themeColor="text1"/>
          <w:lang w:val="en-US"/>
        </w:rPr>
        <w:t>received</w:t>
      </w:r>
      <w:r w:rsidRPr="00A519D0">
        <w:rPr>
          <w:color w:val="000000" w:themeColor="text1"/>
          <w:lang w:val="en-US"/>
        </w:rPr>
        <w:t xml:space="preserve"> data on suspicious transactions </w:t>
      </w:r>
      <w:r w:rsidR="00FA7958" w:rsidRPr="00A519D0">
        <w:rPr>
          <w:color w:val="000000" w:themeColor="text1"/>
          <w:lang w:val="en-US"/>
        </w:rPr>
        <w:t xml:space="preserve">from obliged entities according to the Article 4 of APMLTF-1, </w:t>
      </w:r>
      <w:r w:rsidRPr="00A519D0">
        <w:rPr>
          <w:color w:val="000000" w:themeColor="text1"/>
          <w:lang w:val="en-US"/>
        </w:rPr>
        <w:t xml:space="preserve">regardless of its amount and data on involved persons, </w:t>
      </w:r>
      <w:r w:rsidR="007F2712">
        <w:rPr>
          <w:color w:val="000000" w:themeColor="text1"/>
          <w:lang w:val="en-US"/>
        </w:rPr>
        <w:t>with</w:t>
      </w:r>
      <w:r w:rsidRPr="00A519D0">
        <w:rPr>
          <w:color w:val="000000" w:themeColor="text1"/>
          <w:lang w:val="en-US"/>
        </w:rPr>
        <w:t xml:space="preserve"> </w:t>
      </w:r>
      <w:r w:rsidR="00CF22D3">
        <w:rPr>
          <w:color w:val="000000" w:themeColor="text1"/>
          <w:lang w:val="en-US"/>
        </w:rPr>
        <w:t>grounds</w:t>
      </w:r>
      <w:r w:rsidR="00CF22D3" w:rsidRPr="00A519D0">
        <w:rPr>
          <w:color w:val="000000" w:themeColor="text1"/>
          <w:lang w:val="en-US"/>
        </w:rPr>
        <w:t xml:space="preserve"> </w:t>
      </w:r>
      <w:r w:rsidRPr="00A519D0">
        <w:rPr>
          <w:color w:val="000000" w:themeColor="text1"/>
          <w:lang w:val="en-US"/>
        </w:rPr>
        <w:t xml:space="preserve">for suspicion of money laundering and terrorist financing activity. </w:t>
      </w:r>
      <w:proofErr w:type="gramStart"/>
      <w:r w:rsidRPr="00A519D0">
        <w:rPr>
          <w:color w:val="000000" w:themeColor="text1"/>
          <w:lang w:val="en-US"/>
        </w:rPr>
        <w:t>With regard to</w:t>
      </w:r>
      <w:proofErr w:type="gramEnd"/>
      <w:r w:rsidRPr="00A519D0">
        <w:rPr>
          <w:color w:val="000000" w:themeColor="text1"/>
          <w:lang w:val="en-US"/>
        </w:rPr>
        <w:t xml:space="preserve"> the Regulation on restrictive measures against Democratic Public Republic of Korea (Official Gazette of the Republic of Slovenia No. 18/2017), </w:t>
      </w:r>
      <w:r w:rsidRPr="00A519D0">
        <w:rPr>
          <w:color w:val="000000" w:themeColor="text1"/>
          <w:lang w:val="en-US"/>
        </w:rPr>
        <w:lastRenderedPageBreak/>
        <w:t xml:space="preserve">the OMLP is also competent for receiving </w:t>
      </w:r>
      <w:r w:rsidR="00FA7958" w:rsidRPr="00A519D0">
        <w:rPr>
          <w:color w:val="000000" w:themeColor="text1"/>
          <w:lang w:val="en-US"/>
        </w:rPr>
        <w:t xml:space="preserve">reports on </w:t>
      </w:r>
      <w:r w:rsidRPr="00A519D0">
        <w:rPr>
          <w:color w:val="000000" w:themeColor="text1"/>
          <w:lang w:val="en-US"/>
        </w:rPr>
        <w:t>suspicious transactions referring to proliferation. In 20</w:t>
      </w:r>
      <w:r w:rsidR="00995313" w:rsidRPr="00A519D0">
        <w:rPr>
          <w:color w:val="000000" w:themeColor="text1"/>
          <w:lang w:val="en-US"/>
        </w:rPr>
        <w:t>21</w:t>
      </w:r>
      <w:r w:rsidRPr="00A519D0">
        <w:rPr>
          <w:color w:val="000000" w:themeColor="text1"/>
          <w:lang w:val="en-US"/>
        </w:rPr>
        <w:t>, the OMLP received no such reports.</w:t>
      </w:r>
    </w:p>
    <w:p w14:paraId="63DDEE5F" w14:textId="77777777" w:rsidR="00995313" w:rsidRPr="00A519D0" w:rsidRDefault="00995313" w:rsidP="00995313">
      <w:pPr>
        <w:spacing w:line="276" w:lineRule="auto"/>
        <w:rPr>
          <w:lang w:val="en-US"/>
        </w:rPr>
      </w:pPr>
      <w:proofErr w:type="gramStart"/>
      <w:r w:rsidRPr="00A519D0">
        <w:rPr>
          <w:lang w:val="en-US"/>
        </w:rPr>
        <w:t>On the basis of</w:t>
      </w:r>
      <w:proofErr w:type="gramEnd"/>
      <w:r w:rsidRPr="00A519D0">
        <w:rPr>
          <w:lang w:val="en-US"/>
        </w:rPr>
        <w:t xml:space="preserve"> Article 99 of the APMLTF-1, the OMLP can also start its analysis in certain cases on the basis of the initiatives of state and supervisory authorities and on the basis of the reported facts of supervisory authorities, stipulated by Article 139 of APMLFT-1. </w:t>
      </w:r>
      <w:proofErr w:type="gramStart"/>
      <w:r w:rsidRPr="00A519D0">
        <w:rPr>
          <w:lang w:val="en-US"/>
        </w:rPr>
        <w:t>On the basis of</w:t>
      </w:r>
      <w:proofErr w:type="gramEnd"/>
      <w:r w:rsidRPr="00A519D0">
        <w:rPr>
          <w:lang w:val="en-US"/>
        </w:rPr>
        <w:t xml:space="preserve"> Article 105 of APMLFT-1, the OMLP also receives certain data from its foreign counterparts and checks the following databases: on cash transactions; transfers of cash via EU borders; transfers related to higher risk countries, which is also the basis to start gathering data on suspicious transactions, assets and persons.</w:t>
      </w:r>
    </w:p>
    <w:p w14:paraId="2B2BAEDA" w14:textId="77777777" w:rsidR="00995313" w:rsidRPr="00A519D0" w:rsidRDefault="00995313" w:rsidP="00995313">
      <w:pPr>
        <w:pStyle w:val="Telobesedila"/>
        <w:ind w:right="-22"/>
        <w:rPr>
          <w:rFonts w:ascii="Arial" w:eastAsiaTheme="minorHAnsi" w:hAnsi="Arial" w:cstheme="minorBidi"/>
          <w:sz w:val="20"/>
          <w:szCs w:val="22"/>
          <w:lang w:val="en-US"/>
        </w:rPr>
      </w:pPr>
      <w:r w:rsidRPr="00A519D0">
        <w:rPr>
          <w:rFonts w:ascii="Arial" w:eastAsiaTheme="minorHAnsi" w:hAnsi="Arial" w:cstheme="minorBidi"/>
          <w:sz w:val="20"/>
          <w:szCs w:val="22"/>
          <w:lang w:val="en-US"/>
        </w:rPr>
        <w:t>Paragraph 2 of Article 87 of the APMLFT-1 stipulates that OMLP receives, collects, analyses and forwards data, information and documentation obtained on the basis of the APMLFT-1, and authorizes the OMLP in its Articles 101 and 102 to inform competent authorities if it considers that in connection with a transaction or person there are grounds to suspect money laundering, terrorist financing or other criminal offences with the prescribed imprisonment.</w:t>
      </w:r>
    </w:p>
    <w:p w14:paraId="62E80D3F" w14:textId="77777777" w:rsidR="00B65A09" w:rsidRPr="00A519D0" w:rsidRDefault="00B65A09" w:rsidP="00B65A09">
      <w:pPr>
        <w:rPr>
          <w:lang w:val="en-US"/>
        </w:rPr>
      </w:pPr>
    </w:p>
    <w:p w14:paraId="7B512331" w14:textId="14855AE2" w:rsidR="00B65A09" w:rsidRPr="00A519D0" w:rsidRDefault="00995313" w:rsidP="00B65A09">
      <w:pPr>
        <w:pStyle w:val="Naslov2"/>
        <w:rPr>
          <w:lang w:val="en-US"/>
        </w:rPr>
      </w:pPr>
      <w:bookmarkStart w:id="7" w:name="_Toc119581683"/>
      <w:r w:rsidRPr="00A519D0">
        <w:rPr>
          <w:lang w:val="en-US"/>
        </w:rPr>
        <w:t xml:space="preserve">CASES WITH </w:t>
      </w:r>
      <w:r w:rsidR="007F2712">
        <w:rPr>
          <w:lang w:val="en-US"/>
        </w:rPr>
        <w:t>GROUNDS FOR</w:t>
      </w:r>
      <w:r w:rsidRPr="00A519D0">
        <w:rPr>
          <w:lang w:val="en-US"/>
        </w:rPr>
        <w:t xml:space="preserve"> SUSPICION </w:t>
      </w:r>
      <w:r w:rsidR="007F2712">
        <w:rPr>
          <w:lang w:val="en-US"/>
        </w:rPr>
        <w:t>OF</w:t>
      </w:r>
      <w:r w:rsidR="007F2712" w:rsidRPr="00A519D0">
        <w:rPr>
          <w:lang w:val="en-US"/>
        </w:rPr>
        <w:t xml:space="preserve"> </w:t>
      </w:r>
      <w:r w:rsidRPr="00A519D0">
        <w:rPr>
          <w:lang w:val="en-US"/>
        </w:rPr>
        <w:t>M</w:t>
      </w:r>
      <w:r w:rsidR="00FA7958" w:rsidRPr="00A519D0">
        <w:rPr>
          <w:lang w:val="en-US"/>
        </w:rPr>
        <w:t>O</w:t>
      </w:r>
      <w:r w:rsidRPr="00A519D0">
        <w:rPr>
          <w:lang w:val="en-US"/>
        </w:rPr>
        <w:t>NEY LAUNDERING OR TERRORIST FINANCING</w:t>
      </w:r>
      <w:bookmarkEnd w:id="7"/>
    </w:p>
    <w:p w14:paraId="14DDB447" w14:textId="77777777" w:rsidR="00FA7958" w:rsidRPr="00A519D0" w:rsidRDefault="00FA7958" w:rsidP="00995313">
      <w:pPr>
        <w:pStyle w:val="Telobesedila"/>
        <w:ind w:right="-22"/>
        <w:rPr>
          <w:rFonts w:ascii="Arial" w:eastAsiaTheme="minorHAnsi" w:hAnsi="Arial" w:cstheme="minorBidi"/>
          <w:color w:val="000000" w:themeColor="text1"/>
          <w:sz w:val="20"/>
          <w:szCs w:val="22"/>
          <w:lang w:val="en-US"/>
        </w:rPr>
      </w:pPr>
    </w:p>
    <w:p w14:paraId="778D30FA" w14:textId="039690EE" w:rsidR="00995313" w:rsidRPr="00A519D0" w:rsidRDefault="00995313" w:rsidP="00FA7958">
      <w:pPr>
        <w:pStyle w:val="Telobesedila"/>
        <w:spacing w:line="276" w:lineRule="auto"/>
        <w:ind w:right="-22"/>
        <w:rPr>
          <w:rFonts w:ascii="Arial" w:eastAsiaTheme="minorHAnsi" w:hAnsi="Arial" w:cstheme="minorBidi"/>
          <w:color w:val="000000" w:themeColor="text1"/>
          <w:sz w:val="20"/>
          <w:szCs w:val="22"/>
          <w:lang w:val="en-US"/>
        </w:rPr>
      </w:pPr>
      <w:r w:rsidRPr="00A519D0">
        <w:rPr>
          <w:rFonts w:ascii="Arial" w:eastAsiaTheme="minorHAnsi" w:hAnsi="Arial" w:cstheme="minorBidi"/>
          <w:color w:val="000000" w:themeColor="text1"/>
          <w:sz w:val="20"/>
          <w:szCs w:val="22"/>
          <w:lang w:val="en-US"/>
        </w:rPr>
        <w:t>According to the provisions of the APMLFT-1, the OMLP received 1073 reports on suspicious transactions or suspicious activities in 2021, referring to the reasons for suspicions of money laundering; 28 reports, which referred to the reasons for suspicion of terrorist financing</w:t>
      </w:r>
      <w:r w:rsidR="00FA7958" w:rsidRPr="00A519D0">
        <w:rPr>
          <w:rFonts w:ascii="Arial" w:eastAsiaTheme="minorHAnsi" w:hAnsi="Arial" w:cstheme="minorBidi"/>
          <w:color w:val="000000" w:themeColor="text1"/>
          <w:sz w:val="20"/>
          <w:szCs w:val="22"/>
          <w:lang w:val="en-US"/>
        </w:rPr>
        <w:t xml:space="preserve"> </w:t>
      </w:r>
      <w:r w:rsidRPr="00A519D0">
        <w:rPr>
          <w:rFonts w:ascii="Arial" w:eastAsiaTheme="minorHAnsi" w:hAnsi="Arial" w:cstheme="minorBidi"/>
          <w:color w:val="000000" w:themeColor="text1"/>
          <w:sz w:val="20"/>
          <w:szCs w:val="22"/>
          <w:lang w:val="en-US"/>
        </w:rPr>
        <w:t xml:space="preserve">and </w:t>
      </w:r>
      <w:r w:rsidR="00FB26D1" w:rsidRPr="00A519D0">
        <w:rPr>
          <w:rFonts w:ascii="Arial" w:eastAsiaTheme="minorHAnsi" w:hAnsi="Arial" w:cstheme="minorBidi"/>
          <w:color w:val="000000" w:themeColor="text1"/>
          <w:sz w:val="20"/>
          <w:szCs w:val="22"/>
          <w:lang w:val="en-US"/>
        </w:rPr>
        <w:t>2</w:t>
      </w:r>
      <w:r w:rsidRPr="00A519D0">
        <w:rPr>
          <w:rFonts w:ascii="Arial" w:eastAsiaTheme="minorHAnsi" w:hAnsi="Arial" w:cstheme="minorBidi"/>
          <w:color w:val="000000" w:themeColor="text1"/>
          <w:sz w:val="20"/>
          <w:szCs w:val="22"/>
          <w:lang w:val="en-US"/>
        </w:rPr>
        <w:t xml:space="preserve"> reports, where the State Prosecutor’s Office (with the previous approval of OMLP) ordered financial investigations according to the Confiscations of Proceeds of Crime Act.</w:t>
      </w:r>
    </w:p>
    <w:p w14:paraId="7A2DDB22" w14:textId="77777777" w:rsidR="00FB26D1" w:rsidRPr="00A519D0" w:rsidRDefault="00FB26D1" w:rsidP="00FA7958">
      <w:pPr>
        <w:pStyle w:val="Telobesedila"/>
        <w:spacing w:line="276" w:lineRule="auto"/>
        <w:ind w:right="-22"/>
        <w:rPr>
          <w:rFonts w:ascii="Arial" w:eastAsiaTheme="minorHAnsi" w:hAnsi="Arial" w:cstheme="minorBidi"/>
          <w:bCs/>
          <w:iCs/>
          <w:sz w:val="20"/>
          <w:szCs w:val="22"/>
          <w:lang w:val="en-US"/>
        </w:rPr>
      </w:pPr>
    </w:p>
    <w:p w14:paraId="06BB3428" w14:textId="4242AFBC" w:rsidR="00FB26D1" w:rsidRPr="00A519D0" w:rsidRDefault="00FB26D1" w:rsidP="00FB26D1">
      <w:pPr>
        <w:pStyle w:val="Telobesedila"/>
        <w:ind w:right="-22"/>
        <w:rPr>
          <w:rFonts w:ascii="Arial" w:eastAsiaTheme="minorHAnsi" w:hAnsi="Arial" w:cstheme="minorBidi"/>
          <w:bCs/>
          <w:iCs/>
          <w:sz w:val="20"/>
          <w:szCs w:val="22"/>
          <w:lang w:val="en-US"/>
        </w:rPr>
      </w:pPr>
      <w:proofErr w:type="gramStart"/>
      <w:r w:rsidRPr="00A519D0">
        <w:rPr>
          <w:rFonts w:ascii="Arial" w:eastAsiaTheme="minorHAnsi" w:hAnsi="Arial" w:cstheme="minorBidi"/>
          <w:bCs/>
          <w:iCs/>
          <w:sz w:val="20"/>
          <w:szCs w:val="22"/>
          <w:lang w:val="en-US"/>
        </w:rPr>
        <w:t>On the basis of</w:t>
      </w:r>
      <w:proofErr w:type="gramEnd"/>
      <w:r w:rsidRPr="00A519D0">
        <w:rPr>
          <w:rFonts w:ascii="Arial" w:eastAsiaTheme="minorHAnsi" w:hAnsi="Arial" w:cstheme="minorBidi"/>
          <w:bCs/>
          <w:iCs/>
          <w:sz w:val="20"/>
          <w:szCs w:val="22"/>
          <w:lang w:val="en-US"/>
        </w:rPr>
        <w:t xml:space="preserve"> all those reports, the OMLP opened 1.103 cases and performed activities on the basis of APMLFT-1.</w:t>
      </w:r>
    </w:p>
    <w:p w14:paraId="4C84D4E3" w14:textId="77777777" w:rsidR="00FB26D1" w:rsidRPr="00A519D0" w:rsidRDefault="00FB26D1" w:rsidP="00FB26D1">
      <w:pPr>
        <w:pStyle w:val="Telobesedila"/>
        <w:ind w:right="-22"/>
        <w:rPr>
          <w:rFonts w:ascii="Arial" w:eastAsiaTheme="minorHAnsi" w:hAnsi="Arial" w:cstheme="minorBidi"/>
          <w:bCs/>
          <w:iCs/>
          <w:sz w:val="20"/>
          <w:szCs w:val="22"/>
          <w:lang w:val="en-US"/>
        </w:rPr>
      </w:pPr>
    </w:p>
    <w:p w14:paraId="7FE33092" w14:textId="1CA9AD24" w:rsidR="00FB26D1" w:rsidRPr="00A519D0" w:rsidRDefault="00FB26D1" w:rsidP="00FB26D1">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bCs/>
          <w:iCs/>
          <w:lang w:val="en-US"/>
        </w:rPr>
      </w:pPr>
      <w:r w:rsidRPr="00A519D0">
        <w:rPr>
          <w:bCs/>
          <w:iCs/>
          <w:lang w:val="en-US"/>
        </w:rPr>
        <w:t>Those reports have been (together with the comparative data for the period 2017 – 2021) sorted according to the:</w:t>
      </w:r>
    </w:p>
    <w:p w14:paraId="49CB4780" w14:textId="77777777" w:rsidR="00FB26D1" w:rsidRPr="00A519D0" w:rsidRDefault="00FB26D1" w:rsidP="00FA7958">
      <w:pPr>
        <w:widowControl w:val="0"/>
        <w:numPr>
          <w:ilvl w:val="0"/>
          <w:numId w:val="5"/>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after="0" w:line="276" w:lineRule="auto"/>
        <w:ind w:right="-22"/>
        <w:rPr>
          <w:bCs/>
          <w:iCs/>
          <w:lang w:val="en-US"/>
        </w:rPr>
      </w:pPr>
      <w:r w:rsidRPr="00A519D0">
        <w:rPr>
          <w:bCs/>
          <w:iCs/>
          <w:lang w:val="en-US"/>
        </w:rPr>
        <w:t>reporting entities,</w:t>
      </w:r>
    </w:p>
    <w:p w14:paraId="1682DA16" w14:textId="77777777" w:rsidR="00FB26D1" w:rsidRPr="00A519D0" w:rsidRDefault="00FB26D1" w:rsidP="00FA7958">
      <w:pPr>
        <w:widowControl w:val="0"/>
        <w:numPr>
          <w:ilvl w:val="0"/>
          <w:numId w:val="5"/>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after="0" w:line="276" w:lineRule="auto"/>
        <w:ind w:right="-22"/>
        <w:rPr>
          <w:bCs/>
          <w:iCs/>
          <w:lang w:val="en-US"/>
        </w:rPr>
      </w:pPr>
      <w:r w:rsidRPr="00A519D0">
        <w:rPr>
          <w:bCs/>
          <w:iCs/>
          <w:lang w:val="en-US"/>
        </w:rPr>
        <w:t>number and dynamics of opened and concluded cases,</w:t>
      </w:r>
    </w:p>
    <w:p w14:paraId="34F536A4" w14:textId="135C9EC2" w:rsidR="00FB26D1" w:rsidRPr="00A519D0" w:rsidRDefault="00FB26D1" w:rsidP="00FA7958">
      <w:pPr>
        <w:widowControl w:val="0"/>
        <w:numPr>
          <w:ilvl w:val="0"/>
          <w:numId w:val="5"/>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after="0" w:line="276" w:lineRule="auto"/>
        <w:ind w:right="-22"/>
        <w:rPr>
          <w:bCs/>
          <w:iCs/>
          <w:lang w:val="en-US"/>
        </w:rPr>
      </w:pPr>
      <w:r w:rsidRPr="00A519D0">
        <w:rPr>
          <w:bCs/>
          <w:iCs/>
          <w:lang w:val="en-US"/>
        </w:rPr>
        <w:t xml:space="preserve">cases, forwarded to the Criminal Police Directorate of the Ministry of Interior due to </w:t>
      </w:r>
      <w:r w:rsidR="00CF22D3">
        <w:rPr>
          <w:bCs/>
          <w:iCs/>
          <w:lang w:val="en-US"/>
        </w:rPr>
        <w:t>grounds</w:t>
      </w:r>
      <w:r w:rsidR="00CF22D3" w:rsidRPr="00A519D0">
        <w:rPr>
          <w:bCs/>
          <w:iCs/>
          <w:lang w:val="en-US"/>
        </w:rPr>
        <w:t xml:space="preserve"> </w:t>
      </w:r>
      <w:r w:rsidRPr="00A519D0">
        <w:rPr>
          <w:bCs/>
          <w:iCs/>
          <w:lang w:val="en-US"/>
        </w:rPr>
        <w:t>for suspicion of money laundering,</w:t>
      </w:r>
    </w:p>
    <w:p w14:paraId="3E3DF158" w14:textId="63433BAF" w:rsidR="00FB26D1" w:rsidRPr="00A519D0" w:rsidRDefault="00FB26D1" w:rsidP="00FA7958">
      <w:pPr>
        <w:widowControl w:val="0"/>
        <w:numPr>
          <w:ilvl w:val="0"/>
          <w:numId w:val="5"/>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after="0" w:line="276" w:lineRule="auto"/>
        <w:ind w:right="-22"/>
        <w:rPr>
          <w:bCs/>
          <w:iCs/>
          <w:lang w:val="en-US"/>
        </w:rPr>
      </w:pPr>
      <w:r w:rsidRPr="00A519D0">
        <w:rPr>
          <w:bCs/>
          <w:iCs/>
          <w:lang w:val="en-US"/>
        </w:rPr>
        <w:t xml:space="preserve">cases, forwarded to the Criminal Police Directorate of the Ministry of Interior due to </w:t>
      </w:r>
      <w:r w:rsidR="00CF22D3">
        <w:rPr>
          <w:bCs/>
          <w:iCs/>
          <w:lang w:val="en-US"/>
        </w:rPr>
        <w:t>grounds</w:t>
      </w:r>
      <w:r w:rsidR="00CF22D3" w:rsidRPr="00A519D0">
        <w:rPr>
          <w:bCs/>
          <w:iCs/>
          <w:lang w:val="en-US"/>
        </w:rPr>
        <w:t xml:space="preserve"> </w:t>
      </w:r>
      <w:r w:rsidRPr="00A519D0">
        <w:rPr>
          <w:bCs/>
          <w:iCs/>
          <w:lang w:val="en-US"/>
        </w:rPr>
        <w:t>for suspicion of financing of terrorism,</w:t>
      </w:r>
    </w:p>
    <w:p w14:paraId="6960868C" w14:textId="2555A628" w:rsidR="00FB26D1" w:rsidRPr="00A519D0" w:rsidRDefault="00FB26D1" w:rsidP="00FA7958">
      <w:pPr>
        <w:widowControl w:val="0"/>
        <w:numPr>
          <w:ilvl w:val="0"/>
          <w:numId w:val="5"/>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after="0" w:line="276" w:lineRule="auto"/>
        <w:ind w:right="-22"/>
        <w:rPr>
          <w:bCs/>
          <w:iCs/>
          <w:lang w:val="en-US"/>
        </w:rPr>
      </w:pPr>
      <w:r w:rsidRPr="00A519D0">
        <w:rPr>
          <w:bCs/>
          <w:iCs/>
          <w:lang w:val="en-US"/>
        </w:rPr>
        <w:t xml:space="preserve">cases, forwarded to the Criminal Police Directorate of the Ministry of Interior and other competent authorities due to </w:t>
      </w:r>
      <w:r w:rsidR="00CF22D3">
        <w:rPr>
          <w:bCs/>
          <w:iCs/>
          <w:lang w:val="en-US"/>
        </w:rPr>
        <w:t>grounds</w:t>
      </w:r>
      <w:r w:rsidR="00CF22D3" w:rsidRPr="00A519D0">
        <w:rPr>
          <w:bCs/>
          <w:iCs/>
          <w:lang w:val="en-US"/>
        </w:rPr>
        <w:t xml:space="preserve"> </w:t>
      </w:r>
      <w:r w:rsidRPr="00A519D0">
        <w:rPr>
          <w:bCs/>
          <w:iCs/>
          <w:lang w:val="en-US"/>
        </w:rPr>
        <w:t>for suspicion of committing other criminal offences,</w:t>
      </w:r>
    </w:p>
    <w:p w14:paraId="371690F0" w14:textId="77777777" w:rsidR="00FB26D1" w:rsidRPr="00A519D0" w:rsidRDefault="00FB26D1" w:rsidP="00FA7958">
      <w:pPr>
        <w:widowControl w:val="0"/>
        <w:numPr>
          <w:ilvl w:val="0"/>
          <w:numId w:val="5"/>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after="0" w:line="276" w:lineRule="auto"/>
        <w:ind w:right="-22"/>
        <w:rPr>
          <w:bCs/>
          <w:iCs/>
          <w:lang w:val="en-US"/>
        </w:rPr>
      </w:pPr>
      <w:r w:rsidRPr="00A519D0">
        <w:rPr>
          <w:bCs/>
          <w:iCs/>
          <w:lang w:val="en-US"/>
        </w:rPr>
        <w:t>temporary postponement of transactions,</w:t>
      </w:r>
    </w:p>
    <w:p w14:paraId="77C30620" w14:textId="77777777" w:rsidR="00FB26D1" w:rsidRPr="00A519D0" w:rsidRDefault="00FB26D1" w:rsidP="00FA7958">
      <w:pPr>
        <w:widowControl w:val="0"/>
        <w:numPr>
          <w:ilvl w:val="0"/>
          <w:numId w:val="5"/>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after="0" w:line="276" w:lineRule="auto"/>
        <w:ind w:right="-22"/>
        <w:rPr>
          <w:bCs/>
          <w:iCs/>
          <w:lang w:val="en-US"/>
        </w:rPr>
      </w:pPr>
      <w:r w:rsidRPr="00A519D0">
        <w:rPr>
          <w:bCs/>
          <w:iCs/>
          <w:lang w:val="en-US"/>
        </w:rPr>
        <w:t>the value of temporarily seized dirty money and assets,</w:t>
      </w:r>
    </w:p>
    <w:p w14:paraId="0FCEE9A5" w14:textId="77777777" w:rsidR="00FB26D1" w:rsidRPr="00A519D0" w:rsidRDefault="00FB26D1" w:rsidP="00FA7958">
      <w:pPr>
        <w:widowControl w:val="0"/>
        <w:numPr>
          <w:ilvl w:val="0"/>
          <w:numId w:val="5"/>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after="0" w:line="276" w:lineRule="auto"/>
        <w:ind w:right="-22"/>
        <w:rPr>
          <w:bCs/>
          <w:iCs/>
          <w:lang w:val="en-US"/>
        </w:rPr>
      </w:pPr>
      <w:r w:rsidRPr="00A519D0">
        <w:rPr>
          <w:bCs/>
          <w:iCs/>
          <w:lang w:val="en-US"/>
        </w:rPr>
        <w:t>typology of suspicious transactions.</w:t>
      </w:r>
    </w:p>
    <w:p w14:paraId="6635E739" w14:textId="3CF46BA5" w:rsidR="009754F7" w:rsidRPr="00A519D0" w:rsidRDefault="009754F7" w:rsidP="009754F7">
      <w:pPr>
        <w:pStyle w:val="Odstavekseznama"/>
        <w:numPr>
          <w:ilvl w:val="0"/>
          <w:numId w:val="0"/>
        </w:numPr>
        <w:ind w:left="851"/>
        <w:rPr>
          <w:lang w:val="en-US"/>
        </w:rPr>
      </w:pPr>
    </w:p>
    <w:p w14:paraId="46B780F7" w14:textId="61D4107D" w:rsidR="00B65A09" w:rsidRPr="00A519D0" w:rsidRDefault="00B16D33" w:rsidP="00B65A09">
      <w:pPr>
        <w:pStyle w:val="Naslov3"/>
        <w:rPr>
          <w:lang w:val="en-US"/>
        </w:rPr>
      </w:pPr>
      <w:r w:rsidRPr="00A519D0">
        <w:rPr>
          <w:lang w:val="en-US"/>
        </w:rPr>
        <w:t>Report</w:t>
      </w:r>
      <w:r>
        <w:rPr>
          <w:lang w:val="en-US"/>
        </w:rPr>
        <w:t>ing entities</w:t>
      </w:r>
    </w:p>
    <w:p w14:paraId="30D5926C" w14:textId="77777777" w:rsidR="00FA7958" w:rsidRPr="00A519D0" w:rsidRDefault="00FA7958" w:rsidP="00FA7958">
      <w:pPr>
        <w:rPr>
          <w:lang w:val="en-US"/>
        </w:rPr>
      </w:pPr>
    </w:p>
    <w:p w14:paraId="20416D5C" w14:textId="2D48A337" w:rsidR="00FB26D1" w:rsidRPr="00A519D0" w:rsidRDefault="00FB26D1" w:rsidP="00FA7958">
      <w:pPr>
        <w:pStyle w:val="Telobesedila"/>
        <w:spacing w:line="276" w:lineRule="auto"/>
        <w:ind w:right="-22"/>
        <w:rPr>
          <w:rFonts w:ascii="Arial" w:hAnsi="Arial"/>
          <w:sz w:val="20"/>
          <w:lang w:val="en-US"/>
        </w:rPr>
      </w:pPr>
      <w:r w:rsidRPr="00A519D0">
        <w:rPr>
          <w:rFonts w:ascii="Arial" w:hAnsi="Arial"/>
          <w:sz w:val="20"/>
          <w:lang w:val="en-US"/>
        </w:rPr>
        <w:t xml:space="preserve">Detailed data on reporting entities of suspicious transactions and persons, </w:t>
      </w:r>
      <w:proofErr w:type="gramStart"/>
      <w:r w:rsidRPr="00A519D0">
        <w:rPr>
          <w:rFonts w:ascii="Arial" w:hAnsi="Arial"/>
          <w:sz w:val="20"/>
          <w:lang w:val="en-US"/>
        </w:rPr>
        <w:t>on the basis of</w:t>
      </w:r>
      <w:proofErr w:type="gramEnd"/>
      <w:r w:rsidRPr="00A519D0">
        <w:rPr>
          <w:rFonts w:ascii="Arial" w:hAnsi="Arial"/>
          <w:sz w:val="20"/>
          <w:lang w:val="en-US"/>
        </w:rPr>
        <w:t xml:space="preserve"> which the OMLP opened and investigated particular cases in 20</w:t>
      </w:r>
      <w:r w:rsidR="00834907" w:rsidRPr="00A519D0">
        <w:rPr>
          <w:rFonts w:ascii="Arial" w:hAnsi="Arial"/>
          <w:sz w:val="20"/>
          <w:lang w:val="en-US"/>
        </w:rPr>
        <w:t>21</w:t>
      </w:r>
      <w:r w:rsidRPr="00A519D0">
        <w:rPr>
          <w:rFonts w:ascii="Arial" w:hAnsi="Arial"/>
          <w:sz w:val="20"/>
          <w:lang w:val="en-US"/>
        </w:rPr>
        <w:t xml:space="preserve">, can be seen </w:t>
      </w:r>
      <w:r w:rsidR="00834907" w:rsidRPr="00A519D0">
        <w:rPr>
          <w:rFonts w:ascii="Arial" w:hAnsi="Arial"/>
          <w:sz w:val="20"/>
          <w:lang w:val="en-US"/>
        </w:rPr>
        <w:t>below</w:t>
      </w:r>
      <w:r w:rsidRPr="00A519D0">
        <w:rPr>
          <w:rFonts w:ascii="Arial" w:hAnsi="Arial"/>
          <w:sz w:val="20"/>
          <w:lang w:val="en-US"/>
        </w:rPr>
        <w:t xml:space="preserve"> (together with the comparative data from 201</w:t>
      </w:r>
      <w:r w:rsidR="00834907" w:rsidRPr="00A519D0">
        <w:rPr>
          <w:rFonts w:ascii="Arial" w:hAnsi="Arial"/>
          <w:sz w:val="20"/>
          <w:lang w:val="en-US"/>
        </w:rPr>
        <w:t>7</w:t>
      </w:r>
      <w:r w:rsidRPr="00A519D0">
        <w:rPr>
          <w:rFonts w:ascii="Arial" w:hAnsi="Arial"/>
          <w:sz w:val="20"/>
          <w:lang w:val="en-US"/>
        </w:rPr>
        <w:t xml:space="preserve"> onwards). For the year</w:t>
      </w:r>
      <w:r w:rsidR="00834907" w:rsidRPr="00A519D0">
        <w:rPr>
          <w:rFonts w:ascii="Arial" w:hAnsi="Arial"/>
          <w:sz w:val="20"/>
          <w:lang w:val="en-US"/>
        </w:rPr>
        <w:t xml:space="preserve"> 2018</w:t>
      </w:r>
      <w:r w:rsidRPr="00A519D0">
        <w:rPr>
          <w:rFonts w:ascii="Arial" w:hAnsi="Arial"/>
          <w:sz w:val="20"/>
          <w:lang w:val="en-US"/>
        </w:rPr>
        <w:t xml:space="preserve">, we separately show data on reports referring to money laundering and terrorist financing. The table contains only reporting entities, explicitly determined by the APMLFT-1, on which basis the OMLP could start investigations of cases and use its authorizations.  </w:t>
      </w:r>
    </w:p>
    <w:p w14:paraId="7A5B6BBF" w14:textId="0C5F07FD" w:rsidR="00FB26D1" w:rsidRPr="00A519D0" w:rsidRDefault="00FB26D1" w:rsidP="00B65A09">
      <w:pPr>
        <w:rPr>
          <w:lang w:val="en-US"/>
        </w:rPr>
      </w:pPr>
    </w:p>
    <w:p w14:paraId="34C224B7" w14:textId="77777777" w:rsidR="00FA7958" w:rsidRPr="00A519D0" w:rsidRDefault="00FA7958" w:rsidP="00B65A09">
      <w:pPr>
        <w:rPr>
          <w:lang w:val="en-US"/>
        </w:rPr>
      </w:pPr>
    </w:p>
    <w:p w14:paraId="22DC2231" w14:textId="1F8981F3" w:rsidR="00AD7A14" w:rsidRPr="00A519D0" w:rsidRDefault="00834907" w:rsidP="00D22B13">
      <w:pPr>
        <w:spacing w:line="276" w:lineRule="auto"/>
        <w:ind w:left="851" w:right="-22" w:hanging="851"/>
        <w:rPr>
          <w:i/>
          <w:iCs/>
          <w:szCs w:val="20"/>
          <w:lang w:val="en-US"/>
        </w:rPr>
      </w:pPr>
      <w:proofErr w:type="gramStart"/>
      <w:r w:rsidRPr="00A519D0">
        <w:rPr>
          <w:i/>
          <w:iCs/>
          <w:szCs w:val="20"/>
          <w:lang w:val="en-US"/>
        </w:rPr>
        <w:lastRenderedPageBreak/>
        <w:t xml:space="preserve">Table </w:t>
      </w:r>
      <w:r w:rsidR="00AD7A14" w:rsidRPr="00A519D0">
        <w:rPr>
          <w:i/>
          <w:iCs/>
          <w:szCs w:val="20"/>
          <w:lang w:val="en-US"/>
        </w:rPr>
        <w:t xml:space="preserve"> </w:t>
      </w:r>
      <w:r w:rsidR="00310995" w:rsidRPr="00A519D0">
        <w:rPr>
          <w:i/>
          <w:iCs/>
          <w:szCs w:val="20"/>
          <w:lang w:val="en-US"/>
        </w:rPr>
        <w:t>2</w:t>
      </w:r>
      <w:proofErr w:type="gramEnd"/>
      <w:r w:rsidR="00AD7A14" w:rsidRPr="00A519D0">
        <w:rPr>
          <w:i/>
          <w:iCs/>
          <w:szCs w:val="20"/>
          <w:lang w:val="en-US"/>
        </w:rPr>
        <w:t xml:space="preserve">: </w:t>
      </w:r>
      <w:r w:rsidRPr="00A519D0">
        <w:rPr>
          <w:i/>
          <w:szCs w:val="20"/>
          <w:lang w:val="en-US"/>
        </w:rPr>
        <w:t xml:space="preserve">Number and share of cases by </w:t>
      </w:r>
      <w:r w:rsidR="00B16D33" w:rsidRPr="00A519D0">
        <w:rPr>
          <w:i/>
          <w:szCs w:val="20"/>
          <w:lang w:val="en-US"/>
        </w:rPr>
        <w:t>reportin</w:t>
      </w:r>
      <w:r w:rsidR="00B16D33">
        <w:rPr>
          <w:i/>
          <w:szCs w:val="20"/>
          <w:lang w:val="en-US"/>
        </w:rPr>
        <w:t>g entities</w:t>
      </w:r>
      <w:r w:rsidR="00B16D33" w:rsidRPr="00A519D0">
        <w:rPr>
          <w:i/>
          <w:szCs w:val="20"/>
          <w:lang w:val="en-US"/>
        </w:rPr>
        <w:t xml:space="preserve"> </w:t>
      </w:r>
      <w:r w:rsidRPr="00A519D0">
        <w:rPr>
          <w:i/>
          <w:szCs w:val="20"/>
          <w:lang w:val="en-US"/>
        </w:rPr>
        <w:t xml:space="preserve">in the period from </w:t>
      </w:r>
      <w:r w:rsidR="00AD7A14" w:rsidRPr="00A519D0">
        <w:rPr>
          <w:i/>
          <w:iCs/>
          <w:szCs w:val="20"/>
          <w:lang w:val="en-US"/>
        </w:rPr>
        <w:t>2017–2021</w:t>
      </w:r>
    </w:p>
    <w:tbl>
      <w:tblPr>
        <w:tblStyle w:val="Tabelatemnamrea5poudarek5"/>
        <w:tblW w:w="9214" w:type="dxa"/>
        <w:tblLayout w:type="fixed"/>
        <w:tblLook w:val="04A0" w:firstRow="1" w:lastRow="0" w:firstColumn="1" w:lastColumn="0" w:noHBand="0" w:noVBand="1"/>
      </w:tblPr>
      <w:tblGrid>
        <w:gridCol w:w="2409"/>
        <w:gridCol w:w="1134"/>
        <w:gridCol w:w="709"/>
        <w:gridCol w:w="709"/>
        <w:gridCol w:w="709"/>
        <w:gridCol w:w="709"/>
        <w:gridCol w:w="709"/>
        <w:gridCol w:w="709"/>
        <w:gridCol w:w="709"/>
        <w:gridCol w:w="708"/>
      </w:tblGrid>
      <w:tr w:rsidR="00A9101E" w:rsidRPr="00A519D0" w14:paraId="7172F2B1" w14:textId="77777777" w:rsidTr="0043230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tcPr>
          <w:p w14:paraId="09D7515D" w14:textId="77777777" w:rsidR="00947066" w:rsidRPr="00A519D0" w:rsidRDefault="00947066" w:rsidP="00F569C7">
            <w:pPr>
              <w:spacing w:line="360" w:lineRule="auto"/>
              <w:jc w:val="left"/>
              <w:rPr>
                <w:color w:val="auto"/>
                <w:sz w:val="14"/>
                <w:szCs w:val="14"/>
                <w:lang w:val="en-US" w:eastAsia="sl-SI"/>
              </w:rPr>
            </w:pPr>
          </w:p>
        </w:tc>
        <w:tc>
          <w:tcPr>
            <w:tcW w:w="1134" w:type="dxa"/>
          </w:tcPr>
          <w:p w14:paraId="2459216C" w14:textId="304D41C5" w:rsidR="00947066" w:rsidRPr="00A519D0" w:rsidRDefault="00947066"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r w:rsidRPr="00A519D0">
              <w:rPr>
                <w:b w:val="0"/>
                <w:bCs w:val="0"/>
                <w:color w:val="auto"/>
                <w:sz w:val="14"/>
                <w:szCs w:val="14"/>
                <w:lang w:val="en-US" w:eastAsia="sl-SI"/>
              </w:rPr>
              <w:t>2017</w:t>
            </w:r>
          </w:p>
        </w:tc>
        <w:tc>
          <w:tcPr>
            <w:tcW w:w="709" w:type="dxa"/>
          </w:tcPr>
          <w:p w14:paraId="0A63EE66" w14:textId="35E72E7C" w:rsidR="00947066" w:rsidRPr="00A519D0" w:rsidRDefault="00947066" w:rsidP="00F569C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r w:rsidRPr="00A519D0">
              <w:rPr>
                <w:b w:val="0"/>
                <w:bCs w:val="0"/>
                <w:color w:val="auto"/>
                <w:sz w:val="14"/>
                <w:szCs w:val="14"/>
                <w:lang w:val="en-US" w:eastAsia="sl-SI"/>
              </w:rPr>
              <w:t>2018</w:t>
            </w:r>
          </w:p>
        </w:tc>
        <w:tc>
          <w:tcPr>
            <w:tcW w:w="709" w:type="dxa"/>
          </w:tcPr>
          <w:p w14:paraId="36BD8171" w14:textId="77777777" w:rsidR="00947066" w:rsidRPr="00A519D0" w:rsidRDefault="00947066"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p>
        </w:tc>
        <w:tc>
          <w:tcPr>
            <w:tcW w:w="709" w:type="dxa"/>
          </w:tcPr>
          <w:p w14:paraId="1F1BA358" w14:textId="6E2DEF40" w:rsidR="00947066" w:rsidRPr="00A519D0" w:rsidRDefault="00947066" w:rsidP="00F569C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r w:rsidRPr="00A519D0">
              <w:rPr>
                <w:b w:val="0"/>
                <w:bCs w:val="0"/>
                <w:color w:val="auto"/>
                <w:sz w:val="14"/>
                <w:szCs w:val="14"/>
                <w:lang w:val="en-US" w:eastAsia="sl-SI"/>
              </w:rPr>
              <w:t>2019</w:t>
            </w:r>
          </w:p>
        </w:tc>
        <w:tc>
          <w:tcPr>
            <w:tcW w:w="709" w:type="dxa"/>
          </w:tcPr>
          <w:p w14:paraId="025631E7" w14:textId="77777777" w:rsidR="00947066" w:rsidRPr="00A519D0" w:rsidRDefault="00947066"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p>
        </w:tc>
        <w:tc>
          <w:tcPr>
            <w:tcW w:w="709" w:type="dxa"/>
          </w:tcPr>
          <w:p w14:paraId="3FC5109B" w14:textId="3ADB600B" w:rsidR="00947066" w:rsidRPr="00A519D0" w:rsidRDefault="00947066" w:rsidP="00F569C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r w:rsidRPr="00A519D0">
              <w:rPr>
                <w:b w:val="0"/>
                <w:bCs w:val="0"/>
                <w:color w:val="auto"/>
                <w:sz w:val="14"/>
                <w:szCs w:val="14"/>
                <w:lang w:val="en-US" w:eastAsia="sl-SI"/>
              </w:rPr>
              <w:t>2020</w:t>
            </w:r>
          </w:p>
        </w:tc>
        <w:tc>
          <w:tcPr>
            <w:tcW w:w="709" w:type="dxa"/>
          </w:tcPr>
          <w:p w14:paraId="061AF22A" w14:textId="77777777" w:rsidR="00947066" w:rsidRPr="00A519D0" w:rsidRDefault="00947066"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p>
        </w:tc>
        <w:tc>
          <w:tcPr>
            <w:tcW w:w="709" w:type="dxa"/>
          </w:tcPr>
          <w:p w14:paraId="52C8F64B" w14:textId="0B42BDC5" w:rsidR="00947066" w:rsidRPr="00A519D0" w:rsidRDefault="00947066" w:rsidP="00F569C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r w:rsidRPr="00A519D0">
              <w:rPr>
                <w:b w:val="0"/>
                <w:bCs w:val="0"/>
                <w:color w:val="auto"/>
                <w:sz w:val="14"/>
                <w:szCs w:val="14"/>
                <w:lang w:val="en-US" w:eastAsia="sl-SI"/>
              </w:rPr>
              <w:t>2021</w:t>
            </w:r>
          </w:p>
        </w:tc>
        <w:tc>
          <w:tcPr>
            <w:tcW w:w="708" w:type="dxa"/>
          </w:tcPr>
          <w:p w14:paraId="029D8E91" w14:textId="77777777" w:rsidR="00947066" w:rsidRPr="00A519D0" w:rsidRDefault="00947066"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lang w:val="en-US" w:eastAsia="sl-SI"/>
              </w:rPr>
            </w:pPr>
          </w:p>
        </w:tc>
      </w:tr>
      <w:tr w:rsidR="00947066" w:rsidRPr="00A519D0" w14:paraId="0A9614CB"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tcPr>
          <w:p w14:paraId="6A9014AB" w14:textId="77777777" w:rsidR="00947066" w:rsidRPr="00A519D0" w:rsidRDefault="00947066" w:rsidP="00F569C7">
            <w:pPr>
              <w:spacing w:line="360" w:lineRule="auto"/>
              <w:jc w:val="left"/>
              <w:rPr>
                <w:color w:val="auto"/>
                <w:sz w:val="14"/>
                <w:szCs w:val="14"/>
                <w:lang w:val="en-US" w:eastAsia="sl-SI"/>
              </w:rPr>
            </w:pPr>
          </w:p>
        </w:tc>
        <w:tc>
          <w:tcPr>
            <w:tcW w:w="1134" w:type="dxa"/>
          </w:tcPr>
          <w:p w14:paraId="3475C587" w14:textId="78BFA83F"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PD</w:t>
            </w:r>
          </w:p>
        </w:tc>
        <w:tc>
          <w:tcPr>
            <w:tcW w:w="709" w:type="dxa"/>
          </w:tcPr>
          <w:p w14:paraId="2527AAFB" w14:textId="513650F9"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PD</w:t>
            </w:r>
          </w:p>
        </w:tc>
        <w:tc>
          <w:tcPr>
            <w:tcW w:w="709" w:type="dxa"/>
          </w:tcPr>
          <w:p w14:paraId="7DD717FA" w14:textId="7C535AFE"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FT</w:t>
            </w:r>
          </w:p>
        </w:tc>
        <w:tc>
          <w:tcPr>
            <w:tcW w:w="709" w:type="dxa"/>
          </w:tcPr>
          <w:p w14:paraId="3FBFC5E2" w14:textId="5CB08259"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PD</w:t>
            </w:r>
          </w:p>
        </w:tc>
        <w:tc>
          <w:tcPr>
            <w:tcW w:w="709" w:type="dxa"/>
          </w:tcPr>
          <w:p w14:paraId="3B1756E1" w14:textId="6AC59179"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FT</w:t>
            </w:r>
          </w:p>
        </w:tc>
        <w:tc>
          <w:tcPr>
            <w:tcW w:w="709" w:type="dxa"/>
          </w:tcPr>
          <w:p w14:paraId="096CBF2C" w14:textId="7397754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PD</w:t>
            </w:r>
          </w:p>
        </w:tc>
        <w:tc>
          <w:tcPr>
            <w:tcW w:w="709" w:type="dxa"/>
          </w:tcPr>
          <w:p w14:paraId="2BEEAEC3" w14:textId="5258870B"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FT</w:t>
            </w:r>
          </w:p>
        </w:tc>
        <w:tc>
          <w:tcPr>
            <w:tcW w:w="709" w:type="dxa"/>
          </w:tcPr>
          <w:p w14:paraId="7EB33605" w14:textId="51EB2BC0"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PD</w:t>
            </w:r>
          </w:p>
        </w:tc>
        <w:tc>
          <w:tcPr>
            <w:tcW w:w="708" w:type="dxa"/>
          </w:tcPr>
          <w:p w14:paraId="3C2C4D16" w14:textId="2DB2C7D9"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FT</w:t>
            </w:r>
          </w:p>
        </w:tc>
      </w:tr>
      <w:tr w:rsidR="00947066" w:rsidRPr="00A519D0" w14:paraId="52F22C53"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8EA9C0D" w14:textId="21FDAB8A" w:rsidR="00947066" w:rsidRPr="00A519D0" w:rsidRDefault="00947066" w:rsidP="00F569C7">
            <w:pPr>
              <w:spacing w:line="360" w:lineRule="auto"/>
              <w:jc w:val="left"/>
              <w:rPr>
                <w:color w:val="auto"/>
                <w:sz w:val="14"/>
                <w:szCs w:val="14"/>
                <w:lang w:val="en-US" w:eastAsia="sl-SI"/>
              </w:rPr>
            </w:pPr>
            <w:r w:rsidRPr="00A519D0">
              <w:rPr>
                <w:color w:val="auto"/>
                <w:sz w:val="14"/>
                <w:szCs w:val="14"/>
                <w:lang w:val="en-US" w:eastAsia="sl-SI"/>
              </w:rPr>
              <w:t xml:space="preserve">1. </w:t>
            </w:r>
            <w:r w:rsidR="001033F2" w:rsidRPr="00A519D0">
              <w:rPr>
                <w:color w:val="auto"/>
                <w:sz w:val="14"/>
                <w:szCs w:val="14"/>
                <w:lang w:val="en-US" w:eastAsia="sl-SI"/>
              </w:rPr>
              <w:t>REPORTING ENTITIES</w:t>
            </w:r>
          </w:p>
          <w:p w14:paraId="3C1CC492" w14:textId="5B71A452" w:rsidR="00947066" w:rsidRPr="00A519D0" w:rsidRDefault="00947066" w:rsidP="00F569C7">
            <w:pPr>
              <w:spacing w:line="360" w:lineRule="auto"/>
              <w:jc w:val="left"/>
              <w:rPr>
                <w:color w:val="auto"/>
                <w:sz w:val="14"/>
                <w:szCs w:val="14"/>
                <w:lang w:val="en-US" w:eastAsia="sl-SI"/>
              </w:rPr>
            </w:pPr>
            <w:r w:rsidRPr="00A519D0">
              <w:rPr>
                <w:color w:val="auto"/>
                <w:sz w:val="14"/>
                <w:szCs w:val="14"/>
                <w:lang w:val="en-US" w:eastAsia="sl-SI"/>
              </w:rPr>
              <w:t> </w:t>
            </w:r>
          </w:p>
        </w:tc>
        <w:tc>
          <w:tcPr>
            <w:tcW w:w="1134" w:type="dxa"/>
            <w:hideMark/>
          </w:tcPr>
          <w:p w14:paraId="36ADFA31"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484</w:t>
            </w:r>
          </w:p>
        </w:tc>
        <w:tc>
          <w:tcPr>
            <w:tcW w:w="709" w:type="dxa"/>
            <w:hideMark/>
          </w:tcPr>
          <w:p w14:paraId="4B640BE2"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660</w:t>
            </w:r>
          </w:p>
        </w:tc>
        <w:tc>
          <w:tcPr>
            <w:tcW w:w="709" w:type="dxa"/>
            <w:hideMark/>
          </w:tcPr>
          <w:p w14:paraId="5828AE06"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25</w:t>
            </w:r>
          </w:p>
        </w:tc>
        <w:tc>
          <w:tcPr>
            <w:tcW w:w="709" w:type="dxa"/>
            <w:hideMark/>
          </w:tcPr>
          <w:p w14:paraId="2BA8FC9D"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889</w:t>
            </w:r>
          </w:p>
        </w:tc>
        <w:tc>
          <w:tcPr>
            <w:tcW w:w="709" w:type="dxa"/>
            <w:hideMark/>
          </w:tcPr>
          <w:p w14:paraId="0CEFE41C"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24</w:t>
            </w:r>
          </w:p>
        </w:tc>
        <w:tc>
          <w:tcPr>
            <w:tcW w:w="709" w:type="dxa"/>
            <w:hideMark/>
          </w:tcPr>
          <w:p w14:paraId="6A0ECE2D"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893</w:t>
            </w:r>
          </w:p>
        </w:tc>
        <w:tc>
          <w:tcPr>
            <w:tcW w:w="709" w:type="dxa"/>
            <w:hideMark/>
          </w:tcPr>
          <w:p w14:paraId="5508838A"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51</w:t>
            </w:r>
          </w:p>
        </w:tc>
        <w:tc>
          <w:tcPr>
            <w:tcW w:w="709" w:type="dxa"/>
            <w:hideMark/>
          </w:tcPr>
          <w:p w14:paraId="42AB3440"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860</w:t>
            </w:r>
          </w:p>
        </w:tc>
        <w:tc>
          <w:tcPr>
            <w:tcW w:w="708" w:type="dxa"/>
            <w:hideMark/>
          </w:tcPr>
          <w:p w14:paraId="3D006367" w14:textId="77777777" w:rsidR="00947066" w:rsidRPr="00A519D0" w:rsidRDefault="00947066"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19</w:t>
            </w:r>
          </w:p>
        </w:tc>
      </w:tr>
      <w:tr w:rsidR="00947066" w:rsidRPr="00A519D0" w14:paraId="65093E6A"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F9B580D" w14:textId="29E2B29B" w:rsidR="00947066" w:rsidRPr="00A519D0" w:rsidRDefault="00947066" w:rsidP="00F569C7">
            <w:pPr>
              <w:spacing w:line="360" w:lineRule="auto"/>
              <w:jc w:val="left"/>
              <w:rPr>
                <w:b w:val="0"/>
                <w:bCs w:val="0"/>
                <w:color w:val="auto"/>
                <w:sz w:val="14"/>
                <w:szCs w:val="14"/>
                <w:lang w:val="en-US" w:eastAsia="sl-SI"/>
              </w:rPr>
            </w:pPr>
          </w:p>
        </w:tc>
        <w:tc>
          <w:tcPr>
            <w:tcW w:w="1134" w:type="dxa"/>
            <w:hideMark/>
          </w:tcPr>
          <w:p w14:paraId="758DB3C6"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86,74 %</w:t>
            </w:r>
          </w:p>
        </w:tc>
        <w:tc>
          <w:tcPr>
            <w:tcW w:w="709" w:type="dxa"/>
            <w:hideMark/>
          </w:tcPr>
          <w:p w14:paraId="5836B6F4"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87,07 %</w:t>
            </w:r>
          </w:p>
        </w:tc>
        <w:tc>
          <w:tcPr>
            <w:tcW w:w="709" w:type="dxa"/>
            <w:hideMark/>
          </w:tcPr>
          <w:p w14:paraId="46158A94"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86,21 %</w:t>
            </w:r>
          </w:p>
        </w:tc>
        <w:tc>
          <w:tcPr>
            <w:tcW w:w="709" w:type="dxa"/>
            <w:hideMark/>
          </w:tcPr>
          <w:p w14:paraId="437224BC"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85,65 %</w:t>
            </w:r>
          </w:p>
        </w:tc>
        <w:tc>
          <w:tcPr>
            <w:tcW w:w="709" w:type="dxa"/>
            <w:hideMark/>
          </w:tcPr>
          <w:p w14:paraId="0CF81964"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77,42 %</w:t>
            </w:r>
          </w:p>
        </w:tc>
        <w:tc>
          <w:tcPr>
            <w:tcW w:w="709" w:type="dxa"/>
            <w:hideMark/>
          </w:tcPr>
          <w:p w14:paraId="24F2C3AF"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82,38 %</w:t>
            </w:r>
          </w:p>
        </w:tc>
        <w:tc>
          <w:tcPr>
            <w:tcW w:w="709" w:type="dxa"/>
            <w:hideMark/>
          </w:tcPr>
          <w:p w14:paraId="1049C673"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96,23 %</w:t>
            </w:r>
          </w:p>
        </w:tc>
        <w:tc>
          <w:tcPr>
            <w:tcW w:w="709" w:type="dxa"/>
            <w:hideMark/>
          </w:tcPr>
          <w:p w14:paraId="794EF441"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80,00 %</w:t>
            </w:r>
          </w:p>
        </w:tc>
        <w:tc>
          <w:tcPr>
            <w:tcW w:w="708" w:type="dxa"/>
            <w:hideMark/>
          </w:tcPr>
          <w:p w14:paraId="64FD5095" w14:textId="77777777" w:rsidR="00947066" w:rsidRPr="00A519D0" w:rsidRDefault="00947066"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67,86 %</w:t>
            </w:r>
          </w:p>
        </w:tc>
      </w:tr>
      <w:tr w:rsidR="00947066" w:rsidRPr="00A519D0" w14:paraId="2C59C340"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EAC63FE" w14:textId="0F4E7D97" w:rsidR="00C124DE" w:rsidRPr="00A519D0" w:rsidRDefault="00C124DE"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B</w:t>
            </w:r>
            <w:r w:rsidR="001033F2" w:rsidRPr="00A519D0">
              <w:rPr>
                <w:b w:val="0"/>
                <w:bCs w:val="0"/>
                <w:color w:val="auto"/>
                <w:sz w:val="14"/>
                <w:szCs w:val="14"/>
                <w:lang w:val="en-US" w:eastAsia="sl-SI"/>
              </w:rPr>
              <w:t>anks</w:t>
            </w:r>
          </w:p>
        </w:tc>
        <w:tc>
          <w:tcPr>
            <w:tcW w:w="1134" w:type="dxa"/>
            <w:hideMark/>
          </w:tcPr>
          <w:p w14:paraId="2684C7F0"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426</w:t>
            </w:r>
          </w:p>
        </w:tc>
        <w:tc>
          <w:tcPr>
            <w:tcW w:w="709" w:type="dxa"/>
            <w:hideMark/>
          </w:tcPr>
          <w:p w14:paraId="4EF712A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548</w:t>
            </w:r>
          </w:p>
        </w:tc>
        <w:tc>
          <w:tcPr>
            <w:tcW w:w="709" w:type="dxa"/>
            <w:hideMark/>
          </w:tcPr>
          <w:p w14:paraId="7793BA6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18</w:t>
            </w:r>
          </w:p>
        </w:tc>
        <w:tc>
          <w:tcPr>
            <w:tcW w:w="709" w:type="dxa"/>
            <w:hideMark/>
          </w:tcPr>
          <w:p w14:paraId="7962050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755</w:t>
            </w:r>
          </w:p>
        </w:tc>
        <w:tc>
          <w:tcPr>
            <w:tcW w:w="709" w:type="dxa"/>
            <w:hideMark/>
          </w:tcPr>
          <w:p w14:paraId="4068166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8</w:t>
            </w:r>
          </w:p>
        </w:tc>
        <w:tc>
          <w:tcPr>
            <w:tcW w:w="709" w:type="dxa"/>
            <w:hideMark/>
          </w:tcPr>
          <w:p w14:paraId="742FD85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737</w:t>
            </w:r>
          </w:p>
        </w:tc>
        <w:tc>
          <w:tcPr>
            <w:tcW w:w="709" w:type="dxa"/>
            <w:hideMark/>
          </w:tcPr>
          <w:p w14:paraId="6A8C400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c>
          <w:tcPr>
            <w:tcW w:w="709" w:type="dxa"/>
            <w:noWrap/>
            <w:hideMark/>
          </w:tcPr>
          <w:p w14:paraId="21820BA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732</w:t>
            </w:r>
          </w:p>
        </w:tc>
        <w:tc>
          <w:tcPr>
            <w:tcW w:w="708" w:type="dxa"/>
            <w:noWrap/>
            <w:hideMark/>
          </w:tcPr>
          <w:p w14:paraId="1506438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6</w:t>
            </w:r>
          </w:p>
        </w:tc>
      </w:tr>
      <w:tr w:rsidR="00947066" w:rsidRPr="00A519D0" w14:paraId="7CFAF0F2"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AA437FC" w14:textId="1666AFBA"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Saving banks</w:t>
            </w:r>
          </w:p>
        </w:tc>
        <w:tc>
          <w:tcPr>
            <w:tcW w:w="1134" w:type="dxa"/>
            <w:hideMark/>
          </w:tcPr>
          <w:p w14:paraId="590467D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28</w:t>
            </w:r>
          </w:p>
        </w:tc>
        <w:tc>
          <w:tcPr>
            <w:tcW w:w="709" w:type="dxa"/>
            <w:hideMark/>
          </w:tcPr>
          <w:p w14:paraId="1910337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75</w:t>
            </w:r>
          </w:p>
        </w:tc>
        <w:tc>
          <w:tcPr>
            <w:tcW w:w="709" w:type="dxa"/>
            <w:hideMark/>
          </w:tcPr>
          <w:p w14:paraId="1D92407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EBF8A2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84</w:t>
            </w:r>
          </w:p>
        </w:tc>
        <w:tc>
          <w:tcPr>
            <w:tcW w:w="709" w:type="dxa"/>
            <w:hideMark/>
          </w:tcPr>
          <w:p w14:paraId="6523656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19F6614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87</w:t>
            </w:r>
          </w:p>
        </w:tc>
        <w:tc>
          <w:tcPr>
            <w:tcW w:w="709" w:type="dxa"/>
            <w:hideMark/>
          </w:tcPr>
          <w:p w14:paraId="1BFEF5D4"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noWrap/>
            <w:hideMark/>
          </w:tcPr>
          <w:p w14:paraId="1F29845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57</w:t>
            </w:r>
          </w:p>
        </w:tc>
        <w:tc>
          <w:tcPr>
            <w:tcW w:w="708" w:type="dxa"/>
            <w:noWrap/>
            <w:hideMark/>
          </w:tcPr>
          <w:p w14:paraId="16C775B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1555D446"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1FA7876" w14:textId="0379CEC5" w:rsidR="00C124DE" w:rsidRPr="00A519D0" w:rsidRDefault="00C124DE"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Po</w:t>
            </w:r>
            <w:r w:rsidR="001033F2" w:rsidRPr="00A519D0">
              <w:rPr>
                <w:b w:val="0"/>
                <w:bCs w:val="0"/>
                <w:color w:val="auto"/>
                <w:sz w:val="14"/>
                <w:szCs w:val="14"/>
                <w:lang w:val="en-US" w:eastAsia="sl-SI"/>
              </w:rPr>
              <w:t>st Office</w:t>
            </w:r>
          </w:p>
        </w:tc>
        <w:tc>
          <w:tcPr>
            <w:tcW w:w="1134" w:type="dxa"/>
            <w:hideMark/>
          </w:tcPr>
          <w:p w14:paraId="40EC2D2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10</w:t>
            </w:r>
          </w:p>
        </w:tc>
        <w:tc>
          <w:tcPr>
            <w:tcW w:w="709" w:type="dxa"/>
            <w:hideMark/>
          </w:tcPr>
          <w:p w14:paraId="3F8CBBF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15</w:t>
            </w:r>
          </w:p>
        </w:tc>
        <w:tc>
          <w:tcPr>
            <w:tcW w:w="709" w:type="dxa"/>
            <w:hideMark/>
          </w:tcPr>
          <w:p w14:paraId="151385D7"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290248C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7</w:t>
            </w:r>
          </w:p>
        </w:tc>
        <w:tc>
          <w:tcPr>
            <w:tcW w:w="709" w:type="dxa"/>
            <w:hideMark/>
          </w:tcPr>
          <w:p w14:paraId="57AF7CB8"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2508B0B"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17</w:t>
            </w:r>
          </w:p>
        </w:tc>
        <w:tc>
          <w:tcPr>
            <w:tcW w:w="709" w:type="dxa"/>
            <w:hideMark/>
          </w:tcPr>
          <w:p w14:paraId="66F2E38F"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0F10D87F"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c>
          <w:tcPr>
            <w:tcW w:w="708" w:type="dxa"/>
            <w:noWrap/>
            <w:hideMark/>
          </w:tcPr>
          <w:p w14:paraId="144E27B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3AF49D78"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8BD3788" w14:textId="711E5BE3"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Brokerage companies and management companies of investment funds</w:t>
            </w:r>
          </w:p>
        </w:tc>
        <w:tc>
          <w:tcPr>
            <w:tcW w:w="1134" w:type="dxa"/>
            <w:hideMark/>
          </w:tcPr>
          <w:p w14:paraId="2E08156E"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9" w:type="dxa"/>
            <w:hideMark/>
          </w:tcPr>
          <w:p w14:paraId="072AD93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11DB7B3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2C134A0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10</w:t>
            </w:r>
          </w:p>
        </w:tc>
        <w:tc>
          <w:tcPr>
            <w:tcW w:w="709" w:type="dxa"/>
            <w:hideMark/>
          </w:tcPr>
          <w:p w14:paraId="7B0B758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1A7F850"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c>
          <w:tcPr>
            <w:tcW w:w="709" w:type="dxa"/>
            <w:hideMark/>
          </w:tcPr>
          <w:p w14:paraId="23EDC0B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7308354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8" w:type="dxa"/>
            <w:noWrap/>
            <w:hideMark/>
          </w:tcPr>
          <w:p w14:paraId="1CEFEA1A"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6E4BFFB3"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549DD02" w14:textId="2A2555F9" w:rsidR="00C124DE" w:rsidRPr="00A519D0" w:rsidRDefault="00C124DE"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L</w:t>
            </w:r>
            <w:r w:rsidR="001033F2" w:rsidRPr="00A519D0">
              <w:rPr>
                <w:b w:val="0"/>
                <w:bCs w:val="0"/>
                <w:color w:val="auto"/>
                <w:sz w:val="14"/>
                <w:szCs w:val="14"/>
                <w:lang w:val="en-US" w:eastAsia="sl-SI"/>
              </w:rPr>
              <w:t>easing</w:t>
            </w:r>
          </w:p>
        </w:tc>
        <w:tc>
          <w:tcPr>
            <w:tcW w:w="1134" w:type="dxa"/>
            <w:hideMark/>
          </w:tcPr>
          <w:p w14:paraId="0DB07C7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46A3491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013857EB"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991944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10F36E8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5E4B99D"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12B1A430"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43F48B58"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8" w:type="dxa"/>
            <w:noWrap/>
            <w:hideMark/>
          </w:tcPr>
          <w:p w14:paraId="17929AD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2DF38468"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49D7A0C" w14:textId="325905B0"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Auditors and accountants</w:t>
            </w:r>
          </w:p>
        </w:tc>
        <w:tc>
          <w:tcPr>
            <w:tcW w:w="1134" w:type="dxa"/>
            <w:hideMark/>
          </w:tcPr>
          <w:p w14:paraId="586020A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7AD1C86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D0350BE"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633D842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c>
          <w:tcPr>
            <w:tcW w:w="709" w:type="dxa"/>
            <w:hideMark/>
          </w:tcPr>
          <w:p w14:paraId="4A02D08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906FCD8"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4C1EEBF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594E77F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8" w:type="dxa"/>
            <w:noWrap/>
            <w:hideMark/>
          </w:tcPr>
          <w:p w14:paraId="325CD210"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68508E88"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22B6664" w14:textId="32A98C5A"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Casinos</w:t>
            </w:r>
          </w:p>
        </w:tc>
        <w:tc>
          <w:tcPr>
            <w:tcW w:w="1134" w:type="dxa"/>
            <w:hideMark/>
          </w:tcPr>
          <w:p w14:paraId="0603F7A7"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10</w:t>
            </w:r>
          </w:p>
        </w:tc>
        <w:tc>
          <w:tcPr>
            <w:tcW w:w="709" w:type="dxa"/>
            <w:hideMark/>
          </w:tcPr>
          <w:p w14:paraId="614075B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c>
          <w:tcPr>
            <w:tcW w:w="709" w:type="dxa"/>
            <w:hideMark/>
          </w:tcPr>
          <w:p w14:paraId="00F1DD1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9BB270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9</w:t>
            </w:r>
          </w:p>
        </w:tc>
        <w:tc>
          <w:tcPr>
            <w:tcW w:w="709" w:type="dxa"/>
            <w:hideMark/>
          </w:tcPr>
          <w:p w14:paraId="7BD5EEF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93C9B52"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051F77B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2340D35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8" w:type="dxa"/>
            <w:noWrap/>
            <w:hideMark/>
          </w:tcPr>
          <w:p w14:paraId="08F98AD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2D9C1348"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578E03A" w14:textId="057B3E3F"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 xml:space="preserve">Other </w:t>
            </w:r>
            <w:proofErr w:type="spellStart"/>
            <w:r w:rsidRPr="00A519D0">
              <w:rPr>
                <w:b w:val="0"/>
                <w:bCs w:val="0"/>
                <w:color w:val="auto"/>
                <w:sz w:val="14"/>
                <w:szCs w:val="14"/>
                <w:lang w:val="en-US" w:eastAsia="sl-SI"/>
              </w:rPr>
              <w:t>organisers</w:t>
            </w:r>
            <w:proofErr w:type="spellEnd"/>
            <w:r w:rsidRPr="00A519D0">
              <w:rPr>
                <w:b w:val="0"/>
                <w:bCs w:val="0"/>
                <w:color w:val="auto"/>
                <w:sz w:val="14"/>
                <w:szCs w:val="14"/>
                <w:lang w:val="en-US" w:eastAsia="sl-SI"/>
              </w:rPr>
              <w:t xml:space="preserve"> of games of chan</w:t>
            </w:r>
            <w:r w:rsidR="00FA7958" w:rsidRPr="00A519D0">
              <w:rPr>
                <w:b w:val="0"/>
                <w:bCs w:val="0"/>
                <w:color w:val="auto"/>
                <w:sz w:val="14"/>
                <w:szCs w:val="14"/>
                <w:lang w:val="en-US" w:eastAsia="sl-SI"/>
              </w:rPr>
              <w:t>ce</w:t>
            </w:r>
          </w:p>
        </w:tc>
        <w:tc>
          <w:tcPr>
            <w:tcW w:w="1134" w:type="dxa"/>
            <w:hideMark/>
          </w:tcPr>
          <w:p w14:paraId="393F15B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4430149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393F22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DBC91B6"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262ED606"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DD57506"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30F7670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1E378D13"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8" w:type="dxa"/>
            <w:noWrap/>
            <w:hideMark/>
          </w:tcPr>
          <w:p w14:paraId="542BC11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69B3EBEE"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79C8F44" w14:textId="1979AC37"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Dealers with precious stones</w:t>
            </w:r>
          </w:p>
        </w:tc>
        <w:tc>
          <w:tcPr>
            <w:tcW w:w="1134" w:type="dxa"/>
            <w:hideMark/>
          </w:tcPr>
          <w:p w14:paraId="2C3102F0"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F4A85DB"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9" w:type="dxa"/>
            <w:hideMark/>
          </w:tcPr>
          <w:p w14:paraId="18FE062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43E55FD"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4675AC9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2B6BFDD8"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8F6162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43BC58A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8" w:type="dxa"/>
            <w:noWrap/>
            <w:hideMark/>
          </w:tcPr>
          <w:p w14:paraId="2BA16532"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39C34E49"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66EEF37" w14:textId="5E9758DD"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Real Estate Agencies</w:t>
            </w:r>
          </w:p>
        </w:tc>
        <w:tc>
          <w:tcPr>
            <w:tcW w:w="1134" w:type="dxa"/>
            <w:hideMark/>
          </w:tcPr>
          <w:p w14:paraId="58DBDE1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05E3A1F3"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8C8A45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14559F3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33CA7D6A"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A3A235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2369FC7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340869C8"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8" w:type="dxa"/>
            <w:noWrap/>
            <w:hideMark/>
          </w:tcPr>
          <w:p w14:paraId="41CEE8B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29494A73"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49F2622" w14:textId="405A003B"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Insurance companies</w:t>
            </w:r>
          </w:p>
        </w:tc>
        <w:tc>
          <w:tcPr>
            <w:tcW w:w="1134" w:type="dxa"/>
            <w:hideMark/>
          </w:tcPr>
          <w:p w14:paraId="38869123"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1D7ABAB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858DD0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4238538"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1BA99F8"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1EB1BD20"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23B13C2F"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615E9C7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8" w:type="dxa"/>
            <w:noWrap/>
            <w:hideMark/>
          </w:tcPr>
          <w:p w14:paraId="05A515FD"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3A9C7925"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BB9F8D0" w14:textId="7B331BFA"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Virtual Currencies</w:t>
            </w:r>
          </w:p>
        </w:tc>
        <w:tc>
          <w:tcPr>
            <w:tcW w:w="1134" w:type="dxa"/>
            <w:hideMark/>
          </w:tcPr>
          <w:p w14:paraId="288B380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FF03C53"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3E4744A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4F225286"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2C4C8ED"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25D1BA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48FB346E"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68173A7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6</w:t>
            </w:r>
          </w:p>
        </w:tc>
        <w:tc>
          <w:tcPr>
            <w:tcW w:w="708" w:type="dxa"/>
            <w:noWrap/>
            <w:hideMark/>
          </w:tcPr>
          <w:p w14:paraId="5E2B34F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655E989B"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FE052DD" w14:textId="57BBE322"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Payment Service providers</w:t>
            </w:r>
          </w:p>
        </w:tc>
        <w:tc>
          <w:tcPr>
            <w:tcW w:w="1134" w:type="dxa"/>
            <w:hideMark/>
          </w:tcPr>
          <w:p w14:paraId="7BD7BAA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1E1FA43B"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c>
          <w:tcPr>
            <w:tcW w:w="709" w:type="dxa"/>
            <w:hideMark/>
          </w:tcPr>
          <w:p w14:paraId="3EEC3B1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6</w:t>
            </w:r>
          </w:p>
        </w:tc>
        <w:tc>
          <w:tcPr>
            <w:tcW w:w="709" w:type="dxa"/>
            <w:hideMark/>
          </w:tcPr>
          <w:p w14:paraId="07A371B2"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c>
          <w:tcPr>
            <w:tcW w:w="709" w:type="dxa"/>
            <w:hideMark/>
          </w:tcPr>
          <w:p w14:paraId="244D5DB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16</w:t>
            </w:r>
          </w:p>
        </w:tc>
        <w:tc>
          <w:tcPr>
            <w:tcW w:w="709" w:type="dxa"/>
            <w:hideMark/>
          </w:tcPr>
          <w:p w14:paraId="4710AA6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38</w:t>
            </w:r>
          </w:p>
        </w:tc>
        <w:tc>
          <w:tcPr>
            <w:tcW w:w="709" w:type="dxa"/>
            <w:hideMark/>
          </w:tcPr>
          <w:p w14:paraId="65659CA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45</w:t>
            </w:r>
          </w:p>
        </w:tc>
        <w:tc>
          <w:tcPr>
            <w:tcW w:w="709" w:type="dxa"/>
            <w:noWrap/>
            <w:hideMark/>
          </w:tcPr>
          <w:p w14:paraId="0637F38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23</w:t>
            </w:r>
          </w:p>
        </w:tc>
        <w:tc>
          <w:tcPr>
            <w:tcW w:w="708" w:type="dxa"/>
            <w:noWrap/>
            <w:hideMark/>
          </w:tcPr>
          <w:p w14:paraId="2B86971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13</w:t>
            </w:r>
          </w:p>
        </w:tc>
      </w:tr>
      <w:tr w:rsidR="00947066" w:rsidRPr="00A519D0" w14:paraId="4E23A469"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91150F1" w14:textId="5E20126D"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Other Obliged Entities</w:t>
            </w:r>
          </w:p>
        </w:tc>
        <w:tc>
          <w:tcPr>
            <w:tcW w:w="1134" w:type="dxa"/>
            <w:hideMark/>
          </w:tcPr>
          <w:p w14:paraId="285B1734"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4995DDDD"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9" w:type="dxa"/>
            <w:hideMark/>
          </w:tcPr>
          <w:p w14:paraId="156D3510"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19996F1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9" w:type="dxa"/>
            <w:hideMark/>
          </w:tcPr>
          <w:p w14:paraId="2E48B69A"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3692109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c>
          <w:tcPr>
            <w:tcW w:w="709" w:type="dxa"/>
            <w:hideMark/>
          </w:tcPr>
          <w:p w14:paraId="1C92E76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4AC4ABB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29</w:t>
            </w:r>
          </w:p>
        </w:tc>
        <w:tc>
          <w:tcPr>
            <w:tcW w:w="708" w:type="dxa"/>
            <w:noWrap/>
            <w:hideMark/>
          </w:tcPr>
          <w:p w14:paraId="75FB8B80"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60B50008"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867342C" w14:textId="7785CD42"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Notaries</w:t>
            </w:r>
          </w:p>
        </w:tc>
        <w:tc>
          <w:tcPr>
            <w:tcW w:w="1134" w:type="dxa"/>
            <w:hideMark/>
          </w:tcPr>
          <w:p w14:paraId="3A4968A2"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2D3FD0DD"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043C891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2164639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234E6E9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12F4F6DD"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5AAF409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104EE06B"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8" w:type="dxa"/>
            <w:noWrap/>
            <w:hideMark/>
          </w:tcPr>
          <w:p w14:paraId="3D04156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4FDBFF1C"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ACF0BEC" w14:textId="75297A7B"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Lawyers</w:t>
            </w:r>
          </w:p>
        </w:tc>
        <w:tc>
          <w:tcPr>
            <w:tcW w:w="1134" w:type="dxa"/>
            <w:hideMark/>
          </w:tcPr>
          <w:p w14:paraId="14092E7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3F49050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F53411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7F54E9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c>
          <w:tcPr>
            <w:tcW w:w="709" w:type="dxa"/>
            <w:hideMark/>
          </w:tcPr>
          <w:p w14:paraId="48D425D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DBD3534"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2EAEBBE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006C10C6"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8" w:type="dxa"/>
            <w:noWrap/>
            <w:hideMark/>
          </w:tcPr>
          <w:p w14:paraId="4CCC2CB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227EFD" w:rsidRPr="00A519D0" w14:paraId="7177234A"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5D6B4EE" w14:textId="201D6991" w:rsidR="00227EFD" w:rsidRPr="00A519D0" w:rsidRDefault="00227EFD" w:rsidP="00F569C7">
            <w:pPr>
              <w:spacing w:line="360" w:lineRule="auto"/>
              <w:jc w:val="left"/>
              <w:rPr>
                <w:color w:val="auto"/>
                <w:sz w:val="14"/>
                <w:szCs w:val="14"/>
                <w:lang w:val="en-US" w:eastAsia="sl-SI"/>
              </w:rPr>
            </w:pPr>
            <w:r w:rsidRPr="00A519D0">
              <w:rPr>
                <w:color w:val="auto"/>
                <w:sz w:val="14"/>
                <w:szCs w:val="14"/>
                <w:lang w:val="en-US" w:eastAsia="sl-SI"/>
              </w:rPr>
              <w:t xml:space="preserve">2. </w:t>
            </w:r>
            <w:r w:rsidR="001033F2" w:rsidRPr="00A519D0">
              <w:rPr>
                <w:color w:val="auto"/>
                <w:sz w:val="14"/>
                <w:szCs w:val="14"/>
                <w:lang w:val="en-US" w:eastAsia="sl-SI"/>
              </w:rPr>
              <w:t>INITIATIVES OF STATE AUTHORITIES</w:t>
            </w:r>
          </w:p>
        </w:tc>
        <w:tc>
          <w:tcPr>
            <w:tcW w:w="1134" w:type="dxa"/>
            <w:hideMark/>
          </w:tcPr>
          <w:p w14:paraId="58E7ED8B"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38</w:t>
            </w:r>
          </w:p>
        </w:tc>
        <w:tc>
          <w:tcPr>
            <w:tcW w:w="709" w:type="dxa"/>
            <w:hideMark/>
          </w:tcPr>
          <w:p w14:paraId="5490DA97"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49</w:t>
            </w:r>
          </w:p>
        </w:tc>
        <w:tc>
          <w:tcPr>
            <w:tcW w:w="709" w:type="dxa"/>
            <w:hideMark/>
          </w:tcPr>
          <w:p w14:paraId="541EBEAD"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3A85DB4C"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81</w:t>
            </w:r>
          </w:p>
        </w:tc>
        <w:tc>
          <w:tcPr>
            <w:tcW w:w="709" w:type="dxa"/>
            <w:hideMark/>
          </w:tcPr>
          <w:p w14:paraId="3C3AD464"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c>
          <w:tcPr>
            <w:tcW w:w="709" w:type="dxa"/>
            <w:hideMark/>
          </w:tcPr>
          <w:p w14:paraId="37F2DBBE"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115</w:t>
            </w:r>
          </w:p>
        </w:tc>
        <w:tc>
          <w:tcPr>
            <w:tcW w:w="709" w:type="dxa"/>
            <w:hideMark/>
          </w:tcPr>
          <w:p w14:paraId="7AE4D293"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376F4757"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128</w:t>
            </w:r>
          </w:p>
        </w:tc>
        <w:tc>
          <w:tcPr>
            <w:tcW w:w="708" w:type="dxa"/>
            <w:hideMark/>
          </w:tcPr>
          <w:p w14:paraId="4310AAD9"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r>
      <w:tr w:rsidR="00227EFD" w:rsidRPr="00A519D0" w14:paraId="649F9A2E" w14:textId="77777777" w:rsidTr="0043230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291D3A2" w14:textId="5848BC01" w:rsidR="00227EFD" w:rsidRPr="00A519D0" w:rsidRDefault="00227EFD" w:rsidP="00F569C7">
            <w:pPr>
              <w:spacing w:line="360" w:lineRule="auto"/>
              <w:jc w:val="left"/>
              <w:rPr>
                <w:b w:val="0"/>
                <w:bCs w:val="0"/>
                <w:color w:val="auto"/>
                <w:sz w:val="14"/>
                <w:szCs w:val="14"/>
                <w:lang w:val="en-US" w:eastAsia="sl-SI"/>
              </w:rPr>
            </w:pPr>
          </w:p>
        </w:tc>
        <w:tc>
          <w:tcPr>
            <w:tcW w:w="1134" w:type="dxa"/>
            <w:hideMark/>
          </w:tcPr>
          <w:p w14:paraId="2F70AA2C"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6,81 %</w:t>
            </w:r>
          </w:p>
        </w:tc>
        <w:tc>
          <w:tcPr>
            <w:tcW w:w="709" w:type="dxa"/>
            <w:hideMark/>
          </w:tcPr>
          <w:p w14:paraId="103D15EF"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6,46 %</w:t>
            </w:r>
          </w:p>
        </w:tc>
        <w:tc>
          <w:tcPr>
            <w:tcW w:w="709" w:type="dxa"/>
            <w:hideMark/>
          </w:tcPr>
          <w:p w14:paraId="127F21EE"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6,90 %</w:t>
            </w:r>
          </w:p>
        </w:tc>
        <w:tc>
          <w:tcPr>
            <w:tcW w:w="709" w:type="dxa"/>
            <w:hideMark/>
          </w:tcPr>
          <w:p w14:paraId="32457277"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7,80 %</w:t>
            </w:r>
          </w:p>
        </w:tc>
        <w:tc>
          <w:tcPr>
            <w:tcW w:w="709" w:type="dxa"/>
            <w:hideMark/>
          </w:tcPr>
          <w:p w14:paraId="2D451241"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16,13 %</w:t>
            </w:r>
          </w:p>
        </w:tc>
        <w:tc>
          <w:tcPr>
            <w:tcW w:w="709" w:type="dxa"/>
            <w:hideMark/>
          </w:tcPr>
          <w:p w14:paraId="4DDA04FB"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10,61 %</w:t>
            </w:r>
          </w:p>
        </w:tc>
        <w:tc>
          <w:tcPr>
            <w:tcW w:w="709" w:type="dxa"/>
            <w:hideMark/>
          </w:tcPr>
          <w:p w14:paraId="3FFDE1F5"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1,89 %</w:t>
            </w:r>
          </w:p>
        </w:tc>
        <w:tc>
          <w:tcPr>
            <w:tcW w:w="709" w:type="dxa"/>
            <w:hideMark/>
          </w:tcPr>
          <w:p w14:paraId="09D24681"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11,91 %</w:t>
            </w:r>
          </w:p>
        </w:tc>
        <w:tc>
          <w:tcPr>
            <w:tcW w:w="708" w:type="dxa"/>
            <w:hideMark/>
          </w:tcPr>
          <w:p w14:paraId="62E775D0"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17,86 %</w:t>
            </w:r>
          </w:p>
        </w:tc>
      </w:tr>
      <w:tr w:rsidR="00947066" w:rsidRPr="00A519D0" w14:paraId="754BF476"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9EACCF2" w14:textId="2FDE3A3E"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Ministry of Interior, Criminal Police Directorate</w:t>
            </w:r>
          </w:p>
        </w:tc>
        <w:tc>
          <w:tcPr>
            <w:tcW w:w="1134" w:type="dxa"/>
            <w:hideMark/>
          </w:tcPr>
          <w:p w14:paraId="1FC551E2"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18</w:t>
            </w:r>
          </w:p>
        </w:tc>
        <w:tc>
          <w:tcPr>
            <w:tcW w:w="709" w:type="dxa"/>
            <w:hideMark/>
          </w:tcPr>
          <w:p w14:paraId="6FE3092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30</w:t>
            </w:r>
          </w:p>
        </w:tc>
        <w:tc>
          <w:tcPr>
            <w:tcW w:w="709" w:type="dxa"/>
            <w:hideMark/>
          </w:tcPr>
          <w:p w14:paraId="73E29333"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63605B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48</w:t>
            </w:r>
          </w:p>
        </w:tc>
        <w:tc>
          <w:tcPr>
            <w:tcW w:w="709" w:type="dxa"/>
            <w:hideMark/>
          </w:tcPr>
          <w:p w14:paraId="7186E106"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E739A50"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70</w:t>
            </w:r>
          </w:p>
        </w:tc>
        <w:tc>
          <w:tcPr>
            <w:tcW w:w="709" w:type="dxa"/>
            <w:hideMark/>
          </w:tcPr>
          <w:p w14:paraId="13F3E813"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0F1AE1CB"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99</w:t>
            </w:r>
          </w:p>
        </w:tc>
        <w:tc>
          <w:tcPr>
            <w:tcW w:w="708" w:type="dxa"/>
            <w:noWrap/>
            <w:hideMark/>
          </w:tcPr>
          <w:p w14:paraId="1554E7C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r>
      <w:tr w:rsidR="00947066" w:rsidRPr="00A519D0" w14:paraId="2C2F67C0"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DEE3DC9" w14:textId="50B04AEB"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State Prosecutor's Office</w:t>
            </w:r>
          </w:p>
        </w:tc>
        <w:tc>
          <w:tcPr>
            <w:tcW w:w="1134" w:type="dxa"/>
            <w:hideMark/>
          </w:tcPr>
          <w:p w14:paraId="37C55004"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13</w:t>
            </w:r>
          </w:p>
        </w:tc>
        <w:tc>
          <w:tcPr>
            <w:tcW w:w="709" w:type="dxa"/>
            <w:hideMark/>
          </w:tcPr>
          <w:p w14:paraId="279B770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13</w:t>
            </w:r>
          </w:p>
        </w:tc>
        <w:tc>
          <w:tcPr>
            <w:tcW w:w="709" w:type="dxa"/>
            <w:hideMark/>
          </w:tcPr>
          <w:p w14:paraId="12313B2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5B62BB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20</w:t>
            </w:r>
          </w:p>
        </w:tc>
        <w:tc>
          <w:tcPr>
            <w:tcW w:w="709" w:type="dxa"/>
            <w:hideMark/>
          </w:tcPr>
          <w:p w14:paraId="38B702D0"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FF3B36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17</w:t>
            </w:r>
          </w:p>
        </w:tc>
        <w:tc>
          <w:tcPr>
            <w:tcW w:w="709" w:type="dxa"/>
            <w:hideMark/>
          </w:tcPr>
          <w:p w14:paraId="2336B8C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055BB13E"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9</w:t>
            </w:r>
          </w:p>
        </w:tc>
        <w:tc>
          <w:tcPr>
            <w:tcW w:w="708" w:type="dxa"/>
            <w:hideMark/>
          </w:tcPr>
          <w:p w14:paraId="29AB502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0A628571"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1ABFA55" w14:textId="24F0F2F8"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Ministry of Finance</w:t>
            </w:r>
            <w:r w:rsidR="00C124DE" w:rsidRPr="00A519D0">
              <w:rPr>
                <w:b w:val="0"/>
                <w:bCs w:val="0"/>
                <w:color w:val="auto"/>
                <w:sz w:val="14"/>
                <w:szCs w:val="14"/>
                <w:lang w:val="en-US" w:eastAsia="sl-SI"/>
              </w:rPr>
              <w:t xml:space="preserve">, </w:t>
            </w:r>
            <w:r w:rsidRPr="00A519D0">
              <w:rPr>
                <w:b w:val="0"/>
                <w:bCs w:val="0"/>
                <w:color w:val="auto"/>
                <w:sz w:val="14"/>
                <w:szCs w:val="14"/>
                <w:lang w:val="en-US" w:eastAsia="sl-SI"/>
              </w:rPr>
              <w:t>Financial Administration</w:t>
            </w:r>
          </w:p>
        </w:tc>
        <w:tc>
          <w:tcPr>
            <w:tcW w:w="1134" w:type="dxa"/>
            <w:hideMark/>
          </w:tcPr>
          <w:p w14:paraId="2DAF5098"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39B3962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39946C8D"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E1525E8"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C5BF01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4E16DF7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E88107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24ED0B43"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c>
          <w:tcPr>
            <w:tcW w:w="708" w:type="dxa"/>
            <w:hideMark/>
          </w:tcPr>
          <w:p w14:paraId="34D5D53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2D93DF15"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0A5F255" w14:textId="1104AB14"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Court</w:t>
            </w:r>
          </w:p>
        </w:tc>
        <w:tc>
          <w:tcPr>
            <w:tcW w:w="1134" w:type="dxa"/>
            <w:hideMark/>
          </w:tcPr>
          <w:p w14:paraId="794E55C8"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4D3DCE9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72C7D9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0DB86F6"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c>
          <w:tcPr>
            <w:tcW w:w="709" w:type="dxa"/>
            <w:hideMark/>
          </w:tcPr>
          <w:p w14:paraId="60D57B88"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8F10D6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9" w:type="dxa"/>
            <w:hideMark/>
          </w:tcPr>
          <w:p w14:paraId="529B67E7"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noWrap/>
            <w:hideMark/>
          </w:tcPr>
          <w:p w14:paraId="2EEDFA23"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c>
          <w:tcPr>
            <w:tcW w:w="708" w:type="dxa"/>
            <w:hideMark/>
          </w:tcPr>
          <w:p w14:paraId="7AA1D5C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5D414629"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CE1F8BB" w14:textId="18BE9344"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Commission for</w:t>
            </w:r>
            <w:r w:rsidR="008F2670" w:rsidRPr="00A519D0">
              <w:rPr>
                <w:b w:val="0"/>
                <w:bCs w:val="0"/>
                <w:color w:val="auto"/>
                <w:sz w:val="14"/>
                <w:szCs w:val="14"/>
                <w:lang w:val="en-US" w:eastAsia="sl-SI"/>
              </w:rPr>
              <w:t xml:space="preserve"> </w:t>
            </w:r>
            <w:r w:rsidRPr="00A519D0">
              <w:rPr>
                <w:b w:val="0"/>
                <w:bCs w:val="0"/>
                <w:color w:val="auto"/>
                <w:sz w:val="14"/>
                <w:szCs w:val="14"/>
                <w:lang w:val="en-US" w:eastAsia="sl-SI"/>
              </w:rPr>
              <w:t xml:space="preserve">the Prevention of Corruption </w:t>
            </w:r>
          </w:p>
        </w:tc>
        <w:tc>
          <w:tcPr>
            <w:tcW w:w="1134" w:type="dxa"/>
            <w:hideMark/>
          </w:tcPr>
          <w:p w14:paraId="240FD81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EE14F4F"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FF0000"/>
                <w:sz w:val="14"/>
                <w:szCs w:val="14"/>
                <w:lang w:val="en-US" w:eastAsia="sl-SI"/>
              </w:rPr>
            </w:pPr>
            <w:r w:rsidRPr="00A519D0">
              <w:rPr>
                <w:b/>
                <w:bCs/>
                <w:color w:val="FF0000"/>
                <w:sz w:val="14"/>
                <w:szCs w:val="14"/>
                <w:lang w:val="en-US" w:eastAsia="sl-SI"/>
              </w:rPr>
              <w:t> </w:t>
            </w:r>
          </w:p>
        </w:tc>
        <w:tc>
          <w:tcPr>
            <w:tcW w:w="709" w:type="dxa"/>
            <w:hideMark/>
          </w:tcPr>
          <w:p w14:paraId="74AC4D9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FF0000"/>
                <w:sz w:val="14"/>
                <w:szCs w:val="14"/>
                <w:lang w:val="en-US" w:eastAsia="sl-SI"/>
              </w:rPr>
            </w:pPr>
            <w:r w:rsidRPr="00A519D0">
              <w:rPr>
                <w:b/>
                <w:bCs/>
                <w:color w:val="FF0000"/>
                <w:sz w:val="14"/>
                <w:szCs w:val="14"/>
                <w:lang w:val="en-US" w:eastAsia="sl-SI"/>
              </w:rPr>
              <w:t> </w:t>
            </w:r>
          </w:p>
        </w:tc>
        <w:tc>
          <w:tcPr>
            <w:tcW w:w="709" w:type="dxa"/>
            <w:hideMark/>
          </w:tcPr>
          <w:p w14:paraId="11293CB3"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60A645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7B811C2"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3B8E0323"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21B306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8" w:type="dxa"/>
            <w:hideMark/>
          </w:tcPr>
          <w:p w14:paraId="781BCAD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6C24D961"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C2D8B9B" w14:textId="1E5C542C"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Slovenian Intelligence ang Security Agency</w:t>
            </w:r>
          </w:p>
        </w:tc>
        <w:tc>
          <w:tcPr>
            <w:tcW w:w="1134" w:type="dxa"/>
            <w:hideMark/>
          </w:tcPr>
          <w:p w14:paraId="6A5184A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7</w:t>
            </w:r>
          </w:p>
        </w:tc>
        <w:tc>
          <w:tcPr>
            <w:tcW w:w="709" w:type="dxa"/>
            <w:hideMark/>
          </w:tcPr>
          <w:p w14:paraId="545C236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6</w:t>
            </w:r>
          </w:p>
        </w:tc>
        <w:tc>
          <w:tcPr>
            <w:tcW w:w="709" w:type="dxa"/>
            <w:hideMark/>
          </w:tcPr>
          <w:p w14:paraId="6DC84ECF"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38845436"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9</w:t>
            </w:r>
          </w:p>
        </w:tc>
        <w:tc>
          <w:tcPr>
            <w:tcW w:w="709" w:type="dxa"/>
            <w:hideMark/>
          </w:tcPr>
          <w:p w14:paraId="479F5C94"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c>
          <w:tcPr>
            <w:tcW w:w="709" w:type="dxa"/>
            <w:hideMark/>
          </w:tcPr>
          <w:p w14:paraId="47AF861D"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24</w:t>
            </w:r>
          </w:p>
        </w:tc>
        <w:tc>
          <w:tcPr>
            <w:tcW w:w="709" w:type="dxa"/>
            <w:hideMark/>
          </w:tcPr>
          <w:p w14:paraId="33B8D30A"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noWrap/>
            <w:hideMark/>
          </w:tcPr>
          <w:p w14:paraId="5484EB9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11</w:t>
            </w:r>
          </w:p>
        </w:tc>
        <w:tc>
          <w:tcPr>
            <w:tcW w:w="708" w:type="dxa"/>
            <w:noWrap/>
            <w:hideMark/>
          </w:tcPr>
          <w:p w14:paraId="0A4DF7B7"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r>
      <w:tr w:rsidR="00947066" w:rsidRPr="00A519D0" w14:paraId="34E33BB6"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CB45D64" w14:textId="6224548B"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 xml:space="preserve">Ministry of </w:t>
            </w:r>
            <w:proofErr w:type="spellStart"/>
            <w:r w:rsidRPr="00A519D0">
              <w:rPr>
                <w:b w:val="0"/>
                <w:bCs w:val="0"/>
                <w:color w:val="auto"/>
                <w:sz w:val="14"/>
                <w:szCs w:val="14"/>
                <w:lang w:val="en-US" w:eastAsia="sl-SI"/>
              </w:rPr>
              <w:t>Defence</w:t>
            </w:r>
            <w:proofErr w:type="spellEnd"/>
            <w:r w:rsidRPr="00A519D0">
              <w:rPr>
                <w:b w:val="0"/>
                <w:bCs w:val="0"/>
                <w:color w:val="auto"/>
                <w:sz w:val="14"/>
                <w:szCs w:val="14"/>
                <w:lang w:val="en-US" w:eastAsia="sl-SI"/>
              </w:rPr>
              <w:t>, Intelligence Security Service</w:t>
            </w:r>
          </w:p>
        </w:tc>
        <w:tc>
          <w:tcPr>
            <w:tcW w:w="1134" w:type="dxa"/>
            <w:hideMark/>
          </w:tcPr>
          <w:p w14:paraId="0E6FA89D"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CA435FF"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2B862DB"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26B5691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188C6E3F"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E6E1BC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412CD100"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F5AC4D0"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8" w:type="dxa"/>
            <w:hideMark/>
          </w:tcPr>
          <w:p w14:paraId="083D5B46"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227EFD" w:rsidRPr="00A519D0" w14:paraId="7129FC5F" w14:textId="77777777" w:rsidTr="0043230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C768033" w14:textId="08D9BA16" w:rsidR="00227EFD" w:rsidRPr="00A519D0" w:rsidRDefault="00227EFD" w:rsidP="00F569C7">
            <w:pPr>
              <w:spacing w:line="360" w:lineRule="auto"/>
              <w:jc w:val="left"/>
              <w:rPr>
                <w:b w:val="0"/>
                <w:bCs w:val="0"/>
                <w:color w:val="auto"/>
                <w:sz w:val="14"/>
                <w:szCs w:val="14"/>
                <w:lang w:val="en-US" w:eastAsia="sl-SI"/>
              </w:rPr>
            </w:pPr>
            <w:r w:rsidRPr="00A519D0">
              <w:rPr>
                <w:color w:val="auto"/>
                <w:sz w:val="14"/>
                <w:szCs w:val="14"/>
                <w:lang w:val="en-US" w:eastAsia="sl-SI"/>
              </w:rPr>
              <w:t xml:space="preserve">3. </w:t>
            </w:r>
            <w:r w:rsidR="001033F2" w:rsidRPr="00A519D0">
              <w:rPr>
                <w:color w:val="auto"/>
                <w:sz w:val="14"/>
                <w:szCs w:val="14"/>
                <w:lang w:val="en-US" w:eastAsia="sl-SI"/>
              </w:rPr>
              <w:t>REPORTING OF THE FACTS OF SUPERVISORY AUTHORITIES</w:t>
            </w:r>
          </w:p>
        </w:tc>
        <w:tc>
          <w:tcPr>
            <w:tcW w:w="1134" w:type="dxa"/>
            <w:hideMark/>
          </w:tcPr>
          <w:p w14:paraId="3920D827"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9" w:type="dxa"/>
            <w:hideMark/>
          </w:tcPr>
          <w:p w14:paraId="3C112FC7"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w:t>
            </w:r>
          </w:p>
        </w:tc>
        <w:tc>
          <w:tcPr>
            <w:tcW w:w="709" w:type="dxa"/>
            <w:hideMark/>
          </w:tcPr>
          <w:p w14:paraId="7A62B670"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w:t>
            </w:r>
          </w:p>
        </w:tc>
        <w:tc>
          <w:tcPr>
            <w:tcW w:w="709" w:type="dxa"/>
            <w:hideMark/>
          </w:tcPr>
          <w:p w14:paraId="37FDDC07"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14</w:t>
            </w:r>
          </w:p>
        </w:tc>
        <w:tc>
          <w:tcPr>
            <w:tcW w:w="709" w:type="dxa"/>
            <w:hideMark/>
          </w:tcPr>
          <w:p w14:paraId="20EEBD67"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w:t>
            </w:r>
          </w:p>
        </w:tc>
        <w:tc>
          <w:tcPr>
            <w:tcW w:w="709" w:type="dxa"/>
            <w:hideMark/>
          </w:tcPr>
          <w:p w14:paraId="01E4EF7D"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16</w:t>
            </w:r>
          </w:p>
        </w:tc>
        <w:tc>
          <w:tcPr>
            <w:tcW w:w="709" w:type="dxa"/>
            <w:hideMark/>
          </w:tcPr>
          <w:p w14:paraId="46C4446F"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w:t>
            </w:r>
          </w:p>
        </w:tc>
        <w:tc>
          <w:tcPr>
            <w:tcW w:w="709" w:type="dxa"/>
            <w:hideMark/>
          </w:tcPr>
          <w:p w14:paraId="72822EBD"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14</w:t>
            </w:r>
          </w:p>
        </w:tc>
        <w:tc>
          <w:tcPr>
            <w:tcW w:w="708" w:type="dxa"/>
            <w:hideMark/>
          </w:tcPr>
          <w:p w14:paraId="07480665"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w:t>
            </w:r>
          </w:p>
        </w:tc>
      </w:tr>
      <w:tr w:rsidR="00227EFD" w:rsidRPr="00A519D0" w14:paraId="7CBAE4A0"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2C3C4BD" w14:textId="29D29DAF" w:rsidR="00227EFD" w:rsidRPr="00A519D0" w:rsidRDefault="00227EFD" w:rsidP="00F569C7">
            <w:pPr>
              <w:spacing w:line="360" w:lineRule="auto"/>
              <w:jc w:val="left"/>
              <w:rPr>
                <w:b w:val="0"/>
                <w:bCs w:val="0"/>
                <w:color w:val="auto"/>
                <w:sz w:val="14"/>
                <w:szCs w:val="14"/>
                <w:lang w:val="en-US" w:eastAsia="sl-SI"/>
              </w:rPr>
            </w:pPr>
          </w:p>
        </w:tc>
        <w:tc>
          <w:tcPr>
            <w:tcW w:w="1134" w:type="dxa"/>
            <w:hideMark/>
          </w:tcPr>
          <w:p w14:paraId="5B5F8D28"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0,54 %</w:t>
            </w:r>
          </w:p>
        </w:tc>
        <w:tc>
          <w:tcPr>
            <w:tcW w:w="709" w:type="dxa"/>
            <w:hideMark/>
          </w:tcPr>
          <w:p w14:paraId="7BB7132A"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0,66 %</w:t>
            </w:r>
          </w:p>
        </w:tc>
        <w:tc>
          <w:tcPr>
            <w:tcW w:w="709" w:type="dxa"/>
            <w:hideMark/>
          </w:tcPr>
          <w:p w14:paraId="39673815"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0,00 %</w:t>
            </w:r>
          </w:p>
        </w:tc>
        <w:tc>
          <w:tcPr>
            <w:tcW w:w="709" w:type="dxa"/>
            <w:hideMark/>
          </w:tcPr>
          <w:p w14:paraId="47DF40FD"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1,35 %</w:t>
            </w:r>
          </w:p>
        </w:tc>
        <w:tc>
          <w:tcPr>
            <w:tcW w:w="709" w:type="dxa"/>
            <w:hideMark/>
          </w:tcPr>
          <w:p w14:paraId="5ACD0F10"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0,00 %</w:t>
            </w:r>
          </w:p>
        </w:tc>
        <w:tc>
          <w:tcPr>
            <w:tcW w:w="709" w:type="dxa"/>
            <w:hideMark/>
          </w:tcPr>
          <w:p w14:paraId="07C7BAE6"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1,48 %</w:t>
            </w:r>
          </w:p>
        </w:tc>
        <w:tc>
          <w:tcPr>
            <w:tcW w:w="709" w:type="dxa"/>
            <w:hideMark/>
          </w:tcPr>
          <w:p w14:paraId="1459B41E"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0,00 %</w:t>
            </w:r>
          </w:p>
        </w:tc>
        <w:tc>
          <w:tcPr>
            <w:tcW w:w="709" w:type="dxa"/>
            <w:hideMark/>
          </w:tcPr>
          <w:p w14:paraId="505F9CF8"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1,30 %</w:t>
            </w:r>
          </w:p>
        </w:tc>
        <w:tc>
          <w:tcPr>
            <w:tcW w:w="708" w:type="dxa"/>
            <w:hideMark/>
          </w:tcPr>
          <w:p w14:paraId="7F15A72A"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0,00 %</w:t>
            </w:r>
          </w:p>
        </w:tc>
      </w:tr>
      <w:tr w:rsidR="00947066" w:rsidRPr="00A519D0" w14:paraId="0E81E061"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8E1BD65" w14:textId="492B8F73"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Ministry of Finance, Financial Administration</w:t>
            </w:r>
          </w:p>
        </w:tc>
        <w:tc>
          <w:tcPr>
            <w:tcW w:w="1134" w:type="dxa"/>
            <w:hideMark/>
          </w:tcPr>
          <w:p w14:paraId="772B9B7D"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EF8F568" w14:textId="77777777" w:rsidR="00C124DE" w:rsidRPr="00A519D0" w:rsidRDefault="00C124DE" w:rsidP="00F569C7">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14"/>
                <w:szCs w:val="14"/>
                <w:lang w:val="en-US" w:eastAsia="sl-SI"/>
              </w:rPr>
            </w:pPr>
            <w:r w:rsidRPr="00A519D0">
              <w:rPr>
                <w:rFonts w:cs="Times New Roman"/>
                <w:sz w:val="14"/>
                <w:szCs w:val="14"/>
                <w:lang w:val="en-US" w:eastAsia="sl-SI"/>
              </w:rPr>
              <w:t> </w:t>
            </w:r>
          </w:p>
        </w:tc>
        <w:tc>
          <w:tcPr>
            <w:tcW w:w="709" w:type="dxa"/>
            <w:hideMark/>
          </w:tcPr>
          <w:p w14:paraId="0FEB7F4F" w14:textId="77777777" w:rsidR="00C124DE" w:rsidRPr="00A519D0" w:rsidRDefault="00C124DE" w:rsidP="00F569C7">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14"/>
                <w:szCs w:val="14"/>
                <w:lang w:val="en-US" w:eastAsia="sl-SI"/>
              </w:rPr>
            </w:pPr>
            <w:r w:rsidRPr="00A519D0">
              <w:rPr>
                <w:rFonts w:cs="Times New Roman"/>
                <w:sz w:val="14"/>
                <w:szCs w:val="14"/>
                <w:lang w:val="en-US" w:eastAsia="sl-SI"/>
              </w:rPr>
              <w:t> </w:t>
            </w:r>
          </w:p>
        </w:tc>
        <w:tc>
          <w:tcPr>
            <w:tcW w:w="709" w:type="dxa"/>
            <w:hideMark/>
          </w:tcPr>
          <w:p w14:paraId="587FBC16"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375F6F4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33D0E72"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38601DD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5A6535DD"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8" w:type="dxa"/>
            <w:hideMark/>
          </w:tcPr>
          <w:p w14:paraId="77D0560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1B3F748B"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789B0CC" w14:textId="26CC4538"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Securities Market Agency</w:t>
            </w:r>
          </w:p>
        </w:tc>
        <w:tc>
          <w:tcPr>
            <w:tcW w:w="1134" w:type="dxa"/>
            <w:hideMark/>
          </w:tcPr>
          <w:p w14:paraId="6850477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AD38E4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51053984" w14:textId="77777777" w:rsidR="00C124DE" w:rsidRPr="00A519D0" w:rsidRDefault="00C124DE" w:rsidP="00F569C7">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14"/>
                <w:szCs w:val="14"/>
                <w:lang w:val="en-US" w:eastAsia="sl-SI"/>
              </w:rPr>
            </w:pPr>
            <w:r w:rsidRPr="00A519D0">
              <w:rPr>
                <w:rFonts w:cs="Times New Roman"/>
                <w:sz w:val="14"/>
                <w:szCs w:val="14"/>
                <w:lang w:val="en-US" w:eastAsia="sl-SI"/>
              </w:rPr>
              <w:t> </w:t>
            </w:r>
          </w:p>
        </w:tc>
        <w:tc>
          <w:tcPr>
            <w:tcW w:w="709" w:type="dxa"/>
            <w:hideMark/>
          </w:tcPr>
          <w:p w14:paraId="507C57F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4D48795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0642F82"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4E7F88CF"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DB04D56"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8" w:type="dxa"/>
            <w:hideMark/>
          </w:tcPr>
          <w:p w14:paraId="3F93917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57BF7A4C"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C66BFD3" w14:textId="72BDC158"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Market Inspectorate</w:t>
            </w:r>
          </w:p>
        </w:tc>
        <w:tc>
          <w:tcPr>
            <w:tcW w:w="1134" w:type="dxa"/>
            <w:hideMark/>
          </w:tcPr>
          <w:p w14:paraId="3CD9FEDC"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1213057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7EC60510" w14:textId="77777777" w:rsidR="00C124DE" w:rsidRPr="00A519D0" w:rsidRDefault="00C124DE" w:rsidP="00F569C7">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14"/>
                <w:szCs w:val="14"/>
                <w:lang w:val="en-US" w:eastAsia="sl-SI"/>
              </w:rPr>
            </w:pPr>
            <w:r w:rsidRPr="00A519D0">
              <w:rPr>
                <w:rFonts w:cs="Times New Roman"/>
                <w:sz w:val="14"/>
                <w:szCs w:val="14"/>
                <w:lang w:val="en-US" w:eastAsia="sl-SI"/>
              </w:rPr>
              <w:t> </w:t>
            </w:r>
          </w:p>
        </w:tc>
        <w:tc>
          <w:tcPr>
            <w:tcW w:w="709" w:type="dxa"/>
            <w:hideMark/>
          </w:tcPr>
          <w:p w14:paraId="0DBD3EA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30199903"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10FC3BB"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34D4CD41"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62D2F4CD"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8" w:type="dxa"/>
            <w:hideMark/>
          </w:tcPr>
          <w:p w14:paraId="52065388"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47EEDA2B"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7C3930B" w14:textId="37099516" w:rsidR="00C124DE" w:rsidRPr="00A519D0" w:rsidRDefault="001033F2"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Bank of Slovenia</w:t>
            </w:r>
          </w:p>
        </w:tc>
        <w:tc>
          <w:tcPr>
            <w:tcW w:w="1134" w:type="dxa"/>
            <w:hideMark/>
          </w:tcPr>
          <w:p w14:paraId="54ECFA3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9" w:type="dxa"/>
            <w:hideMark/>
          </w:tcPr>
          <w:p w14:paraId="2248EFE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3</w:t>
            </w:r>
          </w:p>
        </w:tc>
        <w:tc>
          <w:tcPr>
            <w:tcW w:w="709" w:type="dxa"/>
            <w:hideMark/>
          </w:tcPr>
          <w:p w14:paraId="6328EA94" w14:textId="77777777" w:rsidR="00C124DE" w:rsidRPr="00A519D0" w:rsidRDefault="00C124DE" w:rsidP="00F569C7">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14"/>
                <w:szCs w:val="14"/>
                <w:lang w:val="en-US" w:eastAsia="sl-SI"/>
              </w:rPr>
            </w:pPr>
            <w:r w:rsidRPr="00A519D0">
              <w:rPr>
                <w:rFonts w:cs="Times New Roman"/>
                <w:sz w:val="14"/>
                <w:szCs w:val="14"/>
                <w:lang w:val="en-US" w:eastAsia="sl-SI"/>
              </w:rPr>
              <w:t> </w:t>
            </w:r>
          </w:p>
        </w:tc>
        <w:tc>
          <w:tcPr>
            <w:tcW w:w="709" w:type="dxa"/>
            <w:hideMark/>
          </w:tcPr>
          <w:p w14:paraId="33BC124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11</w:t>
            </w:r>
          </w:p>
        </w:tc>
        <w:tc>
          <w:tcPr>
            <w:tcW w:w="709" w:type="dxa"/>
            <w:hideMark/>
          </w:tcPr>
          <w:p w14:paraId="5116C1F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11C81E3"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13</w:t>
            </w:r>
          </w:p>
        </w:tc>
        <w:tc>
          <w:tcPr>
            <w:tcW w:w="709" w:type="dxa"/>
            <w:hideMark/>
          </w:tcPr>
          <w:p w14:paraId="6DAFDB25"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E771A0C"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13</w:t>
            </w:r>
          </w:p>
        </w:tc>
        <w:tc>
          <w:tcPr>
            <w:tcW w:w="708" w:type="dxa"/>
            <w:hideMark/>
          </w:tcPr>
          <w:p w14:paraId="0A2EFEB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947066" w:rsidRPr="00A519D0" w14:paraId="4B085A27"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1349118" w14:textId="07481FA3" w:rsidR="00C124DE" w:rsidRPr="00A519D0" w:rsidRDefault="00834907"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Insurance Supervision Agency</w:t>
            </w:r>
          </w:p>
        </w:tc>
        <w:tc>
          <w:tcPr>
            <w:tcW w:w="1134" w:type="dxa"/>
            <w:hideMark/>
          </w:tcPr>
          <w:p w14:paraId="48AF07A8"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7DC58BDF" w14:textId="77777777" w:rsidR="00C124DE" w:rsidRPr="00A519D0" w:rsidRDefault="00C124DE" w:rsidP="00F569C7">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14"/>
                <w:szCs w:val="14"/>
                <w:lang w:val="en-US" w:eastAsia="sl-SI"/>
              </w:rPr>
            </w:pPr>
            <w:r w:rsidRPr="00A519D0">
              <w:rPr>
                <w:rFonts w:cs="Times New Roman"/>
                <w:sz w:val="14"/>
                <w:szCs w:val="14"/>
                <w:lang w:val="en-US" w:eastAsia="sl-SI"/>
              </w:rPr>
              <w:t> </w:t>
            </w:r>
          </w:p>
        </w:tc>
        <w:tc>
          <w:tcPr>
            <w:tcW w:w="709" w:type="dxa"/>
            <w:hideMark/>
          </w:tcPr>
          <w:p w14:paraId="1E93F408" w14:textId="77777777" w:rsidR="00C124DE" w:rsidRPr="00A519D0" w:rsidRDefault="00C124DE" w:rsidP="00F569C7">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14"/>
                <w:szCs w:val="14"/>
                <w:lang w:val="en-US" w:eastAsia="sl-SI"/>
              </w:rPr>
            </w:pPr>
            <w:r w:rsidRPr="00A519D0">
              <w:rPr>
                <w:rFonts w:cs="Times New Roman"/>
                <w:sz w:val="14"/>
                <w:szCs w:val="14"/>
                <w:lang w:val="en-US" w:eastAsia="sl-SI"/>
              </w:rPr>
              <w:t> </w:t>
            </w:r>
          </w:p>
        </w:tc>
        <w:tc>
          <w:tcPr>
            <w:tcW w:w="709" w:type="dxa"/>
            <w:hideMark/>
          </w:tcPr>
          <w:p w14:paraId="2D05A0DD"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4BF8FC7A"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29FAA505"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0F997C5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E441968"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8" w:type="dxa"/>
            <w:hideMark/>
          </w:tcPr>
          <w:p w14:paraId="658F71A9" w14:textId="77777777" w:rsidR="00C124DE" w:rsidRPr="00A519D0" w:rsidRDefault="00C124DE"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r>
      <w:tr w:rsidR="00227EFD" w:rsidRPr="00A519D0" w14:paraId="74E51D19"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93DD33D" w14:textId="0687FB8F" w:rsidR="00227EFD" w:rsidRPr="00A519D0" w:rsidRDefault="00227EFD" w:rsidP="00F569C7">
            <w:pPr>
              <w:spacing w:line="360" w:lineRule="auto"/>
              <w:jc w:val="left"/>
              <w:rPr>
                <w:color w:val="auto"/>
                <w:sz w:val="14"/>
                <w:szCs w:val="14"/>
                <w:lang w:val="en-US" w:eastAsia="sl-SI"/>
              </w:rPr>
            </w:pPr>
            <w:r w:rsidRPr="00A519D0">
              <w:rPr>
                <w:color w:val="auto"/>
                <w:sz w:val="14"/>
                <w:szCs w:val="14"/>
                <w:lang w:val="en-US" w:eastAsia="sl-SI"/>
              </w:rPr>
              <w:t xml:space="preserve">4. </w:t>
            </w:r>
            <w:r w:rsidR="00834907" w:rsidRPr="00A519D0">
              <w:rPr>
                <w:color w:val="auto"/>
                <w:sz w:val="14"/>
                <w:szCs w:val="14"/>
                <w:lang w:val="en-US" w:eastAsia="sl-SI"/>
              </w:rPr>
              <w:t>OMLP ON ITS OWN INITIATIVE</w:t>
            </w:r>
          </w:p>
          <w:p w14:paraId="1A776A61" w14:textId="03DDB1EE" w:rsidR="00227EFD" w:rsidRPr="00A519D0" w:rsidRDefault="00227EFD" w:rsidP="00F569C7">
            <w:pPr>
              <w:spacing w:line="360" w:lineRule="auto"/>
              <w:jc w:val="left"/>
              <w:rPr>
                <w:color w:val="auto"/>
                <w:sz w:val="14"/>
                <w:szCs w:val="14"/>
                <w:lang w:val="en-US" w:eastAsia="sl-SI"/>
              </w:rPr>
            </w:pPr>
            <w:r w:rsidRPr="00A519D0">
              <w:rPr>
                <w:color w:val="auto"/>
                <w:sz w:val="14"/>
                <w:szCs w:val="14"/>
                <w:lang w:val="en-US" w:eastAsia="sl-SI"/>
              </w:rPr>
              <w:lastRenderedPageBreak/>
              <w:t> </w:t>
            </w:r>
          </w:p>
        </w:tc>
        <w:tc>
          <w:tcPr>
            <w:tcW w:w="1134" w:type="dxa"/>
            <w:hideMark/>
          </w:tcPr>
          <w:p w14:paraId="7238C767"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lastRenderedPageBreak/>
              <w:t>3</w:t>
            </w:r>
          </w:p>
        </w:tc>
        <w:tc>
          <w:tcPr>
            <w:tcW w:w="709" w:type="dxa"/>
            <w:hideMark/>
          </w:tcPr>
          <w:p w14:paraId="0746B528"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c>
          <w:tcPr>
            <w:tcW w:w="709" w:type="dxa"/>
            <w:hideMark/>
          </w:tcPr>
          <w:p w14:paraId="3EA06106" w14:textId="77777777" w:rsidR="00227EFD" w:rsidRPr="00A519D0" w:rsidRDefault="00227EFD" w:rsidP="00F569C7">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14"/>
                <w:szCs w:val="14"/>
                <w:lang w:val="en-US" w:eastAsia="sl-SI"/>
              </w:rPr>
            </w:pPr>
            <w:r w:rsidRPr="00A519D0">
              <w:rPr>
                <w:rFonts w:cs="Times New Roman"/>
                <w:sz w:val="14"/>
                <w:szCs w:val="14"/>
                <w:lang w:val="en-US" w:eastAsia="sl-SI"/>
              </w:rPr>
              <w:t> </w:t>
            </w:r>
          </w:p>
        </w:tc>
        <w:tc>
          <w:tcPr>
            <w:tcW w:w="709" w:type="dxa"/>
            <w:hideMark/>
          </w:tcPr>
          <w:p w14:paraId="29B70470"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6D320DAF"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3443D9FA"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2A0E18C6"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w:t>
            </w:r>
          </w:p>
        </w:tc>
        <w:tc>
          <w:tcPr>
            <w:tcW w:w="709" w:type="dxa"/>
            <w:hideMark/>
          </w:tcPr>
          <w:p w14:paraId="79D92C4F"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18</w:t>
            </w:r>
          </w:p>
        </w:tc>
        <w:tc>
          <w:tcPr>
            <w:tcW w:w="708" w:type="dxa"/>
            <w:hideMark/>
          </w:tcPr>
          <w:p w14:paraId="1B85BE60"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0</w:t>
            </w:r>
          </w:p>
        </w:tc>
      </w:tr>
      <w:tr w:rsidR="00227EFD" w:rsidRPr="00A519D0" w14:paraId="5D480160"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49A3914" w14:textId="0B702B67" w:rsidR="00227EFD" w:rsidRPr="00A519D0" w:rsidRDefault="00227EFD" w:rsidP="00F569C7">
            <w:pPr>
              <w:spacing w:line="360" w:lineRule="auto"/>
              <w:jc w:val="left"/>
              <w:rPr>
                <w:b w:val="0"/>
                <w:bCs w:val="0"/>
                <w:color w:val="auto"/>
                <w:sz w:val="14"/>
                <w:szCs w:val="14"/>
                <w:lang w:val="en-US" w:eastAsia="sl-SI"/>
              </w:rPr>
            </w:pPr>
          </w:p>
        </w:tc>
        <w:tc>
          <w:tcPr>
            <w:tcW w:w="1134" w:type="dxa"/>
            <w:hideMark/>
          </w:tcPr>
          <w:p w14:paraId="7B8C6471"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0,54 %</w:t>
            </w:r>
          </w:p>
        </w:tc>
        <w:tc>
          <w:tcPr>
            <w:tcW w:w="709" w:type="dxa"/>
            <w:hideMark/>
          </w:tcPr>
          <w:p w14:paraId="53F63B62"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0,53 %</w:t>
            </w:r>
          </w:p>
        </w:tc>
        <w:tc>
          <w:tcPr>
            <w:tcW w:w="709" w:type="dxa"/>
            <w:hideMark/>
          </w:tcPr>
          <w:p w14:paraId="28511404"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0,00 %</w:t>
            </w:r>
          </w:p>
        </w:tc>
        <w:tc>
          <w:tcPr>
            <w:tcW w:w="709" w:type="dxa"/>
            <w:hideMark/>
          </w:tcPr>
          <w:p w14:paraId="4979A921"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0,10 %</w:t>
            </w:r>
          </w:p>
        </w:tc>
        <w:tc>
          <w:tcPr>
            <w:tcW w:w="709" w:type="dxa"/>
            <w:hideMark/>
          </w:tcPr>
          <w:p w14:paraId="5B5A425C"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0,00 %</w:t>
            </w:r>
          </w:p>
        </w:tc>
        <w:tc>
          <w:tcPr>
            <w:tcW w:w="709" w:type="dxa"/>
            <w:hideMark/>
          </w:tcPr>
          <w:p w14:paraId="30B0A86D"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0,18 %</w:t>
            </w:r>
          </w:p>
        </w:tc>
        <w:tc>
          <w:tcPr>
            <w:tcW w:w="709" w:type="dxa"/>
            <w:hideMark/>
          </w:tcPr>
          <w:p w14:paraId="043A31BF"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1,89 %</w:t>
            </w:r>
          </w:p>
        </w:tc>
        <w:tc>
          <w:tcPr>
            <w:tcW w:w="709" w:type="dxa"/>
            <w:hideMark/>
          </w:tcPr>
          <w:p w14:paraId="47931F30"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1,67 %</w:t>
            </w:r>
          </w:p>
        </w:tc>
        <w:tc>
          <w:tcPr>
            <w:tcW w:w="708" w:type="dxa"/>
            <w:hideMark/>
          </w:tcPr>
          <w:p w14:paraId="7220541E"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0,00 %</w:t>
            </w:r>
          </w:p>
        </w:tc>
      </w:tr>
      <w:tr w:rsidR="00227EFD" w:rsidRPr="00A519D0" w14:paraId="7F1885CF"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0BFA55E" w14:textId="2200F61D" w:rsidR="00227EFD" w:rsidRPr="00A519D0" w:rsidRDefault="00227EFD" w:rsidP="00F569C7">
            <w:pPr>
              <w:spacing w:line="360" w:lineRule="auto"/>
              <w:jc w:val="left"/>
              <w:rPr>
                <w:color w:val="auto"/>
                <w:sz w:val="14"/>
                <w:szCs w:val="14"/>
                <w:lang w:val="en-US" w:eastAsia="sl-SI"/>
              </w:rPr>
            </w:pPr>
            <w:r w:rsidRPr="00A519D0">
              <w:rPr>
                <w:color w:val="auto"/>
                <w:sz w:val="14"/>
                <w:szCs w:val="14"/>
                <w:lang w:val="en-US" w:eastAsia="sl-SI"/>
              </w:rPr>
              <w:t xml:space="preserve">5. </w:t>
            </w:r>
            <w:r w:rsidR="00834907" w:rsidRPr="00A519D0">
              <w:rPr>
                <w:color w:val="auto"/>
                <w:sz w:val="14"/>
                <w:szCs w:val="14"/>
                <w:lang w:val="en-US" w:eastAsia="sl-SI"/>
              </w:rPr>
              <w:t>FOREIGN FIUs</w:t>
            </w:r>
          </w:p>
          <w:p w14:paraId="2E69B118" w14:textId="2337BDD9" w:rsidR="00227EFD" w:rsidRPr="00A519D0" w:rsidRDefault="00227EFD" w:rsidP="00F569C7">
            <w:pPr>
              <w:spacing w:line="360" w:lineRule="auto"/>
              <w:jc w:val="left"/>
              <w:rPr>
                <w:b w:val="0"/>
                <w:bCs w:val="0"/>
                <w:color w:val="auto"/>
                <w:sz w:val="14"/>
                <w:szCs w:val="14"/>
                <w:lang w:val="en-US" w:eastAsia="sl-SI"/>
              </w:rPr>
            </w:pPr>
            <w:r w:rsidRPr="00A519D0">
              <w:rPr>
                <w:b w:val="0"/>
                <w:bCs w:val="0"/>
                <w:color w:val="auto"/>
                <w:sz w:val="14"/>
                <w:szCs w:val="14"/>
                <w:lang w:val="en-US" w:eastAsia="sl-SI"/>
              </w:rPr>
              <w:t> </w:t>
            </w:r>
          </w:p>
        </w:tc>
        <w:tc>
          <w:tcPr>
            <w:tcW w:w="1134" w:type="dxa"/>
            <w:hideMark/>
          </w:tcPr>
          <w:p w14:paraId="27BBAACE"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28</w:t>
            </w:r>
          </w:p>
        </w:tc>
        <w:tc>
          <w:tcPr>
            <w:tcW w:w="709" w:type="dxa"/>
            <w:hideMark/>
          </w:tcPr>
          <w:p w14:paraId="65946671"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40</w:t>
            </w:r>
          </w:p>
        </w:tc>
        <w:tc>
          <w:tcPr>
            <w:tcW w:w="709" w:type="dxa"/>
            <w:hideMark/>
          </w:tcPr>
          <w:p w14:paraId="092AF371"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4FC9E93A"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53</w:t>
            </w:r>
          </w:p>
        </w:tc>
        <w:tc>
          <w:tcPr>
            <w:tcW w:w="709" w:type="dxa"/>
            <w:hideMark/>
          </w:tcPr>
          <w:p w14:paraId="1005323C"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w:t>
            </w:r>
          </w:p>
        </w:tc>
        <w:tc>
          <w:tcPr>
            <w:tcW w:w="709" w:type="dxa"/>
            <w:hideMark/>
          </w:tcPr>
          <w:p w14:paraId="3264EB4F"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58</w:t>
            </w:r>
          </w:p>
        </w:tc>
        <w:tc>
          <w:tcPr>
            <w:tcW w:w="709" w:type="dxa"/>
            <w:hideMark/>
          </w:tcPr>
          <w:p w14:paraId="64A4026D"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 </w:t>
            </w:r>
          </w:p>
        </w:tc>
        <w:tc>
          <w:tcPr>
            <w:tcW w:w="709" w:type="dxa"/>
            <w:hideMark/>
          </w:tcPr>
          <w:p w14:paraId="02FDE971"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55</w:t>
            </w:r>
          </w:p>
        </w:tc>
        <w:tc>
          <w:tcPr>
            <w:tcW w:w="708" w:type="dxa"/>
            <w:hideMark/>
          </w:tcPr>
          <w:p w14:paraId="61F13F5C" w14:textId="77777777" w:rsidR="00227EFD" w:rsidRPr="00A519D0" w:rsidRDefault="00227EFD"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4</w:t>
            </w:r>
          </w:p>
        </w:tc>
      </w:tr>
      <w:tr w:rsidR="00227EFD" w:rsidRPr="00A519D0" w14:paraId="352FB288" w14:textId="77777777" w:rsidTr="0043230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AD261CA" w14:textId="317C8323" w:rsidR="00227EFD" w:rsidRPr="00A519D0" w:rsidRDefault="00227EFD" w:rsidP="00F569C7">
            <w:pPr>
              <w:spacing w:line="360" w:lineRule="auto"/>
              <w:jc w:val="left"/>
              <w:rPr>
                <w:b w:val="0"/>
                <w:bCs w:val="0"/>
                <w:color w:val="auto"/>
                <w:sz w:val="14"/>
                <w:szCs w:val="14"/>
                <w:lang w:val="en-US" w:eastAsia="sl-SI"/>
              </w:rPr>
            </w:pPr>
          </w:p>
        </w:tc>
        <w:tc>
          <w:tcPr>
            <w:tcW w:w="1134" w:type="dxa"/>
            <w:hideMark/>
          </w:tcPr>
          <w:p w14:paraId="23FE6B82"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5,02%</w:t>
            </w:r>
          </w:p>
        </w:tc>
        <w:tc>
          <w:tcPr>
            <w:tcW w:w="709" w:type="dxa"/>
            <w:hideMark/>
          </w:tcPr>
          <w:p w14:paraId="726F2E12"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5,28 %</w:t>
            </w:r>
          </w:p>
        </w:tc>
        <w:tc>
          <w:tcPr>
            <w:tcW w:w="709" w:type="dxa"/>
            <w:hideMark/>
          </w:tcPr>
          <w:p w14:paraId="2E474C32"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6,90 %</w:t>
            </w:r>
          </w:p>
        </w:tc>
        <w:tc>
          <w:tcPr>
            <w:tcW w:w="709" w:type="dxa"/>
            <w:hideMark/>
          </w:tcPr>
          <w:p w14:paraId="0042E41F"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5,11 %</w:t>
            </w:r>
          </w:p>
        </w:tc>
        <w:tc>
          <w:tcPr>
            <w:tcW w:w="709" w:type="dxa"/>
            <w:hideMark/>
          </w:tcPr>
          <w:p w14:paraId="21363774"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6,45 %</w:t>
            </w:r>
          </w:p>
        </w:tc>
        <w:tc>
          <w:tcPr>
            <w:tcW w:w="709" w:type="dxa"/>
            <w:hideMark/>
          </w:tcPr>
          <w:p w14:paraId="37FA2DD7"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5,35 %</w:t>
            </w:r>
          </w:p>
        </w:tc>
        <w:tc>
          <w:tcPr>
            <w:tcW w:w="709" w:type="dxa"/>
            <w:hideMark/>
          </w:tcPr>
          <w:p w14:paraId="13BD6B06"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0,00 %</w:t>
            </w:r>
          </w:p>
        </w:tc>
        <w:tc>
          <w:tcPr>
            <w:tcW w:w="709" w:type="dxa"/>
            <w:hideMark/>
          </w:tcPr>
          <w:p w14:paraId="64BF7774"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5,12%</w:t>
            </w:r>
          </w:p>
        </w:tc>
        <w:tc>
          <w:tcPr>
            <w:tcW w:w="708" w:type="dxa"/>
            <w:hideMark/>
          </w:tcPr>
          <w:p w14:paraId="205698C6" w14:textId="77777777" w:rsidR="00227EFD" w:rsidRPr="00A519D0" w:rsidRDefault="00227EFD" w:rsidP="00F569C7">
            <w:pPr>
              <w:spacing w:line="360" w:lineRule="auto"/>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sl-SI"/>
              </w:rPr>
            </w:pPr>
            <w:r w:rsidRPr="00A519D0">
              <w:rPr>
                <w:b/>
                <w:bCs/>
                <w:sz w:val="14"/>
                <w:szCs w:val="14"/>
                <w:lang w:val="en-US" w:eastAsia="sl-SI"/>
              </w:rPr>
              <w:t>14,29 %</w:t>
            </w:r>
          </w:p>
        </w:tc>
      </w:tr>
      <w:tr w:rsidR="00947066" w:rsidRPr="00A519D0" w14:paraId="11F40C89" w14:textId="77777777" w:rsidTr="00432301">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1E0D3A4" w14:textId="14AFAA51" w:rsidR="00C124DE" w:rsidRPr="00A519D0" w:rsidRDefault="00834907" w:rsidP="00F569C7">
            <w:pPr>
              <w:spacing w:line="360" w:lineRule="auto"/>
              <w:jc w:val="left"/>
              <w:rPr>
                <w:color w:val="auto"/>
                <w:sz w:val="14"/>
                <w:szCs w:val="14"/>
                <w:lang w:val="en-US" w:eastAsia="sl-SI"/>
              </w:rPr>
            </w:pPr>
            <w:r w:rsidRPr="00A519D0">
              <w:rPr>
                <w:color w:val="auto"/>
                <w:sz w:val="14"/>
                <w:szCs w:val="14"/>
                <w:lang w:val="en-US" w:eastAsia="sl-SI"/>
              </w:rPr>
              <w:t>TOTAL</w:t>
            </w:r>
          </w:p>
        </w:tc>
        <w:tc>
          <w:tcPr>
            <w:tcW w:w="1134" w:type="dxa"/>
            <w:hideMark/>
          </w:tcPr>
          <w:p w14:paraId="2923F1F4"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558</w:t>
            </w:r>
          </w:p>
        </w:tc>
        <w:tc>
          <w:tcPr>
            <w:tcW w:w="709" w:type="dxa"/>
            <w:hideMark/>
          </w:tcPr>
          <w:p w14:paraId="6305DA09"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758</w:t>
            </w:r>
          </w:p>
        </w:tc>
        <w:tc>
          <w:tcPr>
            <w:tcW w:w="709" w:type="dxa"/>
            <w:hideMark/>
          </w:tcPr>
          <w:p w14:paraId="728A652E"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29</w:t>
            </w:r>
          </w:p>
        </w:tc>
        <w:tc>
          <w:tcPr>
            <w:tcW w:w="709" w:type="dxa"/>
            <w:hideMark/>
          </w:tcPr>
          <w:p w14:paraId="425894B7"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1038</w:t>
            </w:r>
          </w:p>
        </w:tc>
        <w:tc>
          <w:tcPr>
            <w:tcW w:w="709" w:type="dxa"/>
            <w:hideMark/>
          </w:tcPr>
          <w:p w14:paraId="5B4E05D3"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31</w:t>
            </w:r>
          </w:p>
        </w:tc>
        <w:tc>
          <w:tcPr>
            <w:tcW w:w="709" w:type="dxa"/>
            <w:hideMark/>
          </w:tcPr>
          <w:p w14:paraId="5B424538"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1084</w:t>
            </w:r>
          </w:p>
        </w:tc>
        <w:tc>
          <w:tcPr>
            <w:tcW w:w="709" w:type="dxa"/>
            <w:hideMark/>
          </w:tcPr>
          <w:p w14:paraId="18665FD2"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53</w:t>
            </w:r>
          </w:p>
        </w:tc>
        <w:tc>
          <w:tcPr>
            <w:tcW w:w="709" w:type="dxa"/>
            <w:hideMark/>
          </w:tcPr>
          <w:p w14:paraId="2A76B30A"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1075</w:t>
            </w:r>
          </w:p>
        </w:tc>
        <w:tc>
          <w:tcPr>
            <w:tcW w:w="708" w:type="dxa"/>
            <w:hideMark/>
          </w:tcPr>
          <w:p w14:paraId="26BF3F81" w14:textId="77777777" w:rsidR="00C124DE" w:rsidRPr="00A519D0" w:rsidRDefault="00C124DE"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4"/>
                <w:szCs w:val="14"/>
                <w:lang w:val="en-US" w:eastAsia="sl-SI"/>
              </w:rPr>
            </w:pPr>
            <w:r w:rsidRPr="00A519D0">
              <w:rPr>
                <w:b/>
                <w:bCs/>
                <w:sz w:val="14"/>
                <w:szCs w:val="14"/>
                <w:lang w:val="en-US" w:eastAsia="sl-SI"/>
              </w:rPr>
              <w:t>28</w:t>
            </w:r>
          </w:p>
        </w:tc>
      </w:tr>
    </w:tbl>
    <w:p w14:paraId="2717E45E" w14:textId="27BFDA70" w:rsidR="00B65A09" w:rsidRPr="00A519D0" w:rsidRDefault="00B65A09" w:rsidP="008F2670">
      <w:pPr>
        <w:spacing w:line="276" w:lineRule="auto"/>
        <w:rPr>
          <w:lang w:val="en-US"/>
        </w:rPr>
      </w:pPr>
    </w:p>
    <w:p w14:paraId="708BCED8" w14:textId="53750103" w:rsidR="00155FF9" w:rsidRPr="00A519D0" w:rsidRDefault="00155FF9" w:rsidP="008F2670">
      <w:pPr>
        <w:spacing w:line="276" w:lineRule="auto"/>
        <w:rPr>
          <w:lang w:val="en-US"/>
        </w:rPr>
      </w:pPr>
      <w:r w:rsidRPr="00A519D0">
        <w:rPr>
          <w:lang w:val="en-US"/>
        </w:rPr>
        <w:t xml:space="preserve">In 2021 the OMLP opened </w:t>
      </w:r>
      <w:r w:rsidRPr="00A519D0">
        <w:rPr>
          <w:b/>
          <w:bCs/>
          <w:lang w:val="en-US"/>
        </w:rPr>
        <w:t xml:space="preserve">1.103 </w:t>
      </w:r>
      <w:r w:rsidRPr="00A519D0">
        <w:rPr>
          <w:lang w:val="en-US"/>
        </w:rPr>
        <w:t xml:space="preserve">cases </w:t>
      </w:r>
      <w:proofErr w:type="gramStart"/>
      <w:r w:rsidRPr="00A519D0">
        <w:rPr>
          <w:lang w:val="en-US"/>
        </w:rPr>
        <w:t>on the basis of</w:t>
      </w:r>
      <w:proofErr w:type="gramEnd"/>
      <w:r w:rsidRPr="00A519D0">
        <w:rPr>
          <w:lang w:val="en-US"/>
        </w:rPr>
        <w:t xml:space="preserve"> reported suspicious transactions, namely:</w:t>
      </w:r>
    </w:p>
    <w:p w14:paraId="3E8B18F3" w14:textId="4162C6F7" w:rsidR="00155FF9" w:rsidRPr="00A519D0" w:rsidRDefault="00155FF9" w:rsidP="008F2670">
      <w:pPr>
        <w:spacing w:line="276" w:lineRule="auto"/>
        <w:ind w:firstLine="708"/>
        <w:rPr>
          <w:lang w:val="en-US"/>
        </w:rPr>
      </w:pPr>
      <w:r w:rsidRPr="00A519D0">
        <w:rPr>
          <w:lang w:val="en-US"/>
        </w:rPr>
        <w:t xml:space="preserve">- </w:t>
      </w:r>
      <w:r w:rsidRPr="00A519D0">
        <w:rPr>
          <w:b/>
          <w:bCs/>
          <w:lang w:val="en-US"/>
        </w:rPr>
        <w:t>879</w:t>
      </w:r>
      <w:r w:rsidRPr="00A519D0">
        <w:rPr>
          <w:lang w:val="en-US"/>
        </w:rPr>
        <w:t xml:space="preserve"> cases were opened </w:t>
      </w:r>
      <w:proofErr w:type="gramStart"/>
      <w:r w:rsidRPr="00A519D0">
        <w:rPr>
          <w:lang w:val="en-US"/>
        </w:rPr>
        <w:t>on the basis of</w:t>
      </w:r>
      <w:proofErr w:type="gramEnd"/>
      <w:r w:rsidRPr="00A519D0">
        <w:rPr>
          <w:lang w:val="en-US"/>
        </w:rPr>
        <w:t xml:space="preserve"> reported suspicious transactions by obliged entities,</w:t>
      </w:r>
    </w:p>
    <w:p w14:paraId="7948EC14" w14:textId="3C98EF84" w:rsidR="00155FF9" w:rsidRPr="00A519D0" w:rsidRDefault="00155FF9" w:rsidP="008F2670">
      <w:pPr>
        <w:spacing w:line="276" w:lineRule="auto"/>
        <w:ind w:firstLine="708"/>
        <w:rPr>
          <w:lang w:val="en-US"/>
        </w:rPr>
      </w:pPr>
      <w:r w:rsidRPr="00A519D0">
        <w:rPr>
          <w:lang w:val="en-US"/>
        </w:rPr>
        <w:t xml:space="preserve">- </w:t>
      </w:r>
      <w:r w:rsidRPr="00A519D0">
        <w:rPr>
          <w:b/>
          <w:bCs/>
          <w:lang w:val="en-US"/>
        </w:rPr>
        <w:t>13</w:t>
      </w:r>
      <w:r w:rsidRPr="00A519D0">
        <w:rPr>
          <w:lang w:val="en-US"/>
        </w:rPr>
        <w:t xml:space="preserve"> cases were opened </w:t>
      </w:r>
      <w:proofErr w:type="gramStart"/>
      <w:r w:rsidRPr="00A519D0">
        <w:rPr>
          <w:lang w:val="en-US"/>
        </w:rPr>
        <w:t>on the basis of</w:t>
      </w:r>
      <w:proofErr w:type="gramEnd"/>
      <w:r w:rsidRPr="00A519D0">
        <w:rPr>
          <w:lang w:val="en-US"/>
        </w:rPr>
        <w:t xml:space="preserve"> initiatives of state authorities,</w:t>
      </w:r>
    </w:p>
    <w:p w14:paraId="7D95B83E" w14:textId="714C40D6" w:rsidR="00155FF9" w:rsidRPr="00A519D0" w:rsidRDefault="00155FF9" w:rsidP="008F2670">
      <w:pPr>
        <w:spacing w:line="276" w:lineRule="auto"/>
        <w:ind w:left="708"/>
        <w:rPr>
          <w:lang w:val="en-US"/>
        </w:rPr>
      </w:pPr>
      <w:r w:rsidRPr="00A519D0">
        <w:rPr>
          <w:lang w:val="en-US"/>
        </w:rPr>
        <w:t xml:space="preserve">- </w:t>
      </w:r>
      <w:r w:rsidRPr="00A519D0">
        <w:rPr>
          <w:b/>
          <w:bCs/>
          <w:lang w:val="en-US"/>
        </w:rPr>
        <w:t>14</w:t>
      </w:r>
      <w:r w:rsidRPr="00A519D0">
        <w:rPr>
          <w:lang w:val="en-US"/>
        </w:rPr>
        <w:t xml:space="preserve"> cases were opened </w:t>
      </w:r>
      <w:proofErr w:type="gramStart"/>
      <w:r w:rsidRPr="00A519D0">
        <w:rPr>
          <w:lang w:val="en-US"/>
        </w:rPr>
        <w:t>on the basis of</w:t>
      </w:r>
      <w:proofErr w:type="gramEnd"/>
      <w:r w:rsidRPr="00A519D0">
        <w:rPr>
          <w:lang w:val="en-US"/>
        </w:rPr>
        <w:t xml:space="preserve"> facts reported by supervisory authorities,</w:t>
      </w:r>
    </w:p>
    <w:p w14:paraId="73CA21D3" w14:textId="6ADCEC46" w:rsidR="00155FF9" w:rsidRPr="00A519D0" w:rsidRDefault="00155FF9" w:rsidP="008F2670">
      <w:pPr>
        <w:spacing w:line="276" w:lineRule="auto"/>
        <w:ind w:firstLine="708"/>
        <w:rPr>
          <w:lang w:val="en-US"/>
        </w:rPr>
      </w:pPr>
      <w:r w:rsidRPr="00A519D0">
        <w:rPr>
          <w:lang w:val="en-US"/>
        </w:rPr>
        <w:t xml:space="preserve">- </w:t>
      </w:r>
      <w:r w:rsidRPr="00A519D0">
        <w:rPr>
          <w:b/>
          <w:bCs/>
          <w:lang w:val="en-US"/>
        </w:rPr>
        <w:t>18</w:t>
      </w:r>
      <w:r w:rsidRPr="00A519D0">
        <w:rPr>
          <w:lang w:val="en-US"/>
        </w:rPr>
        <w:t xml:space="preserve"> case</w:t>
      </w:r>
      <w:r w:rsidR="008F2670" w:rsidRPr="00A519D0">
        <w:rPr>
          <w:lang w:val="en-US"/>
        </w:rPr>
        <w:t>s</w:t>
      </w:r>
      <w:r w:rsidRPr="00A519D0">
        <w:rPr>
          <w:lang w:val="en-US"/>
        </w:rPr>
        <w:t xml:space="preserve"> w</w:t>
      </w:r>
      <w:r w:rsidR="008F2670" w:rsidRPr="00A519D0">
        <w:rPr>
          <w:lang w:val="en-US"/>
        </w:rPr>
        <w:t>ere</w:t>
      </w:r>
      <w:r w:rsidRPr="00A519D0">
        <w:rPr>
          <w:lang w:val="en-US"/>
        </w:rPr>
        <w:t xml:space="preserve"> opened </w:t>
      </w:r>
      <w:proofErr w:type="gramStart"/>
      <w:r w:rsidRPr="00A519D0">
        <w:rPr>
          <w:lang w:val="en-US"/>
        </w:rPr>
        <w:t>on the basis of</w:t>
      </w:r>
      <w:proofErr w:type="gramEnd"/>
      <w:r w:rsidRPr="00A519D0">
        <w:rPr>
          <w:lang w:val="en-US"/>
        </w:rPr>
        <w:t xml:space="preserve"> data from OMLP’s own databases,</w:t>
      </w:r>
    </w:p>
    <w:p w14:paraId="2C808CDF" w14:textId="77777777" w:rsidR="00155FF9" w:rsidRPr="00A519D0" w:rsidRDefault="00155FF9" w:rsidP="008F2670">
      <w:pPr>
        <w:spacing w:line="276" w:lineRule="auto"/>
        <w:ind w:firstLine="708"/>
        <w:rPr>
          <w:lang w:val="en-US"/>
        </w:rPr>
      </w:pPr>
      <w:r w:rsidRPr="00A519D0">
        <w:rPr>
          <w:lang w:val="en-US"/>
        </w:rPr>
        <w:t xml:space="preserve">- </w:t>
      </w:r>
      <w:r w:rsidRPr="00A519D0">
        <w:rPr>
          <w:b/>
          <w:bCs/>
          <w:lang w:val="en-US"/>
        </w:rPr>
        <w:t>55</w:t>
      </w:r>
      <w:r w:rsidRPr="00A519D0">
        <w:rPr>
          <w:lang w:val="en-US"/>
        </w:rPr>
        <w:t xml:space="preserve"> cases were opened </w:t>
      </w:r>
      <w:proofErr w:type="gramStart"/>
      <w:r w:rsidRPr="00A519D0">
        <w:rPr>
          <w:lang w:val="en-US"/>
        </w:rPr>
        <w:t>on the basis of</w:t>
      </w:r>
      <w:proofErr w:type="gramEnd"/>
      <w:r w:rsidRPr="00A519D0">
        <w:rPr>
          <w:lang w:val="en-US"/>
        </w:rPr>
        <w:t xml:space="preserve"> data from requests of foreign FIUs.</w:t>
      </w:r>
    </w:p>
    <w:p w14:paraId="37800C05" w14:textId="794B0863" w:rsidR="00155FF9" w:rsidRPr="00A519D0" w:rsidRDefault="00155FF9" w:rsidP="00155FF9">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bCs/>
          <w:iCs/>
          <w:lang w:val="en-US"/>
        </w:rPr>
      </w:pPr>
      <w:r w:rsidRPr="00A519D0">
        <w:rPr>
          <w:bCs/>
          <w:iCs/>
          <w:lang w:val="en-US"/>
        </w:rPr>
        <w:t xml:space="preserve">The table shows that </w:t>
      </w:r>
      <w:proofErr w:type="gramStart"/>
      <w:r w:rsidRPr="00A519D0">
        <w:rPr>
          <w:bCs/>
          <w:iCs/>
          <w:lang w:val="en-US"/>
        </w:rPr>
        <w:t>the majority of</w:t>
      </w:r>
      <w:proofErr w:type="gramEnd"/>
      <w:r w:rsidRPr="00A519D0">
        <w:rPr>
          <w:bCs/>
          <w:iCs/>
          <w:lang w:val="en-US"/>
        </w:rPr>
        <w:t xml:space="preserve"> suspicious transactions reports were sent by the obliged entities (financial and non-financial institutions) – mostly </w:t>
      </w:r>
      <w:r w:rsidRPr="00A519D0">
        <w:rPr>
          <w:bCs/>
          <w:iCs/>
          <w:u w:val="single"/>
          <w:lang w:val="en-US"/>
        </w:rPr>
        <w:t>banks,</w:t>
      </w:r>
      <w:r w:rsidRPr="00A519D0">
        <w:rPr>
          <w:bCs/>
          <w:iCs/>
          <w:lang w:val="en-US"/>
        </w:rPr>
        <w:t xml:space="preserve"> which annually send the highest number of reports to the OMLP, that (according to their opinion) raise reasons for suspicion of committing the criminal offence of money laundering. This trend was detected also in the year 20</w:t>
      </w:r>
      <w:r w:rsidR="00E917B2" w:rsidRPr="00A519D0">
        <w:rPr>
          <w:bCs/>
          <w:iCs/>
          <w:lang w:val="en-US"/>
        </w:rPr>
        <w:t>21</w:t>
      </w:r>
      <w:r w:rsidRPr="00A519D0">
        <w:rPr>
          <w:bCs/>
          <w:iCs/>
          <w:lang w:val="en-US"/>
        </w:rPr>
        <w:t xml:space="preserve">, as </w:t>
      </w:r>
      <w:r w:rsidR="00E917B2" w:rsidRPr="00A519D0">
        <w:rPr>
          <w:bCs/>
          <w:iCs/>
          <w:lang w:val="en-US"/>
        </w:rPr>
        <w:t>738</w:t>
      </w:r>
      <w:r w:rsidRPr="00A519D0">
        <w:rPr>
          <w:bCs/>
          <w:iCs/>
          <w:lang w:val="en-US"/>
        </w:rPr>
        <w:t xml:space="preserve"> cases (out of all </w:t>
      </w:r>
      <w:r w:rsidR="00E917B2" w:rsidRPr="00A519D0">
        <w:rPr>
          <w:bCs/>
          <w:iCs/>
          <w:lang w:val="en-US"/>
        </w:rPr>
        <w:t>1103</w:t>
      </w:r>
      <w:r w:rsidRPr="00A519D0">
        <w:rPr>
          <w:bCs/>
          <w:iCs/>
          <w:lang w:val="en-US"/>
        </w:rPr>
        <w:t xml:space="preserve"> cases) were opened </w:t>
      </w:r>
      <w:proofErr w:type="gramStart"/>
      <w:r w:rsidRPr="00A519D0">
        <w:rPr>
          <w:bCs/>
          <w:iCs/>
          <w:lang w:val="en-US"/>
        </w:rPr>
        <w:t>on the basis of</w:t>
      </w:r>
      <w:proofErr w:type="gramEnd"/>
      <w:r w:rsidRPr="00A519D0">
        <w:rPr>
          <w:bCs/>
          <w:iCs/>
          <w:lang w:val="en-US"/>
        </w:rPr>
        <w:t xml:space="preserve"> data from reports of banks, which represented </w:t>
      </w:r>
      <w:r w:rsidR="00E917B2" w:rsidRPr="00A519D0">
        <w:rPr>
          <w:bCs/>
          <w:iCs/>
          <w:lang w:val="en-US"/>
        </w:rPr>
        <w:t>66,91</w:t>
      </w:r>
      <w:r w:rsidRPr="00A519D0">
        <w:rPr>
          <w:bCs/>
          <w:iCs/>
          <w:lang w:val="en-US"/>
        </w:rPr>
        <w:t>% of all opened cases.</w:t>
      </w:r>
    </w:p>
    <w:p w14:paraId="4659FF8C" w14:textId="4E8DB83F" w:rsidR="00155FF9" w:rsidRPr="00A519D0" w:rsidRDefault="00155FF9" w:rsidP="00155FF9">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bCs/>
          <w:iCs/>
          <w:lang w:val="en-US"/>
        </w:rPr>
      </w:pPr>
      <w:proofErr w:type="gramStart"/>
      <w:r w:rsidRPr="00A519D0">
        <w:rPr>
          <w:bCs/>
          <w:iCs/>
          <w:lang w:val="en-US"/>
        </w:rPr>
        <w:t>In spite of the fact that</w:t>
      </w:r>
      <w:proofErr w:type="gramEnd"/>
      <w:r w:rsidRPr="00A519D0">
        <w:rPr>
          <w:bCs/>
          <w:iCs/>
          <w:lang w:val="en-US"/>
        </w:rPr>
        <w:t xml:space="preserve"> the number of opened cases has doubled </w:t>
      </w:r>
      <w:r w:rsidR="008038AA" w:rsidRPr="00A519D0">
        <w:rPr>
          <w:bCs/>
          <w:iCs/>
          <w:lang w:val="en-US"/>
        </w:rPr>
        <w:t>since</w:t>
      </w:r>
      <w:r w:rsidR="00E917B2" w:rsidRPr="00A519D0">
        <w:rPr>
          <w:bCs/>
          <w:iCs/>
          <w:lang w:val="en-US"/>
        </w:rPr>
        <w:t xml:space="preserve"> the last four years</w:t>
      </w:r>
      <w:r w:rsidRPr="00A519D0">
        <w:rPr>
          <w:bCs/>
          <w:iCs/>
          <w:lang w:val="en-US"/>
        </w:rPr>
        <w:t xml:space="preserve">, no changes in the structure of reporting entities have been recorded. </w:t>
      </w:r>
    </w:p>
    <w:p w14:paraId="02158E66" w14:textId="77777777" w:rsidR="008F2670" w:rsidRPr="00A519D0" w:rsidRDefault="008F2670" w:rsidP="00155FF9">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bCs/>
          <w:iCs/>
          <w:lang w:val="en-US"/>
        </w:rPr>
      </w:pPr>
    </w:p>
    <w:p w14:paraId="6CB85522" w14:textId="2D1DA16E" w:rsidR="00B65A09" w:rsidRPr="00A519D0" w:rsidRDefault="00E917B2" w:rsidP="00B65A09">
      <w:pPr>
        <w:pStyle w:val="Naslov3"/>
        <w:rPr>
          <w:lang w:val="en-US"/>
        </w:rPr>
      </w:pPr>
      <w:r w:rsidRPr="00A519D0">
        <w:rPr>
          <w:lang w:val="en-US"/>
        </w:rPr>
        <w:t xml:space="preserve">Number and dynamics of opened and concluded </w:t>
      </w:r>
      <w:proofErr w:type="gramStart"/>
      <w:r w:rsidRPr="00A519D0">
        <w:rPr>
          <w:lang w:val="en-US"/>
        </w:rPr>
        <w:t>cases</w:t>
      </w:r>
      <w:proofErr w:type="gramEnd"/>
    </w:p>
    <w:p w14:paraId="76A6F654" w14:textId="77777777" w:rsidR="00B65A09" w:rsidRPr="00A519D0" w:rsidRDefault="00B65A09" w:rsidP="00B65A09">
      <w:pPr>
        <w:rPr>
          <w:lang w:val="en-US"/>
        </w:rPr>
      </w:pPr>
    </w:p>
    <w:p w14:paraId="4DA16E1A" w14:textId="79171723" w:rsidR="009D4A53" w:rsidRPr="00A519D0" w:rsidRDefault="009D4A53" w:rsidP="009D4A53">
      <w:pPr>
        <w:rPr>
          <w:lang w:val="en-US"/>
        </w:rPr>
      </w:pPr>
      <w:r w:rsidRPr="00A519D0">
        <w:rPr>
          <w:lang w:val="en-US"/>
        </w:rPr>
        <w:t>Below you can find the number of opened and concluded cases in the period from 2011 until 2021, which were analy</w:t>
      </w:r>
      <w:r w:rsidR="00A519D0">
        <w:rPr>
          <w:lang w:val="en-US"/>
        </w:rPr>
        <w:t>z</w:t>
      </w:r>
      <w:r w:rsidRPr="00A519D0">
        <w:rPr>
          <w:lang w:val="en-US"/>
        </w:rPr>
        <w:t>ed by the OMLP due to reasons for suspicion of committing the criminal offences of money laundering and terrorist financing.</w:t>
      </w:r>
    </w:p>
    <w:p w14:paraId="7154C944" w14:textId="0731DA3C" w:rsidR="00B65A09" w:rsidRPr="00A519D0" w:rsidRDefault="008038AA" w:rsidP="00D22B13">
      <w:pPr>
        <w:spacing w:line="276" w:lineRule="auto"/>
        <w:ind w:left="851" w:right="-22" w:hanging="851"/>
        <w:rPr>
          <w:b/>
          <w:bCs/>
          <w:i/>
          <w:iCs/>
          <w:sz w:val="18"/>
          <w:szCs w:val="18"/>
          <w:lang w:val="en-US"/>
        </w:rPr>
      </w:pPr>
      <w:r w:rsidRPr="00A519D0">
        <w:rPr>
          <w:b/>
          <w:bCs/>
          <w:i/>
          <w:iCs/>
          <w:sz w:val="18"/>
          <w:szCs w:val="18"/>
          <w:lang w:val="en-US"/>
        </w:rPr>
        <w:t xml:space="preserve">Table </w:t>
      </w:r>
      <w:r w:rsidR="00310995" w:rsidRPr="00A519D0">
        <w:rPr>
          <w:b/>
          <w:bCs/>
          <w:i/>
          <w:iCs/>
          <w:sz w:val="18"/>
          <w:szCs w:val="18"/>
          <w:lang w:val="en-US"/>
        </w:rPr>
        <w:t>3</w:t>
      </w:r>
      <w:r w:rsidR="00B65A09" w:rsidRPr="00A519D0">
        <w:rPr>
          <w:b/>
          <w:bCs/>
          <w:i/>
          <w:iCs/>
          <w:sz w:val="18"/>
          <w:szCs w:val="18"/>
          <w:lang w:val="en-US"/>
        </w:rPr>
        <w:t xml:space="preserve">: </w:t>
      </w:r>
      <w:r w:rsidR="009D4A53" w:rsidRPr="00A519D0">
        <w:rPr>
          <w:b/>
          <w:i/>
          <w:lang w:val="en-US"/>
        </w:rPr>
        <w:t>Opened and concluded cases for the period from</w:t>
      </w:r>
      <w:r w:rsidR="009D4A53" w:rsidRPr="00A519D0">
        <w:rPr>
          <w:b/>
          <w:bCs/>
          <w:i/>
          <w:iCs/>
          <w:sz w:val="18"/>
          <w:szCs w:val="18"/>
          <w:lang w:val="en-US"/>
        </w:rPr>
        <w:t xml:space="preserve"> </w:t>
      </w:r>
      <w:r w:rsidR="00B65A09" w:rsidRPr="00A519D0">
        <w:rPr>
          <w:b/>
          <w:bCs/>
          <w:i/>
          <w:iCs/>
          <w:sz w:val="18"/>
          <w:szCs w:val="18"/>
          <w:lang w:val="en-US"/>
        </w:rPr>
        <w:t>201</w:t>
      </w:r>
      <w:r w:rsidR="00D22B13" w:rsidRPr="00A519D0">
        <w:rPr>
          <w:b/>
          <w:bCs/>
          <w:i/>
          <w:iCs/>
          <w:sz w:val="18"/>
          <w:szCs w:val="18"/>
          <w:lang w:val="en-US"/>
        </w:rPr>
        <w:t>1</w:t>
      </w:r>
      <w:r w:rsidR="00B65A09" w:rsidRPr="00A519D0">
        <w:rPr>
          <w:b/>
          <w:bCs/>
          <w:i/>
          <w:iCs/>
          <w:sz w:val="18"/>
          <w:szCs w:val="18"/>
          <w:lang w:val="en-US"/>
        </w:rPr>
        <w:t>–</w:t>
      </w:r>
      <w:proofErr w:type="gramStart"/>
      <w:r w:rsidR="00B65A09" w:rsidRPr="00A519D0">
        <w:rPr>
          <w:b/>
          <w:bCs/>
          <w:i/>
          <w:iCs/>
          <w:sz w:val="18"/>
          <w:szCs w:val="18"/>
          <w:lang w:val="en-US"/>
        </w:rPr>
        <w:t>202</w:t>
      </w:r>
      <w:r w:rsidR="00D22B13" w:rsidRPr="00A519D0">
        <w:rPr>
          <w:b/>
          <w:bCs/>
          <w:i/>
          <w:iCs/>
          <w:sz w:val="18"/>
          <w:szCs w:val="18"/>
          <w:lang w:val="en-US"/>
        </w:rPr>
        <w:t>1</w:t>
      </w:r>
      <w:proofErr w:type="gramEnd"/>
    </w:p>
    <w:tbl>
      <w:tblPr>
        <w:tblStyle w:val="Tabelatemnamrea5poudarek5"/>
        <w:tblW w:w="9067" w:type="dxa"/>
        <w:tblLayout w:type="fixed"/>
        <w:tblLook w:val="02A0" w:firstRow="1" w:lastRow="0" w:firstColumn="1" w:lastColumn="0" w:noHBand="1" w:noVBand="0"/>
      </w:tblPr>
      <w:tblGrid>
        <w:gridCol w:w="704"/>
        <w:gridCol w:w="1134"/>
        <w:gridCol w:w="1276"/>
        <w:gridCol w:w="1417"/>
        <w:gridCol w:w="1418"/>
        <w:gridCol w:w="1417"/>
        <w:gridCol w:w="1701"/>
      </w:tblGrid>
      <w:tr w:rsidR="00A9101E" w:rsidRPr="00A519D0" w14:paraId="64AC6556" w14:textId="77777777" w:rsidTr="00BB1C1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6849935" w14:textId="5BA5FDA6" w:rsidR="00BB1C1D" w:rsidRPr="00A519D0" w:rsidRDefault="009D4A53" w:rsidP="00F569C7">
            <w:pPr>
              <w:spacing w:line="360" w:lineRule="auto"/>
              <w:jc w:val="center"/>
              <w:rPr>
                <w:color w:val="auto"/>
                <w:sz w:val="17"/>
                <w:szCs w:val="17"/>
                <w:lang w:val="en-US" w:eastAsia="sl-SI"/>
              </w:rPr>
            </w:pPr>
            <w:r w:rsidRPr="00A519D0">
              <w:rPr>
                <w:color w:val="auto"/>
                <w:sz w:val="17"/>
                <w:szCs w:val="17"/>
                <w:lang w:val="en-US" w:eastAsia="sl-SI"/>
              </w:rPr>
              <w:t>YEAR</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17F65D8C" w14:textId="3BF71B0C" w:rsidR="00BB1C1D" w:rsidRPr="00A519D0" w:rsidRDefault="009D4A53" w:rsidP="00F569C7">
            <w:pPr>
              <w:spacing w:line="360" w:lineRule="auto"/>
              <w:jc w:val="center"/>
              <w:rPr>
                <w:color w:val="auto"/>
                <w:sz w:val="17"/>
                <w:szCs w:val="17"/>
                <w:lang w:val="en-US" w:eastAsia="sl-SI"/>
              </w:rPr>
            </w:pPr>
            <w:r w:rsidRPr="00A519D0">
              <w:rPr>
                <w:color w:val="auto"/>
                <w:sz w:val="17"/>
                <w:szCs w:val="17"/>
                <w:lang w:val="en-US" w:eastAsia="sl-SI"/>
              </w:rPr>
              <w:t>OPENED</w:t>
            </w:r>
          </w:p>
        </w:tc>
        <w:tc>
          <w:tcPr>
            <w:tcW w:w="1276" w:type="dxa"/>
            <w:vAlign w:val="center"/>
          </w:tcPr>
          <w:p w14:paraId="616F8EC9" w14:textId="71F9D2FE" w:rsidR="00BB1C1D" w:rsidRPr="00A519D0" w:rsidRDefault="009D4A53" w:rsidP="00F569C7">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14"/>
                <w:szCs w:val="14"/>
                <w:lang w:val="en-US" w:eastAsia="sl-SI"/>
              </w:rPr>
            </w:pPr>
            <w:r w:rsidRPr="00A519D0">
              <w:rPr>
                <w:color w:val="auto"/>
                <w:sz w:val="14"/>
                <w:szCs w:val="14"/>
                <w:lang w:val="en-US" w:eastAsia="sl-SI"/>
              </w:rPr>
              <w:t>NOTIFICATION</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0FC5A770" w14:textId="07CD2872" w:rsidR="00BB1C1D" w:rsidRPr="00A519D0" w:rsidRDefault="009D4A53" w:rsidP="00F569C7">
            <w:pPr>
              <w:spacing w:line="360" w:lineRule="auto"/>
              <w:jc w:val="center"/>
              <w:rPr>
                <w:color w:val="auto"/>
                <w:sz w:val="17"/>
                <w:szCs w:val="17"/>
                <w:lang w:val="en-US" w:eastAsia="sl-SI"/>
              </w:rPr>
            </w:pPr>
            <w:r w:rsidRPr="00A519D0">
              <w:rPr>
                <w:color w:val="auto"/>
                <w:sz w:val="17"/>
                <w:szCs w:val="17"/>
                <w:lang w:val="en-US" w:eastAsia="sl-SI"/>
              </w:rPr>
              <w:t>INFORMATION</w:t>
            </w:r>
          </w:p>
        </w:tc>
        <w:tc>
          <w:tcPr>
            <w:tcW w:w="1418" w:type="dxa"/>
            <w:vAlign w:val="center"/>
          </w:tcPr>
          <w:p w14:paraId="2CB5352D" w14:textId="4AE0D0D4" w:rsidR="00BB1C1D" w:rsidRPr="00A519D0" w:rsidRDefault="009D4A53" w:rsidP="00F569C7">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17"/>
                <w:szCs w:val="17"/>
                <w:lang w:val="en-US" w:eastAsia="sl-SI"/>
              </w:rPr>
            </w:pPr>
            <w:r w:rsidRPr="00A519D0">
              <w:rPr>
                <w:color w:val="auto"/>
                <w:sz w:val="17"/>
                <w:szCs w:val="17"/>
                <w:lang w:val="en-US" w:eastAsia="sl-SI"/>
              </w:rPr>
              <w:t>AA IN OMLP</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3EC5CFBF" w14:textId="496CFD24" w:rsidR="00BB1C1D" w:rsidRPr="00A519D0" w:rsidRDefault="009D4A53" w:rsidP="00F569C7">
            <w:pPr>
              <w:spacing w:line="360" w:lineRule="auto"/>
              <w:jc w:val="center"/>
              <w:rPr>
                <w:color w:val="auto"/>
                <w:sz w:val="17"/>
                <w:szCs w:val="17"/>
                <w:lang w:val="en-US" w:eastAsia="sl-SI"/>
              </w:rPr>
            </w:pPr>
            <w:r w:rsidRPr="00A519D0">
              <w:rPr>
                <w:color w:val="auto"/>
                <w:sz w:val="17"/>
                <w:szCs w:val="17"/>
                <w:lang w:val="en-US" w:eastAsia="sl-SI"/>
              </w:rPr>
              <w:t>CONCLUDED TOTAL</w:t>
            </w:r>
          </w:p>
        </w:tc>
        <w:tc>
          <w:tcPr>
            <w:tcW w:w="1701" w:type="dxa"/>
            <w:vAlign w:val="center"/>
          </w:tcPr>
          <w:p w14:paraId="45BFA868" w14:textId="65B0D20B" w:rsidR="00BB1C1D" w:rsidRPr="00A519D0" w:rsidRDefault="009D4A53" w:rsidP="00F569C7">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17"/>
                <w:szCs w:val="17"/>
                <w:lang w:val="en-US" w:eastAsia="sl-SI"/>
              </w:rPr>
            </w:pPr>
            <w:r w:rsidRPr="00A519D0">
              <w:rPr>
                <w:color w:val="auto"/>
                <w:sz w:val="17"/>
                <w:szCs w:val="17"/>
                <w:lang w:val="en-US" w:eastAsia="sl-SI"/>
              </w:rPr>
              <w:t>NUMBER OF ALL SENT WRITTEN INFORMATION</w:t>
            </w:r>
            <w:r w:rsidR="005C3E99" w:rsidRPr="00A519D0">
              <w:rPr>
                <w:rStyle w:val="Sprotnaopomba-sklic"/>
                <w:color w:val="auto"/>
                <w:sz w:val="17"/>
                <w:szCs w:val="17"/>
                <w:lang w:val="en-US" w:eastAsia="sl-SI"/>
              </w:rPr>
              <w:footnoteReference w:id="8"/>
            </w:r>
            <w:r w:rsidR="00BB1C1D" w:rsidRPr="00A519D0">
              <w:rPr>
                <w:color w:val="auto"/>
                <w:sz w:val="17"/>
                <w:szCs w:val="17"/>
                <w:lang w:val="en-US" w:eastAsia="sl-SI"/>
              </w:rPr>
              <w:t xml:space="preserve"> </w:t>
            </w:r>
            <w:r w:rsidRPr="00A519D0">
              <w:rPr>
                <w:color w:val="auto"/>
                <w:sz w:val="17"/>
                <w:szCs w:val="17"/>
                <w:lang w:val="en-US" w:eastAsia="sl-SI"/>
              </w:rPr>
              <w:t>NOTOFICATION/INFORMATION</w:t>
            </w:r>
          </w:p>
        </w:tc>
      </w:tr>
      <w:tr w:rsidR="00F06E38" w:rsidRPr="00A519D0" w14:paraId="20726121"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0171BEE1"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2011</w:t>
            </w:r>
          </w:p>
        </w:tc>
        <w:tc>
          <w:tcPr>
            <w:cnfStyle w:val="000010000000" w:firstRow="0" w:lastRow="0" w:firstColumn="0" w:lastColumn="0" w:oddVBand="1" w:evenVBand="0" w:oddHBand="0" w:evenHBand="0" w:firstRowFirstColumn="0" w:firstRowLastColumn="0" w:lastRowFirstColumn="0" w:lastRowLastColumn="0"/>
            <w:tcW w:w="1134" w:type="dxa"/>
          </w:tcPr>
          <w:p w14:paraId="03B46767"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327</w:t>
            </w:r>
          </w:p>
        </w:tc>
        <w:tc>
          <w:tcPr>
            <w:tcW w:w="1276" w:type="dxa"/>
          </w:tcPr>
          <w:p w14:paraId="3AEF8D99"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99</w:t>
            </w:r>
          </w:p>
        </w:tc>
        <w:tc>
          <w:tcPr>
            <w:cnfStyle w:val="000010000000" w:firstRow="0" w:lastRow="0" w:firstColumn="0" w:lastColumn="0" w:oddVBand="1" w:evenVBand="0" w:oddHBand="0" w:evenHBand="0" w:firstRowFirstColumn="0" w:firstRowLastColumn="0" w:lastRowFirstColumn="0" w:lastRowLastColumn="0"/>
            <w:tcW w:w="1417" w:type="dxa"/>
          </w:tcPr>
          <w:p w14:paraId="1317E7E1"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58</w:t>
            </w:r>
          </w:p>
        </w:tc>
        <w:tc>
          <w:tcPr>
            <w:tcW w:w="1418" w:type="dxa"/>
          </w:tcPr>
          <w:p w14:paraId="17276D4B"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99</w:t>
            </w:r>
          </w:p>
        </w:tc>
        <w:tc>
          <w:tcPr>
            <w:cnfStyle w:val="000010000000" w:firstRow="0" w:lastRow="0" w:firstColumn="0" w:lastColumn="0" w:oddVBand="1" w:evenVBand="0" w:oddHBand="0" w:evenHBand="0" w:firstRowFirstColumn="0" w:firstRowLastColumn="0" w:lastRowFirstColumn="0" w:lastRowLastColumn="0"/>
            <w:tcW w:w="1417" w:type="dxa"/>
          </w:tcPr>
          <w:p w14:paraId="5E98A5D2"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256</w:t>
            </w:r>
          </w:p>
        </w:tc>
        <w:tc>
          <w:tcPr>
            <w:tcW w:w="1701" w:type="dxa"/>
          </w:tcPr>
          <w:p w14:paraId="211E3F62"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84/48</w:t>
            </w:r>
          </w:p>
        </w:tc>
      </w:tr>
      <w:tr w:rsidR="00F06E38" w:rsidRPr="00A519D0" w14:paraId="64FDC404"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5F04F040"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2012</w:t>
            </w:r>
          </w:p>
        </w:tc>
        <w:tc>
          <w:tcPr>
            <w:cnfStyle w:val="000010000000" w:firstRow="0" w:lastRow="0" w:firstColumn="0" w:lastColumn="0" w:oddVBand="1" w:evenVBand="0" w:oddHBand="0" w:evenHBand="0" w:firstRowFirstColumn="0" w:firstRowLastColumn="0" w:lastRowFirstColumn="0" w:lastRowLastColumn="0"/>
            <w:tcW w:w="1134" w:type="dxa"/>
          </w:tcPr>
          <w:p w14:paraId="5B81A91B"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559</w:t>
            </w:r>
          </w:p>
        </w:tc>
        <w:tc>
          <w:tcPr>
            <w:tcW w:w="1276" w:type="dxa"/>
          </w:tcPr>
          <w:p w14:paraId="18415331"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175</w:t>
            </w:r>
          </w:p>
        </w:tc>
        <w:tc>
          <w:tcPr>
            <w:cnfStyle w:val="000010000000" w:firstRow="0" w:lastRow="0" w:firstColumn="0" w:lastColumn="0" w:oddVBand="1" w:evenVBand="0" w:oddHBand="0" w:evenHBand="0" w:firstRowFirstColumn="0" w:firstRowLastColumn="0" w:lastRowFirstColumn="0" w:lastRowLastColumn="0"/>
            <w:tcW w:w="1417" w:type="dxa"/>
          </w:tcPr>
          <w:p w14:paraId="1D21453C"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73</w:t>
            </w:r>
          </w:p>
        </w:tc>
        <w:tc>
          <w:tcPr>
            <w:tcW w:w="1418" w:type="dxa"/>
          </w:tcPr>
          <w:p w14:paraId="2069DEBF"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130</w:t>
            </w:r>
          </w:p>
        </w:tc>
        <w:tc>
          <w:tcPr>
            <w:cnfStyle w:val="000010000000" w:firstRow="0" w:lastRow="0" w:firstColumn="0" w:lastColumn="0" w:oddVBand="1" w:evenVBand="0" w:oddHBand="0" w:evenHBand="0" w:firstRowFirstColumn="0" w:firstRowLastColumn="0" w:lastRowFirstColumn="0" w:lastRowLastColumn="0"/>
            <w:tcW w:w="1417" w:type="dxa"/>
          </w:tcPr>
          <w:p w14:paraId="189317F6"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378</w:t>
            </w:r>
          </w:p>
        </w:tc>
        <w:tc>
          <w:tcPr>
            <w:tcW w:w="1701" w:type="dxa"/>
          </w:tcPr>
          <w:p w14:paraId="5E0AF249"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132/64</w:t>
            </w:r>
          </w:p>
        </w:tc>
      </w:tr>
      <w:tr w:rsidR="00F06E38" w:rsidRPr="00A519D0" w14:paraId="4E66F3D8"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7655C410"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2013</w:t>
            </w:r>
          </w:p>
        </w:tc>
        <w:tc>
          <w:tcPr>
            <w:cnfStyle w:val="000010000000" w:firstRow="0" w:lastRow="0" w:firstColumn="0" w:lastColumn="0" w:oddVBand="1" w:evenVBand="0" w:oddHBand="0" w:evenHBand="0" w:firstRowFirstColumn="0" w:firstRowLastColumn="0" w:lastRowFirstColumn="0" w:lastRowLastColumn="0"/>
            <w:tcW w:w="1134" w:type="dxa"/>
          </w:tcPr>
          <w:p w14:paraId="534F8842"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600</w:t>
            </w:r>
          </w:p>
        </w:tc>
        <w:tc>
          <w:tcPr>
            <w:tcW w:w="1276" w:type="dxa"/>
          </w:tcPr>
          <w:p w14:paraId="2D2B1BED"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170</w:t>
            </w:r>
          </w:p>
        </w:tc>
        <w:tc>
          <w:tcPr>
            <w:cnfStyle w:val="000010000000" w:firstRow="0" w:lastRow="0" w:firstColumn="0" w:lastColumn="0" w:oddVBand="1" w:evenVBand="0" w:oddHBand="0" w:evenHBand="0" w:firstRowFirstColumn="0" w:firstRowLastColumn="0" w:lastRowFirstColumn="0" w:lastRowLastColumn="0"/>
            <w:tcW w:w="1417" w:type="dxa"/>
          </w:tcPr>
          <w:p w14:paraId="69DB25AB"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109</w:t>
            </w:r>
          </w:p>
        </w:tc>
        <w:tc>
          <w:tcPr>
            <w:tcW w:w="1418" w:type="dxa"/>
          </w:tcPr>
          <w:p w14:paraId="1740F168"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156</w:t>
            </w:r>
          </w:p>
        </w:tc>
        <w:tc>
          <w:tcPr>
            <w:cnfStyle w:val="000010000000" w:firstRow="0" w:lastRow="0" w:firstColumn="0" w:lastColumn="0" w:oddVBand="1" w:evenVBand="0" w:oddHBand="0" w:evenHBand="0" w:firstRowFirstColumn="0" w:firstRowLastColumn="0" w:lastRowFirstColumn="0" w:lastRowLastColumn="0"/>
            <w:tcW w:w="1417" w:type="dxa"/>
          </w:tcPr>
          <w:p w14:paraId="3179E5EB"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435</w:t>
            </w:r>
          </w:p>
        </w:tc>
        <w:tc>
          <w:tcPr>
            <w:tcW w:w="1701" w:type="dxa"/>
          </w:tcPr>
          <w:p w14:paraId="2C76389F"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135/83</w:t>
            </w:r>
          </w:p>
        </w:tc>
      </w:tr>
      <w:tr w:rsidR="00F06E38" w:rsidRPr="00A519D0" w14:paraId="34187C31"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5EA57544"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2014</w:t>
            </w:r>
          </w:p>
        </w:tc>
        <w:tc>
          <w:tcPr>
            <w:cnfStyle w:val="000010000000" w:firstRow="0" w:lastRow="0" w:firstColumn="0" w:lastColumn="0" w:oddVBand="1" w:evenVBand="0" w:oddHBand="0" w:evenHBand="0" w:firstRowFirstColumn="0" w:firstRowLastColumn="0" w:lastRowFirstColumn="0" w:lastRowLastColumn="0"/>
            <w:tcW w:w="1134" w:type="dxa"/>
          </w:tcPr>
          <w:p w14:paraId="0C909CB4"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480</w:t>
            </w:r>
          </w:p>
        </w:tc>
        <w:tc>
          <w:tcPr>
            <w:tcW w:w="1276" w:type="dxa"/>
          </w:tcPr>
          <w:p w14:paraId="22D8678E"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190</w:t>
            </w:r>
          </w:p>
        </w:tc>
        <w:tc>
          <w:tcPr>
            <w:cnfStyle w:val="000010000000" w:firstRow="0" w:lastRow="0" w:firstColumn="0" w:lastColumn="0" w:oddVBand="1" w:evenVBand="0" w:oddHBand="0" w:evenHBand="0" w:firstRowFirstColumn="0" w:firstRowLastColumn="0" w:lastRowFirstColumn="0" w:lastRowLastColumn="0"/>
            <w:tcW w:w="1417" w:type="dxa"/>
          </w:tcPr>
          <w:p w14:paraId="630974F8"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124</w:t>
            </w:r>
          </w:p>
        </w:tc>
        <w:tc>
          <w:tcPr>
            <w:tcW w:w="1418" w:type="dxa"/>
          </w:tcPr>
          <w:p w14:paraId="7CD94BBF"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207</w:t>
            </w:r>
          </w:p>
        </w:tc>
        <w:tc>
          <w:tcPr>
            <w:cnfStyle w:val="000010000000" w:firstRow="0" w:lastRow="0" w:firstColumn="0" w:lastColumn="0" w:oddVBand="1" w:evenVBand="0" w:oddHBand="0" w:evenHBand="0" w:firstRowFirstColumn="0" w:firstRowLastColumn="0" w:lastRowFirstColumn="0" w:lastRowLastColumn="0"/>
            <w:tcW w:w="1417" w:type="dxa"/>
          </w:tcPr>
          <w:p w14:paraId="373BCFAE"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521</w:t>
            </w:r>
          </w:p>
        </w:tc>
        <w:tc>
          <w:tcPr>
            <w:tcW w:w="1701" w:type="dxa"/>
          </w:tcPr>
          <w:p w14:paraId="0C9B1244"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157/111</w:t>
            </w:r>
          </w:p>
        </w:tc>
      </w:tr>
      <w:tr w:rsidR="00F06E38" w:rsidRPr="00A519D0" w14:paraId="02971EE0"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2A613433"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2015</w:t>
            </w:r>
          </w:p>
        </w:tc>
        <w:tc>
          <w:tcPr>
            <w:cnfStyle w:val="000010000000" w:firstRow="0" w:lastRow="0" w:firstColumn="0" w:lastColumn="0" w:oddVBand="1" w:evenVBand="0" w:oddHBand="0" w:evenHBand="0" w:firstRowFirstColumn="0" w:firstRowLastColumn="0" w:lastRowFirstColumn="0" w:lastRowLastColumn="0"/>
            <w:tcW w:w="1134" w:type="dxa"/>
          </w:tcPr>
          <w:p w14:paraId="6E1C5E8B"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521</w:t>
            </w:r>
          </w:p>
        </w:tc>
        <w:tc>
          <w:tcPr>
            <w:tcW w:w="1276" w:type="dxa"/>
          </w:tcPr>
          <w:p w14:paraId="5163E86A"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259</w:t>
            </w:r>
          </w:p>
        </w:tc>
        <w:tc>
          <w:tcPr>
            <w:cnfStyle w:val="000010000000" w:firstRow="0" w:lastRow="0" w:firstColumn="0" w:lastColumn="0" w:oddVBand="1" w:evenVBand="0" w:oddHBand="0" w:evenHBand="0" w:firstRowFirstColumn="0" w:firstRowLastColumn="0" w:lastRowFirstColumn="0" w:lastRowLastColumn="0"/>
            <w:tcW w:w="1417" w:type="dxa"/>
          </w:tcPr>
          <w:p w14:paraId="00D81655"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107</w:t>
            </w:r>
          </w:p>
        </w:tc>
        <w:tc>
          <w:tcPr>
            <w:tcW w:w="1418" w:type="dxa"/>
          </w:tcPr>
          <w:p w14:paraId="7CDD7CF6"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206</w:t>
            </w:r>
          </w:p>
        </w:tc>
        <w:tc>
          <w:tcPr>
            <w:cnfStyle w:val="000010000000" w:firstRow="0" w:lastRow="0" w:firstColumn="0" w:lastColumn="0" w:oddVBand="1" w:evenVBand="0" w:oddHBand="0" w:evenHBand="0" w:firstRowFirstColumn="0" w:firstRowLastColumn="0" w:lastRowFirstColumn="0" w:lastRowLastColumn="0"/>
            <w:tcW w:w="1417" w:type="dxa"/>
          </w:tcPr>
          <w:p w14:paraId="580FF183"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572</w:t>
            </w:r>
          </w:p>
        </w:tc>
        <w:tc>
          <w:tcPr>
            <w:tcW w:w="1701" w:type="dxa"/>
          </w:tcPr>
          <w:p w14:paraId="76B1159D"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190/95</w:t>
            </w:r>
          </w:p>
        </w:tc>
      </w:tr>
      <w:tr w:rsidR="00F06E38" w:rsidRPr="00A519D0" w14:paraId="4514EED5"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7A882E25"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2016</w:t>
            </w:r>
          </w:p>
        </w:tc>
        <w:tc>
          <w:tcPr>
            <w:cnfStyle w:val="000010000000" w:firstRow="0" w:lastRow="0" w:firstColumn="0" w:lastColumn="0" w:oddVBand="1" w:evenVBand="0" w:oddHBand="0" w:evenHBand="0" w:firstRowFirstColumn="0" w:firstRowLastColumn="0" w:lastRowFirstColumn="0" w:lastRowLastColumn="0"/>
            <w:tcW w:w="1134" w:type="dxa"/>
          </w:tcPr>
          <w:p w14:paraId="555F392E"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449</w:t>
            </w:r>
          </w:p>
        </w:tc>
        <w:tc>
          <w:tcPr>
            <w:tcW w:w="1276" w:type="dxa"/>
          </w:tcPr>
          <w:p w14:paraId="41216E4E"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245</w:t>
            </w:r>
          </w:p>
        </w:tc>
        <w:tc>
          <w:tcPr>
            <w:cnfStyle w:val="000010000000" w:firstRow="0" w:lastRow="0" w:firstColumn="0" w:lastColumn="0" w:oddVBand="1" w:evenVBand="0" w:oddHBand="0" w:evenHBand="0" w:firstRowFirstColumn="0" w:firstRowLastColumn="0" w:lastRowFirstColumn="0" w:lastRowLastColumn="0"/>
            <w:tcW w:w="1417" w:type="dxa"/>
          </w:tcPr>
          <w:p w14:paraId="3A9182F3"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151</w:t>
            </w:r>
          </w:p>
        </w:tc>
        <w:tc>
          <w:tcPr>
            <w:tcW w:w="1418" w:type="dxa"/>
          </w:tcPr>
          <w:p w14:paraId="7B596B3B"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136</w:t>
            </w:r>
          </w:p>
        </w:tc>
        <w:tc>
          <w:tcPr>
            <w:cnfStyle w:val="000010000000" w:firstRow="0" w:lastRow="0" w:firstColumn="0" w:lastColumn="0" w:oddVBand="1" w:evenVBand="0" w:oddHBand="0" w:evenHBand="0" w:firstRowFirstColumn="0" w:firstRowLastColumn="0" w:lastRowFirstColumn="0" w:lastRowLastColumn="0"/>
            <w:tcW w:w="1417" w:type="dxa"/>
          </w:tcPr>
          <w:p w14:paraId="3073B729"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531</w:t>
            </w:r>
          </w:p>
        </w:tc>
        <w:tc>
          <w:tcPr>
            <w:tcW w:w="1701" w:type="dxa"/>
          </w:tcPr>
          <w:p w14:paraId="62467C21"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185/128</w:t>
            </w:r>
          </w:p>
        </w:tc>
      </w:tr>
      <w:tr w:rsidR="00F06E38" w:rsidRPr="00A519D0" w14:paraId="625CF4AF"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4F1B29FC"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lastRenderedPageBreak/>
              <w:t>2017</w:t>
            </w:r>
          </w:p>
        </w:tc>
        <w:tc>
          <w:tcPr>
            <w:cnfStyle w:val="000010000000" w:firstRow="0" w:lastRow="0" w:firstColumn="0" w:lastColumn="0" w:oddVBand="1" w:evenVBand="0" w:oddHBand="0" w:evenHBand="0" w:firstRowFirstColumn="0" w:firstRowLastColumn="0" w:lastRowFirstColumn="0" w:lastRowLastColumn="0"/>
            <w:tcW w:w="1134" w:type="dxa"/>
          </w:tcPr>
          <w:p w14:paraId="602682C2"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558</w:t>
            </w:r>
          </w:p>
        </w:tc>
        <w:tc>
          <w:tcPr>
            <w:tcW w:w="1276" w:type="dxa"/>
          </w:tcPr>
          <w:p w14:paraId="407340FE"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243</w:t>
            </w:r>
          </w:p>
        </w:tc>
        <w:tc>
          <w:tcPr>
            <w:cnfStyle w:val="000010000000" w:firstRow="0" w:lastRow="0" w:firstColumn="0" w:lastColumn="0" w:oddVBand="1" w:evenVBand="0" w:oddHBand="0" w:evenHBand="0" w:firstRowFirstColumn="0" w:firstRowLastColumn="0" w:lastRowFirstColumn="0" w:lastRowLastColumn="0"/>
            <w:tcW w:w="1417" w:type="dxa"/>
          </w:tcPr>
          <w:p w14:paraId="2091150F"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117</w:t>
            </w:r>
          </w:p>
        </w:tc>
        <w:tc>
          <w:tcPr>
            <w:tcW w:w="1418" w:type="dxa"/>
          </w:tcPr>
          <w:p w14:paraId="78E1B08B"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75</w:t>
            </w:r>
          </w:p>
        </w:tc>
        <w:tc>
          <w:tcPr>
            <w:cnfStyle w:val="000010000000" w:firstRow="0" w:lastRow="0" w:firstColumn="0" w:lastColumn="0" w:oddVBand="1" w:evenVBand="0" w:oddHBand="0" w:evenHBand="0" w:firstRowFirstColumn="0" w:firstRowLastColumn="0" w:lastRowFirstColumn="0" w:lastRowLastColumn="0"/>
            <w:tcW w:w="1417" w:type="dxa"/>
          </w:tcPr>
          <w:p w14:paraId="053ECB5F"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435</w:t>
            </w:r>
          </w:p>
        </w:tc>
        <w:tc>
          <w:tcPr>
            <w:tcW w:w="1701" w:type="dxa"/>
          </w:tcPr>
          <w:p w14:paraId="550CAD30"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181/92</w:t>
            </w:r>
          </w:p>
        </w:tc>
      </w:tr>
      <w:tr w:rsidR="00F06E38" w:rsidRPr="00A519D0" w14:paraId="7839D2CC" w14:textId="77777777" w:rsidTr="00BB1C1D">
        <w:trPr>
          <w:trHeight w:val="49"/>
        </w:trPr>
        <w:tc>
          <w:tcPr>
            <w:cnfStyle w:val="001000000000" w:firstRow="0" w:lastRow="0" w:firstColumn="1" w:lastColumn="0" w:oddVBand="0" w:evenVBand="0" w:oddHBand="0" w:evenHBand="0" w:firstRowFirstColumn="0" w:firstRowLastColumn="0" w:lastRowFirstColumn="0" w:lastRowLastColumn="0"/>
            <w:tcW w:w="704" w:type="dxa"/>
            <w:noWrap/>
          </w:tcPr>
          <w:p w14:paraId="2323CD25"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2018</w:t>
            </w:r>
          </w:p>
        </w:tc>
        <w:tc>
          <w:tcPr>
            <w:cnfStyle w:val="000010000000" w:firstRow="0" w:lastRow="0" w:firstColumn="0" w:lastColumn="0" w:oddVBand="1" w:evenVBand="0" w:oddHBand="0" w:evenHBand="0" w:firstRowFirstColumn="0" w:firstRowLastColumn="0" w:lastRowFirstColumn="0" w:lastRowLastColumn="0"/>
            <w:tcW w:w="1134" w:type="dxa"/>
          </w:tcPr>
          <w:p w14:paraId="2F81C9AD"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787</w:t>
            </w:r>
          </w:p>
        </w:tc>
        <w:tc>
          <w:tcPr>
            <w:tcW w:w="1276" w:type="dxa"/>
          </w:tcPr>
          <w:p w14:paraId="2122C565"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328</w:t>
            </w:r>
          </w:p>
        </w:tc>
        <w:tc>
          <w:tcPr>
            <w:cnfStyle w:val="000010000000" w:firstRow="0" w:lastRow="0" w:firstColumn="0" w:lastColumn="0" w:oddVBand="1" w:evenVBand="0" w:oddHBand="0" w:evenHBand="0" w:firstRowFirstColumn="0" w:firstRowLastColumn="0" w:lastRowFirstColumn="0" w:lastRowLastColumn="0"/>
            <w:tcW w:w="1417" w:type="dxa"/>
          </w:tcPr>
          <w:p w14:paraId="4DFB7B79"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149</w:t>
            </w:r>
          </w:p>
        </w:tc>
        <w:tc>
          <w:tcPr>
            <w:tcW w:w="1418" w:type="dxa"/>
          </w:tcPr>
          <w:p w14:paraId="43BCAB3F"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82</w:t>
            </w:r>
          </w:p>
        </w:tc>
        <w:tc>
          <w:tcPr>
            <w:cnfStyle w:val="000010000000" w:firstRow="0" w:lastRow="0" w:firstColumn="0" w:lastColumn="0" w:oddVBand="1" w:evenVBand="0" w:oddHBand="0" w:evenHBand="0" w:firstRowFirstColumn="0" w:firstRowLastColumn="0" w:lastRowFirstColumn="0" w:lastRowLastColumn="0"/>
            <w:tcW w:w="1417" w:type="dxa"/>
          </w:tcPr>
          <w:p w14:paraId="38026502"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559</w:t>
            </w:r>
          </w:p>
        </w:tc>
        <w:tc>
          <w:tcPr>
            <w:tcW w:w="1701" w:type="dxa"/>
          </w:tcPr>
          <w:p w14:paraId="4EE9BE64"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253/129</w:t>
            </w:r>
          </w:p>
        </w:tc>
      </w:tr>
      <w:tr w:rsidR="00F06E38" w:rsidRPr="00A519D0" w14:paraId="31DE0EE5"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5D58DF75"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2019</w:t>
            </w:r>
          </w:p>
        </w:tc>
        <w:tc>
          <w:tcPr>
            <w:cnfStyle w:val="000010000000" w:firstRow="0" w:lastRow="0" w:firstColumn="0" w:lastColumn="0" w:oddVBand="1" w:evenVBand="0" w:oddHBand="0" w:evenHBand="0" w:firstRowFirstColumn="0" w:firstRowLastColumn="0" w:lastRowFirstColumn="0" w:lastRowLastColumn="0"/>
            <w:tcW w:w="1134" w:type="dxa"/>
          </w:tcPr>
          <w:p w14:paraId="35817561"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1.069</w:t>
            </w:r>
          </w:p>
        </w:tc>
        <w:tc>
          <w:tcPr>
            <w:tcW w:w="1276" w:type="dxa"/>
          </w:tcPr>
          <w:p w14:paraId="4280D6F7"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351</w:t>
            </w:r>
          </w:p>
        </w:tc>
        <w:tc>
          <w:tcPr>
            <w:cnfStyle w:val="000010000000" w:firstRow="0" w:lastRow="0" w:firstColumn="0" w:lastColumn="0" w:oddVBand="1" w:evenVBand="0" w:oddHBand="0" w:evenHBand="0" w:firstRowFirstColumn="0" w:firstRowLastColumn="0" w:lastRowFirstColumn="0" w:lastRowLastColumn="0"/>
            <w:tcW w:w="1417" w:type="dxa"/>
          </w:tcPr>
          <w:p w14:paraId="63C39B91"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243</w:t>
            </w:r>
          </w:p>
        </w:tc>
        <w:tc>
          <w:tcPr>
            <w:tcW w:w="1418" w:type="dxa"/>
          </w:tcPr>
          <w:p w14:paraId="623401B6"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187</w:t>
            </w:r>
          </w:p>
        </w:tc>
        <w:tc>
          <w:tcPr>
            <w:cnfStyle w:val="000010000000" w:firstRow="0" w:lastRow="0" w:firstColumn="0" w:lastColumn="0" w:oddVBand="1" w:evenVBand="0" w:oddHBand="0" w:evenHBand="0" w:firstRowFirstColumn="0" w:firstRowLastColumn="0" w:lastRowFirstColumn="0" w:lastRowLastColumn="0"/>
            <w:tcW w:w="1417" w:type="dxa"/>
          </w:tcPr>
          <w:p w14:paraId="00327C83"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781</w:t>
            </w:r>
          </w:p>
        </w:tc>
        <w:tc>
          <w:tcPr>
            <w:tcW w:w="1701" w:type="dxa"/>
          </w:tcPr>
          <w:p w14:paraId="2BDF5574"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259/170</w:t>
            </w:r>
          </w:p>
        </w:tc>
      </w:tr>
      <w:tr w:rsidR="00F06E38" w:rsidRPr="00A519D0" w14:paraId="6F878974"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2EEE418E"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2020</w:t>
            </w:r>
          </w:p>
        </w:tc>
        <w:tc>
          <w:tcPr>
            <w:cnfStyle w:val="000010000000" w:firstRow="0" w:lastRow="0" w:firstColumn="0" w:lastColumn="0" w:oddVBand="1" w:evenVBand="0" w:oddHBand="0" w:evenHBand="0" w:firstRowFirstColumn="0" w:firstRowLastColumn="0" w:lastRowFirstColumn="0" w:lastRowLastColumn="0"/>
            <w:tcW w:w="1134" w:type="dxa"/>
          </w:tcPr>
          <w:p w14:paraId="0555C0AD"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1.137</w:t>
            </w:r>
          </w:p>
        </w:tc>
        <w:tc>
          <w:tcPr>
            <w:tcW w:w="1276" w:type="dxa"/>
          </w:tcPr>
          <w:p w14:paraId="45CD6964"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450</w:t>
            </w:r>
          </w:p>
        </w:tc>
        <w:tc>
          <w:tcPr>
            <w:cnfStyle w:val="000010000000" w:firstRow="0" w:lastRow="0" w:firstColumn="0" w:lastColumn="0" w:oddVBand="1" w:evenVBand="0" w:oddHBand="0" w:evenHBand="0" w:firstRowFirstColumn="0" w:firstRowLastColumn="0" w:lastRowFirstColumn="0" w:lastRowLastColumn="0"/>
            <w:tcW w:w="1417" w:type="dxa"/>
          </w:tcPr>
          <w:p w14:paraId="7450F22C"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486</w:t>
            </w:r>
          </w:p>
        </w:tc>
        <w:tc>
          <w:tcPr>
            <w:tcW w:w="1418" w:type="dxa"/>
          </w:tcPr>
          <w:p w14:paraId="606781CF"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298</w:t>
            </w:r>
          </w:p>
        </w:tc>
        <w:tc>
          <w:tcPr>
            <w:cnfStyle w:val="000010000000" w:firstRow="0" w:lastRow="0" w:firstColumn="0" w:lastColumn="0" w:oddVBand="1" w:evenVBand="0" w:oddHBand="0" w:evenHBand="0" w:firstRowFirstColumn="0" w:firstRowLastColumn="0" w:lastRowFirstColumn="0" w:lastRowLastColumn="0"/>
            <w:tcW w:w="1417" w:type="dxa"/>
          </w:tcPr>
          <w:p w14:paraId="7DEBDDE7" w14:textId="77777777" w:rsidR="00D22B13" w:rsidRPr="00A519D0" w:rsidRDefault="00D22B13" w:rsidP="00F569C7">
            <w:pPr>
              <w:spacing w:line="360" w:lineRule="auto"/>
              <w:jc w:val="center"/>
              <w:rPr>
                <w:sz w:val="17"/>
                <w:szCs w:val="17"/>
                <w:lang w:val="en-US" w:eastAsia="sl-SI"/>
              </w:rPr>
            </w:pPr>
            <w:r w:rsidRPr="00A519D0">
              <w:rPr>
                <w:sz w:val="17"/>
                <w:szCs w:val="17"/>
                <w:lang w:val="en-US" w:eastAsia="sl-SI"/>
              </w:rPr>
              <w:t>1.234</w:t>
            </w:r>
          </w:p>
        </w:tc>
        <w:tc>
          <w:tcPr>
            <w:tcW w:w="1701" w:type="dxa"/>
          </w:tcPr>
          <w:p w14:paraId="5CACE2D9"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sz w:val="17"/>
                <w:szCs w:val="17"/>
                <w:lang w:val="en-US" w:eastAsia="sl-SI"/>
              </w:rPr>
            </w:pPr>
            <w:r w:rsidRPr="00A519D0">
              <w:rPr>
                <w:sz w:val="17"/>
                <w:szCs w:val="17"/>
                <w:lang w:val="en-US" w:eastAsia="sl-SI"/>
              </w:rPr>
              <w:t>362/354</w:t>
            </w:r>
          </w:p>
        </w:tc>
      </w:tr>
      <w:tr w:rsidR="00F06E38" w:rsidRPr="00A519D0" w14:paraId="6F4D5B9E" w14:textId="77777777" w:rsidTr="00BB1C1D">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3DB11330" w14:textId="77777777" w:rsidR="00D22B13" w:rsidRPr="00A519D0" w:rsidRDefault="00D22B13" w:rsidP="00F569C7">
            <w:pPr>
              <w:spacing w:line="360" w:lineRule="auto"/>
              <w:jc w:val="center"/>
              <w:rPr>
                <w:b w:val="0"/>
                <w:bCs w:val="0"/>
                <w:color w:val="auto"/>
                <w:sz w:val="17"/>
                <w:szCs w:val="17"/>
                <w:lang w:val="en-US" w:eastAsia="sl-SI"/>
              </w:rPr>
            </w:pPr>
            <w:r w:rsidRPr="00A519D0">
              <w:rPr>
                <w:color w:val="auto"/>
                <w:sz w:val="17"/>
                <w:szCs w:val="17"/>
                <w:lang w:val="en-US" w:eastAsia="sl-SI"/>
              </w:rPr>
              <w:t>2021</w:t>
            </w:r>
          </w:p>
        </w:tc>
        <w:tc>
          <w:tcPr>
            <w:cnfStyle w:val="000010000000" w:firstRow="0" w:lastRow="0" w:firstColumn="0" w:lastColumn="0" w:oddVBand="1" w:evenVBand="0" w:oddHBand="0" w:evenHBand="0" w:firstRowFirstColumn="0" w:firstRowLastColumn="0" w:lastRowFirstColumn="0" w:lastRowLastColumn="0"/>
            <w:tcW w:w="1134" w:type="dxa"/>
          </w:tcPr>
          <w:p w14:paraId="4D39EF94" w14:textId="77777777" w:rsidR="00D22B13" w:rsidRPr="00A519D0" w:rsidRDefault="00D22B13" w:rsidP="00F569C7">
            <w:pPr>
              <w:spacing w:line="360" w:lineRule="auto"/>
              <w:jc w:val="center"/>
              <w:rPr>
                <w:b/>
                <w:bCs/>
                <w:sz w:val="17"/>
                <w:szCs w:val="17"/>
                <w:lang w:val="en-US" w:eastAsia="sl-SI"/>
              </w:rPr>
            </w:pPr>
            <w:r w:rsidRPr="00A519D0">
              <w:rPr>
                <w:b/>
                <w:bCs/>
                <w:sz w:val="17"/>
                <w:szCs w:val="17"/>
                <w:lang w:val="en-US" w:eastAsia="sl-SI"/>
              </w:rPr>
              <w:t>1.103</w:t>
            </w:r>
          </w:p>
        </w:tc>
        <w:tc>
          <w:tcPr>
            <w:tcW w:w="1276" w:type="dxa"/>
          </w:tcPr>
          <w:p w14:paraId="42A8E41F"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7"/>
                <w:szCs w:val="17"/>
                <w:lang w:val="en-US" w:eastAsia="sl-SI"/>
              </w:rPr>
            </w:pPr>
            <w:r w:rsidRPr="00A519D0">
              <w:rPr>
                <w:b/>
                <w:bCs/>
                <w:sz w:val="17"/>
                <w:szCs w:val="17"/>
                <w:lang w:val="en-US" w:eastAsia="sl-SI"/>
              </w:rPr>
              <w:t>493</w:t>
            </w:r>
          </w:p>
        </w:tc>
        <w:tc>
          <w:tcPr>
            <w:cnfStyle w:val="000010000000" w:firstRow="0" w:lastRow="0" w:firstColumn="0" w:lastColumn="0" w:oddVBand="1" w:evenVBand="0" w:oddHBand="0" w:evenHBand="0" w:firstRowFirstColumn="0" w:firstRowLastColumn="0" w:lastRowFirstColumn="0" w:lastRowLastColumn="0"/>
            <w:tcW w:w="1417" w:type="dxa"/>
          </w:tcPr>
          <w:p w14:paraId="64444D8E" w14:textId="77777777" w:rsidR="00D22B13" w:rsidRPr="00A519D0" w:rsidRDefault="00D22B13" w:rsidP="00F569C7">
            <w:pPr>
              <w:spacing w:line="360" w:lineRule="auto"/>
              <w:jc w:val="center"/>
              <w:rPr>
                <w:b/>
                <w:bCs/>
                <w:sz w:val="17"/>
                <w:szCs w:val="17"/>
                <w:lang w:val="en-US" w:eastAsia="sl-SI"/>
              </w:rPr>
            </w:pPr>
            <w:r w:rsidRPr="00A519D0">
              <w:rPr>
                <w:b/>
                <w:bCs/>
                <w:sz w:val="17"/>
                <w:szCs w:val="17"/>
                <w:lang w:val="en-US" w:eastAsia="sl-SI"/>
              </w:rPr>
              <w:t>872</w:t>
            </w:r>
          </w:p>
        </w:tc>
        <w:tc>
          <w:tcPr>
            <w:tcW w:w="1418" w:type="dxa"/>
          </w:tcPr>
          <w:p w14:paraId="2B6027B0"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7"/>
                <w:szCs w:val="17"/>
                <w:lang w:val="en-US" w:eastAsia="sl-SI"/>
              </w:rPr>
            </w:pPr>
            <w:r w:rsidRPr="00A519D0">
              <w:rPr>
                <w:b/>
                <w:bCs/>
                <w:sz w:val="17"/>
                <w:szCs w:val="17"/>
                <w:lang w:val="en-US" w:eastAsia="sl-SI"/>
              </w:rPr>
              <w:t>516</w:t>
            </w:r>
          </w:p>
        </w:tc>
        <w:tc>
          <w:tcPr>
            <w:cnfStyle w:val="000010000000" w:firstRow="0" w:lastRow="0" w:firstColumn="0" w:lastColumn="0" w:oddVBand="1" w:evenVBand="0" w:oddHBand="0" w:evenHBand="0" w:firstRowFirstColumn="0" w:firstRowLastColumn="0" w:lastRowFirstColumn="0" w:lastRowLastColumn="0"/>
            <w:tcW w:w="1417" w:type="dxa"/>
          </w:tcPr>
          <w:p w14:paraId="22DF6262" w14:textId="77777777" w:rsidR="00D22B13" w:rsidRPr="00A519D0" w:rsidRDefault="00D22B13" w:rsidP="00F569C7">
            <w:pPr>
              <w:spacing w:line="360" w:lineRule="auto"/>
              <w:jc w:val="center"/>
              <w:rPr>
                <w:b/>
                <w:bCs/>
                <w:sz w:val="17"/>
                <w:szCs w:val="17"/>
                <w:lang w:val="en-US" w:eastAsia="sl-SI"/>
              </w:rPr>
            </w:pPr>
            <w:r w:rsidRPr="00A519D0">
              <w:rPr>
                <w:b/>
                <w:bCs/>
                <w:sz w:val="17"/>
                <w:szCs w:val="17"/>
                <w:lang w:val="en-US" w:eastAsia="sl-SI"/>
              </w:rPr>
              <w:t>1.931</w:t>
            </w:r>
          </w:p>
        </w:tc>
        <w:tc>
          <w:tcPr>
            <w:tcW w:w="1701" w:type="dxa"/>
          </w:tcPr>
          <w:p w14:paraId="6ECDFC1A" w14:textId="77777777" w:rsidR="00D22B13" w:rsidRPr="00A519D0" w:rsidRDefault="00D22B13" w:rsidP="00F569C7">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7"/>
                <w:szCs w:val="17"/>
                <w:lang w:val="en-US" w:eastAsia="sl-SI"/>
              </w:rPr>
            </w:pPr>
            <w:r w:rsidRPr="00A519D0">
              <w:rPr>
                <w:b/>
                <w:bCs/>
                <w:sz w:val="17"/>
                <w:szCs w:val="17"/>
                <w:lang w:val="en-US" w:eastAsia="sl-SI"/>
              </w:rPr>
              <w:t>434/801</w:t>
            </w:r>
          </w:p>
        </w:tc>
      </w:tr>
    </w:tbl>
    <w:p w14:paraId="45748047" w14:textId="77777777" w:rsidR="00B65A09" w:rsidRPr="00A519D0" w:rsidRDefault="00B65A09" w:rsidP="00B65A09">
      <w:pPr>
        <w:rPr>
          <w:lang w:val="en-US"/>
        </w:rPr>
      </w:pPr>
    </w:p>
    <w:p w14:paraId="1A4528F5" w14:textId="2DE23383" w:rsidR="009D4A53" w:rsidRPr="00A519D0" w:rsidRDefault="009D4A53" w:rsidP="009D4A53">
      <w:p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pacing w:line="276" w:lineRule="auto"/>
        <w:rPr>
          <w:iCs/>
          <w:lang w:val="en-US"/>
        </w:rPr>
      </w:pPr>
      <w:r w:rsidRPr="00A519D0">
        <w:rPr>
          <w:iCs/>
          <w:lang w:val="en-US"/>
        </w:rPr>
        <w:t xml:space="preserve">From the table can be seen that in 2021 the OMLP opened 1.103 of new cases </w:t>
      </w:r>
      <w:proofErr w:type="gramStart"/>
      <w:r w:rsidRPr="00A519D0">
        <w:rPr>
          <w:iCs/>
          <w:lang w:val="en-US"/>
        </w:rPr>
        <w:t>on the basis of</w:t>
      </w:r>
      <w:proofErr w:type="gramEnd"/>
      <w:r w:rsidRPr="00A519D0">
        <w:rPr>
          <w:iCs/>
          <w:lang w:val="en-US"/>
        </w:rPr>
        <w:t xml:space="preserve"> reports and in the same period concluded 1.931 cases. </w:t>
      </w:r>
    </w:p>
    <w:p w14:paraId="50438068" w14:textId="5D09CFEC" w:rsidR="009D4A53" w:rsidRPr="00A519D0" w:rsidRDefault="009D4A53" w:rsidP="009D4A53">
      <w:pPr>
        <w:pStyle w:val="Telobesedila"/>
        <w:ind w:right="-22"/>
        <w:rPr>
          <w:rFonts w:ascii="Arial" w:hAnsi="Arial"/>
          <w:b/>
          <w:sz w:val="20"/>
          <w:lang w:val="en-US"/>
        </w:rPr>
      </w:pPr>
      <w:r w:rsidRPr="00A519D0">
        <w:rPr>
          <w:rFonts w:ascii="Arial" w:hAnsi="Arial"/>
          <w:b/>
          <w:sz w:val="20"/>
          <w:lang w:val="en-US"/>
        </w:rPr>
        <w:t>In 2021, the cases were concluded as follows:</w:t>
      </w:r>
    </w:p>
    <w:p w14:paraId="48A1E79A" w14:textId="77777777" w:rsidR="009D4A53" w:rsidRPr="00A519D0" w:rsidRDefault="009D4A53" w:rsidP="009D4A53">
      <w:pPr>
        <w:pStyle w:val="Telobesedila"/>
        <w:ind w:right="-22"/>
        <w:rPr>
          <w:rFonts w:ascii="Arial" w:hAnsi="Arial"/>
          <w:sz w:val="20"/>
          <w:lang w:val="en-US"/>
        </w:rPr>
      </w:pPr>
    </w:p>
    <w:p w14:paraId="063EE646" w14:textId="5867CA6C" w:rsidR="009D4A53" w:rsidRPr="00A519D0" w:rsidRDefault="009D4A53" w:rsidP="008F2670">
      <w:pPr>
        <w:pStyle w:val="Telobesedila"/>
        <w:numPr>
          <w:ilvl w:val="0"/>
          <w:numId w:val="5"/>
        </w:numPr>
        <w:spacing w:line="276" w:lineRule="auto"/>
        <w:ind w:right="-22"/>
        <w:rPr>
          <w:rFonts w:ascii="Arial" w:hAnsi="Arial"/>
          <w:sz w:val="20"/>
          <w:lang w:val="en-US"/>
        </w:rPr>
      </w:pPr>
      <w:r w:rsidRPr="00A519D0">
        <w:rPr>
          <w:rFonts w:ascii="Arial" w:hAnsi="Arial"/>
          <w:sz w:val="20"/>
          <w:lang w:val="en-US"/>
        </w:rPr>
        <w:t>493</w:t>
      </w:r>
      <w:r w:rsidRPr="00A519D0">
        <w:rPr>
          <w:rFonts w:ascii="Arial" w:hAnsi="Arial"/>
          <w:b/>
          <w:sz w:val="20"/>
          <w:lang w:val="en-US"/>
        </w:rPr>
        <w:t xml:space="preserve"> cases</w:t>
      </w:r>
      <w:r w:rsidRPr="00A519D0">
        <w:rPr>
          <w:rFonts w:ascii="Arial" w:hAnsi="Arial"/>
          <w:sz w:val="20"/>
          <w:lang w:val="en-US"/>
        </w:rPr>
        <w:t xml:space="preserve"> were </w:t>
      </w:r>
      <w:r w:rsidR="00B16D33">
        <w:rPr>
          <w:rFonts w:ascii="Arial" w:hAnsi="Arial"/>
          <w:sz w:val="20"/>
          <w:lang w:val="en-US"/>
        </w:rPr>
        <w:t xml:space="preserve">concluded </w:t>
      </w:r>
      <w:r w:rsidRPr="00A519D0">
        <w:rPr>
          <w:rFonts w:ascii="Arial" w:hAnsi="Arial"/>
          <w:sz w:val="20"/>
          <w:lang w:val="en-US"/>
        </w:rPr>
        <w:t xml:space="preserve">as </w:t>
      </w:r>
      <w:r w:rsidRPr="00A519D0">
        <w:rPr>
          <w:rFonts w:ascii="Arial" w:hAnsi="Arial"/>
          <w:b/>
          <w:bCs/>
          <w:sz w:val="20"/>
          <w:lang w:val="en-US"/>
        </w:rPr>
        <w:t>434</w:t>
      </w:r>
      <w:r w:rsidRPr="00A519D0">
        <w:rPr>
          <w:rFonts w:ascii="Arial" w:hAnsi="Arial"/>
          <w:sz w:val="20"/>
          <w:lang w:val="en-US"/>
        </w:rPr>
        <w:t xml:space="preserve"> written </w:t>
      </w:r>
      <w:r w:rsidRPr="00A519D0">
        <w:rPr>
          <w:rFonts w:ascii="Arial" w:hAnsi="Arial"/>
          <w:b/>
          <w:sz w:val="20"/>
          <w:lang w:val="en-US"/>
        </w:rPr>
        <w:t>notifications</w:t>
      </w:r>
      <w:r w:rsidRPr="00A519D0">
        <w:rPr>
          <w:rFonts w:ascii="Arial" w:hAnsi="Arial"/>
          <w:sz w:val="20"/>
          <w:lang w:val="en-US"/>
        </w:rPr>
        <w:t xml:space="preserve"> on suspicious transactions forwarded to the Criminal Police Directorate (in some cases also to the State Prosecutor`s Office), as </w:t>
      </w:r>
      <w:r w:rsidR="00CF22D3">
        <w:rPr>
          <w:rFonts w:ascii="Arial" w:hAnsi="Arial"/>
          <w:sz w:val="20"/>
          <w:lang w:val="en-US"/>
        </w:rPr>
        <w:t>grounds</w:t>
      </w:r>
      <w:r w:rsidR="00CF22D3" w:rsidRPr="00A519D0">
        <w:rPr>
          <w:rFonts w:ascii="Arial" w:hAnsi="Arial"/>
          <w:sz w:val="20"/>
          <w:lang w:val="en-US"/>
        </w:rPr>
        <w:t xml:space="preserve"> </w:t>
      </w:r>
      <w:r w:rsidRPr="00A519D0">
        <w:rPr>
          <w:rFonts w:ascii="Arial" w:hAnsi="Arial"/>
          <w:sz w:val="20"/>
          <w:lang w:val="en-US"/>
        </w:rPr>
        <w:t xml:space="preserve">for suspicion of committing the criminal offences of </w:t>
      </w:r>
      <w:r w:rsidRPr="00A519D0">
        <w:rPr>
          <w:rFonts w:ascii="Arial" w:hAnsi="Arial"/>
          <w:b/>
          <w:sz w:val="20"/>
          <w:lang w:val="en-US"/>
        </w:rPr>
        <w:t>money laundering</w:t>
      </w:r>
      <w:r w:rsidRPr="00A519D0">
        <w:rPr>
          <w:rFonts w:ascii="Arial" w:hAnsi="Arial"/>
          <w:sz w:val="20"/>
          <w:lang w:val="en-US"/>
        </w:rPr>
        <w:t xml:space="preserve"> or </w:t>
      </w:r>
      <w:r w:rsidRPr="00A519D0">
        <w:rPr>
          <w:rFonts w:ascii="Arial" w:hAnsi="Arial"/>
          <w:b/>
          <w:sz w:val="20"/>
          <w:lang w:val="en-US"/>
        </w:rPr>
        <w:t>terrorist financing</w:t>
      </w:r>
      <w:r w:rsidRPr="00A519D0">
        <w:rPr>
          <w:rFonts w:ascii="Arial" w:hAnsi="Arial"/>
          <w:sz w:val="20"/>
          <w:lang w:val="en-US"/>
        </w:rPr>
        <w:t xml:space="preserve"> were </w:t>
      </w:r>
      <w:r w:rsidR="00CF22D3">
        <w:rPr>
          <w:rFonts w:ascii="Arial" w:hAnsi="Arial"/>
          <w:sz w:val="20"/>
          <w:lang w:val="en-US"/>
        </w:rPr>
        <w:t>established</w:t>
      </w:r>
      <w:r w:rsidR="00CF22D3" w:rsidRPr="00A519D0">
        <w:rPr>
          <w:rFonts w:ascii="Arial" w:hAnsi="Arial"/>
          <w:sz w:val="20"/>
          <w:lang w:val="en-US"/>
        </w:rPr>
        <w:t xml:space="preserve"> </w:t>
      </w:r>
      <w:r w:rsidRPr="00A519D0">
        <w:rPr>
          <w:rFonts w:ascii="Arial" w:hAnsi="Arial"/>
          <w:sz w:val="20"/>
          <w:lang w:val="en-US"/>
        </w:rPr>
        <w:t>(25,53% of all cases, concluded in 2021)</w:t>
      </w:r>
      <w:r w:rsidR="008F2670" w:rsidRPr="00A519D0">
        <w:rPr>
          <w:rFonts w:ascii="Arial" w:hAnsi="Arial"/>
          <w:sz w:val="20"/>
          <w:lang w:val="en-US"/>
        </w:rPr>
        <w:t>,</w:t>
      </w:r>
    </w:p>
    <w:p w14:paraId="3614D16A" w14:textId="171D3E3F" w:rsidR="009D4A53" w:rsidRPr="00A519D0" w:rsidRDefault="009D4A53" w:rsidP="008F2670">
      <w:pPr>
        <w:pStyle w:val="Telobesedila"/>
        <w:numPr>
          <w:ilvl w:val="0"/>
          <w:numId w:val="5"/>
        </w:numPr>
        <w:spacing w:line="276" w:lineRule="auto"/>
        <w:ind w:right="-22"/>
        <w:rPr>
          <w:rFonts w:ascii="Arial" w:hAnsi="Arial"/>
          <w:sz w:val="20"/>
          <w:lang w:val="en-US"/>
        </w:rPr>
      </w:pPr>
      <w:r w:rsidRPr="00A519D0">
        <w:rPr>
          <w:rFonts w:ascii="Arial" w:hAnsi="Arial"/>
          <w:b/>
          <w:sz w:val="20"/>
          <w:lang w:val="en-US"/>
        </w:rPr>
        <w:t>872 cases</w:t>
      </w:r>
      <w:r w:rsidRPr="00A519D0">
        <w:rPr>
          <w:rFonts w:ascii="Arial" w:hAnsi="Arial"/>
          <w:sz w:val="20"/>
          <w:lang w:val="en-US"/>
        </w:rPr>
        <w:t xml:space="preserve"> were concluded with 810</w:t>
      </w:r>
      <w:r w:rsidR="005216C6" w:rsidRPr="00A519D0">
        <w:rPr>
          <w:rFonts w:ascii="Arial" w:hAnsi="Arial"/>
          <w:sz w:val="20"/>
          <w:lang w:val="en-US"/>
        </w:rPr>
        <w:t xml:space="preserve"> </w:t>
      </w:r>
      <w:r w:rsidRPr="00A519D0">
        <w:rPr>
          <w:rFonts w:ascii="Arial" w:hAnsi="Arial"/>
          <w:sz w:val="20"/>
          <w:lang w:val="en-US"/>
        </w:rPr>
        <w:t xml:space="preserve">written </w:t>
      </w:r>
      <w:r w:rsidRPr="00A519D0">
        <w:rPr>
          <w:rFonts w:ascii="Arial" w:hAnsi="Arial"/>
          <w:b/>
          <w:sz w:val="20"/>
          <w:lang w:val="en-US"/>
        </w:rPr>
        <w:t>information</w:t>
      </w:r>
      <w:r w:rsidRPr="00A519D0">
        <w:rPr>
          <w:rFonts w:ascii="Arial" w:hAnsi="Arial"/>
          <w:sz w:val="20"/>
          <w:lang w:val="en-US"/>
        </w:rPr>
        <w:t xml:space="preserve">, due to the </w:t>
      </w:r>
      <w:r w:rsidR="007F2712">
        <w:rPr>
          <w:rFonts w:ascii="Arial" w:hAnsi="Arial"/>
          <w:sz w:val="20"/>
          <w:lang w:val="en-US"/>
        </w:rPr>
        <w:t>established grounds</w:t>
      </w:r>
      <w:r w:rsidR="007F2712" w:rsidRPr="00A519D0">
        <w:rPr>
          <w:rFonts w:ascii="Arial" w:hAnsi="Arial"/>
          <w:sz w:val="20"/>
          <w:lang w:val="en-US"/>
        </w:rPr>
        <w:t xml:space="preserve"> </w:t>
      </w:r>
      <w:r w:rsidR="007F2712">
        <w:rPr>
          <w:rFonts w:ascii="Arial" w:hAnsi="Arial"/>
          <w:sz w:val="20"/>
          <w:lang w:val="en-US"/>
        </w:rPr>
        <w:t>for suspicion</w:t>
      </w:r>
      <w:r w:rsidR="007F2712" w:rsidRPr="00A519D0">
        <w:rPr>
          <w:rFonts w:ascii="Arial" w:hAnsi="Arial"/>
          <w:sz w:val="20"/>
          <w:lang w:val="en-US"/>
        </w:rPr>
        <w:t xml:space="preserve"> </w:t>
      </w:r>
      <w:r w:rsidR="007F2712">
        <w:rPr>
          <w:rFonts w:ascii="Arial" w:hAnsi="Arial"/>
          <w:sz w:val="20"/>
          <w:lang w:val="en-US"/>
        </w:rPr>
        <w:t>of</w:t>
      </w:r>
      <w:r w:rsidR="007F2712" w:rsidRPr="00A519D0">
        <w:rPr>
          <w:rFonts w:ascii="Arial" w:hAnsi="Arial"/>
          <w:sz w:val="20"/>
          <w:lang w:val="en-US"/>
        </w:rPr>
        <w:t xml:space="preserve"> </w:t>
      </w:r>
      <w:r w:rsidRPr="00A519D0">
        <w:rPr>
          <w:rFonts w:ascii="Arial" w:hAnsi="Arial"/>
          <w:sz w:val="20"/>
          <w:lang w:val="en-US"/>
        </w:rPr>
        <w:t xml:space="preserve">committing </w:t>
      </w:r>
      <w:r w:rsidRPr="00A519D0">
        <w:rPr>
          <w:rFonts w:ascii="Arial" w:hAnsi="Arial"/>
          <w:b/>
          <w:sz w:val="20"/>
          <w:lang w:val="en-US"/>
        </w:rPr>
        <w:t>other criminal offences</w:t>
      </w:r>
      <w:r w:rsidRPr="00A519D0">
        <w:rPr>
          <w:rFonts w:ascii="Arial" w:hAnsi="Arial"/>
          <w:sz w:val="20"/>
          <w:lang w:val="en-US"/>
        </w:rPr>
        <w:t>, stipulated by Article 102 of APMLFT-1 (45,15% of all cases concluded in 2021). The cases were therefore forwarded to the competent authorities (Police, Financial Administration of the Republic of Slovenia)</w:t>
      </w:r>
      <w:r w:rsidR="008F2670" w:rsidRPr="00A519D0">
        <w:rPr>
          <w:rFonts w:ascii="Arial" w:hAnsi="Arial"/>
          <w:sz w:val="20"/>
          <w:lang w:val="en-US"/>
        </w:rPr>
        <w:t>,</w:t>
      </w:r>
      <w:r w:rsidRPr="00A519D0">
        <w:rPr>
          <w:rFonts w:ascii="Arial" w:hAnsi="Arial"/>
          <w:sz w:val="20"/>
          <w:lang w:val="en-US"/>
        </w:rPr>
        <w:t xml:space="preserve"> </w:t>
      </w:r>
    </w:p>
    <w:p w14:paraId="57B29C02" w14:textId="5C0CCAA1" w:rsidR="009D4A53" w:rsidRPr="00A519D0" w:rsidRDefault="009D4A53" w:rsidP="008F2670">
      <w:pPr>
        <w:pStyle w:val="Telobesedila"/>
        <w:numPr>
          <w:ilvl w:val="0"/>
          <w:numId w:val="5"/>
        </w:numPr>
        <w:spacing w:line="276" w:lineRule="auto"/>
        <w:ind w:right="-22"/>
        <w:rPr>
          <w:rFonts w:ascii="Arial" w:hAnsi="Arial"/>
          <w:sz w:val="20"/>
          <w:lang w:val="en-US"/>
        </w:rPr>
      </w:pPr>
      <w:r w:rsidRPr="00A519D0">
        <w:rPr>
          <w:rFonts w:ascii="Arial" w:hAnsi="Arial"/>
          <w:b/>
          <w:sz w:val="20"/>
          <w:lang w:val="en-US"/>
        </w:rPr>
        <w:t>516 cases</w:t>
      </w:r>
      <w:r w:rsidRPr="00A519D0">
        <w:rPr>
          <w:rFonts w:ascii="Arial" w:hAnsi="Arial"/>
          <w:sz w:val="20"/>
          <w:lang w:val="en-US"/>
        </w:rPr>
        <w:t xml:space="preserve"> were </w:t>
      </w:r>
      <w:r w:rsidRPr="00A519D0">
        <w:rPr>
          <w:rFonts w:ascii="Arial" w:hAnsi="Arial"/>
          <w:b/>
          <w:sz w:val="20"/>
          <w:lang w:val="en-US"/>
        </w:rPr>
        <w:t>concluded and kept in the OMLP</w:t>
      </w:r>
      <w:r w:rsidRPr="00A519D0">
        <w:rPr>
          <w:rFonts w:ascii="Arial" w:hAnsi="Arial"/>
          <w:sz w:val="20"/>
          <w:lang w:val="en-US"/>
        </w:rPr>
        <w:t xml:space="preserve"> as no reasons for the suspicion of committing the criminal offence of money laundering or other criminal offence from Article 102 of APMLFT-1 were detected (26,72% of all cases, concluded in 2021)</w:t>
      </w:r>
      <w:r w:rsidR="008F2670" w:rsidRPr="00A519D0">
        <w:rPr>
          <w:rFonts w:ascii="Arial" w:hAnsi="Arial"/>
          <w:sz w:val="20"/>
          <w:lang w:val="en-US"/>
        </w:rPr>
        <w:t>,</w:t>
      </w:r>
    </w:p>
    <w:p w14:paraId="4621836B" w14:textId="57E9AF02" w:rsidR="008F2670" w:rsidRPr="00A519D0" w:rsidRDefault="008F2670" w:rsidP="008F2670">
      <w:pPr>
        <w:pStyle w:val="Telobesedila"/>
        <w:numPr>
          <w:ilvl w:val="0"/>
          <w:numId w:val="5"/>
        </w:numPr>
        <w:spacing w:line="276" w:lineRule="auto"/>
        <w:ind w:right="-22"/>
        <w:rPr>
          <w:rFonts w:ascii="Arial" w:hAnsi="Arial"/>
          <w:sz w:val="20"/>
          <w:lang w:val="en-US"/>
        </w:rPr>
      </w:pPr>
      <w:r w:rsidRPr="00A519D0">
        <w:rPr>
          <w:rFonts w:ascii="Arial" w:hAnsi="Arial"/>
          <w:b/>
          <w:bCs/>
          <w:sz w:val="20"/>
          <w:lang w:val="en-US"/>
        </w:rPr>
        <w:t>40 cases</w:t>
      </w:r>
      <w:r w:rsidRPr="00A519D0">
        <w:rPr>
          <w:rFonts w:ascii="Arial" w:hAnsi="Arial"/>
          <w:sz w:val="20"/>
          <w:lang w:val="en-US"/>
        </w:rPr>
        <w:t xml:space="preserve"> were </w:t>
      </w:r>
      <w:r w:rsidRPr="00A519D0">
        <w:rPr>
          <w:rFonts w:ascii="Arial" w:hAnsi="Arial"/>
          <w:b/>
          <w:bCs/>
          <w:sz w:val="20"/>
          <w:lang w:val="en-US"/>
        </w:rPr>
        <w:t>concluded by being referred to another competent authority</w:t>
      </w:r>
      <w:r w:rsidRPr="00A519D0">
        <w:rPr>
          <w:rFonts w:ascii="Arial" w:hAnsi="Arial"/>
          <w:sz w:val="20"/>
          <w:lang w:val="en-US"/>
        </w:rPr>
        <w:t xml:space="preserve"> (Police, Financial Administration), which represented 2,07 % of all cases concluded 2021</w:t>
      </w:r>
      <w:r w:rsidR="00B16D33">
        <w:rPr>
          <w:rFonts w:ascii="Arial" w:hAnsi="Arial"/>
          <w:sz w:val="20"/>
          <w:lang w:val="en-US"/>
        </w:rPr>
        <w:t>,</w:t>
      </w:r>
    </w:p>
    <w:p w14:paraId="0EBB869A" w14:textId="3AEBD271" w:rsidR="008F2670" w:rsidRPr="00A519D0" w:rsidRDefault="008F2670" w:rsidP="008F2670">
      <w:pPr>
        <w:pStyle w:val="Telobesedila"/>
        <w:numPr>
          <w:ilvl w:val="0"/>
          <w:numId w:val="5"/>
        </w:numPr>
        <w:spacing w:line="276" w:lineRule="auto"/>
        <w:ind w:right="-22"/>
        <w:rPr>
          <w:rFonts w:ascii="Arial" w:hAnsi="Arial"/>
          <w:sz w:val="20"/>
          <w:lang w:val="en-US"/>
        </w:rPr>
      </w:pPr>
      <w:r w:rsidRPr="00A519D0">
        <w:rPr>
          <w:rFonts w:ascii="Arial" w:hAnsi="Arial"/>
          <w:b/>
          <w:bCs/>
          <w:sz w:val="20"/>
          <w:lang w:val="en-US"/>
        </w:rPr>
        <w:t>5 cases</w:t>
      </w:r>
      <w:r w:rsidRPr="00A519D0">
        <w:rPr>
          <w:rFonts w:ascii="Arial" w:hAnsi="Arial"/>
          <w:sz w:val="20"/>
          <w:lang w:val="en-US"/>
        </w:rPr>
        <w:t xml:space="preserve"> were </w:t>
      </w:r>
      <w:r w:rsidRPr="00A519D0">
        <w:rPr>
          <w:rFonts w:ascii="Arial" w:hAnsi="Arial"/>
          <w:b/>
          <w:bCs/>
          <w:sz w:val="20"/>
          <w:lang w:val="en-US"/>
        </w:rPr>
        <w:t>concluded with a final decision</w:t>
      </w:r>
      <w:r w:rsidRPr="00A519D0">
        <w:rPr>
          <w:rFonts w:ascii="Arial" w:hAnsi="Arial"/>
          <w:sz w:val="20"/>
          <w:lang w:val="en-US"/>
        </w:rPr>
        <w:t>, as it was visible from the notification that other authorities were competent for the case and were already informed about it</w:t>
      </w:r>
      <w:r w:rsidR="00B16D33">
        <w:rPr>
          <w:rFonts w:ascii="Arial" w:hAnsi="Arial"/>
          <w:sz w:val="20"/>
          <w:lang w:val="en-US"/>
        </w:rPr>
        <w:t>,</w:t>
      </w:r>
      <w:r w:rsidR="00B16D33" w:rsidRPr="00A519D0">
        <w:rPr>
          <w:rFonts w:ascii="Arial" w:hAnsi="Arial"/>
          <w:sz w:val="20"/>
          <w:lang w:val="en-US"/>
        </w:rPr>
        <w:t xml:space="preserve"> </w:t>
      </w:r>
    </w:p>
    <w:p w14:paraId="4B27768B" w14:textId="77777777" w:rsidR="008F2670" w:rsidRPr="00A519D0" w:rsidRDefault="008F2670" w:rsidP="008F2670">
      <w:pPr>
        <w:pStyle w:val="Telobesedila"/>
        <w:numPr>
          <w:ilvl w:val="0"/>
          <w:numId w:val="5"/>
        </w:numPr>
        <w:spacing w:line="276" w:lineRule="auto"/>
        <w:ind w:right="-22"/>
        <w:rPr>
          <w:rFonts w:ascii="Arial" w:hAnsi="Arial"/>
          <w:sz w:val="20"/>
          <w:lang w:val="en-US"/>
        </w:rPr>
      </w:pPr>
      <w:r w:rsidRPr="00A519D0">
        <w:rPr>
          <w:rFonts w:ascii="Arial" w:hAnsi="Arial"/>
          <w:b/>
          <w:bCs/>
          <w:sz w:val="20"/>
          <w:lang w:val="en-US"/>
        </w:rPr>
        <w:t>5 cases</w:t>
      </w:r>
      <w:r w:rsidRPr="00A519D0">
        <w:rPr>
          <w:rFonts w:ascii="Arial" w:hAnsi="Arial"/>
          <w:sz w:val="20"/>
          <w:lang w:val="en-US"/>
        </w:rPr>
        <w:t xml:space="preserve"> were concluded </w:t>
      </w:r>
      <w:r w:rsidRPr="00A519D0">
        <w:rPr>
          <w:rFonts w:ascii="Arial" w:hAnsi="Arial"/>
          <w:b/>
          <w:bCs/>
          <w:sz w:val="20"/>
          <w:lang w:val="en-US"/>
        </w:rPr>
        <w:t>with spontaneous information</w:t>
      </w:r>
      <w:r w:rsidRPr="00A519D0">
        <w:rPr>
          <w:rFonts w:ascii="Arial" w:hAnsi="Arial"/>
          <w:sz w:val="20"/>
          <w:lang w:val="en-US"/>
        </w:rPr>
        <w:t xml:space="preserve"> forwarded to the competent foreign FIU. </w:t>
      </w:r>
    </w:p>
    <w:p w14:paraId="71C66684" w14:textId="77777777" w:rsidR="008F2670" w:rsidRPr="00A519D0" w:rsidRDefault="008F2670" w:rsidP="008F2670">
      <w:pPr>
        <w:pStyle w:val="Telobesedila"/>
        <w:spacing w:line="276" w:lineRule="auto"/>
        <w:ind w:left="720" w:right="-22"/>
        <w:rPr>
          <w:rFonts w:ascii="Arial" w:hAnsi="Arial"/>
          <w:sz w:val="20"/>
          <w:lang w:val="en-US"/>
        </w:rPr>
      </w:pPr>
    </w:p>
    <w:p w14:paraId="61210A1B" w14:textId="03F5166A" w:rsidR="006B05F1" w:rsidRPr="00A519D0" w:rsidRDefault="00B7135F" w:rsidP="007A689C">
      <w:pPr>
        <w:spacing w:line="276" w:lineRule="auto"/>
        <w:rPr>
          <w:lang w:val="en-US"/>
        </w:rPr>
      </w:pPr>
      <w:r w:rsidRPr="00A519D0">
        <w:rPr>
          <w:lang w:val="en-US"/>
        </w:rPr>
        <w:t>According to data from previous years the number of received notifications and cases opened based on these notifications in year 2021 compared to the year 2020 decreased by</w:t>
      </w:r>
      <w:r w:rsidR="007A689C" w:rsidRPr="00A519D0">
        <w:rPr>
          <w:b/>
          <w:bCs/>
          <w:lang w:val="en-US"/>
        </w:rPr>
        <w:t xml:space="preserve"> </w:t>
      </w:r>
      <w:r w:rsidR="008038AA" w:rsidRPr="00A519D0">
        <w:rPr>
          <w:b/>
          <w:bCs/>
          <w:lang w:val="en-US"/>
        </w:rPr>
        <w:t>3 %</w:t>
      </w:r>
      <w:r w:rsidR="008038AA" w:rsidRPr="00A519D0">
        <w:rPr>
          <w:lang w:val="en-US"/>
        </w:rPr>
        <w:t xml:space="preserve"> and</w:t>
      </w:r>
      <w:r w:rsidRPr="00A519D0">
        <w:rPr>
          <w:lang w:val="en-US"/>
        </w:rPr>
        <w:t xml:space="preserve"> increased by</w:t>
      </w:r>
      <w:r w:rsidR="00A55E9D" w:rsidRPr="00A519D0">
        <w:rPr>
          <w:lang w:val="en-US"/>
        </w:rPr>
        <w:t xml:space="preserve"> </w:t>
      </w:r>
      <w:r w:rsidRPr="00A519D0">
        <w:rPr>
          <w:b/>
          <w:bCs/>
          <w:lang w:val="en-US"/>
        </w:rPr>
        <w:t xml:space="preserve">26 % compared to average in the last 5 years. </w:t>
      </w:r>
      <w:r w:rsidRPr="00A519D0">
        <w:rPr>
          <w:lang w:val="en-US"/>
        </w:rPr>
        <w:t>The average number of received notifications in the period 2</w:t>
      </w:r>
      <w:r w:rsidR="007A689C" w:rsidRPr="00A519D0">
        <w:rPr>
          <w:lang w:val="en-US"/>
        </w:rPr>
        <w:t xml:space="preserve">017–2021 </w:t>
      </w:r>
      <w:r w:rsidRPr="00A519D0">
        <w:rPr>
          <w:lang w:val="en-US"/>
        </w:rPr>
        <w:t>amounted to</w:t>
      </w:r>
      <w:r w:rsidR="007A689C" w:rsidRPr="00A519D0">
        <w:rPr>
          <w:lang w:val="en-US"/>
        </w:rPr>
        <w:t xml:space="preserve"> 930 </w:t>
      </w:r>
      <w:r w:rsidRPr="00A519D0">
        <w:rPr>
          <w:lang w:val="en-US"/>
        </w:rPr>
        <w:t xml:space="preserve">per year, which is </w:t>
      </w:r>
      <w:r w:rsidR="008F2670" w:rsidRPr="00A519D0">
        <w:rPr>
          <w:lang w:val="en-US"/>
        </w:rPr>
        <w:t xml:space="preserve">a </w:t>
      </w:r>
      <w:r w:rsidR="008038AA" w:rsidRPr="00A519D0">
        <w:rPr>
          <w:lang w:val="en-US"/>
        </w:rPr>
        <w:t>very high</w:t>
      </w:r>
      <w:r w:rsidRPr="00A519D0">
        <w:rPr>
          <w:lang w:val="en-US"/>
        </w:rPr>
        <w:t xml:space="preserve"> number compared to </w:t>
      </w:r>
      <w:r w:rsidR="008F2670" w:rsidRPr="00A519D0">
        <w:rPr>
          <w:lang w:val="en-US"/>
        </w:rPr>
        <w:t>annual</w:t>
      </w:r>
      <w:r w:rsidRPr="00A519D0">
        <w:rPr>
          <w:lang w:val="en-US"/>
        </w:rPr>
        <w:t xml:space="preserve"> average per inhabitant in other countries.</w:t>
      </w:r>
    </w:p>
    <w:p w14:paraId="23D5861F" w14:textId="78129408" w:rsidR="00B65A09" w:rsidRPr="00A519D0" w:rsidRDefault="00B65A09" w:rsidP="00A55E9D">
      <w:pPr>
        <w:spacing w:line="276" w:lineRule="auto"/>
        <w:rPr>
          <w:lang w:val="en-US"/>
        </w:rPr>
      </w:pPr>
    </w:p>
    <w:p w14:paraId="47BDA86E" w14:textId="2B3C26C1" w:rsidR="00B65A09" w:rsidRPr="00A519D0" w:rsidRDefault="00EC2F52" w:rsidP="00B65A09">
      <w:pPr>
        <w:pStyle w:val="Naslov3"/>
        <w:rPr>
          <w:lang w:val="en-US"/>
        </w:rPr>
      </w:pPr>
      <w:bookmarkStart w:id="9" w:name="_Toc119581686"/>
      <w:r w:rsidRPr="00A519D0">
        <w:rPr>
          <w:lang w:val="en-US"/>
        </w:rPr>
        <w:t xml:space="preserve">Cases forwarded to the Criminal Police Directorate of the Ministry of the Interior and/or State </w:t>
      </w:r>
      <w:r w:rsidR="008038AA" w:rsidRPr="00A519D0">
        <w:rPr>
          <w:lang w:val="en-US"/>
        </w:rPr>
        <w:t>Prosecutor’s</w:t>
      </w:r>
      <w:r w:rsidRPr="00A519D0">
        <w:rPr>
          <w:lang w:val="en-US"/>
        </w:rPr>
        <w:t xml:space="preserve"> Office due to </w:t>
      </w:r>
      <w:r w:rsidR="007F2712">
        <w:rPr>
          <w:lang w:val="en-US"/>
        </w:rPr>
        <w:t>established grounds for</w:t>
      </w:r>
      <w:r w:rsidR="007F2712" w:rsidRPr="00A519D0">
        <w:rPr>
          <w:lang w:val="en-US"/>
        </w:rPr>
        <w:t xml:space="preserve"> </w:t>
      </w:r>
      <w:r w:rsidRPr="00A519D0">
        <w:rPr>
          <w:lang w:val="en-US"/>
        </w:rPr>
        <w:t xml:space="preserve">suspicion of </w:t>
      </w:r>
      <w:r w:rsidR="009E26C2" w:rsidRPr="00A519D0">
        <w:rPr>
          <w:lang w:val="en-US"/>
        </w:rPr>
        <w:t xml:space="preserve">committing criminal offence of </w:t>
      </w:r>
      <w:r w:rsidRPr="00A519D0">
        <w:rPr>
          <w:lang w:val="en-US"/>
        </w:rPr>
        <w:t xml:space="preserve">money laundering according to Article </w:t>
      </w:r>
      <w:r w:rsidR="00B65A09" w:rsidRPr="00A519D0">
        <w:rPr>
          <w:lang w:val="en-US"/>
        </w:rPr>
        <w:t>245</w:t>
      </w:r>
      <w:r w:rsidRPr="00A519D0">
        <w:rPr>
          <w:lang w:val="en-US"/>
        </w:rPr>
        <w:t xml:space="preserve"> of the Penal Code</w:t>
      </w:r>
      <w:bookmarkEnd w:id="9"/>
    </w:p>
    <w:p w14:paraId="3D9B4309" w14:textId="77777777" w:rsidR="00B05A11" w:rsidRPr="00A519D0" w:rsidRDefault="00B05A11" w:rsidP="00B05A11">
      <w:pPr>
        <w:pStyle w:val="Telobesedila"/>
        <w:ind w:right="-22"/>
        <w:rPr>
          <w:rFonts w:ascii="Arial" w:hAnsi="Arial"/>
          <w:sz w:val="20"/>
          <w:lang w:val="en-US"/>
        </w:rPr>
      </w:pPr>
    </w:p>
    <w:p w14:paraId="53C7D112" w14:textId="12B75956" w:rsidR="00B05A11" w:rsidRPr="00A519D0" w:rsidRDefault="00B05A11" w:rsidP="006A3B96">
      <w:pPr>
        <w:pStyle w:val="Telobesedila"/>
        <w:spacing w:line="276" w:lineRule="auto"/>
        <w:ind w:right="-22"/>
        <w:rPr>
          <w:rFonts w:ascii="Arial" w:hAnsi="Arial"/>
          <w:sz w:val="20"/>
          <w:lang w:val="en-US"/>
        </w:rPr>
      </w:pPr>
      <w:r w:rsidRPr="00A519D0">
        <w:rPr>
          <w:rFonts w:ascii="Arial" w:hAnsi="Arial"/>
          <w:sz w:val="20"/>
          <w:lang w:val="en-US"/>
        </w:rPr>
        <w:t>Among concluded cases, the</w:t>
      </w:r>
      <w:r w:rsidR="006A3B96" w:rsidRPr="00A519D0">
        <w:rPr>
          <w:rFonts w:ascii="Arial" w:hAnsi="Arial"/>
          <w:sz w:val="20"/>
          <w:lang w:val="en-US"/>
        </w:rPr>
        <w:t>re were also cases that</w:t>
      </w:r>
      <w:r w:rsidRPr="00A519D0">
        <w:rPr>
          <w:rFonts w:ascii="Arial" w:hAnsi="Arial"/>
          <w:sz w:val="20"/>
          <w:lang w:val="en-US"/>
        </w:rPr>
        <w:t xml:space="preserve"> OMLP forwarded to the Criminal Police Directorate of the Ministry of Interior and/or State Prosecutor`s Office</w:t>
      </w:r>
      <w:r w:rsidR="006A3B96" w:rsidRPr="00A519D0">
        <w:rPr>
          <w:rFonts w:ascii="Arial" w:hAnsi="Arial"/>
          <w:sz w:val="20"/>
          <w:lang w:val="en-US"/>
        </w:rPr>
        <w:t xml:space="preserve"> together with documentation </w:t>
      </w:r>
      <w:proofErr w:type="gramStart"/>
      <w:r w:rsidR="006A3B96" w:rsidRPr="00A519D0">
        <w:rPr>
          <w:rFonts w:ascii="Arial" w:hAnsi="Arial"/>
          <w:sz w:val="20"/>
          <w:lang w:val="en-US"/>
        </w:rPr>
        <w:t>on the basis of</w:t>
      </w:r>
      <w:proofErr w:type="gramEnd"/>
      <w:r w:rsidR="006A3B96" w:rsidRPr="00A519D0">
        <w:rPr>
          <w:rFonts w:ascii="Arial" w:hAnsi="Arial"/>
          <w:sz w:val="20"/>
          <w:lang w:val="en-US"/>
        </w:rPr>
        <w:t xml:space="preserve"> Article 101 of APMLFT-1 as they</w:t>
      </w:r>
      <w:r w:rsidRPr="00A519D0">
        <w:rPr>
          <w:rFonts w:ascii="Arial" w:hAnsi="Arial"/>
          <w:sz w:val="20"/>
          <w:lang w:val="en-US"/>
        </w:rPr>
        <w:t xml:space="preserve"> were suspected to be connected with the criminal offence of money laundering, </w:t>
      </w:r>
    </w:p>
    <w:p w14:paraId="2E8468CF" w14:textId="77777777" w:rsidR="00B05A11" w:rsidRPr="00A519D0" w:rsidRDefault="00B05A11" w:rsidP="00B05A11">
      <w:pPr>
        <w:pStyle w:val="Telobesedila"/>
        <w:ind w:right="-22"/>
        <w:rPr>
          <w:rFonts w:ascii="Arial" w:hAnsi="Arial"/>
          <w:sz w:val="20"/>
          <w:lang w:val="en-US"/>
        </w:rPr>
      </w:pPr>
    </w:p>
    <w:p w14:paraId="5DB16788" w14:textId="393037AD" w:rsidR="006066DE" w:rsidRPr="00A519D0" w:rsidRDefault="006066DE" w:rsidP="009E26C2">
      <w:pPr>
        <w:spacing w:line="276" w:lineRule="auto"/>
        <w:rPr>
          <w:lang w:val="en-US"/>
        </w:rPr>
      </w:pPr>
      <w:r w:rsidRPr="00A519D0">
        <w:rPr>
          <w:lang w:val="en-US"/>
        </w:rPr>
        <w:t xml:space="preserve">In 2021, during its analysis the OMLP discovered </w:t>
      </w:r>
      <w:r w:rsidR="00CF22D3">
        <w:rPr>
          <w:lang w:val="en-US"/>
        </w:rPr>
        <w:t>grounds</w:t>
      </w:r>
      <w:r w:rsidR="00CF22D3" w:rsidRPr="00A519D0">
        <w:rPr>
          <w:lang w:val="en-US"/>
        </w:rPr>
        <w:t xml:space="preserve"> </w:t>
      </w:r>
      <w:r w:rsidRPr="00A519D0">
        <w:rPr>
          <w:lang w:val="en-US"/>
        </w:rPr>
        <w:t>for suspicion of committing the criminal offence of money laundering</w:t>
      </w:r>
      <w:r w:rsidR="00C9655E" w:rsidRPr="00A519D0">
        <w:rPr>
          <w:lang w:val="en-US"/>
        </w:rPr>
        <w:t xml:space="preserve"> in 488 cases</w:t>
      </w:r>
      <w:r w:rsidRPr="00A519D0">
        <w:rPr>
          <w:lang w:val="en-US"/>
        </w:rPr>
        <w:t xml:space="preserve"> and forwarded its findings in </w:t>
      </w:r>
      <w:r w:rsidR="00C034BC" w:rsidRPr="00A519D0">
        <w:rPr>
          <w:lang w:val="en-US"/>
        </w:rPr>
        <w:t>429</w:t>
      </w:r>
      <w:r w:rsidRPr="00A519D0">
        <w:rPr>
          <w:lang w:val="en-US"/>
        </w:rPr>
        <w:t xml:space="preserve"> written notifications to the Criminal Police Directorate of the Ministry of Interior and/or State Prosecutor Office. The number of cases is higher than the number of written notifications, because some of the written notifications included several connected cases. Beside the afore mentioned notifications, the OMLP forwarded to the </w:t>
      </w:r>
      <w:r w:rsidRPr="00A519D0">
        <w:rPr>
          <w:lang w:val="en-US"/>
        </w:rPr>
        <w:lastRenderedPageBreak/>
        <w:t>Criminal Police Directorate of the Ministry of Interior and/or to the State Prosecutor`s Office in 2</w:t>
      </w:r>
      <w:r w:rsidR="00C034BC" w:rsidRPr="00A519D0">
        <w:rPr>
          <w:lang w:val="en-US"/>
        </w:rPr>
        <w:t>021</w:t>
      </w:r>
      <w:r w:rsidRPr="00A519D0">
        <w:rPr>
          <w:lang w:val="en-US"/>
        </w:rPr>
        <w:t xml:space="preserve"> also </w:t>
      </w:r>
      <w:r w:rsidR="00C034BC" w:rsidRPr="00A519D0">
        <w:rPr>
          <w:lang w:val="en-US"/>
        </w:rPr>
        <w:t>47</w:t>
      </w:r>
      <w:r w:rsidRPr="00A519D0">
        <w:rPr>
          <w:lang w:val="en-US"/>
        </w:rPr>
        <w:t xml:space="preserve"> additions to already sent notifications on suspicious transactions, concluded in the previous years.</w:t>
      </w:r>
    </w:p>
    <w:p w14:paraId="75E78EB4" w14:textId="506DE7A2" w:rsidR="00A023F7" w:rsidRPr="00A519D0" w:rsidRDefault="00345CF6" w:rsidP="00A023F7">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napToGrid w:val="0"/>
        <w:spacing w:line="276" w:lineRule="auto"/>
        <w:ind w:right="-22"/>
        <w:rPr>
          <w:lang w:val="en-US"/>
        </w:rPr>
      </w:pPr>
      <w:r w:rsidRPr="00A519D0">
        <w:rPr>
          <w:color w:val="000000" w:themeColor="text1"/>
          <w:lang w:val="en-US"/>
        </w:rPr>
        <w:t>In 2021</w:t>
      </w:r>
      <w:r w:rsidR="00C9655E" w:rsidRPr="00A519D0">
        <w:rPr>
          <w:color w:val="000000" w:themeColor="text1"/>
          <w:lang w:val="en-US"/>
        </w:rPr>
        <w:t>,</w:t>
      </w:r>
      <w:r w:rsidRPr="00A519D0">
        <w:rPr>
          <w:color w:val="000000" w:themeColor="text1"/>
          <w:lang w:val="en-US"/>
        </w:rPr>
        <w:t xml:space="preserve"> i</w:t>
      </w:r>
      <w:r w:rsidR="00D338DB" w:rsidRPr="00A519D0">
        <w:rPr>
          <w:color w:val="000000" w:themeColor="text1"/>
          <w:lang w:val="en-US"/>
        </w:rPr>
        <w:t>n</w:t>
      </w:r>
      <w:r w:rsidR="009E26C2" w:rsidRPr="00A519D0">
        <w:rPr>
          <w:color w:val="000000" w:themeColor="text1"/>
          <w:lang w:val="en-US"/>
        </w:rPr>
        <w:t xml:space="preserve"> </w:t>
      </w:r>
      <w:r w:rsidRPr="00A519D0">
        <w:rPr>
          <w:color w:val="000000" w:themeColor="text1"/>
          <w:lang w:val="en-US"/>
        </w:rPr>
        <w:t>its</w:t>
      </w:r>
      <w:r w:rsidR="00D338DB" w:rsidRPr="00A519D0">
        <w:rPr>
          <w:color w:val="000000" w:themeColor="text1"/>
          <w:lang w:val="en-US"/>
        </w:rPr>
        <w:t xml:space="preserve"> notifications on suspicious transactions </w:t>
      </w:r>
      <w:r w:rsidR="007F2712">
        <w:rPr>
          <w:color w:val="000000" w:themeColor="text1"/>
          <w:lang w:val="en-US"/>
        </w:rPr>
        <w:t>where grounds</w:t>
      </w:r>
      <w:r w:rsidR="00D338DB" w:rsidRPr="00A519D0">
        <w:rPr>
          <w:lang w:val="en-US"/>
        </w:rPr>
        <w:t xml:space="preserve"> for suspicion of committing the criminal offences of </w:t>
      </w:r>
      <w:r w:rsidR="00D338DB" w:rsidRPr="00A519D0">
        <w:rPr>
          <w:b/>
          <w:lang w:val="en-US"/>
        </w:rPr>
        <w:t>money laundering</w:t>
      </w:r>
      <w:r w:rsidR="00D338DB" w:rsidRPr="00A519D0">
        <w:rPr>
          <w:lang w:val="en-US"/>
        </w:rPr>
        <w:t xml:space="preserve"> or </w:t>
      </w:r>
      <w:r w:rsidR="00D338DB" w:rsidRPr="00A519D0">
        <w:rPr>
          <w:b/>
          <w:lang w:val="en-US"/>
        </w:rPr>
        <w:t>terrorist financing</w:t>
      </w:r>
      <w:r w:rsidR="007F2712" w:rsidRPr="007F2712">
        <w:rPr>
          <w:color w:val="000000" w:themeColor="text1"/>
          <w:lang w:val="en-US"/>
        </w:rPr>
        <w:t xml:space="preserve"> existed</w:t>
      </w:r>
      <w:r w:rsidR="00C9655E" w:rsidRPr="007F2712">
        <w:rPr>
          <w:color w:val="000000" w:themeColor="text1"/>
          <w:lang w:val="en-US"/>
        </w:rPr>
        <w:t>,</w:t>
      </w:r>
      <w:r w:rsidR="00D338DB" w:rsidRPr="00A519D0">
        <w:rPr>
          <w:lang w:val="en-US"/>
        </w:rPr>
        <w:t xml:space="preserve"> </w:t>
      </w:r>
      <w:r w:rsidRPr="00A519D0">
        <w:rPr>
          <w:lang w:val="en-US"/>
        </w:rPr>
        <w:t>the O</w:t>
      </w:r>
      <w:r w:rsidR="00C9655E" w:rsidRPr="00A519D0">
        <w:rPr>
          <w:lang w:val="en-US"/>
        </w:rPr>
        <w:t>MLP</w:t>
      </w:r>
      <w:r w:rsidRPr="00A519D0">
        <w:rPr>
          <w:lang w:val="en-US"/>
        </w:rPr>
        <w:t xml:space="preserve"> </w:t>
      </w:r>
      <w:r w:rsidR="008038AA" w:rsidRPr="00A519D0">
        <w:rPr>
          <w:lang w:val="en-US"/>
        </w:rPr>
        <w:t xml:space="preserve">investigated </w:t>
      </w:r>
      <w:r w:rsidR="008038AA" w:rsidRPr="00A519D0">
        <w:rPr>
          <w:b/>
          <w:bCs/>
          <w:color w:val="000000" w:themeColor="text1"/>
          <w:lang w:val="en-US"/>
        </w:rPr>
        <w:t>520</w:t>
      </w:r>
      <w:r w:rsidR="00A023F7" w:rsidRPr="00A519D0">
        <w:rPr>
          <w:b/>
          <w:bCs/>
          <w:color w:val="000000" w:themeColor="text1"/>
          <w:lang w:val="en-US"/>
        </w:rPr>
        <w:t xml:space="preserve"> </w:t>
      </w:r>
      <w:r w:rsidRPr="00A519D0">
        <w:rPr>
          <w:b/>
          <w:bCs/>
          <w:color w:val="000000" w:themeColor="text1"/>
          <w:lang w:val="en-US"/>
        </w:rPr>
        <w:t xml:space="preserve">Slovenian natural and </w:t>
      </w:r>
      <w:r w:rsidR="009E26C2" w:rsidRPr="00A519D0">
        <w:rPr>
          <w:b/>
          <w:bCs/>
          <w:color w:val="000000" w:themeColor="text1"/>
          <w:lang w:val="en-US"/>
        </w:rPr>
        <w:t>legal</w:t>
      </w:r>
      <w:r w:rsidRPr="00A519D0">
        <w:rPr>
          <w:b/>
          <w:bCs/>
          <w:color w:val="000000" w:themeColor="text1"/>
          <w:lang w:val="en-US"/>
        </w:rPr>
        <w:t xml:space="preserve"> persons and</w:t>
      </w:r>
      <w:r w:rsidR="00A023F7" w:rsidRPr="00A519D0">
        <w:rPr>
          <w:b/>
          <w:bCs/>
          <w:color w:val="000000" w:themeColor="text1"/>
          <w:lang w:val="en-US"/>
        </w:rPr>
        <w:t xml:space="preserve"> 378 </w:t>
      </w:r>
      <w:r w:rsidRPr="00A519D0">
        <w:rPr>
          <w:b/>
          <w:bCs/>
          <w:color w:val="000000" w:themeColor="text1"/>
          <w:lang w:val="en-US"/>
        </w:rPr>
        <w:t>foreign natural and legal persons</w:t>
      </w:r>
      <w:r w:rsidR="00A023F7" w:rsidRPr="00A519D0">
        <w:rPr>
          <w:b/>
          <w:bCs/>
          <w:color w:val="000000" w:themeColor="text1"/>
          <w:lang w:val="en-US"/>
        </w:rPr>
        <w:t>.</w:t>
      </w:r>
      <w:r w:rsidR="00A023F7" w:rsidRPr="00A519D0">
        <w:rPr>
          <w:color w:val="000000" w:themeColor="text1"/>
          <w:lang w:val="en-US"/>
        </w:rPr>
        <w:t xml:space="preserve"> </w:t>
      </w:r>
      <w:r w:rsidRPr="00A519D0">
        <w:rPr>
          <w:color w:val="000000" w:themeColor="text1"/>
          <w:lang w:val="en-US"/>
        </w:rPr>
        <w:t>In comparison to the previous year</w:t>
      </w:r>
      <w:r w:rsidR="009E26C2" w:rsidRPr="00A519D0">
        <w:rPr>
          <w:color w:val="000000" w:themeColor="text1"/>
          <w:lang w:val="en-US"/>
        </w:rPr>
        <w:t>,</w:t>
      </w:r>
      <w:r w:rsidRPr="00A519D0">
        <w:rPr>
          <w:color w:val="000000" w:themeColor="text1"/>
          <w:lang w:val="en-US"/>
        </w:rPr>
        <w:t xml:space="preserve"> the O</w:t>
      </w:r>
      <w:r w:rsidR="00C9655E" w:rsidRPr="00A519D0">
        <w:rPr>
          <w:color w:val="000000" w:themeColor="text1"/>
          <w:lang w:val="en-US"/>
        </w:rPr>
        <w:t>MLP</w:t>
      </w:r>
      <w:r w:rsidRPr="00A519D0">
        <w:rPr>
          <w:color w:val="000000" w:themeColor="text1"/>
          <w:lang w:val="en-US"/>
        </w:rPr>
        <w:t xml:space="preserve"> investigated </w:t>
      </w:r>
      <w:r w:rsidR="00C9655E" w:rsidRPr="00A519D0">
        <w:rPr>
          <w:color w:val="000000" w:themeColor="text1"/>
          <w:lang w:val="en-US"/>
        </w:rPr>
        <w:t xml:space="preserve">for </w:t>
      </w:r>
      <w:r w:rsidRPr="00A519D0">
        <w:rPr>
          <w:color w:val="000000" w:themeColor="text1"/>
          <w:lang w:val="en-US"/>
        </w:rPr>
        <w:t>20%</w:t>
      </w:r>
      <w:r w:rsidR="00C9655E" w:rsidRPr="00A519D0">
        <w:rPr>
          <w:color w:val="000000" w:themeColor="text1"/>
          <w:lang w:val="en-US"/>
        </w:rPr>
        <w:t xml:space="preserve"> </w:t>
      </w:r>
      <w:r w:rsidRPr="00A519D0">
        <w:rPr>
          <w:color w:val="000000" w:themeColor="text1"/>
          <w:lang w:val="en-US"/>
        </w:rPr>
        <w:t>subjects</w:t>
      </w:r>
      <w:r w:rsidR="00C9655E" w:rsidRPr="00A519D0">
        <w:rPr>
          <w:color w:val="000000" w:themeColor="text1"/>
          <w:lang w:val="en-US"/>
        </w:rPr>
        <w:t xml:space="preserve"> less</w:t>
      </w:r>
      <w:r w:rsidRPr="00A519D0">
        <w:rPr>
          <w:color w:val="000000" w:themeColor="text1"/>
          <w:lang w:val="en-US"/>
        </w:rPr>
        <w:t>. On average</w:t>
      </w:r>
      <w:r w:rsidR="00C9655E" w:rsidRPr="00A519D0">
        <w:rPr>
          <w:color w:val="000000" w:themeColor="text1"/>
          <w:lang w:val="en-US"/>
        </w:rPr>
        <w:t>,</w:t>
      </w:r>
      <w:r w:rsidRPr="00A519D0">
        <w:rPr>
          <w:color w:val="000000" w:themeColor="text1"/>
          <w:lang w:val="en-US"/>
        </w:rPr>
        <w:t xml:space="preserve"> 2,07 natural persons were investigated per notification, compared to 2,49 persons in the last year. </w:t>
      </w:r>
      <w:r w:rsidR="00C9655E" w:rsidRPr="00A519D0">
        <w:rPr>
          <w:color w:val="000000" w:themeColor="text1"/>
          <w:lang w:val="en-US"/>
        </w:rPr>
        <w:t>An</w:t>
      </w:r>
      <w:r w:rsidRPr="00A519D0">
        <w:rPr>
          <w:color w:val="000000" w:themeColor="text1"/>
          <w:lang w:val="en-US"/>
        </w:rPr>
        <w:t xml:space="preserve"> </w:t>
      </w:r>
      <w:r w:rsidR="008038AA" w:rsidRPr="00A519D0">
        <w:rPr>
          <w:color w:val="000000" w:themeColor="text1"/>
          <w:lang w:val="en-US"/>
        </w:rPr>
        <w:t>increasing</w:t>
      </w:r>
      <w:r w:rsidRPr="00A519D0">
        <w:rPr>
          <w:color w:val="000000" w:themeColor="text1"/>
          <w:lang w:val="en-US"/>
        </w:rPr>
        <w:t xml:space="preserve"> trend of investigated </w:t>
      </w:r>
      <w:r w:rsidR="008038AA" w:rsidRPr="00A519D0">
        <w:rPr>
          <w:color w:val="000000" w:themeColor="text1"/>
          <w:lang w:val="en-US"/>
        </w:rPr>
        <w:t>foreign</w:t>
      </w:r>
      <w:r w:rsidRPr="00A519D0">
        <w:rPr>
          <w:color w:val="000000" w:themeColor="text1"/>
          <w:lang w:val="en-US"/>
        </w:rPr>
        <w:t xml:space="preserve"> subjects, that was stable last year, decreased in 2021 from</w:t>
      </w:r>
      <w:r w:rsidR="00A023F7" w:rsidRPr="00A519D0">
        <w:rPr>
          <w:lang w:val="en-US"/>
        </w:rPr>
        <w:t xml:space="preserve"> 54% </w:t>
      </w:r>
      <w:r w:rsidRPr="00A519D0">
        <w:rPr>
          <w:lang w:val="en-US"/>
        </w:rPr>
        <w:t>to</w:t>
      </w:r>
      <w:r w:rsidR="00A023F7" w:rsidRPr="00A519D0">
        <w:rPr>
          <w:lang w:val="en-US"/>
        </w:rPr>
        <w:t xml:space="preserve"> 42%. </w:t>
      </w:r>
      <w:r w:rsidRPr="00A519D0">
        <w:rPr>
          <w:lang w:val="en-US"/>
        </w:rPr>
        <w:t>Among foreign investigated subject</w:t>
      </w:r>
      <w:r w:rsidR="00C9655E" w:rsidRPr="00A519D0">
        <w:rPr>
          <w:lang w:val="en-US"/>
        </w:rPr>
        <w:t xml:space="preserve"> – </w:t>
      </w:r>
      <w:r w:rsidRPr="00A519D0">
        <w:rPr>
          <w:lang w:val="en-US"/>
        </w:rPr>
        <w:t>similarly</w:t>
      </w:r>
      <w:r w:rsidR="00C9655E" w:rsidRPr="00A519D0">
        <w:rPr>
          <w:lang w:val="en-US"/>
        </w:rPr>
        <w:t xml:space="preserve"> as</w:t>
      </w:r>
      <w:r w:rsidRPr="00A519D0">
        <w:rPr>
          <w:lang w:val="en-US"/>
        </w:rPr>
        <w:t xml:space="preserve"> last year</w:t>
      </w:r>
      <w:r w:rsidR="00C9655E" w:rsidRPr="00A519D0">
        <w:rPr>
          <w:lang w:val="en-US"/>
        </w:rPr>
        <w:t xml:space="preserve"> –</w:t>
      </w:r>
      <w:r w:rsidR="009E26C2" w:rsidRPr="00A519D0">
        <w:rPr>
          <w:lang w:val="en-US"/>
        </w:rPr>
        <w:t xml:space="preserve"> </w:t>
      </w:r>
      <w:r w:rsidR="00C9655E" w:rsidRPr="00A519D0">
        <w:rPr>
          <w:lang w:val="en-US"/>
        </w:rPr>
        <w:t xml:space="preserve">the </w:t>
      </w:r>
      <w:r w:rsidR="008038AA" w:rsidRPr="00A519D0">
        <w:rPr>
          <w:lang w:val="en-US"/>
        </w:rPr>
        <w:t>predominantly</w:t>
      </w:r>
      <w:r w:rsidR="009E26C2" w:rsidRPr="00A519D0">
        <w:rPr>
          <w:lang w:val="en-US"/>
        </w:rPr>
        <w:t xml:space="preserve"> investigated subject</w:t>
      </w:r>
      <w:r w:rsidR="00C9655E" w:rsidRPr="00A519D0">
        <w:rPr>
          <w:lang w:val="en-US"/>
        </w:rPr>
        <w:t>s were</w:t>
      </w:r>
      <w:r w:rsidR="009E26C2" w:rsidRPr="00A519D0">
        <w:rPr>
          <w:lang w:val="en-US"/>
        </w:rPr>
        <w:t xml:space="preserve"> from Italy</w:t>
      </w:r>
      <w:r w:rsidR="00C9655E" w:rsidRPr="00A519D0">
        <w:rPr>
          <w:lang w:val="en-US"/>
        </w:rPr>
        <w:t xml:space="preserve"> -</w:t>
      </w:r>
      <w:r w:rsidR="009E26C2" w:rsidRPr="00A519D0">
        <w:rPr>
          <w:lang w:val="en-US"/>
        </w:rPr>
        <w:t xml:space="preserve"> </w:t>
      </w:r>
      <w:r w:rsidR="00A023F7" w:rsidRPr="00A519D0">
        <w:rPr>
          <w:lang w:val="en-US"/>
        </w:rPr>
        <w:t>12%</w:t>
      </w:r>
      <w:r w:rsidR="009E26C2" w:rsidRPr="00A519D0">
        <w:rPr>
          <w:lang w:val="en-US"/>
        </w:rPr>
        <w:t xml:space="preserve">, </w:t>
      </w:r>
      <w:r w:rsidR="00C9655E" w:rsidRPr="00A519D0">
        <w:rPr>
          <w:lang w:val="en-US"/>
        </w:rPr>
        <w:t>as</w:t>
      </w:r>
      <w:r w:rsidR="009E26C2" w:rsidRPr="00A519D0">
        <w:rPr>
          <w:lang w:val="en-US"/>
        </w:rPr>
        <w:t xml:space="preserve"> subjects from  </w:t>
      </w:r>
      <w:r w:rsidR="00A023F7" w:rsidRPr="00A519D0">
        <w:rPr>
          <w:lang w:val="en-US"/>
        </w:rPr>
        <w:t xml:space="preserve"> </w:t>
      </w:r>
      <w:r w:rsidR="009E26C2" w:rsidRPr="00A519D0">
        <w:rPr>
          <w:lang w:val="en-US"/>
        </w:rPr>
        <w:t xml:space="preserve">Croatia, Bosnia and Hercegovina </w:t>
      </w:r>
      <w:r w:rsidR="008038AA" w:rsidRPr="00A519D0">
        <w:rPr>
          <w:lang w:val="en-US"/>
        </w:rPr>
        <w:t>Serbia</w:t>
      </w:r>
      <w:r w:rsidR="009E26C2" w:rsidRPr="00A519D0">
        <w:rPr>
          <w:lang w:val="en-US"/>
        </w:rPr>
        <w:t xml:space="preserve"> and Russia together represent</w:t>
      </w:r>
      <w:r w:rsidR="00C9655E" w:rsidRPr="00A519D0">
        <w:rPr>
          <w:lang w:val="en-US"/>
        </w:rPr>
        <w:t xml:space="preserve">ed </w:t>
      </w:r>
      <w:r w:rsidR="00A023F7" w:rsidRPr="00A519D0">
        <w:rPr>
          <w:lang w:val="en-US"/>
        </w:rPr>
        <w:t>13%</w:t>
      </w:r>
      <w:r w:rsidR="00C9655E" w:rsidRPr="00A519D0">
        <w:rPr>
          <w:lang w:val="en-US"/>
        </w:rPr>
        <w:t>.</w:t>
      </w:r>
    </w:p>
    <w:p w14:paraId="2084BE8A" w14:textId="235C0194" w:rsidR="00B05A11" w:rsidRPr="00A519D0" w:rsidRDefault="00B05A11" w:rsidP="00D338DB">
      <w:pPr>
        <w:pStyle w:val="Telobesedila2"/>
        <w:spacing w:line="276" w:lineRule="auto"/>
        <w:ind w:right="-22"/>
        <w:rPr>
          <w:b/>
          <w:bCs/>
          <w:color w:val="000000"/>
          <w:lang w:val="en-US" w:eastAsia="sl-SI"/>
        </w:rPr>
      </w:pPr>
      <w:r w:rsidRPr="00A519D0">
        <w:rPr>
          <w:color w:val="000000" w:themeColor="text1"/>
          <w:lang w:val="en-US"/>
        </w:rPr>
        <w:t xml:space="preserve">In comparison with the previous year, the amount of money for which (in the afore mentioned notifications on suspicious transactions) there existed reasons for the suspicion of committing the criminal offence of money laundering, </w:t>
      </w:r>
      <w:r w:rsidR="008038AA" w:rsidRPr="00A519D0">
        <w:rPr>
          <w:color w:val="000000" w:themeColor="text1"/>
          <w:lang w:val="en-US"/>
        </w:rPr>
        <w:t>increased slightly</w:t>
      </w:r>
      <w:r w:rsidR="00D338DB" w:rsidRPr="00A519D0">
        <w:rPr>
          <w:color w:val="000000" w:themeColor="text1"/>
          <w:lang w:val="en-US"/>
        </w:rPr>
        <w:t xml:space="preserve">, </w:t>
      </w:r>
      <w:r w:rsidR="008038AA" w:rsidRPr="00A519D0">
        <w:rPr>
          <w:color w:val="000000" w:themeColor="text1"/>
          <w:lang w:val="en-US"/>
        </w:rPr>
        <w:t>namely</w:t>
      </w:r>
      <w:r w:rsidRPr="00A519D0">
        <w:rPr>
          <w:color w:val="000000" w:themeColor="text1"/>
          <w:lang w:val="en-US"/>
        </w:rPr>
        <w:t xml:space="preserve"> for one third in the currency EUR, as it remained unchanged</w:t>
      </w:r>
      <w:r w:rsidR="00D338DB" w:rsidRPr="00A519D0">
        <w:rPr>
          <w:color w:val="000000" w:themeColor="text1"/>
          <w:lang w:val="en-US"/>
        </w:rPr>
        <w:t xml:space="preserve"> </w:t>
      </w:r>
      <w:r w:rsidRPr="00A519D0">
        <w:rPr>
          <w:color w:val="000000" w:themeColor="text1"/>
          <w:lang w:val="en-US"/>
        </w:rPr>
        <w:t xml:space="preserve">in the currency USD.  </w:t>
      </w:r>
      <w:r w:rsidR="00D338DB" w:rsidRPr="00A519D0">
        <w:rPr>
          <w:color w:val="000000" w:themeColor="text1"/>
          <w:lang w:val="en-US"/>
        </w:rPr>
        <w:t xml:space="preserve">Average investigated amount per case </w:t>
      </w:r>
      <w:r w:rsidR="008038AA" w:rsidRPr="00A519D0">
        <w:rPr>
          <w:color w:val="000000" w:themeColor="text1"/>
          <w:lang w:val="en-US"/>
        </w:rPr>
        <w:t>raised</w:t>
      </w:r>
      <w:r w:rsidR="00D338DB" w:rsidRPr="00A519D0">
        <w:rPr>
          <w:color w:val="000000" w:themeColor="text1"/>
          <w:lang w:val="en-US"/>
        </w:rPr>
        <w:t xml:space="preserve"> to around </w:t>
      </w:r>
      <w:r w:rsidR="00D338DB" w:rsidRPr="00A519D0">
        <w:rPr>
          <w:b/>
          <w:bCs/>
          <w:color w:val="000000"/>
          <w:lang w:val="en-US" w:eastAsia="sl-SI"/>
        </w:rPr>
        <w:t>1.786.000 EUR, which represent</w:t>
      </w:r>
      <w:r w:rsidR="00C9655E" w:rsidRPr="00A519D0">
        <w:rPr>
          <w:b/>
          <w:bCs/>
          <w:color w:val="000000"/>
          <w:lang w:val="en-US" w:eastAsia="sl-SI"/>
        </w:rPr>
        <w:t>ed</w:t>
      </w:r>
      <w:r w:rsidR="00D338DB" w:rsidRPr="00A519D0">
        <w:rPr>
          <w:b/>
          <w:bCs/>
          <w:color w:val="000000"/>
          <w:lang w:val="en-US" w:eastAsia="sl-SI"/>
        </w:rPr>
        <w:t xml:space="preserve"> </w:t>
      </w:r>
      <w:r w:rsidR="00C9655E" w:rsidRPr="00A519D0">
        <w:rPr>
          <w:b/>
          <w:bCs/>
          <w:color w:val="000000"/>
          <w:lang w:val="en-US" w:eastAsia="sl-SI"/>
        </w:rPr>
        <w:t>an</w:t>
      </w:r>
      <w:r w:rsidR="00D338DB" w:rsidRPr="00A519D0">
        <w:rPr>
          <w:b/>
          <w:bCs/>
          <w:color w:val="000000"/>
          <w:lang w:val="en-US" w:eastAsia="sl-SI"/>
        </w:rPr>
        <w:t xml:space="preserve"> 35 % </w:t>
      </w:r>
      <w:r w:rsidR="008038AA" w:rsidRPr="00A519D0">
        <w:rPr>
          <w:b/>
          <w:bCs/>
          <w:color w:val="000000"/>
          <w:lang w:val="en-US" w:eastAsia="sl-SI"/>
        </w:rPr>
        <w:t>increase</w:t>
      </w:r>
      <w:r w:rsidR="00D338DB" w:rsidRPr="00A519D0">
        <w:rPr>
          <w:b/>
          <w:bCs/>
          <w:color w:val="000000"/>
          <w:lang w:val="en-US" w:eastAsia="sl-SI"/>
        </w:rPr>
        <w:t xml:space="preserve"> compared to the previous year. </w:t>
      </w:r>
    </w:p>
    <w:p w14:paraId="2E16E553" w14:textId="77777777" w:rsidR="00C9655E" w:rsidRPr="00A519D0" w:rsidRDefault="00C9655E" w:rsidP="00D338DB">
      <w:pPr>
        <w:pStyle w:val="Telobesedila2"/>
        <w:spacing w:line="276" w:lineRule="auto"/>
        <w:ind w:right="-22"/>
        <w:rPr>
          <w:color w:val="000000" w:themeColor="text1"/>
          <w:lang w:val="en-US"/>
        </w:rPr>
      </w:pPr>
    </w:p>
    <w:p w14:paraId="586B6198" w14:textId="1BB5486F" w:rsidR="00B65A09" w:rsidRPr="00A519D0" w:rsidRDefault="009E26C2" w:rsidP="00B65A09">
      <w:pPr>
        <w:pStyle w:val="Naslov3"/>
        <w:rPr>
          <w:lang w:val="en-US"/>
        </w:rPr>
      </w:pPr>
      <w:bookmarkStart w:id="10" w:name="_Toc119581687"/>
      <w:r w:rsidRPr="00A519D0">
        <w:rPr>
          <w:lang w:val="en-US"/>
        </w:rPr>
        <w:t xml:space="preserve">Cases forwarded to the Criminal Police Directorate of the Ministry of the Interior and/or States </w:t>
      </w:r>
      <w:r w:rsidR="008038AA" w:rsidRPr="00A519D0">
        <w:rPr>
          <w:lang w:val="en-US"/>
        </w:rPr>
        <w:t>Prosecutor’s</w:t>
      </w:r>
      <w:r w:rsidRPr="00A519D0">
        <w:rPr>
          <w:lang w:val="en-US"/>
        </w:rPr>
        <w:t xml:space="preserve"> due to the suspicion of committing criminal offence of </w:t>
      </w:r>
      <w:r w:rsidR="008038AA" w:rsidRPr="00A519D0">
        <w:rPr>
          <w:lang w:val="en-US"/>
        </w:rPr>
        <w:t>financing</w:t>
      </w:r>
      <w:r w:rsidRPr="00A519D0">
        <w:rPr>
          <w:lang w:val="en-US"/>
        </w:rPr>
        <w:t xml:space="preserve"> of terrorism according to Article </w:t>
      </w:r>
      <w:r w:rsidR="00B65A09" w:rsidRPr="00A519D0">
        <w:rPr>
          <w:lang w:val="en-US"/>
        </w:rPr>
        <w:t>109</w:t>
      </w:r>
      <w:r w:rsidRPr="00A519D0">
        <w:rPr>
          <w:lang w:val="en-US"/>
        </w:rPr>
        <w:t xml:space="preserve"> of the Penal Code</w:t>
      </w:r>
      <w:bookmarkEnd w:id="10"/>
    </w:p>
    <w:p w14:paraId="2A8BE002" w14:textId="77777777" w:rsidR="00B65A09" w:rsidRPr="00A519D0" w:rsidRDefault="00B65A09" w:rsidP="00B65A09">
      <w:pPr>
        <w:rPr>
          <w:lang w:val="en-US"/>
        </w:rPr>
      </w:pPr>
    </w:p>
    <w:p w14:paraId="4FFED8B8" w14:textId="2A2BA981" w:rsidR="009E26C2" w:rsidRPr="00A519D0" w:rsidRDefault="00A46504" w:rsidP="009E26C2">
      <w:pPr>
        <w:pStyle w:val="Telobesedila2"/>
        <w:spacing w:line="276" w:lineRule="auto"/>
        <w:ind w:right="-22"/>
        <w:rPr>
          <w:lang w:val="en-US"/>
        </w:rPr>
      </w:pPr>
      <w:r w:rsidRPr="00A519D0">
        <w:rPr>
          <w:lang w:val="en-US"/>
        </w:rPr>
        <w:t>In 2021</w:t>
      </w:r>
      <w:r w:rsidR="00C9655E" w:rsidRPr="00A519D0">
        <w:rPr>
          <w:lang w:val="en-US"/>
        </w:rPr>
        <w:t>,</w:t>
      </w:r>
      <w:r w:rsidRPr="00A519D0">
        <w:rPr>
          <w:lang w:val="en-US"/>
        </w:rPr>
        <w:t xml:space="preserve"> the Office received</w:t>
      </w:r>
      <w:r w:rsidR="009E26C2" w:rsidRPr="00A519D0">
        <w:rPr>
          <w:lang w:val="en-US"/>
        </w:rPr>
        <w:t xml:space="preserve"> </w:t>
      </w:r>
      <w:r w:rsidRPr="00A519D0">
        <w:rPr>
          <w:lang w:val="en-US"/>
        </w:rPr>
        <w:t>28</w:t>
      </w:r>
      <w:r w:rsidR="009E26C2" w:rsidRPr="00A519D0">
        <w:rPr>
          <w:lang w:val="en-US"/>
        </w:rPr>
        <w:t xml:space="preserve"> reports where the transactions raised suspicions of committing the criminal offence of financing of terrorism. Almost all reports were received from obliged entities, </w:t>
      </w:r>
      <w:r w:rsidR="00B16D33">
        <w:rPr>
          <w:lang w:val="en-US"/>
        </w:rPr>
        <w:t xml:space="preserve">apart from </w:t>
      </w:r>
      <w:r w:rsidRPr="00A519D0">
        <w:rPr>
          <w:lang w:val="en-US"/>
        </w:rPr>
        <w:t>three</w:t>
      </w:r>
      <w:r w:rsidR="009E26C2" w:rsidRPr="00A519D0">
        <w:rPr>
          <w:lang w:val="en-US"/>
        </w:rPr>
        <w:t xml:space="preserve"> </w:t>
      </w:r>
      <w:r w:rsidR="00B16D33">
        <w:rPr>
          <w:lang w:val="en-US"/>
        </w:rPr>
        <w:t xml:space="preserve">reports </w:t>
      </w:r>
      <w:r w:rsidRPr="00A519D0">
        <w:rPr>
          <w:lang w:val="en-US"/>
        </w:rPr>
        <w:t>fr</w:t>
      </w:r>
      <w:r w:rsidR="00C9655E" w:rsidRPr="00A519D0">
        <w:rPr>
          <w:lang w:val="en-US"/>
        </w:rPr>
        <w:t>o</w:t>
      </w:r>
      <w:r w:rsidRPr="00A519D0">
        <w:rPr>
          <w:lang w:val="en-US"/>
        </w:rPr>
        <w:t xml:space="preserve">m Criminal Police Directorate at Ministry of the </w:t>
      </w:r>
      <w:r w:rsidR="008038AA" w:rsidRPr="00A519D0">
        <w:rPr>
          <w:lang w:val="en-US"/>
        </w:rPr>
        <w:t>Interior</w:t>
      </w:r>
      <w:r w:rsidRPr="00A519D0">
        <w:rPr>
          <w:lang w:val="en-US"/>
        </w:rPr>
        <w:t>,</w:t>
      </w:r>
      <w:r w:rsidR="009E26C2" w:rsidRPr="00A519D0">
        <w:rPr>
          <w:lang w:val="en-US"/>
        </w:rPr>
        <w:t xml:space="preserve"> </w:t>
      </w:r>
      <w:r w:rsidRPr="00A519D0">
        <w:rPr>
          <w:lang w:val="en-US"/>
        </w:rPr>
        <w:t xml:space="preserve">two </w:t>
      </w:r>
      <w:r w:rsidR="00B16D33">
        <w:rPr>
          <w:lang w:val="en-US"/>
        </w:rPr>
        <w:t xml:space="preserve">reports </w:t>
      </w:r>
      <w:r w:rsidR="009E26C2" w:rsidRPr="00A519D0">
        <w:rPr>
          <w:lang w:val="en-US"/>
        </w:rPr>
        <w:t xml:space="preserve">from the Slovenian Intelligence and Security Agency </w:t>
      </w:r>
      <w:r w:rsidR="00B16D33">
        <w:rPr>
          <w:lang w:val="en-US"/>
        </w:rPr>
        <w:t>and one case that</w:t>
      </w:r>
      <w:r w:rsidRPr="00A519D0">
        <w:rPr>
          <w:lang w:val="en-US"/>
        </w:rPr>
        <w:t xml:space="preserve"> was opened </w:t>
      </w:r>
      <w:r w:rsidR="00B16D33">
        <w:rPr>
          <w:lang w:val="en-US"/>
        </w:rPr>
        <w:t xml:space="preserve">by the OMLP </w:t>
      </w:r>
      <w:r w:rsidRPr="00A519D0">
        <w:rPr>
          <w:lang w:val="en-US"/>
        </w:rPr>
        <w:t>based on other data</w:t>
      </w:r>
      <w:r w:rsidR="009E26C2" w:rsidRPr="00A519D0">
        <w:rPr>
          <w:lang w:val="en-US"/>
        </w:rPr>
        <w:t>.</w:t>
      </w:r>
    </w:p>
    <w:p w14:paraId="0A991231" w14:textId="2A23E44D" w:rsidR="00A46504" w:rsidRPr="00A519D0" w:rsidRDefault="00A46504" w:rsidP="004B2B69">
      <w:pPr>
        <w:pStyle w:val="Telobesedila2"/>
        <w:spacing w:line="276" w:lineRule="auto"/>
        <w:ind w:right="-22"/>
        <w:rPr>
          <w:lang w:val="en-US"/>
        </w:rPr>
      </w:pPr>
      <w:r w:rsidRPr="00A519D0">
        <w:rPr>
          <w:lang w:val="en-US"/>
        </w:rPr>
        <w:t xml:space="preserve">Within its analysis the OMLP established </w:t>
      </w:r>
      <w:r w:rsidR="00CF22D3">
        <w:rPr>
          <w:lang w:val="en-US"/>
        </w:rPr>
        <w:t>grounds</w:t>
      </w:r>
      <w:r w:rsidR="00CF22D3" w:rsidRPr="00A519D0">
        <w:rPr>
          <w:lang w:val="en-US"/>
        </w:rPr>
        <w:t xml:space="preserve"> </w:t>
      </w:r>
      <w:r w:rsidRPr="00A519D0">
        <w:rPr>
          <w:lang w:val="en-US"/>
        </w:rPr>
        <w:t>for suspicion of committing the criminal offence of financing of terrorism according to Article 109 in 5 cases and sent them as 5 information to the competent authorities. In this information, we have investigated 15 persons (10</w:t>
      </w:r>
      <w:r w:rsidR="00C9655E" w:rsidRPr="00A519D0">
        <w:rPr>
          <w:lang w:val="en-US"/>
        </w:rPr>
        <w:t xml:space="preserve"> of them</w:t>
      </w:r>
      <w:r w:rsidRPr="00A519D0">
        <w:rPr>
          <w:lang w:val="en-US"/>
        </w:rPr>
        <w:t xml:space="preserve"> were foreign ones).  </w:t>
      </w:r>
    </w:p>
    <w:p w14:paraId="35E8DB50" w14:textId="3E429187" w:rsidR="004B2B69" w:rsidRPr="00A519D0" w:rsidRDefault="004B2B69" w:rsidP="004B2B69">
      <w:pPr>
        <w:pStyle w:val="Telobesedila2"/>
        <w:spacing w:line="276" w:lineRule="auto"/>
        <w:ind w:right="-22"/>
        <w:rPr>
          <w:lang w:val="en-US"/>
        </w:rPr>
      </w:pPr>
      <w:r w:rsidRPr="00A519D0">
        <w:rPr>
          <w:lang w:val="en-US"/>
        </w:rPr>
        <w:t xml:space="preserve">At the same time, the OMLP (in the field of the prevention of financing of terrorism) </w:t>
      </w:r>
      <w:r w:rsidR="00C9655E" w:rsidRPr="00A519D0">
        <w:rPr>
          <w:lang w:val="en-US"/>
        </w:rPr>
        <w:t xml:space="preserve">also </w:t>
      </w:r>
      <w:r w:rsidRPr="00A519D0">
        <w:rPr>
          <w:lang w:val="en-US"/>
        </w:rPr>
        <w:t xml:space="preserve">performed regular reviews of the lists of persons and organizations from the EU list, against which certain financial sanctions have been imposed </w:t>
      </w:r>
      <w:proofErr w:type="gramStart"/>
      <w:r w:rsidRPr="00A519D0">
        <w:rPr>
          <w:lang w:val="en-US"/>
        </w:rPr>
        <w:t>on the basis of</w:t>
      </w:r>
      <w:proofErr w:type="gramEnd"/>
      <w:r w:rsidRPr="00A519D0">
        <w:rPr>
          <w:lang w:val="en-US"/>
        </w:rPr>
        <w:t xml:space="preserve"> EU Directives and UN Resolutions (Consolidated List of Persons, Groups, Entities subject to EU Financial Sanctions). With the introduction of the new STR reporting system, those reviews </w:t>
      </w:r>
      <w:r w:rsidR="00C9655E" w:rsidRPr="00A519D0">
        <w:rPr>
          <w:lang w:val="en-US"/>
        </w:rPr>
        <w:t>were</w:t>
      </w:r>
      <w:r w:rsidRPr="00A519D0">
        <w:rPr>
          <w:lang w:val="en-US"/>
        </w:rPr>
        <w:t xml:space="preserve"> performed as soon as the report </w:t>
      </w:r>
      <w:r w:rsidR="00C9655E" w:rsidRPr="00A519D0">
        <w:rPr>
          <w:lang w:val="en-US"/>
        </w:rPr>
        <w:t>was</w:t>
      </w:r>
      <w:r w:rsidRPr="00A519D0">
        <w:rPr>
          <w:lang w:val="en-US"/>
        </w:rPr>
        <w:t xml:space="preserve"> received. </w:t>
      </w:r>
      <w:r w:rsidR="00610BB2">
        <w:rPr>
          <w:lang w:val="en-US"/>
        </w:rPr>
        <w:t>According to the</w:t>
      </w:r>
      <w:r w:rsidR="00610BB2" w:rsidRPr="00A519D0">
        <w:rPr>
          <w:lang w:val="en-US"/>
        </w:rPr>
        <w:t xml:space="preserve"> </w:t>
      </w:r>
      <w:r w:rsidRPr="00A519D0">
        <w:rPr>
          <w:lang w:val="en-US"/>
        </w:rPr>
        <w:t xml:space="preserve">reviews in </w:t>
      </w:r>
      <w:r w:rsidR="00610BB2" w:rsidRPr="00A519D0">
        <w:rPr>
          <w:lang w:val="en-US"/>
        </w:rPr>
        <w:t>20</w:t>
      </w:r>
      <w:r w:rsidR="00610BB2">
        <w:rPr>
          <w:lang w:val="en-US"/>
        </w:rPr>
        <w:t>21</w:t>
      </w:r>
      <w:r w:rsidRPr="00A519D0">
        <w:rPr>
          <w:lang w:val="en-US"/>
        </w:rPr>
        <w:t xml:space="preserve">, it has been established that none of the persons from that list have performed or have </w:t>
      </w:r>
      <w:proofErr w:type="gramStart"/>
      <w:r w:rsidRPr="00A519D0">
        <w:rPr>
          <w:lang w:val="en-US"/>
        </w:rPr>
        <w:t>been connected with</w:t>
      </w:r>
      <w:proofErr w:type="gramEnd"/>
      <w:r w:rsidRPr="00A519D0">
        <w:rPr>
          <w:lang w:val="en-US"/>
        </w:rPr>
        <w:t xml:space="preserve"> reported financial transactions in Slovenia.</w:t>
      </w:r>
    </w:p>
    <w:p w14:paraId="17BD8D7D" w14:textId="48C2F722" w:rsidR="00AC7644" w:rsidRPr="00A519D0" w:rsidRDefault="00ED0AA6" w:rsidP="00AC7644">
      <w:pPr>
        <w:spacing w:line="276" w:lineRule="auto"/>
        <w:ind w:right="-22"/>
        <w:rPr>
          <w:color w:val="000000" w:themeColor="text1"/>
          <w:lang w:val="en-US"/>
        </w:rPr>
      </w:pPr>
      <w:r w:rsidRPr="00A519D0">
        <w:rPr>
          <w:lang w:val="en-US"/>
        </w:rPr>
        <w:t xml:space="preserve">In relation to the cases where suspicion of </w:t>
      </w:r>
      <w:r w:rsidR="008038AA" w:rsidRPr="00A519D0">
        <w:rPr>
          <w:lang w:val="en-US"/>
        </w:rPr>
        <w:t>commit</w:t>
      </w:r>
      <w:r w:rsidR="00C9655E" w:rsidRPr="00A519D0">
        <w:rPr>
          <w:lang w:val="en-US"/>
        </w:rPr>
        <w:t>ting the</w:t>
      </w:r>
      <w:r w:rsidRPr="00A519D0">
        <w:rPr>
          <w:lang w:val="en-US"/>
        </w:rPr>
        <w:t xml:space="preserve"> criminal offence of terrorist financing arises (Article 109 of Penal Code) the number of cases </w:t>
      </w:r>
      <w:r w:rsidR="00C9655E" w:rsidRPr="00A519D0">
        <w:rPr>
          <w:lang w:val="en-US"/>
        </w:rPr>
        <w:t>increases</w:t>
      </w:r>
      <w:r w:rsidRPr="00A519D0">
        <w:rPr>
          <w:lang w:val="en-US"/>
        </w:rPr>
        <w:t xml:space="preserve"> o</w:t>
      </w:r>
      <w:r w:rsidR="008038AA" w:rsidRPr="00A519D0">
        <w:rPr>
          <w:lang w:val="en-US"/>
        </w:rPr>
        <w:t>n</w:t>
      </w:r>
      <w:r w:rsidRPr="00A519D0">
        <w:rPr>
          <w:lang w:val="en-US"/>
        </w:rPr>
        <w:t xml:space="preserve"> a yearly bas</w:t>
      </w:r>
      <w:r w:rsidR="00C9655E" w:rsidRPr="00A519D0">
        <w:rPr>
          <w:lang w:val="en-US"/>
        </w:rPr>
        <w:t>i</w:t>
      </w:r>
      <w:r w:rsidRPr="00A519D0">
        <w:rPr>
          <w:lang w:val="en-US"/>
        </w:rPr>
        <w:t>s. In 2015</w:t>
      </w:r>
      <w:r w:rsidR="00C9655E" w:rsidRPr="00A519D0">
        <w:rPr>
          <w:lang w:val="en-US"/>
        </w:rPr>
        <w:t>,</w:t>
      </w:r>
      <w:r w:rsidRPr="00A519D0">
        <w:rPr>
          <w:lang w:val="en-US"/>
        </w:rPr>
        <w:t xml:space="preserve"> there were only five such cases.</w:t>
      </w:r>
      <w:r w:rsidR="00640FFA" w:rsidRPr="00A519D0">
        <w:rPr>
          <w:lang w:val="en-US"/>
        </w:rPr>
        <w:t xml:space="preserve"> </w:t>
      </w:r>
      <w:r w:rsidR="00C9655E" w:rsidRPr="00A519D0">
        <w:rPr>
          <w:lang w:val="en-US"/>
        </w:rPr>
        <w:t>Out of</w:t>
      </w:r>
      <w:r w:rsidRPr="00A519D0">
        <w:rPr>
          <w:lang w:val="en-US"/>
        </w:rPr>
        <w:t xml:space="preserve"> </w:t>
      </w:r>
      <w:r w:rsidR="00640FFA" w:rsidRPr="00A519D0">
        <w:rPr>
          <w:lang w:val="en-US"/>
        </w:rPr>
        <w:t xml:space="preserve">28 cases, where suspicion of </w:t>
      </w:r>
      <w:r w:rsidR="008038AA" w:rsidRPr="00A519D0">
        <w:rPr>
          <w:lang w:val="en-US"/>
        </w:rPr>
        <w:t>commit</w:t>
      </w:r>
      <w:r w:rsidR="00C9655E" w:rsidRPr="00A519D0">
        <w:rPr>
          <w:lang w:val="en-US"/>
        </w:rPr>
        <w:t>ting the</w:t>
      </w:r>
      <w:r w:rsidR="00640FFA" w:rsidRPr="00A519D0">
        <w:rPr>
          <w:lang w:val="en-US"/>
        </w:rPr>
        <w:t xml:space="preserve"> criminal offence of terrorist financing </w:t>
      </w:r>
      <w:r w:rsidR="00C9655E" w:rsidRPr="00A519D0">
        <w:rPr>
          <w:lang w:val="en-US"/>
        </w:rPr>
        <w:t>was raised</w:t>
      </w:r>
      <w:r w:rsidR="00640FFA" w:rsidRPr="00A519D0">
        <w:rPr>
          <w:lang w:val="en-US"/>
        </w:rPr>
        <w:t xml:space="preserve"> i</w:t>
      </w:r>
      <w:r w:rsidRPr="00A519D0">
        <w:rPr>
          <w:lang w:val="en-US"/>
        </w:rPr>
        <w:t>n 202</w:t>
      </w:r>
      <w:r w:rsidR="00640FFA" w:rsidRPr="00A519D0">
        <w:rPr>
          <w:lang w:val="en-US"/>
        </w:rPr>
        <w:t>1,</w:t>
      </w:r>
      <w:r w:rsidRPr="00A519D0">
        <w:rPr>
          <w:lang w:val="en-US"/>
        </w:rPr>
        <w:t xml:space="preserve"> </w:t>
      </w:r>
      <w:r w:rsidR="00640FFA" w:rsidRPr="00A519D0">
        <w:rPr>
          <w:lang w:val="en-US"/>
        </w:rPr>
        <w:t>78%</w:t>
      </w:r>
      <w:r w:rsidR="00557AA1" w:rsidRPr="00A519D0">
        <w:rPr>
          <w:lang w:val="en-US"/>
        </w:rPr>
        <w:t xml:space="preserve"> were</w:t>
      </w:r>
      <w:r w:rsidR="00640FFA" w:rsidRPr="00A519D0">
        <w:rPr>
          <w:lang w:val="en-US"/>
        </w:rPr>
        <w:t xml:space="preserve"> received by obliged entitie</w:t>
      </w:r>
      <w:r w:rsidR="00557AA1" w:rsidRPr="00A519D0">
        <w:rPr>
          <w:lang w:val="en-US"/>
        </w:rPr>
        <w:t xml:space="preserve">s. </w:t>
      </w:r>
      <w:r w:rsidR="00682C33" w:rsidRPr="00A519D0">
        <w:rPr>
          <w:color w:val="000000" w:themeColor="text1"/>
          <w:lang w:val="en-US"/>
        </w:rPr>
        <w:t>In 2021</w:t>
      </w:r>
      <w:r w:rsidR="00C9655E" w:rsidRPr="00A519D0">
        <w:rPr>
          <w:color w:val="000000" w:themeColor="text1"/>
          <w:lang w:val="en-US"/>
        </w:rPr>
        <w:t>,</w:t>
      </w:r>
      <w:r w:rsidR="00682C33" w:rsidRPr="00A519D0">
        <w:rPr>
          <w:color w:val="000000" w:themeColor="text1"/>
          <w:lang w:val="en-US"/>
        </w:rPr>
        <w:t xml:space="preserve"> the OMLP investigated half less persons than in 2020. In 2021</w:t>
      </w:r>
      <w:r w:rsidR="00C9655E" w:rsidRPr="00A519D0">
        <w:rPr>
          <w:color w:val="000000" w:themeColor="text1"/>
          <w:lang w:val="en-US"/>
        </w:rPr>
        <w:t>,</w:t>
      </w:r>
      <w:r w:rsidR="00682C33" w:rsidRPr="00A519D0">
        <w:rPr>
          <w:color w:val="000000" w:themeColor="text1"/>
          <w:lang w:val="en-US"/>
        </w:rPr>
        <w:t xml:space="preserve"> the </w:t>
      </w:r>
      <w:r w:rsidR="00CF22D3">
        <w:rPr>
          <w:color w:val="000000" w:themeColor="text1"/>
          <w:lang w:val="en-US"/>
        </w:rPr>
        <w:t>grounds</w:t>
      </w:r>
      <w:r w:rsidR="00CF22D3" w:rsidRPr="00A519D0">
        <w:rPr>
          <w:color w:val="000000" w:themeColor="text1"/>
          <w:lang w:val="en-US"/>
        </w:rPr>
        <w:t xml:space="preserve"> </w:t>
      </w:r>
      <w:r w:rsidR="00C9655E" w:rsidRPr="00A519D0">
        <w:rPr>
          <w:color w:val="000000" w:themeColor="text1"/>
          <w:lang w:val="en-US"/>
        </w:rPr>
        <w:t xml:space="preserve">for </w:t>
      </w:r>
      <w:r w:rsidR="00CF22D3">
        <w:rPr>
          <w:color w:val="000000" w:themeColor="text1"/>
          <w:lang w:val="en-US"/>
        </w:rPr>
        <w:t xml:space="preserve">suspicion of </w:t>
      </w:r>
      <w:r w:rsidR="00C9655E" w:rsidRPr="00A519D0">
        <w:rPr>
          <w:color w:val="000000" w:themeColor="text1"/>
          <w:lang w:val="en-US"/>
        </w:rPr>
        <w:t xml:space="preserve">committing the </w:t>
      </w:r>
      <w:r w:rsidR="00682C33" w:rsidRPr="00A519D0">
        <w:rPr>
          <w:color w:val="000000" w:themeColor="text1"/>
          <w:lang w:val="en-US"/>
        </w:rPr>
        <w:t xml:space="preserve">criminal offence of terrorism financing were </w:t>
      </w:r>
      <w:r w:rsidR="00CF22D3">
        <w:rPr>
          <w:color w:val="000000" w:themeColor="text1"/>
          <w:lang w:val="en-US"/>
        </w:rPr>
        <w:t>established</w:t>
      </w:r>
      <w:r w:rsidR="00CF22D3" w:rsidRPr="00A519D0">
        <w:rPr>
          <w:color w:val="000000" w:themeColor="text1"/>
          <w:lang w:val="en-US"/>
        </w:rPr>
        <w:t xml:space="preserve"> </w:t>
      </w:r>
      <w:r w:rsidR="00682C33" w:rsidRPr="00A519D0">
        <w:rPr>
          <w:color w:val="000000" w:themeColor="text1"/>
          <w:lang w:val="en-US"/>
        </w:rPr>
        <w:t xml:space="preserve">in 5 cases, meanwhile 12 such cases were </w:t>
      </w:r>
      <w:r w:rsidR="00C9655E" w:rsidRPr="00A519D0">
        <w:rPr>
          <w:color w:val="000000" w:themeColor="text1"/>
          <w:lang w:val="en-US"/>
        </w:rPr>
        <w:t>recorded</w:t>
      </w:r>
      <w:r w:rsidR="00682C33" w:rsidRPr="00A519D0">
        <w:rPr>
          <w:color w:val="000000" w:themeColor="text1"/>
          <w:lang w:val="en-US"/>
        </w:rPr>
        <w:t xml:space="preserve"> in 2020. </w:t>
      </w:r>
    </w:p>
    <w:p w14:paraId="04C34BCD" w14:textId="4C12FC12" w:rsidR="00B25898" w:rsidRDefault="00B25898" w:rsidP="00B25898">
      <w:p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napToGrid w:val="0"/>
        <w:spacing w:line="276" w:lineRule="auto"/>
        <w:rPr>
          <w:bCs/>
          <w:iCs/>
          <w:lang w:val="en-US"/>
        </w:rPr>
      </w:pPr>
    </w:p>
    <w:p w14:paraId="0F5D1143" w14:textId="006BFF33" w:rsidR="00965FBA" w:rsidRDefault="00965FBA" w:rsidP="00B25898">
      <w:p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napToGrid w:val="0"/>
        <w:spacing w:line="276" w:lineRule="auto"/>
        <w:rPr>
          <w:bCs/>
          <w:iCs/>
          <w:lang w:val="en-US"/>
        </w:rPr>
      </w:pPr>
    </w:p>
    <w:p w14:paraId="4A2A026C" w14:textId="77777777" w:rsidR="00965FBA" w:rsidRPr="00A519D0" w:rsidRDefault="00965FBA" w:rsidP="00B25898">
      <w:p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napToGrid w:val="0"/>
        <w:spacing w:line="276" w:lineRule="auto"/>
        <w:rPr>
          <w:bCs/>
          <w:iCs/>
          <w:lang w:val="en-US"/>
        </w:rPr>
      </w:pPr>
    </w:p>
    <w:p w14:paraId="4F130F66" w14:textId="04D6D388" w:rsidR="00B65A09" w:rsidRPr="00A519D0" w:rsidRDefault="004B2B69" w:rsidP="00B65A09">
      <w:pPr>
        <w:pStyle w:val="Naslov3"/>
        <w:rPr>
          <w:lang w:val="en-US"/>
        </w:rPr>
      </w:pPr>
      <w:r w:rsidRPr="00A519D0">
        <w:rPr>
          <w:lang w:val="en-US"/>
        </w:rPr>
        <w:lastRenderedPageBreak/>
        <w:t xml:space="preserve">Temporary postponement of transaction </w:t>
      </w:r>
      <w:r w:rsidR="00B65A09" w:rsidRPr="00A519D0">
        <w:rPr>
          <w:lang w:val="en-US"/>
        </w:rPr>
        <w:t xml:space="preserve"> </w:t>
      </w:r>
    </w:p>
    <w:p w14:paraId="2942A5A1" w14:textId="77777777" w:rsidR="00B65A09" w:rsidRPr="00A519D0" w:rsidRDefault="00B65A09" w:rsidP="00B65A09">
      <w:pPr>
        <w:rPr>
          <w:lang w:val="en-US"/>
        </w:rPr>
      </w:pPr>
    </w:p>
    <w:p w14:paraId="295A402B" w14:textId="7A8FB4AE" w:rsidR="004B2B69" w:rsidRPr="00A519D0" w:rsidRDefault="004B2B69" w:rsidP="001D5BC1">
      <w:pPr>
        <w:pStyle w:val="Telobesedila2"/>
        <w:spacing w:line="276" w:lineRule="auto"/>
        <w:ind w:right="-22"/>
        <w:rPr>
          <w:lang w:val="en-US"/>
        </w:rPr>
      </w:pPr>
      <w:proofErr w:type="gramStart"/>
      <w:r w:rsidRPr="00A519D0">
        <w:rPr>
          <w:lang w:val="en-US"/>
        </w:rPr>
        <w:t>On the basis of</w:t>
      </w:r>
      <w:proofErr w:type="gramEnd"/>
      <w:r w:rsidRPr="00A519D0">
        <w:rPr>
          <w:lang w:val="en-US"/>
        </w:rPr>
        <w:t xml:space="preserve"> Article 96 of APMLFT-1, the OMLP may issue a written order for temporary postponement of transactions for a maximum of three working days, if it considers there are reasonable grounds to suspect ML/FT. </w:t>
      </w:r>
      <w:r w:rsidRPr="00A519D0">
        <w:rPr>
          <w:b/>
          <w:lang w:val="en-US"/>
        </w:rPr>
        <w:t xml:space="preserve">In </w:t>
      </w:r>
      <w:r w:rsidR="001D5BC1" w:rsidRPr="00A519D0">
        <w:rPr>
          <w:b/>
          <w:lang w:val="en-US"/>
        </w:rPr>
        <w:t>2021</w:t>
      </w:r>
      <w:r w:rsidRPr="00A519D0">
        <w:rPr>
          <w:b/>
          <w:lang w:val="en-US"/>
        </w:rPr>
        <w:t xml:space="preserve">, the OMLP issued such orders in </w:t>
      </w:r>
      <w:r w:rsidR="001D5BC1" w:rsidRPr="00A519D0">
        <w:rPr>
          <w:b/>
          <w:lang w:val="en-US"/>
        </w:rPr>
        <w:t>3</w:t>
      </w:r>
      <w:r w:rsidRPr="00A519D0">
        <w:rPr>
          <w:b/>
          <w:lang w:val="en-US"/>
        </w:rPr>
        <w:t xml:space="preserve"> cases, postponing transactions in the total amount of </w:t>
      </w:r>
      <w:r w:rsidR="001D5BC1" w:rsidRPr="00A519D0">
        <w:rPr>
          <w:b/>
          <w:iCs/>
          <w:color w:val="000000" w:themeColor="text1"/>
          <w:lang w:val="en-US"/>
        </w:rPr>
        <w:t>496.125,61 EUR and 179.982,00 USD</w:t>
      </w:r>
      <w:r w:rsidR="001D5BC1" w:rsidRPr="00A519D0">
        <w:rPr>
          <w:b/>
          <w:lang w:val="en-US"/>
        </w:rPr>
        <w:t xml:space="preserve"> </w:t>
      </w:r>
      <w:r w:rsidR="00F23E04">
        <w:rPr>
          <w:b/>
          <w:lang w:val="en-US"/>
        </w:rPr>
        <w:t>on</w:t>
      </w:r>
      <w:r w:rsidRPr="00A519D0">
        <w:rPr>
          <w:b/>
          <w:lang w:val="en-US"/>
        </w:rPr>
        <w:t xml:space="preserve"> </w:t>
      </w:r>
      <w:r w:rsidR="001D5BC1" w:rsidRPr="00A519D0">
        <w:rPr>
          <w:b/>
          <w:lang w:val="en-US"/>
        </w:rPr>
        <w:t>3</w:t>
      </w:r>
      <w:r w:rsidRPr="00A519D0">
        <w:rPr>
          <w:b/>
          <w:lang w:val="en-US"/>
        </w:rPr>
        <w:t xml:space="preserve"> </w:t>
      </w:r>
      <w:r w:rsidR="001D5BC1" w:rsidRPr="00A519D0">
        <w:rPr>
          <w:b/>
          <w:lang w:val="en-US"/>
        </w:rPr>
        <w:t xml:space="preserve">Slovenian </w:t>
      </w:r>
      <w:r w:rsidRPr="00A519D0">
        <w:rPr>
          <w:b/>
          <w:lang w:val="en-US"/>
        </w:rPr>
        <w:t xml:space="preserve">bank accounts held by 2 domestic natural persons and </w:t>
      </w:r>
      <w:r w:rsidR="001D5BC1" w:rsidRPr="00A519D0">
        <w:rPr>
          <w:b/>
          <w:lang w:val="en-US"/>
        </w:rPr>
        <w:t>1</w:t>
      </w:r>
      <w:r w:rsidRPr="00A519D0">
        <w:rPr>
          <w:b/>
          <w:lang w:val="en-US"/>
        </w:rPr>
        <w:t xml:space="preserve"> domestic legal </w:t>
      </w:r>
      <w:r w:rsidR="008038AA" w:rsidRPr="00A519D0">
        <w:rPr>
          <w:b/>
          <w:lang w:val="en-US"/>
        </w:rPr>
        <w:t>person</w:t>
      </w:r>
      <w:r w:rsidRPr="00A519D0">
        <w:rPr>
          <w:b/>
          <w:lang w:val="en-US"/>
        </w:rPr>
        <w:t>.</w:t>
      </w:r>
      <w:r w:rsidRPr="00A519D0">
        <w:rPr>
          <w:lang w:val="en-US"/>
        </w:rPr>
        <w:t xml:space="preserve"> In part of those cases, the State Prosecutor Office proposed (before the expiry of the temporary postponement of transaction) the temporary prohibition of disposing with all the funds at the accounts. </w:t>
      </w:r>
      <w:proofErr w:type="gramStart"/>
      <w:r w:rsidRPr="00A519D0">
        <w:rPr>
          <w:lang w:val="en-US"/>
        </w:rPr>
        <w:t>On the basis of</w:t>
      </w:r>
      <w:proofErr w:type="gramEnd"/>
      <w:r w:rsidRPr="00A519D0">
        <w:rPr>
          <w:lang w:val="en-US"/>
        </w:rPr>
        <w:t xml:space="preserve"> this proposal, the courts issued decrees for provisional securing of the assets at the accounts accordingly.</w:t>
      </w:r>
    </w:p>
    <w:p w14:paraId="3280E011" w14:textId="77777777" w:rsidR="004B2B69" w:rsidRPr="00A519D0" w:rsidRDefault="004B2B69" w:rsidP="00B65A09">
      <w:pPr>
        <w:rPr>
          <w:lang w:val="en-US"/>
        </w:rPr>
      </w:pPr>
    </w:p>
    <w:p w14:paraId="25EDDBBB" w14:textId="1EBBC502" w:rsidR="00B65A09" w:rsidRPr="00A519D0" w:rsidRDefault="00380965" w:rsidP="00B65A09">
      <w:pPr>
        <w:pStyle w:val="Naslov3"/>
        <w:rPr>
          <w:lang w:val="en-US"/>
        </w:rPr>
      </w:pPr>
      <w:bookmarkStart w:id="11" w:name="_Toc119581700"/>
      <w:r w:rsidRPr="00A519D0">
        <w:rPr>
          <w:lang w:val="en-US"/>
        </w:rPr>
        <w:t>Value of provisionally secured assets in the ML cases</w:t>
      </w:r>
      <w:bookmarkEnd w:id="11"/>
    </w:p>
    <w:p w14:paraId="24819D6B" w14:textId="77777777" w:rsidR="00BD335D" w:rsidRPr="00A519D0" w:rsidRDefault="00BD335D" w:rsidP="00BD335D">
      <w:pPr>
        <w:rPr>
          <w:lang w:val="en-US"/>
        </w:rPr>
      </w:pPr>
    </w:p>
    <w:p w14:paraId="66D88D0C" w14:textId="2950C2F8" w:rsidR="00004AD1" w:rsidRPr="00A519D0" w:rsidRDefault="00380965" w:rsidP="00D6351D">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bCs/>
          <w:iCs/>
          <w:color w:val="000000" w:themeColor="text1"/>
          <w:lang w:val="en-US"/>
        </w:rPr>
      </w:pPr>
      <w:r w:rsidRPr="00A519D0">
        <w:rPr>
          <w:bCs/>
          <w:iCs/>
          <w:color w:val="000000" w:themeColor="text1"/>
          <w:lang w:val="en-US"/>
        </w:rPr>
        <w:t>In 2021 there wer</w:t>
      </w:r>
      <w:r w:rsidR="00F162B2" w:rsidRPr="00A519D0">
        <w:rPr>
          <w:bCs/>
          <w:iCs/>
          <w:color w:val="000000" w:themeColor="text1"/>
          <w:lang w:val="en-US"/>
        </w:rPr>
        <w:t>e</w:t>
      </w:r>
      <w:r w:rsidRPr="00A519D0">
        <w:rPr>
          <w:bCs/>
          <w:iCs/>
          <w:color w:val="000000" w:themeColor="text1"/>
          <w:lang w:val="en-US"/>
        </w:rPr>
        <w:t xml:space="preserve"> no cases</w:t>
      </w:r>
      <w:r w:rsidR="00F162B2" w:rsidRPr="00A519D0">
        <w:rPr>
          <w:bCs/>
          <w:iCs/>
          <w:color w:val="000000" w:themeColor="text1"/>
          <w:lang w:val="en-US"/>
        </w:rPr>
        <w:t xml:space="preserve"> with suspected criminal offence of money </w:t>
      </w:r>
      <w:r w:rsidR="008038AA" w:rsidRPr="00A519D0">
        <w:rPr>
          <w:bCs/>
          <w:iCs/>
          <w:color w:val="000000" w:themeColor="text1"/>
          <w:lang w:val="en-US"/>
        </w:rPr>
        <w:t>laundering in</w:t>
      </w:r>
      <w:r w:rsidRPr="00A519D0">
        <w:rPr>
          <w:bCs/>
          <w:iCs/>
          <w:color w:val="000000" w:themeColor="text1"/>
          <w:lang w:val="en-US"/>
        </w:rPr>
        <w:t xml:space="preserve"> which </w:t>
      </w:r>
      <w:r w:rsidR="00F162B2" w:rsidRPr="00A519D0">
        <w:rPr>
          <w:bCs/>
          <w:iCs/>
          <w:color w:val="000000" w:themeColor="text1"/>
          <w:lang w:val="en-US"/>
        </w:rPr>
        <w:t xml:space="preserve">the court would provisionally secure the assets. In existed cases </w:t>
      </w:r>
      <w:r w:rsidR="00F162B2" w:rsidRPr="00A519D0">
        <w:rPr>
          <w:lang w:val="en-US"/>
        </w:rPr>
        <w:t>the courts issued decrees for provisional securing of the assets at the accounts.</w:t>
      </w:r>
    </w:p>
    <w:p w14:paraId="0275600F" w14:textId="76137589" w:rsidR="00004AD1" w:rsidRPr="00A519D0" w:rsidRDefault="00F162B2" w:rsidP="00004AD1">
      <w:pPr>
        <w:spacing w:line="276" w:lineRule="auto"/>
        <w:rPr>
          <w:lang w:val="en-US"/>
        </w:rPr>
      </w:pPr>
      <w:r w:rsidRPr="00A519D0">
        <w:rPr>
          <w:lang w:val="en-US"/>
        </w:rPr>
        <w:t>A t the end of 2021</w:t>
      </w:r>
      <w:r w:rsidR="00494D5C" w:rsidRPr="00A519D0">
        <w:rPr>
          <w:lang w:val="en-US"/>
        </w:rPr>
        <w:t>,</w:t>
      </w:r>
      <w:r w:rsidRPr="00A519D0">
        <w:rPr>
          <w:lang w:val="en-US"/>
        </w:rPr>
        <w:t xml:space="preserve"> the sum of </w:t>
      </w:r>
      <w:r w:rsidR="008038AA" w:rsidRPr="00A519D0">
        <w:rPr>
          <w:lang w:val="en-US"/>
        </w:rPr>
        <w:t>provisionally</w:t>
      </w:r>
      <w:r w:rsidRPr="00A519D0">
        <w:rPr>
          <w:lang w:val="en-US"/>
        </w:rPr>
        <w:t xml:space="preserve"> secured assets amounted to</w:t>
      </w:r>
      <w:r w:rsidR="00004AD1" w:rsidRPr="00A519D0">
        <w:rPr>
          <w:b/>
          <w:bCs/>
          <w:lang w:val="en-US"/>
        </w:rPr>
        <w:t xml:space="preserve"> </w:t>
      </w:r>
      <w:r w:rsidR="00004AD1" w:rsidRPr="00A519D0">
        <w:rPr>
          <w:b/>
          <w:lang w:val="en-US" w:eastAsia="sl-SI"/>
        </w:rPr>
        <w:t xml:space="preserve">159.646.668 EUR </w:t>
      </w:r>
      <w:r w:rsidRPr="00A519D0">
        <w:rPr>
          <w:b/>
          <w:lang w:val="en-US" w:eastAsia="sl-SI"/>
        </w:rPr>
        <w:t>and</w:t>
      </w:r>
      <w:r w:rsidR="00004AD1" w:rsidRPr="00A519D0">
        <w:rPr>
          <w:b/>
          <w:lang w:val="en-US" w:eastAsia="sl-SI"/>
        </w:rPr>
        <w:t xml:space="preserve"> 12,0995 BTC</w:t>
      </w:r>
      <w:r w:rsidR="00004AD1" w:rsidRPr="00A519D0">
        <w:rPr>
          <w:lang w:val="en-US"/>
        </w:rPr>
        <w:t xml:space="preserve">. </w:t>
      </w:r>
      <w:proofErr w:type="gramStart"/>
      <w:r w:rsidRPr="00A519D0">
        <w:rPr>
          <w:lang w:val="en-US"/>
        </w:rPr>
        <w:t>The majority of</w:t>
      </w:r>
      <w:proofErr w:type="gramEnd"/>
      <w:r w:rsidRPr="00A519D0">
        <w:rPr>
          <w:lang w:val="en-US"/>
        </w:rPr>
        <w:t xml:space="preserve"> secured assets </w:t>
      </w:r>
      <w:r w:rsidR="00EC142A" w:rsidRPr="00A519D0">
        <w:rPr>
          <w:lang w:val="en-US"/>
        </w:rPr>
        <w:t>relate</w:t>
      </w:r>
      <w:r w:rsidR="00494D5C" w:rsidRPr="00A519D0">
        <w:rPr>
          <w:lang w:val="en-US"/>
        </w:rPr>
        <w:t>d</w:t>
      </w:r>
      <w:r w:rsidR="00EC142A" w:rsidRPr="00A519D0">
        <w:rPr>
          <w:lang w:val="en-US"/>
        </w:rPr>
        <w:t xml:space="preserve"> to disposal with trademarks, funds </w:t>
      </w:r>
      <w:r w:rsidR="00494D5C" w:rsidRPr="00A519D0">
        <w:rPr>
          <w:lang w:val="en-US"/>
        </w:rPr>
        <w:t>at</w:t>
      </w:r>
      <w:r w:rsidR="00EC142A" w:rsidRPr="00A519D0">
        <w:rPr>
          <w:lang w:val="en-US"/>
        </w:rPr>
        <w:t xml:space="preserve"> bank accounts or cash, virtual currencies, securing the business share in a foreign company and dispos</w:t>
      </w:r>
      <w:r w:rsidR="00494D5C" w:rsidRPr="00A519D0">
        <w:rPr>
          <w:lang w:val="en-US"/>
        </w:rPr>
        <w:t>ing</w:t>
      </w:r>
      <w:r w:rsidR="00EC142A" w:rsidRPr="00A519D0">
        <w:rPr>
          <w:lang w:val="en-US"/>
        </w:rPr>
        <w:t xml:space="preserve"> </w:t>
      </w:r>
      <w:r w:rsidR="00494D5C" w:rsidRPr="00A519D0">
        <w:rPr>
          <w:lang w:val="en-US"/>
        </w:rPr>
        <w:t>with</w:t>
      </w:r>
      <w:r w:rsidR="00EC142A" w:rsidRPr="00A519D0">
        <w:rPr>
          <w:lang w:val="en-US"/>
        </w:rPr>
        <w:t xml:space="preserve"> real estates. In comparison with the </w:t>
      </w:r>
      <w:r w:rsidR="00004AD1" w:rsidRPr="00A519D0">
        <w:rPr>
          <w:lang w:val="en-US"/>
        </w:rPr>
        <w:t xml:space="preserve">2020 </w:t>
      </w:r>
      <w:r w:rsidR="00EC142A" w:rsidRPr="00A519D0">
        <w:rPr>
          <w:lang w:val="en-US"/>
        </w:rPr>
        <w:t>it was established that issued orders for temporary securing in 2021 relate</w:t>
      </w:r>
      <w:r w:rsidR="00494D5C" w:rsidRPr="00A519D0">
        <w:rPr>
          <w:lang w:val="en-US"/>
        </w:rPr>
        <w:t>d</w:t>
      </w:r>
      <w:r w:rsidR="00EC142A" w:rsidRPr="00A519D0">
        <w:rPr>
          <w:lang w:val="en-US"/>
        </w:rPr>
        <w:t xml:space="preserve"> to slightly less cases, </w:t>
      </w:r>
      <w:r w:rsidR="00BD335D" w:rsidRPr="00A519D0">
        <w:rPr>
          <w:lang w:val="en-US"/>
        </w:rPr>
        <w:t xml:space="preserve">as </w:t>
      </w:r>
      <w:r w:rsidR="00EC142A" w:rsidRPr="00A519D0">
        <w:rPr>
          <w:lang w:val="en-US"/>
        </w:rPr>
        <w:t>certain decrees for provisional securing of the assets expired. The total amount of secured funds raised, mainly due to</w:t>
      </w:r>
      <w:r w:rsidR="00BD335D" w:rsidRPr="00A519D0">
        <w:rPr>
          <w:lang w:val="en-US"/>
        </w:rPr>
        <w:t xml:space="preserve"> </w:t>
      </w:r>
      <w:r w:rsidR="00EC142A" w:rsidRPr="00A519D0">
        <w:rPr>
          <w:lang w:val="en-US"/>
        </w:rPr>
        <w:t>t</w:t>
      </w:r>
      <w:r w:rsidR="00BC3D55" w:rsidRPr="00A519D0">
        <w:rPr>
          <w:lang w:val="en-US"/>
        </w:rPr>
        <w:t>he</w:t>
      </w:r>
      <w:r w:rsidR="00EC142A" w:rsidRPr="00A519D0">
        <w:rPr>
          <w:lang w:val="en-US"/>
        </w:rPr>
        <w:t xml:space="preserve"> secured assets</w:t>
      </w:r>
      <w:r w:rsidR="00BD335D" w:rsidRPr="00A519D0">
        <w:rPr>
          <w:lang w:val="en-US"/>
        </w:rPr>
        <w:t xml:space="preserve"> that</w:t>
      </w:r>
      <w:r w:rsidR="00EC142A" w:rsidRPr="00A519D0">
        <w:rPr>
          <w:lang w:val="en-US"/>
        </w:rPr>
        <w:t xml:space="preserve"> relate</w:t>
      </w:r>
      <w:r w:rsidR="00494D5C" w:rsidRPr="00A519D0">
        <w:rPr>
          <w:lang w:val="en-US"/>
        </w:rPr>
        <w:t>d</w:t>
      </w:r>
      <w:r w:rsidR="00EC142A" w:rsidRPr="00A519D0">
        <w:rPr>
          <w:lang w:val="en-US"/>
        </w:rPr>
        <w:t xml:space="preserve"> to disposal with trademarks.</w:t>
      </w:r>
      <w:r w:rsidR="00004AD1" w:rsidRPr="00A519D0">
        <w:rPr>
          <w:lang w:val="en-US"/>
        </w:rPr>
        <w:t xml:space="preserve"> </w:t>
      </w:r>
    </w:p>
    <w:p w14:paraId="38645EE1" w14:textId="77777777" w:rsidR="00BD335D" w:rsidRPr="00A519D0" w:rsidRDefault="00BD335D" w:rsidP="00B65A09">
      <w:pPr>
        <w:rPr>
          <w:lang w:val="en-US"/>
        </w:rPr>
      </w:pPr>
    </w:p>
    <w:p w14:paraId="7BB466BD" w14:textId="1DC15A88" w:rsidR="00B65A09" w:rsidRPr="00A519D0" w:rsidRDefault="008038AA" w:rsidP="00B65A09">
      <w:pPr>
        <w:pStyle w:val="Naslov3"/>
        <w:rPr>
          <w:lang w:val="en-US"/>
        </w:rPr>
      </w:pPr>
      <w:bookmarkStart w:id="12" w:name="_Toc119581702"/>
      <w:r w:rsidRPr="00A519D0">
        <w:rPr>
          <w:lang w:val="en-US"/>
        </w:rPr>
        <w:t>Typology</w:t>
      </w:r>
      <w:r w:rsidR="00BD335D" w:rsidRPr="00A519D0">
        <w:rPr>
          <w:lang w:val="en-US"/>
        </w:rPr>
        <w:t xml:space="preserve"> of suspicious transactions</w:t>
      </w:r>
      <w:bookmarkEnd w:id="12"/>
    </w:p>
    <w:p w14:paraId="32947649" w14:textId="77777777" w:rsidR="00BD335D" w:rsidRPr="00A519D0" w:rsidRDefault="00BD335D" w:rsidP="00BD335D">
      <w:pPr>
        <w:rPr>
          <w:lang w:val="en-US"/>
        </w:rPr>
      </w:pPr>
    </w:p>
    <w:p w14:paraId="537CADBC" w14:textId="63911290" w:rsidR="00BD335D" w:rsidRPr="00A519D0" w:rsidRDefault="00BD335D" w:rsidP="00BD335D">
      <w:pPr>
        <w:pStyle w:val="Telobesedila2"/>
        <w:spacing w:line="276" w:lineRule="auto"/>
        <w:ind w:right="-22"/>
        <w:rPr>
          <w:lang w:val="en-US"/>
        </w:rPr>
      </w:pPr>
      <w:proofErr w:type="gramStart"/>
      <w:r w:rsidRPr="00A519D0">
        <w:rPr>
          <w:lang w:val="en-US"/>
        </w:rPr>
        <w:t>On the basis of</w:t>
      </w:r>
      <w:proofErr w:type="gramEnd"/>
      <w:r w:rsidRPr="00A519D0">
        <w:rPr>
          <w:lang w:val="en-US"/>
        </w:rPr>
        <w:t xml:space="preserve"> performed analysis of suspicious transactions, which were sent to the competent authorities (Criminal Police Directorate of the Ministry of Interior/State Prosecutor’s Office), it has been established that the typology of those suspicious transactions has not significantly changed in comparison with the previous year. Namely, the classic ML techniques have still been used, typical for first ML phase “placement” and second one “layering”, but in some cases, all three ML phases were used (including the third one “integration”). </w:t>
      </w:r>
    </w:p>
    <w:p w14:paraId="52C08D41" w14:textId="7C75D3F5" w:rsidR="00BD335D" w:rsidRPr="00A519D0" w:rsidRDefault="00BD335D" w:rsidP="00BD335D">
      <w:pPr>
        <w:pStyle w:val="Telobesedila2"/>
        <w:spacing w:line="276" w:lineRule="auto"/>
        <w:ind w:right="-22"/>
        <w:rPr>
          <w:lang w:val="en-US"/>
        </w:rPr>
      </w:pPr>
      <w:r w:rsidRPr="00A519D0">
        <w:rPr>
          <w:lang w:val="en-US"/>
        </w:rPr>
        <w:t xml:space="preserve">A certain typology of money laundering can only be established when we detect the sample or series of similar procedures (methods) of concealment of the illegal source of money or other assets, which include different mechanisms, </w:t>
      </w:r>
      <w:proofErr w:type="gramStart"/>
      <w:r w:rsidRPr="00A519D0">
        <w:rPr>
          <w:lang w:val="en-US"/>
        </w:rPr>
        <w:t>techniques</w:t>
      </w:r>
      <w:proofErr w:type="gramEnd"/>
      <w:r w:rsidRPr="00A519D0">
        <w:rPr>
          <w:lang w:val="en-US"/>
        </w:rPr>
        <w:t xml:space="preserve"> and instruments</w:t>
      </w:r>
      <w:r w:rsidR="00494D5C" w:rsidRPr="00A519D0">
        <w:rPr>
          <w:lang w:val="en-US"/>
        </w:rPr>
        <w:t>, as follows:</w:t>
      </w:r>
    </w:p>
    <w:p w14:paraId="403C98E3" w14:textId="70220670" w:rsidR="00BD335D" w:rsidRPr="00A519D0" w:rsidRDefault="00BD335D" w:rsidP="00A75696">
      <w:pPr>
        <w:pStyle w:val="Telobesedila2"/>
        <w:numPr>
          <w:ilvl w:val="0"/>
          <w:numId w:val="6"/>
        </w:numPr>
        <w:spacing w:line="276" w:lineRule="auto"/>
        <w:ind w:right="-22"/>
        <w:rPr>
          <w:lang w:val="en-US"/>
        </w:rPr>
      </w:pPr>
      <w:r w:rsidRPr="00A519D0">
        <w:rPr>
          <w:b/>
          <w:lang w:val="en-US"/>
        </w:rPr>
        <w:t>mechanism of money laundering represent</w:t>
      </w:r>
      <w:r w:rsidR="00494D5C" w:rsidRPr="00A519D0">
        <w:rPr>
          <w:b/>
          <w:lang w:val="en-US"/>
        </w:rPr>
        <w:t>s</w:t>
      </w:r>
      <w:r w:rsidRPr="00A519D0">
        <w:rPr>
          <w:b/>
          <w:lang w:val="en-US"/>
        </w:rPr>
        <w:t xml:space="preserve"> the environment or the system, where the money laundering activities have been entirely/partially performed</w:t>
      </w:r>
      <w:r w:rsidRPr="00A519D0">
        <w:rPr>
          <w:lang w:val="en-US"/>
        </w:rPr>
        <w:t>: financial institutions (banks, savings houses, brokerage houses, leasing houses), notaries, lawyers, natural persons, legal persons or companies (domestic companies, “straw” companies, off-shore companies</w:t>
      </w:r>
      <w:r w:rsidR="003871F6" w:rsidRPr="00A519D0">
        <w:rPr>
          <w:lang w:val="en-US"/>
        </w:rPr>
        <w:t xml:space="preserve">, independent </w:t>
      </w:r>
      <w:r w:rsidR="008038AA" w:rsidRPr="00A519D0">
        <w:rPr>
          <w:lang w:val="en-US"/>
        </w:rPr>
        <w:t>entrepreneurs</w:t>
      </w:r>
      <w:r w:rsidR="003871F6" w:rsidRPr="00A519D0">
        <w:rPr>
          <w:lang w:val="en-US"/>
        </w:rPr>
        <w:t xml:space="preserve"> and associations</w:t>
      </w:r>
      <w:r w:rsidRPr="00A519D0">
        <w:rPr>
          <w:lang w:val="en-US"/>
        </w:rPr>
        <w:t>), money transfer systems (Western Union, MoneyGram); traders with precious metal; casinos and gaming saloons, exchange platforms for virtual currencies etc.</w:t>
      </w:r>
    </w:p>
    <w:p w14:paraId="6FC20225" w14:textId="4F81F9A6" w:rsidR="00BD335D" w:rsidRPr="00A519D0" w:rsidRDefault="00BD335D" w:rsidP="00A75696">
      <w:pPr>
        <w:pStyle w:val="Telobesedila2"/>
        <w:numPr>
          <w:ilvl w:val="0"/>
          <w:numId w:val="6"/>
        </w:numPr>
        <w:spacing w:line="276" w:lineRule="auto"/>
        <w:ind w:right="-22"/>
        <w:rPr>
          <w:lang w:val="en-US"/>
        </w:rPr>
      </w:pPr>
      <w:r w:rsidRPr="00A519D0">
        <w:rPr>
          <w:b/>
          <w:lang w:val="en-US"/>
        </w:rPr>
        <w:t>money laundering technique is the method of performing money laundering</w:t>
      </w:r>
      <w:r w:rsidRPr="00A519D0">
        <w:rPr>
          <w:lang w:val="en-US"/>
        </w:rPr>
        <w:t xml:space="preserve">, represented by the following categories: cash withdrawals, cash deposits, wire transfers (electronic transfers of money between the accounts), use of alternative systems for the transfers of funds, transfer </w:t>
      </w:r>
      <w:r w:rsidRPr="00A519D0">
        <w:rPr>
          <w:lang w:val="en-US"/>
        </w:rPr>
        <w:lastRenderedPageBreak/>
        <w:t xml:space="preserve">of cash via state border, exchange of currencies, “smurfing” of the amounts, concealment via third persons, use of the accounts abroad </w:t>
      </w:r>
      <w:r w:rsidR="0077511B" w:rsidRPr="00A519D0">
        <w:rPr>
          <w:lang w:val="en-US"/>
        </w:rPr>
        <w:t>etc.</w:t>
      </w:r>
    </w:p>
    <w:p w14:paraId="00D942CD" w14:textId="32646B58" w:rsidR="00BD335D" w:rsidRPr="00A519D0" w:rsidRDefault="00BD335D" w:rsidP="00A75696">
      <w:pPr>
        <w:pStyle w:val="Telobesedila2"/>
        <w:numPr>
          <w:ilvl w:val="0"/>
          <w:numId w:val="6"/>
        </w:numPr>
        <w:spacing w:line="276" w:lineRule="auto"/>
        <w:ind w:right="-22"/>
        <w:rPr>
          <w:lang w:val="en-US"/>
        </w:rPr>
      </w:pPr>
      <w:r w:rsidRPr="00A519D0">
        <w:rPr>
          <w:b/>
          <w:lang w:val="en-US"/>
        </w:rPr>
        <w:t>instrument of money laundering is the holder of the value, used for the money laundering activities</w:t>
      </w:r>
      <w:r w:rsidRPr="00A519D0">
        <w:rPr>
          <w:lang w:val="en-US"/>
        </w:rPr>
        <w:t xml:space="preserve"> and is mostly represented by the following categories: cash, cheques, securities,</w:t>
      </w:r>
      <w:r w:rsidR="003871F6" w:rsidRPr="00A519D0">
        <w:rPr>
          <w:lang w:val="en-US"/>
        </w:rPr>
        <w:t xml:space="preserve"> investment gold or precious metals,</w:t>
      </w:r>
      <w:r w:rsidRPr="00A519D0">
        <w:rPr>
          <w:lang w:val="en-US"/>
        </w:rPr>
        <w:t xml:space="preserve"> real assets, vehicles, boats, companies</w:t>
      </w:r>
      <w:r w:rsidR="003871F6" w:rsidRPr="00A519D0">
        <w:rPr>
          <w:lang w:val="en-US"/>
        </w:rPr>
        <w:t xml:space="preserve">, </w:t>
      </w:r>
      <w:r w:rsidR="008038AA" w:rsidRPr="00A519D0">
        <w:rPr>
          <w:lang w:val="en-US"/>
        </w:rPr>
        <w:t>virtual</w:t>
      </w:r>
      <w:r w:rsidR="003871F6" w:rsidRPr="00A519D0">
        <w:rPr>
          <w:lang w:val="en-US"/>
        </w:rPr>
        <w:t xml:space="preserve"> </w:t>
      </w:r>
      <w:r w:rsidR="008038AA" w:rsidRPr="00A519D0">
        <w:rPr>
          <w:lang w:val="en-US"/>
        </w:rPr>
        <w:t>currencies</w:t>
      </w:r>
      <w:r w:rsidRPr="00A519D0">
        <w:rPr>
          <w:lang w:val="en-US"/>
        </w:rPr>
        <w:t>.</w:t>
      </w:r>
    </w:p>
    <w:p w14:paraId="46066672" w14:textId="66A8E2B7" w:rsidR="00A54395" w:rsidRPr="00A519D0" w:rsidRDefault="00A54395" w:rsidP="00A54395">
      <w:pPr>
        <w:pStyle w:val="Telobesedila2"/>
        <w:spacing w:line="276" w:lineRule="auto"/>
        <w:ind w:right="-22"/>
        <w:rPr>
          <w:lang w:val="en-US"/>
        </w:rPr>
      </w:pPr>
      <w:proofErr w:type="gramStart"/>
      <w:r w:rsidRPr="00A519D0">
        <w:rPr>
          <w:lang w:val="en-US"/>
        </w:rPr>
        <w:t>With regard to</w:t>
      </w:r>
      <w:proofErr w:type="gramEnd"/>
      <w:r w:rsidRPr="00A519D0">
        <w:rPr>
          <w:lang w:val="en-US"/>
        </w:rPr>
        <w:t xml:space="preserve"> the understanding of the typologies presented above and connected basic elements, we should point out that in a particular case several basic elements of typology could appear. Therefore, the sum of </w:t>
      </w:r>
      <w:proofErr w:type="gramStart"/>
      <w:r w:rsidRPr="00A519D0">
        <w:rPr>
          <w:lang w:val="en-US"/>
        </w:rPr>
        <w:t>particular established</w:t>
      </w:r>
      <w:proofErr w:type="gramEnd"/>
      <w:r w:rsidRPr="00A519D0">
        <w:rPr>
          <w:lang w:val="en-US"/>
        </w:rPr>
        <w:t xml:space="preserve"> money laundering techniques, which is represented by certain typologies and cases, does not represent the total number of the cases, as in the particular case, several basic money laundering techniques could be detected. In 2021, we established the following </w:t>
      </w:r>
      <w:r w:rsidRPr="00A519D0">
        <w:rPr>
          <w:b/>
          <w:bCs/>
          <w:lang w:val="en-US"/>
        </w:rPr>
        <w:t>most frequent used</w:t>
      </w:r>
      <w:r w:rsidRPr="00A519D0">
        <w:rPr>
          <w:lang w:val="en-US"/>
        </w:rPr>
        <w:t xml:space="preserve"> </w:t>
      </w:r>
      <w:r w:rsidRPr="00A519D0">
        <w:rPr>
          <w:b/>
          <w:lang w:val="en-US"/>
        </w:rPr>
        <w:t>mechanisms of money laundering</w:t>
      </w:r>
      <w:r w:rsidRPr="00A519D0">
        <w:rPr>
          <w:lang w:val="en-US"/>
        </w:rPr>
        <w:t xml:space="preserve"> </w:t>
      </w:r>
      <w:proofErr w:type="gramStart"/>
      <w:r w:rsidRPr="00A519D0">
        <w:rPr>
          <w:lang w:val="en-US"/>
        </w:rPr>
        <w:t>with regard to</w:t>
      </w:r>
      <w:proofErr w:type="gramEnd"/>
      <w:r w:rsidRPr="00A519D0">
        <w:rPr>
          <w:lang w:val="en-US"/>
        </w:rPr>
        <w:t xml:space="preserve"> the particular basic elements of money laundering techniques (mechanisms, techniques, instruments):</w:t>
      </w:r>
    </w:p>
    <w:p w14:paraId="294A9B41" w14:textId="6693FF3D" w:rsidR="00F156D5" w:rsidRPr="00A519D0" w:rsidRDefault="00A54395" w:rsidP="00F156D5">
      <w:pPr>
        <w:widowControl w:val="0"/>
        <w:spacing w:after="0" w:line="240" w:lineRule="auto"/>
        <w:rPr>
          <w:rFonts w:eastAsia="Arial" w:cs="Arial"/>
          <w:lang w:val="en-US"/>
        </w:rPr>
      </w:pPr>
      <w:r w:rsidRPr="00A519D0">
        <w:rPr>
          <w:rFonts w:eastAsia="Arial" w:cs="Arial"/>
          <w:lang w:val="en-US"/>
        </w:rPr>
        <w:t>The most common mechanism of money laundering in 2021</w:t>
      </w:r>
      <w:r w:rsidR="00F156D5" w:rsidRPr="00A519D0">
        <w:rPr>
          <w:rFonts w:eastAsia="Arial" w:cs="Arial"/>
          <w:lang w:val="en-US"/>
        </w:rPr>
        <w:t>:</w:t>
      </w:r>
    </w:p>
    <w:p w14:paraId="56B3A289" w14:textId="446F3BFC" w:rsidR="003632F5" w:rsidRPr="00A519D0" w:rsidRDefault="003632F5" w:rsidP="00F156D5">
      <w:pPr>
        <w:widowControl w:val="0"/>
        <w:spacing w:after="0" w:line="240" w:lineRule="auto"/>
        <w:rPr>
          <w:rFonts w:eastAsia="Arial" w:cs="Arial"/>
          <w:lang w:val="en-US"/>
        </w:rPr>
      </w:pPr>
    </w:p>
    <w:p w14:paraId="5CF097CF" w14:textId="48533F41" w:rsidR="003632F5" w:rsidRPr="00A519D0" w:rsidRDefault="003632F5" w:rsidP="00494D5C">
      <w:pPr>
        <w:pStyle w:val="Odstavekseznama"/>
        <w:tabs>
          <w:tab w:val="left" w:pos="4536"/>
        </w:tabs>
        <w:spacing w:line="276" w:lineRule="auto"/>
        <w:ind w:left="851" w:hanging="284"/>
        <w:rPr>
          <w:lang w:val="en-US"/>
        </w:rPr>
      </w:pPr>
      <w:r w:rsidRPr="00A519D0">
        <w:rPr>
          <w:b/>
          <w:bCs/>
          <w:lang w:val="en-US"/>
        </w:rPr>
        <w:t xml:space="preserve">Financial institutions </w:t>
      </w:r>
      <w:r w:rsidRPr="00A519D0">
        <w:rPr>
          <w:lang w:val="en-US"/>
        </w:rPr>
        <w:t>(banks and savings houses): we discovered that in 380 cases the financial (banking) system was used. Among the services of the financial (banking institutions) or financial system, mostly the accounts of the companies and natural persons at banks were abused, as in at least 161 cases the foreign accounts were used. This means that the foreign natural and legal persons used accounts in Slovenia or that Slovenian natural and legal persons used foreign bank accounts</w:t>
      </w:r>
      <w:r w:rsidR="0077511B">
        <w:rPr>
          <w:lang w:val="en-US"/>
        </w:rPr>
        <w:t>,</w:t>
      </w:r>
    </w:p>
    <w:p w14:paraId="212F22D0" w14:textId="3CAE744F" w:rsidR="00121B94" w:rsidRPr="00A519D0" w:rsidRDefault="003632F5" w:rsidP="00494D5C">
      <w:pPr>
        <w:pStyle w:val="Odstavekseznama"/>
        <w:tabs>
          <w:tab w:val="left" w:pos="4536"/>
        </w:tabs>
        <w:spacing w:line="276" w:lineRule="auto"/>
        <w:ind w:left="851" w:hanging="284"/>
        <w:rPr>
          <w:lang w:val="en-US"/>
        </w:rPr>
      </w:pPr>
      <w:r w:rsidRPr="00A519D0">
        <w:rPr>
          <w:b/>
          <w:bCs/>
          <w:lang w:val="en-US"/>
        </w:rPr>
        <w:t xml:space="preserve">Natural persons </w:t>
      </w:r>
      <w:r w:rsidRPr="00A519D0">
        <w:rPr>
          <w:lang w:val="en-US"/>
        </w:rPr>
        <w:t xml:space="preserve">were used in 239 cases. The method of use was different: </w:t>
      </w:r>
      <w:r w:rsidR="00034F43">
        <w:rPr>
          <w:lang w:val="en-US"/>
        </w:rPr>
        <w:t xml:space="preserve">either </w:t>
      </w:r>
      <w:r w:rsidRPr="00A519D0">
        <w:rPr>
          <w:lang w:val="en-US"/>
        </w:rPr>
        <w:t xml:space="preserve">“self-laundering”, when the natural person commits the predicate criminal offence and criminal offence of money laundering as well; </w:t>
      </w:r>
      <w:r w:rsidR="00034F43">
        <w:rPr>
          <w:lang w:val="en-US"/>
        </w:rPr>
        <w:t xml:space="preserve">or </w:t>
      </w:r>
      <w:r w:rsidRPr="00A519D0">
        <w:rPr>
          <w:lang w:val="en-US"/>
        </w:rPr>
        <w:t>use of natural persons as authorized persons and use of natural persons as “third persons”, via whom the money laundering was performed</w:t>
      </w:r>
      <w:r w:rsidR="0077511B">
        <w:rPr>
          <w:lang w:val="en-US"/>
        </w:rPr>
        <w:t>,</w:t>
      </w:r>
    </w:p>
    <w:p w14:paraId="7585E647" w14:textId="19386AEC" w:rsidR="003632F5" w:rsidRPr="00A519D0" w:rsidRDefault="003632F5" w:rsidP="00494D5C">
      <w:pPr>
        <w:pStyle w:val="Odstavekseznama"/>
        <w:tabs>
          <w:tab w:val="left" w:pos="4536"/>
        </w:tabs>
        <w:spacing w:line="276" w:lineRule="auto"/>
        <w:ind w:left="851" w:hanging="284"/>
        <w:rPr>
          <w:lang w:val="en-US"/>
        </w:rPr>
      </w:pPr>
      <w:r w:rsidRPr="00A519D0">
        <w:rPr>
          <w:b/>
          <w:bCs/>
          <w:lang w:val="en-US"/>
        </w:rPr>
        <w:t xml:space="preserve">Legal persons </w:t>
      </w:r>
      <w:r w:rsidRPr="00A519D0">
        <w:rPr>
          <w:lang w:val="en-US"/>
        </w:rPr>
        <w:t>were used in 175 cases, at least in 23 cases “straw” companies were used and in at least 2 cases offshore companies appeared</w:t>
      </w:r>
      <w:r w:rsidR="0077511B">
        <w:rPr>
          <w:lang w:val="en-US"/>
        </w:rPr>
        <w:t>,</w:t>
      </w:r>
    </w:p>
    <w:p w14:paraId="76E0DE09" w14:textId="246A8F3E" w:rsidR="003632F5" w:rsidRPr="00A519D0" w:rsidRDefault="003632F5" w:rsidP="00494D5C">
      <w:pPr>
        <w:pStyle w:val="Odstavekseznama"/>
        <w:tabs>
          <w:tab w:val="left" w:pos="4536"/>
        </w:tabs>
        <w:spacing w:line="276" w:lineRule="auto"/>
        <w:ind w:left="851" w:hanging="284"/>
        <w:rPr>
          <w:b/>
          <w:bCs/>
          <w:lang w:val="en-US"/>
        </w:rPr>
      </w:pPr>
      <w:r w:rsidRPr="00A519D0">
        <w:rPr>
          <w:b/>
          <w:bCs/>
          <w:lang w:val="en-US"/>
        </w:rPr>
        <w:t>Systems for money transfer (</w:t>
      </w:r>
      <w:r w:rsidR="008038AA" w:rsidRPr="00A519D0">
        <w:rPr>
          <w:b/>
          <w:bCs/>
          <w:lang w:val="en-US"/>
        </w:rPr>
        <w:t>MoneyGram</w:t>
      </w:r>
      <w:r w:rsidRPr="00A519D0">
        <w:rPr>
          <w:b/>
          <w:bCs/>
          <w:lang w:val="en-US"/>
        </w:rPr>
        <w:t xml:space="preserve"> and Western Union) </w:t>
      </w:r>
      <w:r w:rsidRPr="00A519D0">
        <w:rPr>
          <w:lang w:val="en-US"/>
        </w:rPr>
        <w:t>were used in 9 cases</w:t>
      </w:r>
      <w:r w:rsidR="0077511B">
        <w:rPr>
          <w:lang w:val="en-US"/>
        </w:rPr>
        <w:t>,</w:t>
      </w:r>
    </w:p>
    <w:p w14:paraId="6E1CCA1F" w14:textId="5460CE7E" w:rsidR="00121B94" w:rsidRPr="00A519D0" w:rsidRDefault="003632F5" w:rsidP="00494D5C">
      <w:pPr>
        <w:pStyle w:val="Odstavekseznama"/>
        <w:tabs>
          <w:tab w:val="left" w:pos="4536"/>
        </w:tabs>
        <w:spacing w:line="276" w:lineRule="auto"/>
        <w:ind w:left="851" w:hanging="284"/>
        <w:rPr>
          <w:lang w:val="en-US"/>
        </w:rPr>
      </w:pPr>
      <w:r w:rsidRPr="00A519D0">
        <w:rPr>
          <w:b/>
          <w:bCs/>
          <w:lang w:val="en-US"/>
        </w:rPr>
        <w:t xml:space="preserve">Virtual currencies service providers </w:t>
      </w:r>
      <w:r w:rsidRPr="00A519D0">
        <w:rPr>
          <w:lang w:val="en-US"/>
        </w:rPr>
        <w:t>were used in 7 cases</w:t>
      </w:r>
      <w:r w:rsidR="00F156D5" w:rsidRPr="00A519D0">
        <w:rPr>
          <w:lang w:val="en-US"/>
        </w:rPr>
        <w:t xml:space="preserve">, </w:t>
      </w:r>
    </w:p>
    <w:p w14:paraId="5B5DC02D" w14:textId="572B47A9" w:rsidR="00F156D5" w:rsidRPr="00A519D0" w:rsidRDefault="008038AA" w:rsidP="00494D5C">
      <w:pPr>
        <w:pStyle w:val="Odstavekseznama"/>
        <w:tabs>
          <w:tab w:val="left" w:pos="4536"/>
        </w:tabs>
        <w:spacing w:line="276" w:lineRule="auto"/>
        <w:ind w:left="851" w:hanging="284"/>
        <w:rPr>
          <w:lang w:val="en-US"/>
        </w:rPr>
      </w:pPr>
      <w:r w:rsidRPr="00A519D0">
        <w:rPr>
          <w:b/>
          <w:bCs/>
          <w:lang w:val="en-US"/>
        </w:rPr>
        <w:t>Casinos</w:t>
      </w:r>
      <w:r w:rsidR="003632F5" w:rsidRPr="00A519D0">
        <w:rPr>
          <w:b/>
          <w:bCs/>
          <w:lang w:val="en-US"/>
        </w:rPr>
        <w:t xml:space="preserve"> or Gaming houses </w:t>
      </w:r>
      <w:r w:rsidR="003632F5" w:rsidRPr="00A519D0">
        <w:rPr>
          <w:lang w:val="en-US"/>
        </w:rPr>
        <w:t>were used in 4 cases.</w:t>
      </w:r>
    </w:p>
    <w:p w14:paraId="4CA73F1B" w14:textId="7DA8241D" w:rsidR="00B1209F" w:rsidRPr="00A519D0" w:rsidRDefault="00B1209F" w:rsidP="00B1209F">
      <w:pPr>
        <w:rPr>
          <w:lang w:val="en-US"/>
        </w:rPr>
      </w:pPr>
      <w:r w:rsidRPr="00A519D0">
        <w:rPr>
          <w:lang w:val="en-US"/>
        </w:rPr>
        <w:t xml:space="preserve">The most frequent money laundering </w:t>
      </w:r>
      <w:r w:rsidRPr="00A519D0">
        <w:rPr>
          <w:b/>
          <w:lang w:val="en-US"/>
        </w:rPr>
        <w:t>techniques</w:t>
      </w:r>
      <w:r w:rsidRPr="00A519D0">
        <w:rPr>
          <w:lang w:val="en-US"/>
        </w:rPr>
        <w:t xml:space="preserve"> in 2021 (detected in more than one case) have been as follows:</w:t>
      </w:r>
    </w:p>
    <w:p w14:paraId="1187A84A" w14:textId="057B4017" w:rsidR="00F156D5" w:rsidRPr="00A519D0" w:rsidRDefault="00BB721D" w:rsidP="00F156D5">
      <w:pPr>
        <w:pStyle w:val="Odstavekseznama"/>
        <w:tabs>
          <w:tab w:val="left" w:pos="4536"/>
        </w:tabs>
        <w:ind w:left="851" w:hanging="284"/>
        <w:rPr>
          <w:lang w:val="en-US"/>
        </w:rPr>
      </w:pPr>
      <w:r w:rsidRPr="00A519D0">
        <w:rPr>
          <w:b/>
          <w:bCs/>
          <w:lang w:val="en-US"/>
        </w:rPr>
        <w:t>t</w:t>
      </w:r>
      <w:r w:rsidR="00B1209F" w:rsidRPr="00A519D0">
        <w:rPr>
          <w:b/>
          <w:bCs/>
          <w:lang w:val="en-US"/>
        </w:rPr>
        <w:t>ransfer of funds between countries</w:t>
      </w:r>
      <w:r w:rsidR="00F156D5" w:rsidRPr="00A519D0">
        <w:rPr>
          <w:lang w:val="en-US"/>
        </w:rPr>
        <w:t xml:space="preserve"> (</w:t>
      </w:r>
      <w:r w:rsidR="00B1209F" w:rsidRPr="00A519D0">
        <w:rPr>
          <w:lang w:val="en-US"/>
        </w:rPr>
        <w:t>detected in approximately 77% of cases</w:t>
      </w:r>
      <w:r w:rsidR="00F156D5" w:rsidRPr="00A519D0">
        <w:rPr>
          <w:lang w:val="en-US"/>
        </w:rPr>
        <w:t>),</w:t>
      </w:r>
    </w:p>
    <w:p w14:paraId="1C4FC998" w14:textId="5F7F65B7" w:rsidR="00F156D5" w:rsidRPr="00A519D0" w:rsidRDefault="00BB721D" w:rsidP="00F156D5">
      <w:pPr>
        <w:pStyle w:val="Odstavekseznama"/>
        <w:tabs>
          <w:tab w:val="left" w:pos="4536"/>
        </w:tabs>
        <w:ind w:left="851" w:hanging="284"/>
        <w:rPr>
          <w:lang w:val="en-US"/>
        </w:rPr>
      </w:pPr>
      <w:r w:rsidRPr="00A519D0">
        <w:rPr>
          <w:b/>
          <w:bCs/>
          <w:lang w:val="en-US"/>
        </w:rPr>
        <w:t>t</w:t>
      </w:r>
      <w:r w:rsidR="00B1209F" w:rsidRPr="00A519D0">
        <w:rPr>
          <w:b/>
          <w:bCs/>
          <w:lang w:val="en-US"/>
        </w:rPr>
        <w:t>ransfer of funds between accounts</w:t>
      </w:r>
      <w:r w:rsidR="00F156D5" w:rsidRPr="00A519D0">
        <w:rPr>
          <w:lang w:val="en-US"/>
        </w:rPr>
        <w:t xml:space="preserve"> (</w:t>
      </w:r>
      <w:r w:rsidR="00B1209F" w:rsidRPr="00A519D0">
        <w:rPr>
          <w:lang w:val="en-US"/>
        </w:rPr>
        <w:t>detected in approximately 74% of cases</w:t>
      </w:r>
      <w:r w:rsidR="00F156D5" w:rsidRPr="00A519D0">
        <w:rPr>
          <w:lang w:val="en-US"/>
        </w:rPr>
        <w:t>),</w:t>
      </w:r>
    </w:p>
    <w:p w14:paraId="3BF5943A" w14:textId="5A6D4BA7" w:rsidR="00F156D5" w:rsidRPr="00A519D0" w:rsidRDefault="00BB721D" w:rsidP="00F156D5">
      <w:pPr>
        <w:pStyle w:val="Odstavekseznama"/>
        <w:tabs>
          <w:tab w:val="left" w:pos="4536"/>
        </w:tabs>
        <w:ind w:left="851" w:hanging="284"/>
        <w:rPr>
          <w:lang w:val="en-US"/>
        </w:rPr>
      </w:pPr>
      <w:r w:rsidRPr="00A519D0">
        <w:rPr>
          <w:b/>
          <w:bCs/>
          <w:lang w:val="en-US"/>
        </w:rPr>
        <w:t>u</w:t>
      </w:r>
      <w:r w:rsidR="00B1209F" w:rsidRPr="00A519D0">
        <w:rPr>
          <w:b/>
          <w:bCs/>
          <w:lang w:val="en-US"/>
        </w:rPr>
        <w:t>se of foreign accounts</w:t>
      </w:r>
      <w:r w:rsidR="00F156D5" w:rsidRPr="00A519D0">
        <w:rPr>
          <w:lang w:val="en-US"/>
        </w:rPr>
        <w:t xml:space="preserve"> (</w:t>
      </w:r>
      <w:r w:rsidR="00B1209F" w:rsidRPr="00A519D0">
        <w:rPr>
          <w:lang w:val="en-US"/>
        </w:rPr>
        <w:t>detected in approximately 40% of cases</w:t>
      </w:r>
      <w:r w:rsidR="00F156D5" w:rsidRPr="00A519D0">
        <w:rPr>
          <w:lang w:val="en-US"/>
        </w:rPr>
        <w:t xml:space="preserve">), </w:t>
      </w:r>
    </w:p>
    <w:p w14:paraId="57443DE6" w14:textId="3ECCD351" w:rsidR="00F156D5" w:rsidRPr="00A519D0" w:rsidRDefault="00BB721D" w:rsidP="00F156D5">
      <w:pPr>
        <w:pStyle w:val="Odstavekseznama"/>
        <w:tabs>
          <w:tab w:val="left" w:pos="4536"/>
        </w:tabs>
        <w:ind w:left="851" w:hanging="284"/>
        <w:rPr>
          <w:lang w:val="en-US"/>
        </w:rPr>
      </w:pPr>
      <w:r w:rsidRPr="00A519D0">
        <w:rPr>
          <w:b/>
          <w:bCs/>
          <w:lang w:val="en-US"/>
        </w:rPr>
        <w:t>w</w:t>
      </w:r>
      <w:r w:rsidR="00B1209F" w:rsidRPr="00A519D0">
        <w:rPr>
          <w:b/>
          <w:bCs/>
          <w:lang w:val="en-US"/>
        </w:rPr>
        <w:t xml:space="preserve">ithdrawal of cash at ATMs </w:t>
      </w:r>
      <w:r w:rsidR="00F156D5" w:rsidRPr="00A519D0">
        <w:rPr>
          <w:lang w:val="en-US"/>
        </w:rPr>
        <w:t>(</w:t>
      </w:r>
      <w:r w:rsidR="00B1209F" w:rsidRPr="00A519D0">
        <w:rPr>
          <w:lang w:val="en-US"/>
        </w:rPr>
        <w:t>detected in approximately 35% of cases</w:t>
      </w:r>
      <w:r w:rsidR="00F156D5" w:rsidRPr="00A519D0">
        <w:rPr>
          <w:lang w:val="en-US"/>
        </w:rPr>
        <w:t>),</w:t>
      </w:r>
    </w:p>
    <w:p w14:paraId="70078FAC" w14:textId="3FC7C4DA" w:rsidR="00F156D5" w:rsidRPr="00A519D0" w:rsidRDefault="00B1209F" w:rsidP="00F156D5">
      <w:pPr>
        <w:pStyle w:val="Odstavekseznama"/>
        <w:tabs>
          <w:tab w:val="left" w:pos="4536"/>
        </w:tabs>
        <w:ind w:left="851" w:hanging="284"/>
        <w:rPr>
          <w:lang w:val="en-US"/>
        </w:rPr>
      </w:pPr>
      <w:r w:rsidRPr="00A519D0">
        <w:rPr>
          <w:b/>
          <w:bCs/>
          <w:lang w:val="en-US"/>
        </w:rPr>
        <w:t>transfers of funds via state borders</w:t>
      </w:r>
      <w:r w:rsidRPr="00A519D0">
        <w:rPr>
          <w:lang w:val="en-US"/>
        </w:rPr>
        <w:t xml:space="preserve"> </w:t>
      </w:r>
      <w:r w:rsidR="00F156D5" w:rsidRPr="00A519D0">
        <w:rPr>
          <w:lang w:val="en-US"/>
        </w:rPr>
        <w:t>(</w:t>
      </w:r>
      <w:r w:rsidRPr="00A519D0">
        <w:rPr>
          <w:lang w:val="en-US"/>
        </w:rPr>
        <w:t>detected in approximately 19% of cases</w:t>
      </w:r>
      <w:r w:rsidR="00F156D5" w:rsidRPr="00A519D0">
        <w:rPr>
          <w:lang w:val="en-US"/>
        </w:rPr>
        <w:t>),</w:t>
      </w:r>
    </w:p>
    <w:p w14:paraId="6D1FA1A2" w14:textId="667B8769" w:rsidR="00F156D5" w:rsidRPr="00A519D0" w:rsidRDefault="00B1209F" w:rsidP="00B1209F">
      <w:pPr>
        <w:pStyle w:val="Odstavekseznama"/>
        <w:tabs>
          <w:tab w:val="left" w:pos="4536"/>
        </w:tabs>
        <w:ind w:left="851" w:hanging="284"/>
        <w:rPr>
          <w:b/>
          <w:bCs/>
          <w:lang w:val="en-US"/>
        </w:rPr>
      </w:pPr>
      <w:r w:rsidRPr="00A519D0">
        <w:rPr>
          <w:b/>
          <w:bCs/>
          <w:lang w:val="en-US"/>
        </w:rPr>
        <w:t xml:space="preserve">use of funds for economic activities </w:t>
      </w:r>
      <w:bookmarkStart w:id="13" w:name="_Hlk144206932"/>
      <w:r w:rsidRPr="00A519D0">
        <w:rPr>
          <w:lang w:val="en-US"/>
        </w:rPr>
        <w:t>(detected in approximately 16% of cases)</w:t>
      </w:r>
      <w:bookmarkEnd w:id="13"/>
    </w:p>
    <w:p w14:paraId="64F906D8" w14:textId="77777777" w:rsidR="00B1209F" w:rsidRPr="00A519D0" w:rsidRDefault="00B1209F" w:rsidP="00A35897">
      <w:pPr>
        <w:pStyle w:val="Odstavekseznama"/>
        <w:tabs>
          <w:tab w:val="left" w:pos="4536"/>
        </w:tabs>
        <w:ind w:left="851" w:hanging="284"/>
        <w:rPr>
          <w:lang w:val="en-US"/>
        </w:rPr>
      </w:pPr>
      <w:r w:rsidRPr="00A519D0">
        <w:rPr>
          <w:b/>
          <w:bCs/>
          <w:lang w:val="en-US"/>
        </w:rPr>
        <w:t>cash deposits</w:t>
      </w:r>
      <w:r w:rsidR="00F156D5" w:rsidRPr="00A519D0">
        <w:rPr>
          <w:lang w:val="en-US"/>
        </w:rPr>
        <w:t xml:space="preserve"> </w:t>
      </w:r>
      <w:r w:rsidRPr="00A519D0">
        <w:rPr>
          <w:lang w:val="en-US"/>
        </w:rPr>
        <w:t>(detected in approximately 15% of cases)</w:t>
      </w:r>
    </w:p>
    <w:p w14:paraId="7854D4A0" w14:textId="39362B8C" w:rsidR="00B1209F" w:rsidRPr="00A519D0" w:rsidRDefault="00B1209F" w:rsidP="00F156D5">
      <w:pPr>
        <w:pStyle w:val="Odstavekseznama"/>
        <w:tabs>
          <w:tab w:val="left" w:pos="4536"/>
        </w:tabs>
        <w:ind w:left="851" w:hanging="284"/>
        <w:rPr>
          <w:lang w:val="en-US"/>
        </w:rPr>
      </w:pPr>
      <w:r w:rsidRPr="00A519D0">
        <w:rPr>
          <w:b/>
          <w:bCs/>
          <w:lang w:val="en-US"/>
        </w:rPr>
        <w:t>smurfing and avoidance of identification</w:t>
      </w:r>
      <w:r w:rsidRPr="00A519D0">
        <w:rPr>
          <w:lang w:val="en-US"/>
        </w:rPr>
        <w:t xml:space="preserve"> (detected in approximately 3% of cases)</w:t>
      </w:r>
    </w:p>
    <w:p w14:paraId="46CC7EAD" w14:textId="1DBEA5F4" w:rsidR="00F156D5" w:rsidRPr="00A519D0" w:rsidRDefault="00BB721D" w:rsidP="00F156D5">
      <w:pPr>
        <w:pStyle w:val="Odstavekseznama"/>
        <w:tabs>
          <w:tab w:val="left" w:pos="4536"/>
        </w:tabs>
        <w:ind w:left="851" w:hanging="284"/>
        <w:rPr>
          <w:lang w:val="en-US"/>
        </w:rPr>
      </w:pPr>
      <w:r w:rsidRPr="00A519D0">
        <w:rPr>
          <w:b/>
          <w:bCs/>
          <w:lang w:val="en-US"/>
        </w:rPr>
        <w:t>use of fictive contrasts</w:t>
      </w:r>
      <w:r w:rsidR="00F156D5" w:rsidRPr="00A519D0">
        <w:rPr>
          <w:lang w:val="en-US"/>
        </w:rPr>
        <w:t xml:space="preserve"> (</w:t>
      </w:r>
      <w:r w:rsidRPr="00A519D0">
        <w:rPr>
          <w:lang w:val="en-US"/>
        </w:rPr>
        <w:t>detected in approximately 3% of cases</w:t>
      </w:r>
      <w:r w:rsidR="00F156D5" w:rsidRPr="00A519D0">
        <w:rPr>
          <w:lang w:val="en-US"/>
        </w:rPr>
        <w:t>),</w:t>
      </w:r>
    </w:p>
    <w:p w14:paraId="2E24941B" w14:textId="5B1D423C" w:rsidR="00F156D5" w:rsidRPr="00A519D0" w:rsidRDefault="00BB721D" w:rsidP="00BB721D">
      <w:pPr>
        <w:pStyle w:val="Odstavekseznama"/>
        <w:tabs>
          <w:tab w:val="left" w:pos="4536"/>
        </w:tabs>
        <w:ind w:left="851" w:hanging="284"/>
        <w:rPr>
          <w:lang w:val="en-US"/>
        </w:rPr>
      </w:pPr>
      <w:r w:rsidRPr="00A519D0">
        <w:rPr>
          <w:b/>
          <w:bCs/>
          <w:lang w:val="en-US"/>
        </w:rPr>
        <w:t>withdrawal of cash at ATMs abroad</w:t>
      </w:r>
      <w:r w:rsidR="00494D5C" w:rsidRPr="00A519D0">
        <w:rPr>
          <w:b/>
          <w:bCs/>
          <w:lang w:val="en-US"/>
        </w:rPr>
        <w:t xml:space="preserve"> </w:t>
      </w:r>
      <w:r w:rsidRPr="00A519D0">
        <w:rPr>
          <w:lang w:val="en-US"/>
        </w:rPr>
        <w:t>(detected in approximately 2% of cases),</w:t>
      </w:r>
    </w:p>
    <w:p w14:paraId="4C52A0CE" w14:textId="3A7F9E14" w:rsidR="00F156D5" w:rsidRPr="00A519D0" w:rsidRDefault="00BB721D" w:rsidP="00BB721D">
      <w:pPr>
        <w:pStyle w:val="Odstavekseznama"/>
        <w:tabs>
          <w:tab w:val="left" w:pos="4536"/>
        </w:tabs>
        <w:ind w:left="851" w:hanging="284"/>
        <w:rPr>
          <w:lang w:val="en-US"/>
        </w:rPr>
      </w:pPr>
      <w:r w:rsidRPr="00A519D0">
        <w:rPr>
          <w:b/>
          <w:bCs/>
          <w:lang w:val="en-US"/>
        </w:rPr>
        <w:t xml:space="preserve">use of money transfer systems </w:t>
      </w:r>
      <w:r w:rsidRPr="00A519D0">
        <w:rPr>
          <w:lang w:val="en-US"/>
        </w:rPr>
        <w:t>(MoneyGram, Western Union) (detected in approximately 2% of cases),</w:t>
      </w:r>
    </w:p>
    <w:p w14:paraId="18EFE63D" w14:textId="057DB2D0" w:rsidR="00F156D5" w:rsidRPr="00A519D0" w:rsidRDefault="00650A7E" w:rsidP="00F156D5">
      <w:pPr>
        <w:pStyle w:val="Odstavekseznama"/>
        <w:tabs>
          <w:tab w:val="left" w:pos="4536"/>
        </w:tabs>
        <w:ind w:left="851" w:hanging="284"/>
        <w:rPr>
          <w:lang w:val="en-US"/>
        </w:rPr>
      </w:pPr>
      <w:r w:rsidRPr="00A519D0">
        <w:rPr>
          <w:b/>
          <w:bCs/>
          <w:lang w:val="en-US"/>
        </w:rPr>
        <w:t>fake purpose of transactions</w:t>
      </w:r>
      <w:r w:rsidR="00F156D5" w:rsidRPr="00A519D0">
        <w:rPr>
          <w:lang w:val="en-US"/>
        </w:rPr>
        <w:t xml:space="preserve"> (</w:t>
      </w:r>
      <w:r w:rsidRPr="00A519D0">
        <w:rPr>
          <w:lang w:val="en-US"/>
        </w:rPr>
        <w:t xml:space="preserve">detected in approximately </w:t>
      </w:r>
      <w:r w:rsidR="00F156D5" w:rsidRPr="00A519D0">
        <w:rPr>
          <w:lang w:val="en-US"/>
        </w:rPr>
        <w:t xml:space="preserve">2% </w:t>
      </w:r>
      <w:r w:rsidRPr="00A519D0">
        <w:rPr>
          <w:lang w:val="en-US"/>
        </w:rPr>
        <w:t>cases</w:t>
      </w:r>
      <w:r w:rsidR="00F156D5" w:rsidRPr="00A519D0">
        <w:rPr>
          <w:lang w:val="en-US"/>
        </w:rPr>
        <w:t>)</w:t>
      </w:r>
      <w:r w:rsidR="00C52229" w:rsidRPr="00A519D0">
        <w:rPr>
          <w:lang w:val="en-US"/>
        </w:rPr>
        <w:t>.</w:t>
      </w:r>
    </w:p>
    <w:p w14:paraId="264D5B64" w14:textId="22CB6C66" w:rsidR="00B65A09" w:rsidRPr="00A519D0" w:rsidRDefault="00C30578" w:rsidP="00464487">
      <w:pPr>
        <w:pStyle w:val="Naslov1"/>
        <w:rPr>
          <w:lang w:val="en-US"/>
        </w:rPr>
      </w:pPr>
      <w:bookmarkStart w:id="14" w:name="_Toc119581704"/>
      <w:r w:rsidRPr="00A519D0">
        <w:rPr>
          <w:lang w:val="en-US"/>
        </w:rPr>
        <w:lastRenderedPageBreak/>
        <w:t>COOPERATION WITH OTHER STATE AUTHORITIES AT DETECTION, INVESTIGATION AND PROSECUTION OF MONEY LAUNDERING</w:t>
      </w:r>
      <w:bookmarkEnd w:id="14"/>
    </w:p>
    <w:p w14:paraId="710A59DF" w14:textId="77777777" w:rsidR="00C30578" w:rsidRPr="00A519D0" w:rsidRDefault="00C30578" w:rsidP="00C30578">
      <w:pPr>
        <w:rPr>
          <w:lang w:val="en-US"/>
        </w:rPr>
      </w:pPr>
    </w:p>
    <w:p w14:paraId="488DA447" w14:textId="2AE71412" w:rsidR="000B513A" w:rsidRPr="00A519D0" w:rsidRDefault="000B513A" w:rsidP="000B513A">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lang w:val="en-US"/>
        </w:rPr>
      </w:pPr>
      <w:r w:rsidRPr="00A519D0">
        <w:rPr>
          <w:lang w:val="en-US"/>
        </w:rPr>
        <w:t xml:space="preserve">In this period, in its activities for the detection and prevention of the criminal offence of money laundering, the OMLP especially cooperated with the Criminal Police Directorate of the Ministry of Interior (Police), Special Group of Prosecutors for the Fight Against Organized Crime at Supreme State Prosecutor`s Office, Financial Administration of the Republic of Slovenia and Slovenian Intelligence and Security Agency. OMLP also closely cooperated with </w:t>
      </w:r>
      <w:r w:rsidR="00A2491F" w:rsidRPr="00A2491F">
        <w:rPr>
          <w:lang w:val="en-US"/>
        </w:rPr>
        <w:t xml:space="preserve">criminal investigation </w:t>
      </w:r>
      <w:proofErr w:type="gramStart"/>
      <w:r w:rsidR="00A2491F" w:rsidRPr="00A2491F">
        <w:rPr>
          <w:lang w:val="en-US"/>
        </w:rPr>
        <w:t>officer</w:t>
      </w:r>
      <w:r w:rsidR="00A2491F">
        <w:rPr>
          <w:lang w:val="en-US"/>
        </w:rPr>
        <w:t xml:space="preserve">s </w:t>
      </w:r>
      <w:r w:rsidRPr="00A519D0">
        <w:rPr>
          <w:lang w:val="en-US"/>
        </w:rPr>
        <w:t xml:space="preserve"> from</w:t>
      </w:r>
      <w:proofErr w:type="gramEnd"/>
      <w:r w:rsidRPr="00A519D0">
        <w:rPr>
          <w:lang w:val="en-US"/>
        </w:rPr>
        <w:t xml:space="preserve"> several police directorates and other state prosecutor`s offices</w:t>
      </w:r>
      <w:r w:rsidR="00494D5C" w:rsidRPr="00A519D0">
        <w:rPr>
          <w:lang w:val="en-US"/>
        </w:rPr>
        <w:t xml:space="preserve"> in concrete cases</w:t>
      </w:r>
      <w:r w:rsidRPr="00A519D0">
        <w:rPr>
          <w:lang w:val="en-US"/>
        </w:rPr>
        <w:t xml:space="preserve">. Cooperation with the afore mentioned state authorities has been </w:t>
      </w:r>
      <w:r w:rsidR="00A2491F">
        <w:rPr>
          <w:lang w:val="en-US"/>
        </w:rPr>
        <w:t>conducted</w:t>
      </w:r>
      <w:r w:rsidR="00A2491F" w:rsidRPr="00A519D0">
        <w:rPr>
          <w:lang w:val="en-US"/>
        </w:rPr>
        <w:t xml:space="preserve"> </w:t>
      </w:r>
      <w:r w:rsidRPr="00A519D0">
        <w:rPr>
          <w:lang w:val="en-US"/>
        </w:rPr>
        <w:t>at the level of principals and operative level between the authorized representatives of authorities.</w:t>
      </w:r>
    </w:p>
    <w:p w14:paraId="57E37F10" w14:textId="7DF9B0E8" w:rsidR="000B513A" w:rsidRPr="00A519D0" w:rsidRDefault="000B513A" w:rsidP="000B513A">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color w:val="222222"/>
          <w:lang w:val="en-US"/>
        </w:rPr>
      </w:pPr>
      <w:r w:rsidRPr="00A519D0">
        <w:rPr>
          <w:lang w:val="en-US"/>
        </w:rPr>
        <w:t xml:space="preserve">In 2021, the OMLP agreed to cooperate in four specialized investigative groups, which have been all established </w:t>
      </w:r>
      <w:proofErr w:type="gramStart"/>
      <w:r w:rsidRPr="00A519D0">
        <w:rPr>
          <w:lang w:val="en-US"/>
        </w:rPr>
        <w:t>later on</w:t>
      </w:r>
      <w:proofErr w:type="gramEnd"/>
      <w:r w:rsidRPr="00A519D0">
        <w:rPr>
          <w:lang w:val="en-US"/>
        </w:rPr>
        <w:t xml:space="preserve">. In all cases, the cooperation within those groups referred to the financial investigative group </w:t>
      </w:r>
      <w:proofErr w:type="gramStart"/>
      <w:r w:rsidRPr="00A519D0">
        <w:rPr>
          <w:lang w:val="en-US"/>
        </w:rPr>
        <w:t>on the basis of</w:t>
      </w:r>
      <w:proofErr w:type="gramEnd"/>
      <w:r w:rsidRPr="00A519D0">
        <w:rPr>
          <w:lang w:val="en-US"/>
        </w:rPr>
        <w:t xml:space="preserve"> Confiscation of Proceeds of Crime Act</w:t>
      </w:r>
      <w:r w:rsidRPr="00A519D0">
        <w:rPr>
          <w:color w:val="222222"/>
          <w:lang w:val="en-US"/>
        </w:rPr>
        <w:t xml:space="preserve">. Until </w:t>
      </w:r>
      <w:r w:rsidRPr="00A519D0">
        <w:rPr>
          <w:lang w:val="en-US"/>
        </w:rPr>
        <w:t xml:space="preserve">the end of 2021, OMLP altogether took an active role in 73 specialized groups (55 of them have been established </w:t>
      </w:r>
      <w:proofErr w:type="gramStart"/>
      <w:r w:rsidRPr="00A519D0">
        <w:rPr>
          <w:lang w:val="en-US"/>
        </w:rPr>
        <w:t>on the basis of</w:t>
      </w:r>
      <w:proofErr w:type="gramEnd"/>
      <w:r w:rsidRPr="00A519D0">
        <w:rPr>
          <w:lang w:val="en-US"/>
        </w:rPr>
        <w:t xml:space="preserve"> the afore mentioned act</w:t>
      </w:r>
      <w:r w:rsidRPr="00A519D0">
        <w:rPr>
          <w:color w:val="222222"/>
          <w:lang w:val="en-US"/>
        </w:rPr>
        <w:t xml:space="preserve">). We </w:t>
      </w:r>
      <w:r w:rsidR="00650A7E" w:rsidRPr="00A519D0">
        <w:rPr>
          <w:color w:val="222222"/>
          <w:lang w:val="en-US"/>
        </w:rPr>
        <w:t>assess</w:t>
      </w:r>
      <w:r w:rsidRPr="00A519D0">
        <w:rPr>
          <w:color w:val="222222"/>
          <w:lang w:val="en-US"/>
        </w:rPr>
        <w:t xml:space="preserve"> the cooperation with the Police as </w:t>
      </w:r>
      <w:r w:rsidR="00650A7E" w:rsidRPr="00A519D0">
        <w:rPr>
          <w:color w:val="222222"/>
          <w:lang w:val="en-US"/>
        </w:rPr>
        <w:t>successful</w:t>
      </w:r>
      <w:r w:rsidR="00A2491F">
        <w:rPr>
          <w:color w:val="222222"/>
          <w:lang w:val="en-US"/>
        </w:rPr>
        <w:t xml:space="preserve"> as </w:t>
      </w:r>
      <w:r w:rsidRPr="00A519D0">
        <w:rPr>
          <w:color w:val="222222"/>
          <w:lang w:val="en-US"/>
        </w:rPr>
        <w:t xml:space="preserve">it took place in concrete cases </w:t>
      </w:r>
      <w:proofErr w:type="gramStart"/>
      <w:r w:rsidRPr="00A519D0">
        <w:rPr>
          <w:color w:val="222222"/>
          <w:lang w:val="en-US"/>
        </w:rPr>
        <w:t>and also</w:t>
      </w:r>
      <w:proofErr w:type="gramEnd"/>
      <w:r w:rsidRPr="00A519D0">
        <w:rPr>
          <w:color w:val="222222"/>
          <w:lang w:val="en-US"/>
        </w:rPr>
        <w:t xml:space="preserve"> at joint trainings and trainings for obliged entities according to APML</w:t>
      </w:r>
      <w:r w:rsidR="00F34C7C" w:rsidRPr="00A519D0">
        <w:rPr>
          <w:color w:val="222222"/>
          <w:lang w:val="en-US"/>
        </w:rPr>
        <w:t>FT</w:t>
      </w:r>
      <w:r w:rsidRPr="00A519D0">
        <w:rPr>
          <w:color w:val="222222"/>
          <w:lang w:val="en-US"/>
        </w:rPr>
        <w:t>-1.</w:t>
      </w:r>
    </w:p>
    <w:p w14:paraId="7A8EE386" w14:textId="236EEFCA" w:rsidR="000B513A" w:rsidRPr="00A519D0" w:rsidRDefault="000B513A" w:rsidP="000B513A">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color w:val="222222"/>
          <w:lang w:val="en-US"/>
        </w:rPr>
      </w:pPr>
      <w:r w:rsidRPr="00A519D0">
        <w:rPr>
          <w:color w:val="222222"/>
          <w:lang w:val="en-US"/>
        </w:rPr>
        <w:t>The data received from the Police shows, that the Police in 20</w:t>
      </w:r>
      <w:r w:rsidR="004F187B" w:rsidRPr="00A519D0">
        <w:rPr>
          <w:color w:val="222222"/>
          <w:lang w:val="en-US"/>
        </w:rPr>
        <w:t>21</w:t>
      </w:r>
      <w:r w:rsidRPr="00A519D0">
        <w:rPr>
          <w:color w:val="222222"/>
          <w:lang w:val="en-US"/>
        </w:rPr>
        <w:t xml:space="preserve"> filed 4</w:t>
      </w:r>
      <w:r w:rsidR="00F34C7C" w:rsidRPr="00A519D0">
        <w:rPr>
          <w:color w:val="222222"/>
          <w:lang w:val="en-US"/>
        </w:rPr>
        <w:t>9</w:t>
      </w:r>
      <w:r w:rsidRPr="00A519D0">
        <w:rPr>
          <w:color w:val="222222"/>
          <w:lang w:val="en-US"/>
        </w:rPr>
        <w:t xml:space="preserve"> criminal complaints </w:t>
      </w:r>
      <w:r w:rsidR="004F187B" w:rsidRPr="00A519D0">
        <w:rPr>
          <w:color w:val="222222"/>
          <w:lang w:val="en-US"/>
        </w:rPr>
        <w:t xml:space="preserve">due to </w:t>
      </w:r>
      <w:r w:rsidR="00CF22D3">
        <w:rPr>
          <w:color w:val="222222"/>
          <w:lang w:val="en-US"/>
        </w:rPr>
        <w:t>reasonable</w:t>
      </w:r>
      <w:r w:rsidRPr="00A519D0">
        <w:rPr>
          <w:color w:val="222222"/>
          <w:lang w:val="en-US"/>
        </w:rPr>
        <w:t xml:space="preserve"> suspicion of committing the criminal offence of ML</w:t>
      </w:r>
      <w:r w:rsidR="00F34C7C" w:rsidRPr="00A519D0">
        <w:rPr>
          <w:color w:val="222222"/>
          <w:lang w:val="en-US"/>
        </w:rPr>
        <w:t>.</w:t>
      </w:r>
      <w:r w:rsidRPr="00A519D0">
        <w:rPr>
          <w:color w:val="222222"/>
          <w:lang w:val="en-US"/>
        </w:rPr>
        <w:t xml:space="preserve"> </w:t>
      </w:r>
      <w:r w:rsidR="00A2491F">
        <w:rPr>
          <w:color w:val="222222"/>
          <w:lang w:val="en-US"/>
        </w:rPr>
        <w:t>Thus, i</w:t>
      </w:r>
      <w:r w:rsidRPr="00A519D0">
        <w:rPr>
          <w:color w:val="222222"/>
          <w:lang w:val="en-US"/>
        </w:rPr>
        <w:t xml:space="preserve">n </w:t>
      </w:r>
      <w:r w:rsidR="00F34C7C" w:rsidRPr="00A519D0">
        <w:rPr>
          <w:color w:val="222222"/>
          <w:lang w:val="en-US"/>
        </w:rPr>
        <w:t>2021</w:t>
      </w:r>
      <w:r w:rsidRPr="00A519D0">
        <w:rPr>
          <w:color w:val="222222"/>
          <w:lang w:val="en-US"/>
        </w:rPr>
        <w:t xml:space="preserve"> the proceedings </w:t>
      </w:r>
      <w:r w:rsidR="004F187B" w:rsidRPr="00A519D0">
        <w:rPr>
          <w:color w:val="222222"/>
          <w:lang w:val="en-US"/>
        </w:rPr>
        <w:t xml:space="preserve">began </w:t>
      </w:r>
      <w:r w:rsidRPr="00A519D0">
        <w:rPr>
          <w:color w:val="222222"/>
          <w:lang w:val="en-US"/>
        </w:rPr>
        <w:t xml:space="preserve">in </w:t>
      </w:r>
      <w:r w:rsidR="00F34C7C" w:rsidRPr="00A519D0">
        <w:rPr>
          <w:color w:val="222222"/>
          <w:lang w:val="en-US"/>
        </w:rPr>
        <w:t>49</w:t>
      </w:r>
      <w:r w:rsidRPr="00A519D0">
        <w:rPr>
          <w:color w:val="222222"/>
          <w:lang w:val="en-US"/>
        </w:rPr>
        <w:t xml:space="preserve"> cases, where during the pre-</w:t>
      </w:r>
      <w:r w:rsidR="00A12698">
        <w:rPr>
          <w:color w:val="222222"/>
          <w:lang w:val="en-US"/>
        </w:rPr>
        <w:t>trial</w:t>
      </w:r>
      <w:r w:rsidRPr="00A519D0">
        <w:rPr>
          <w:color w:val="222222"/>
          <w:lang w:val="en-US"/>
        </w:rPr>
        <w:t xml:space="preserve"> or criminal </w:t>
      </w:r>
      <w:r w:rsidR="00A12698">
        <w:rPr>
          <w:color w:val="222222"/>
          <w:lang w:val="en-US"/>
        </w:rPr>
        <w:t>proceedings</w:t>
      </w:r>
      <w:r w:rsidRPr="00A519D0">
        <w:rPr>
          <w:color w:val="222222"/>
          <w:lang w:val="en-US"/>
        </w:rPr>
        <w:t xml:space="preserve">, the suspicions of committing the criminal offence of money laundering according to Article 245 of the Criminal Code, have been investigated.  </w:t>
      </w:r>
    </w:p>
    <w:p w14:paraId="65031C2B" w14:textId="6C148489" w:rsidR="006F551F" w:rsidRPr="00A519D0" w:rsidRDefault="00F34C7C" w:rsidP="006F551F">
      <w:pPr>
        <w:spacing w:line="276" w:lineRule="auto"/>
        <w:ind w:right="-22"/>
        <w:rPr>
          <w:iCs/>
          <w:lang w:val="en-US"/>
        </w:rPr>
      </w:pPr>
      <w:r w:rsidRPr="00A519D0">
        <w:rPr>
          <w:iCs/>
          <w:lang w:val="en-US"/>
        </w:rPr>
        <w:t>In the period</w:t>
      </w:r>
      <w:r w:rsidR="006F551F" w:rsidRPr="00A519D0">
        <w:rPr>
          <w:iCs/>
          <w:lang w:val="en-US"/>
        </w:rPr>
        <w:t xml:space="preserve"> 1995–2021</w:t>
      </w:r>
      <w:r w:rsidRPr="00A519D0">
        <w:rPr>
          <w:iCs/>
          <w:lang w:val="en-US"/>
        </w:rPr>
        <w:t xml:space="preserve">, </w:t>
      </w:r>
      <w:r w:rsidRPr="00A519D0">
        <w:rPr>
          <w:iCs/>
          <w:color w:val="000000" w:themeColor="text1"/>
          <w:lang w:val="en-US"/>
        </w:rPr>
        <w:t>716</w:t>
      </w:r>
      <w:r w:rsidR="006F551F" w:rsidRPr="00A519D0">
        <w:rPr>
          <w:iCs/>
          <w:lang w:val="en-US"/>
        </w:rPr>
        <w:t xml:space="preserve"> </w:t>
      </w:r>
      <w:r w:rsidRPr="00A519D0">
        <w:rPr>
          <w:color w:val="222222"/>
          <w:lang w:val="en-US"/>
        </w:rPr>
        <w:t>pre-</w:t>
      </w:r>
      <w:r w:rsidR="00A12698">
        <w:rPr>
          <w:color w:val="222222"/>
          <w:lang w:val="en-US"/>
        </w:rPr>
        <w:t>trial</w:t>
      </w:r>
      <w:r w:rsidR="00A12698" w:rsidRPr="00A519D0">
        <w:rPr>
          <w:color w:val="222222"/>
          <w:lang w:val="en-US"/>
        </w:rPr>
        <w:t xml:space="preserve"> </w:t>
      </w:r>
      <w:r w:rsidRPr="00A519D0">
        <w:rPr>
          <w:color w:val="222222"/>
          <w:lang w:val="en-US"/>
        </w:rPr>
        <w:t>or criminal proce</w:t>
      </w:r>
      <w:r w:rsidR="004F187B" w:rsidRPr="00A519D0">
        <w:rPr>
          <w:color w:val="222222"/>
          <w:lang w:val="en-US"/>
        </w:rPr>
        <w:t>edings</w:t>
      </w:r>
      <w:r w:rsidR="00267AD8" w:rsidRPr="00A519D0">
        <w:rPr>
          <w:color w:val="222222"/>
          <w:lang w:val="en-US"/>
        </w:rPr>
        <w:t xml:space="preserve"> have been introduced due to </w:t>
      </w:r>
      <w:r w:rsidR="007F2712">
        <w:rPr>
          <w:color w:val="222222"/>
          <w:lang w:val="en-US"/>
        </w:rPr>
        <w:t>grounds</w:t>
      </w:r>
      <w:r w:rsidR="007F2712" w:rsidRPr="00A519D0">
        <w:rPr>
          <w:color w:val="222222"/>
          <w:lang w:val="en-US"/>
        </w:rPr>
        <w:t xml:space="preserve"> </w:t>
      </w:r>
      <w:r w:rsidR="00267AD8" w:rsidRPr="00A519D0">
        <w:rPr>
          <w:color w:val="222222"/>
          <w:lang w:val="en-US"/>
        </w:rPr>
        <w:t xml:space="preserve">for suspicion of </w:t>
      </w:r>
      <w:r w:rsidRPr="00A519D0">
        <w:rPr>
          <w:color w:val="222222"/>
          <w:lang w:val="en-US"/>
        </w:rPr>
        <w:t>committing the criminal offence of money laundering</w:t>
      </w:r>
      <w:r w:rsidR="00267AD8" w:rsidRPr="00A519D0">
        <w:rPr>
          <w:color w:val="222222"/>
          <w:lang w:val="en-US"/>
        </w:rPr>
        <w:t>.</w:t>
      </w:r>
      <w:r w:rsidRPr="00A519D0">
        <w:rPr>
          <w:iCs/>
          <w:lang w:val="en-US"/>
        </w:rPr>
        <w:t xml:space="preserve"> </w:t>
      </w:r>
    </w:p>
    <w:p w14:paraId="3BF9D2E3" w14:textId="77777777" w:rsidR="006F551F" w:rsidRPr="00A519D0" w:rsidRDefault="006F551F" w:rsidP="006F551F">
      <w:pPr>
        <w:spacing w:line="276" w:lineRule="auto"/>
        <w:ind w:right="-22"/>
        <w:rPr>
          <w:lang w:val="en-US"/>
        </w:rPr>
      </w:pPr>
    </w:p>
    <w:p w14:paraId="0479681B" w14:textId="6A2D6DCF" w:rsidR="00B65A09" w:rsidRPr="00A519D0" w:rsidRDefault="00F34C7C" w:rsidP="00B65A09">
      <w:pPr>
        <w:pStyle w:val="Naslov2"/>
        <w:rPr>
          <w:lang w:val="en-US"/>
        </w:rPr>
      </w:pPr>
      <w:bookmarkStart w:id="15" w:name="_Toc119581705"/>
      <w:r w:rsidRPr="00A519D0">
        <w:rPr>
          <w:lang w:val="en-US"/>
        </w:rPr>
        <w:t xml:space="preserve">CRIMINAL OFFENCES AND </w:t>
      </w:r>
      <w:r w:rsidR="006A1459">
        <w:rPr>
          <w:lang w:val="en-US"/>
        </w:rPr>
        <w:t>THE IMPLEMENTATION</w:t>
      </w:r>
      <w:r w:rsidR="006A1459" w:rsidRPr="00A519D0">
        <w:rPr>
          <w:lang w:val="en-US"/>
        </w:rPr>
        <w:t xml:space="preserve"> </w:t>
      </w:r>
      <w:r w:rsidRPr="00A519D0">
        <w:rPr>
          <w:lang w:val="en-US"/>
        </w:rPr>
        <w:t xml:space="preserve">OF ARTICLE </w:t>
      </w:r>
      <w:r w:rsidR="00616213" w:rsidRPr="00A519D0">
        <w:rPr>
          <w:lang w:val="en-US"/>
        </w:rPr>
        <w:t>121</w:t>
      </w:r>
      <w:r w:rsidRPr="00A519D0">
        <w:rPr>
          <w:lang w:val="en-US"/>
        </w:rPr>
        <w:t xml:space="preserve"> OF APMLFT-1</w:t>
      </w:r>
      <w:r w:rsidR="00B65A09" w:rsidRPr="00A519D0">
        <w:rPr>
          <w:lang w:val="en-US"/>
        </w:rPr>
        <w:t xml:space="preserve"> </w:t>
      </w:r>
      <w:bookmarkEnd w:id="15"/>
    </w:p>
    <w:p w14:paraId="409B86FC" w14:textId="77777777" w:rsidR="00B65A09" w:rsidRPr="00A519D0" w:rsidRDefault="00B65A09" w:rsidP="00B65A09">
      <w:pPr>
        <w:rPr>
          <w:lang w:val="en-US"/>
        </w:rPr>
      </w:pPr>
    </w:p>
    <w:p w14:paraId="2C8C1F24" w14:textId="53110F52" w:rsidR="00F34C7C" w:rsidRPr="00A519D0" w:rsidRDefault="00F34C7C" w:rsidP="00F34C7C">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left="31" w:right="-22"/>
        <w:rPr>
          <w:lang w:val="en-US"/>
        </w:rPr>
      </w:pPr>
      <w:r w:rsidRPr="00A519D0">
        <w:rPr>
          <w:lang w:val="en-US"/>
        </w:rPr>
        <w:t>Article 121 of APMLFT-1 determines that due to centralization and analysis of all data related to money laundering, courts, State Prosecutors</w:t>
      </w:r>
      <w:r w:rsidR="00D86119">
        <w:rPr>
          <w:lang w:val="en-US"/>
        </w:rPr>
        <w:t>’</w:t>
      </w:r>
      <w:r w:rsidRPr="00A519D0">
        <w:rPr>
          <w:lang w:val="en-US"/>
        </w:rPr>
        <w:t xml:space="preserve"> </w:t>
      </w:r>
      <w:proofErr w:type="gramStart"/>
      <w:r w:rsidRPr="00A519D0">
        <w:rPr>
          <w:lang w:val="en-US"/>
        </w:rPr>
        <w:t>Offices</w:t>
      </w:r>
      <w:proofErr w:type="gramEnd"/>
      <w:r w:rsidRPr="00A519D0">
        <w:rPr>
          <w:lang w:val="en-US"/>
        </w:rPr>
        <w:t xml:space="preserve"> and other state authorities are obliged to forward to the OMLP data on criminal offences on money laundering and violations of APMLFT-1. </w:t>
      </w:r>
      <w:proofErr w:type="gramStart"/>
      <w:r w:rsidRPr="00A519D0">
        <w:rPr>
          <w:lang w:val="en-US"/>
        </w:rPr>
        <w:t>On the basis of</w:t>
      </w:r>
      <w:proofErr w:type="gramEnd"/>
      <w:r w:rsidRPr="00A519D0">
        <w:rPr>
          <w:lang w:val="en-US"/>
        </w:rPr>
        <w:t xml:space="preserve"> this article, the state authorities are obliged to currently forward certain data to the OMLP and annually inform the OMLP on their findings referring to the received notifications and information and State Prosecutors</w:t>
      </w:r>
      <w:r w:rsidR="00D86119">
        <w:rPr>
          <w:lang w:val="en-US"/>
        </w:rPr>
        <w:t>’</w:t>
      </w:r>
      <w:r w:rsidRPr="00A519D0">
        <w:rPr>
          <w:lang w:val="en-US"/>
        </w:rPr>
        <w:t xml:space="preserve"> Offices and courts on persons and procedures, against whom the </w:t>
      </w:r>
      <w:r w:rsidR="00A12698">
        <w:rPr>
          <w:lang w:val="en-US"/>
        </w:rPr>
        <w:t>pre-trial</w:t>
      </w:r>
      <w:r w:rsidRPr="00A519D0">
        <w:rPr>
          <w:lang w:val="en-US"/>
        </w:rPr>
        <w:t>, criminal or administrative proceedings have been introduced.</w:t>
      </w:r>
    </w:p>
    <w:p w14:paraId="05B2DAC4" w14:textId="77777777" w:rsidR="002B214C" w:rsidRPr="00A519D0" w:rsidRDefault="002B214C" w:rsidP="002B214C">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bCs/>
          <w:lang w:val="en-US"/>
        </w:rPr>
      </w:pPr>
      <w:r w:rsidRPr="00A519D0">
        <w:rPr>
          <w:bCs/>
          <w:lang w:val="en-US"/>
        </w:rPr>
        <w:t>In 2021, the Police filed criminal reports or started criminal proceedings in 49 cases (within their competences).</w:t>
      </w:r>
    </w:p>
    <w:p w14:paraId="1993EE6C" w14:textId="738B6F3A" w:rsidR="00A97A4E" w:rsidRPr="00D86119" w:rsidRDefault="00A97A4E" w:rsidP="00D86119">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bCs/>
          <w:lang w:val="en-US"/>
        </w:rPr>
      </w:pPr>
      <w:r w:rsidRPr="00A519D0">
        <w:rPr>
          <w:lang w:val="en-US"/>
        </w:rPr>
        <w:t>In 2021</w:t>
      </w:r>
      <w:r w:rsidR="00267AD8" w:rsidRPr="00A519D0">
        <w:rPr>
          <w:lang w:val="en-US"/>
        </w:rPr>
        <w:t xml:space="preserve">, </w:t>
      </w:r>
      <w:r w:rsidRPr="00D86119">
        <w:rPr>
          <w:bCs/>
          <w:lang w:val="en-US"/>
        </w:rPr>
        <w:t xml:space="preserve">the </w:t>
      </w:r>
      <w:r w:rsidR="00267AD8" w:rsidRPr="00D86119">
        <w:rPr>
          <w:bCs/>
          <w:lang w:val="en-US"/>
        </w:rPr>
        <w:t>numb</w:t>
      </w:r>
      <w:r w:rsidRPr="00D86119">
        <w:rPr>
          <w:bCs/>
          <w:lang w:val="en-US"/>
        </w:rPr>
        <w:t>er of new pre-</w:t>
      </w:r>
      <w:r w:rsidR="00C5682E">
        <w:rPr>
          <w:bCs/>
          <w:lang w:val="en-US"/>
        </w:rPr>
        <w:t>trial</w:t>
      </w:r>
      <w:r w:rsidR="00267AD8" w:rsidRPr="00D86119">
        <w:rPr>
          <w:bCs/>
          <w:lang w:val="en-US"/>
        </w:rPr>
        <w:t xml:space="preserve"> </w:t>
      </w:r>
      <w:r w:rsidRPr="00D86119">
        <w:rPr>
          <w:bCs/>
          <w:lang w:val="en-US"/>
        </w:rPr>
        <w:t>or criminal proce</w:t>
      </w:r>
      <w:r w:rsidR="00267AD8" w:rsidRPr="00D86119">
        <w:rPr>
          <w:bCs/>
          <w:lang w:val="en-US"/>
        </w:rPr>
        <w:t>edings</w:t>
      </w:r>
      <w:r w:rsidRPr="00D86119">
        <w:rPr>
          <w:bCs/>
          <w:lang w:val="en-US"/>
        </w:rPr>
        <w:t xml:space="preserve"> increased from 31 to 49 procedures</w:t>
      </w:r>
      <w:r w:rsidR="00267AD8" w:rsidRPr="00D86119">
        <w:rPr>
          <w:bCs/>
          <w:lang w:val="en-US"/>
        </w:rPr>
        <w:t xml:space="preserve"> in comparison with the last year</w:t>
      </w:r>
      <w:r w:rsidRPr="00D86119">
        <w:rPr>
          <w:bCs/>
          <w:lang w:val="en-US"/>
        </w:rPr>
        <w:t>, which represent</w:t>
      </w:r>
      <w:r w:rsidR="00267AD8" w:rsidRPr="00D86119">
        <w:rPr>
          <w:bCs/>
          <w:lang w:val="en-US"/>
        </w:rPr>
        <w:t>ed</w:t>
      </w:r>
      <w:r w:rsidRPr="00D86119">
        <w:rPr>
          <w:bCs/>
          <w:lang w:val="en-US"/>
        </w:rPr>
        <w:t xml:space="preserve"> 80% of </w:t>
      </w:r>
      <w:r w:rsidR="00267AD8" w:rsidRPr="00D86119">
        <w:rPr>
          <w:bCs/>
          <w:lang w:val="en-US"/>
        </w:rPr>
        <w:t xml:space="preserve">the </w:t>
      </w:r>
      <w:r w:rsidRPr="00D86119">
        <w:rPr>
          <w:bCs/>
          <w:lang w:val="en-US"/>
        </w:rPr>
        <w:t xml:space="preserve">average number of new procedures from the period 2010-2015, when the average number of new procedures </w:t>
      </w:r>
      <w:r w:rsidR="00267AD8" w:rsidRPr="00D86119">
        <w:rPr>
          <w:bCs/>
          <w:lang w:val="en-US"/>
        </w:rPr>
        <w:t>was up</w:t>
      </w:r>
      <w:r w:rsidRPr="00D86119">
        <w:rPr>
          <w:bCs/>
          <w:lang w:val="en-US"/>
        </w:rPr>
        <w:t xml:space="preserve"> to 60.</w:t>
      </w:r>
    </w:p>
    <w:p w14:paraId="12A09CA5" w14:textId="25E7F4F4" w:rsidR="00A97A4E" w:rsidRPr="00A519D0" w:rsidRDefault="002B214C" w:rsidP="00A97A4E">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bCs/>
          <w:lang w:val="en-US"/>
        </w:rPr>
      </w:pPr>
      <w:r w:rsidRPr="00D86119">
        <w:rPr>
          <w:bCs/>
          <w:lang w:val="en-US"/>
        </w:rPr>
        <w:t>In the last eig</w:t>
      </w:r>
      <w:r w:rsidR="00A97A4E" w:rsidRPr="00D86119">
        <w:rPr>
          <w:bCs/>
          <w:lang w:val="en-US"/>
        </w:rPr>
        <w:t>ht years</w:t>
      </w:r>
      <w:r w:rsidR="00267AD8" w:rsidRPr="00D86119">
        <w:rPr>
          <w:bCs/>
          <w:lang w:val="en-US"/>
        </w:rPr>
        <w:t>,</w:t>
      </w:r>
      <w:r w:rsidR="00A97A4E" w:rsidRPr="00D86119">
        <w:rPr>
          <w:bCs/>
          <w:lang w:val="en-US"/>
        </w:rPr>
        <w:t xml:space="preserve"> 451 new pre-</w:t>
      </w:r>
      <w:r w:rsidR="00C5682E">
        <w:rPr>
          <w:bCs/>
          <w:lang w:val="en-US"/>
        </w:rPr>
        <w:t>trial</w:t>
      </w:r>
      <w:r w:rsidR="00A97A4E" w:rsidRPr="00D86119">
        <w:rPr>
          <w:bCs/>
          <w:lang w:val="en-US"/>
        </w:rPr>
        <w:t xml:space="preserve"> or criminal proce</w:t>
      </w:r>
      <w:r w:rsidR="00267AD8" w:rsidRPr="00D86119">
        <w:rPr>
          <w:bCs/>
          <w:lang w:val="en-US"/>
        </w:rPr>
        <w:t>edings</w:t>
      </w:r>
      <w:r w:rsidR="00A97A4E" w:rsidRPr="00D86119">
        <w:rPr>
          <w:bCs/>
          <w:lang w:val="en-US"/>
        </w:rPr>
        <w:t xml:space="preserve"> related to ML </w:t>
      </w:r>
      <w:r w:rsidR="00267AD8" w:rsidRPr="00D86119">
        <w:rPr>
          <w:bCs/>
          <w:lang w:val="en-US"/>
        </w:rPr>
        <w:t>have been introduced</w:t>
      </w:r>
      <w:r w:rsidR="00A97A4E" w:rsidRPr="00D86119">
        <w:rPr>
          <w:bCs/>
          <w:lang w:val="en-US"/>
        </w:rPr>
        <w:t xml:space="preserve">, which </w:t>
      </w:r>
      <w:r w:rsidR="00267AD8" w:rsidRPr="00D86119">
        <w:rPr>
          <w:bCs/>
          <w:lang w:val="en-US"/>
        </w:rPr>
        <w:t>was</w:t>
      </w:r>
      <w:r w:rsidR="00A97A4E" w:rsidRPr="00D86119">
        <w:rPr>
          <w:bCs/>
          <w:lang w:val="en-US"/>
        </w:rPr>
        <w:t xml:space="preserve"> more than half of all 685 proceedings on criminal offences on money laundering</w:t>
      </w:r>
      <w:r w:rsidR="00A97A4E" w:rsidRPr="00A519D0">
        <w:rPr>
          <w:bCs/>
          <w:lang w:val="en-US"/>
        </w:rPr>
        <w:t xml:space="preserve"> introduced since 1995. </w:t>
      </w:r>
    </w:p>
    <w:p w14:paraId="13CEE92D" w14:textId="77777777" w:rsidR="00F34C7C" w:rsidRPr="00A519D0" w:rsidRDefault="00F34C7C" w:rsidP="006F551F">
      <w:pPr>
        <w:spacing w:line="276" w:lineRule="auto"/>
        <w:ind w:right="-22"/>
        <w:rPr>
          <w:lang w:val="en-US"/>
        </w:rPr>
      </w:pPr>
    </w:p>
    <w:p w14:paraId="4CFC5130" w14:textId="77777777" w:rsidR="00373ABE" w:rsidRPr="00A519D0" w:rsidRDefault="00373ABE" w:rsidP="006F551F">
      <w:pPr>
        <w:pStyle w:val="Telobesedila"/>
        <w:spacing w:line="276" w:lineRule="auto"/>
        <w:ind w:right="-22"/>
        <w:rPr>
          <w:rFonts w:ascii="Arial" w:hAnsi="Arial"/>
          <w:sz w:val="20"/>
          <w:lang w:val="en-US"/>
        </w:rPr>
      </w:pPr>
    </w:p>
    <w:p w14:paraId="2BC8F1A9" w14:textId="2C0AA2FB" w:rsidR="00B65A09" w:rsidRPr="00A519D0" w:rsidRDefault="00AF18C5" w:rsidP="00B65A09">
      <w:pPr>
        <w:pStyle w:val="Naslov3"/>
        <w:rPr>
          <w:lang w:val="en-US"/>
        </w:rPr>
      </w:pPr>
      <w:bookmarkStart w:id="16" w:name="_Toc119581706"/>
      <w:r w:rsidRPr="00A519D0">
        <w:rPr>
          <w:lang w:val="en-US"/>
        </w:rPr>
        <w:lastRenderedPageBreak/>
        <w:t>Statistical data of Police on criminal offences of money laundering</w:t>
      </w:r>
      <w:bookmarkEnd w:id="16"/>
    </w:p>
    <w:p w14:paraId="56EBB6C9" w14:textId="77777777" w:rsidR="00B65A09" w:rsidRPr="00A519D0" w:rsidRDefault="00B65A09" w:rsidP="00B65A09">
      <w:pPr>
        <w:rPr>
          <w:lang w:val="en-US"/>
        </w:rPr>
      </w:pPr>
    </w:p>
    <w:p w14:paraId="67DF8FFA" w14:textId="7F1FD0A3" w:rsidR="00A97A4E" w:rsidRPr="00A519D0" w:rsidRDefault="00A97A4E" w:rsidP="00B37015">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lang w:val="en-US"/>
        </w:rPr>
      </w:pPr>
      <w:r w:rsidRPr="00A519D0">
        <w:rPr>
          <w:lang w:val="en-US"/>
        </w:rPr>
        <w:t xml:space="preserve">On the basis of data on filed criminal reports, that </w:t>
      </w:r>
      <w:r w:rsidR="00D86119" w:rsidRPr="00A519D0">
        <w:rPr>
          <w:lang w:val="en-US"/>
        </w:rPr>
        <w:t xml:space="preserve">the Police </w:t>
      </w:r>
      <w:r w:rsidRPr="00A519D0">
        <w:rPr>
          <w:lang w:val="en-US"/>
        </w:rPr>
        <w:t xml:space="preserve">has to </w:t>
      </w:r>
      <w:r w:rsidR="00D86119" w:rsidRPr="00A519D0">
        <w:rPr>
          <w:lang w:val="en-US"/>
        </w:rPr>
        <w:t>sen</w:t>
      </w:r>
      <w:r w:rsidR="00D86119">
        <w:rPr>
          <w:lang w:val="en-US"/>
        </w:rPr>
        <w:t>d</w:t>
      </w:r>
      <w:r w:rsidR="00D86119" w:rsidRPr="00A519D0">
        <w:rPr>
          <w:lang w:val="en-US"/>
        </w:rPr>
        <w:t xml:space="preserve"> </w:t>
      </w:r>
      <w:r w:rsidR="00D86119">
        <w:rPr>
          <w:lang w:val="en-US"/>
        </w:rPr>
        <w:t xml:space="preserve">promptly </w:t>
      </w:r>
      <w:r w:rsidRPr="00A519D0">
        <w:rPr>
          <w:lang w:val="en-US"/>
        </w:rPr>
        <w:t xml:space="preserve">to </w:t>
      </w:r>
      <w:r w:rsidR="00D86119">
        <w:rPr>
          <w:lang w:val="en-US"/>
        </w:rPr>
        <w:t xml:space="preserve">the </w:t>
      </w:r>
      <w:proofErr w:type="gramStart"/>
      <w:r w:rsidRPr="00A519D0">
        <w:rPr>
          <w:lang w:val="en-US"/>
        </w:rPr>
        <w:t>OMLP ,</w:t>
      </w:r>
      <w:proofErr w:type="gramEnd"/>
      <w:r w:rsidRPr="00A519D0">
        <w:rPr>
          <w:lang w:val="en-US"/>
        </w:rPr>
        <w:t xml:space="preserve"> </w:t>
      </w:r>
      <w:r w:rsidR="00D86119">
        <w:rPr>
          <w:lang w:val="en-US"/>
        </w:rPr>
        <w:t xml:space="preserve">it </w:t>
      </w:r>
      <w:r w:rsidRPr="00A519D0">
        <w:rPr>
          <w:lang w:val="en-US"/>
        </w:rPr>
        <w:t>can be seen that in 2021 the Police filed 4</w:t>
      </w:r>
      <w:r w:rsidR="00B37015" w:rsidRPr="00A519D0">
        <w:rPr>
          <w:lang w:val="en-US"/>
        </w:rPr>
        <w:t>9</w:t>
      </w:r>
      <w:r w:rsidRPr="00A519D0">
        <w:rPr>
          <w:lang w:val="en-US"/>
        </w:rPr>
        <w:t xml:space="preserve"> criminal complaints for the criminal offence of money laundering - </w:t>
      </w:r>
      <w:r w:rsidR="00B37015" w:rsidRPr="00A519D0">
        <w:rPr>
          <w:lang w:val="en-US"/>
        </w:rPr>
        <w:t>30</w:t>
      </w:r>
      <w:r w:rsidRPr="00A519D0">
        <w:rPr>
          <w:lang w:val="en-US"/>
        </w:rPr>
        <w:t xml:space="preserve"> </w:t>
      </w:r>
      <w:r w:rsidR="00267AD8" w:rsidRPr="00A519D0">
        <w:rPr>
          <w:lang w:val="en-US"/>
        </w:rPr>
        <w:t xml:space="preserve">of them contained </w:t>
      </w:r>
      <w:r w:rsidRPr="00A519D0">
        <w:rPr>
          <w:lang w:val="en-US"/>
        </w:rPr>
        <w:t xml:space="preserve">the information, forwarded to the Police by </w:t>
      </w:r>
      <w:r w:rsidR="00D86119">
        <w:rPr>
          <w:lang w:val="en-US"/>
        </w:rPr>
        <w:t xml:space="preserve">the </w:t>
      </w:r>
      <w:r w:rsidRPr="00A519D0">
        <w:rPr>
          <w:lang w:val="en-US"/>
        </w:rPr>
        <w:t xml:space="preserve">OMLP.  </w:t>
      </w:r>
    </w:p>
    <w:p w14:paraId="38A9A04D" w14:textId="1F976552" w:rsidR="00B37015" w:rsidRPr="00A519D0" w:rsidRDefault="00B37015" w:rsidP="00597A8E">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bCs/>
          <w:lang w:val="en-US"/>
        </w:rPr>
      </w:pPr>
      <w:r w:rsidRPr="00A519D0">
        <w:rPr>
          <w:bCs/>
          <w:lang w:val="en-US"/>
        </w:rPr>
        <w:t xml:space="preserve">In the period 2010-2021, the Police </w:t>
      </w:r>
      <w:r w:rsidR="00267AD8" w:rsidRPr="00A519D0">
        <w:rPr>
          <w:bCs/>
          <w:lang w:val="en-US"/>
        </w:rPr>
        <w:t>f</w:t>
      </w:r>
      <w:r w:rsidRPr="00A519D0">
        <w:rPr>
          <w:bCs/>
          <w:lang w:val="en-US"/>
        </w:rPr>
        <w:t xml:space="preserve">iled </w:t>
      </w:r>
      <w:r w:rsidR="00267AD8" w:rsidRPr="00A519D0">
        <w:rPr>
          <w:bCs/>
          <w:lang w:val="en-US"/>
        </w:rPr>
        <w:t xml:space="preserve">altogether </w:t>
      </w:r>
      <w:r w:rsidRPr="00A519D0">
        <w:rPr>
          <w:bCs/>
          <w:lang w:val="en-US"/>
        </w:rPr>
        <w:t xml:space="preserve">510 criminal reports due to </w:t>
      </w:r>
      <w:r w:rsidR="00663E3E">
        <w:rPr>
          <w:bCs/>
          <w:lang w:val="en-US"/>
        </w:rPr>
        <w:t>reasonable</w:t>
      </w:r>
      <w:r w:rsidRPr="00A519D0">
        <w:rPr>
          <w:bCs/>
          <w:lang w:val="en-US"/>
        </w:rPr>
        <w:t xml:space="preserve"> suspicion of committing the criminal offence of money laundering, which was 74,45% of all introduced proce</w:t>
      </w:r>
      <w:r w:rsidR="00267AD8" w:rsidRPr="00A519D0">
        <w:rPr>
          <w:bCs/>
          <w:lang w:val="en-US"/>
        </w:rPr>
        <w:t>edings</w:t>
      </w:r>
      <w:r w:rsidRPr="00A519D0">
        <w:rPr>
          <w:bCs/>
          <w:lang w:val="en-US"/>
        </w:rPr>
        <w:t xml:space="preserve"> (685) </w:t>
      </w:r>
      <w:proofErr w:type="gramStart"/>
      <w:r w:rsidRPr="00A519D0">
        <w:rPr>
          <w:bCs/>
          <w:lang w:val="en-US"/>
        </w:rPr>
        <w:t>with regard to</w:t>
      </w:r>
      <w:proofErr w:type="gramEnd"/>
      <w:r w:rsidRPr="00A519D0">
        <w:rPr>
          <w:bCs/>
          <w:lang w:val="en-US"/>
        </w:rPr>
        <w:t xml:space="preserve"> money laundering in this period. Other proce</w:t>
      </w:r>
      <w:r w:rsidR="00267AD8" w:rsidRPr="00A519D0">
        <w:rPr>
          <w:bCs/>
          <w:lang w:val="en-US"/>
        </w:rPr>
        <w:t>edings</w:t>
      </w:r>
      <w:r w:rsidRPr="00A519D0">
        <w:rPr>
          <w:bCs/>
          <w:lang w:val="en-US"/>
        </w:rPr>
        <w:t xml:space="preserve"> were introduced by the State </w:t>
      </w:r>
      <w:r w:rsidR="00650A7E" w:rsidRPr="00A519D0">
        <w:rPr>
          <w:bCs/>
          <w:lang w:val="en-US"/>
        </w:rPr>
        <w:t>Prosecutor</w:t>
      </w:r>
      <w:r w:rsidR="00267AD8" w:rsidRPr="00A519D0">
        <w:rPr>
          <w:bCs/>
          <w:lang w:val="en-US"/>
        </w:rPr>
        <w:t>`</w:t>
      </w:r>
      <w:r w:rsidR="00650A7E" w:rsidRPr="00A519D0">
        <w:rPr>
          <w:bCs/>
          <w:lang w:val="en-US"/>
        </w:rPr>
        <w:t>s</w:t>
      </w:r>
      <w:r w:rsidRPr="00A519D0">
        <w:rPr>
          <w:bCs/>
          <w:lang w:val="en-US"/>
        </w:rPr>
        <w:t xml:space="preserve"> Office independently or from other criminal </w:t>
      </w:r>
      <w:r w:rsidR="00650A7E" w:rsidRPr="00A519D0">
        <w:rPr>
          <w:bCs/>
          <w:lang w:val="en-US"/>
        </w:rPr>
        <w:t>proce</w:t>
      </w:r>
      <w:r w:rsidR="00267AD8" w:rsidRPr="00A519D0">
        <w:rPr>
          <w:bCs/>
          <w:lang w:val="en-US"/>
        </w:rPr>
        <w:t>edings</w:t>
      </w:r>
      <w:r w:rsidRPr="00A519D0">
        <w:rPr>
          <w:bCs/>
          <w:lang w:val="en-US"/>
        </w:rPr>
        <w:t xml:space="preserve">. The number of </w:t>
      </w:r>
      <w:r w:rsidR="00267AD8" w:rsidRPr="00A519D0">
        <w:rPr>
          <w:bCs/>
          <w:lang w:val="en-US"/>
        </w:rPr>
        <w:t xml:space="preserve">Police`s </w:t>
      </w:r>
      <w:r w:rsidRPr="00A519D0">
        <w:rPr>
          <w:bCs/>
          <w:lang w:val="en-US"/>
        </w:rPr>
        <w:t xml:space="preserve">criminal reports </w:t>
      </w:r>
      <w:r w:rsidR="00267AD8" w:rsidRPr="00A519D0">
        <w:rPr>
          <w:bCs/>
          <w:lang w:val="en-US"/>
        </w:rPr>
        <w:t xml:space="preserve">filed due to </w:t>
      </w:r>
      <w:r w:rsidR="00663E3E">
        <w:rPr>
          <w:bCs/>
          <w:lang w:val="en-US"/>
        </w:rPr>
        <w:t>reasonable</w:t>
      </w:r>
      <w:r w:rsidR="00663E3E" w:rsidRPr="00A519D0">
        <w:rPr>
          <w:bCs/>
          <w:lang w:val="en-US"/>
        </w:rPr>
        <w:t xml:space="preserve"> ground</w:t>
      </w:r>
      <w:r w:rsidR="00663E3E">
        <w:rPr>
          <w:bCs/>
          <w:lang w:val="en-US"/>
        </w:rPr>
        <w:t>s for</w:t>
      </w:r>
      <w:r w:rsidR="00663E3E" w:rsidRPr="00A519D0">
        <w:rPr>
          <w:bCs/>
          <w:lang w:val="en-US"/>
        </w:rPr>
        <w:t xml:space="preserve"> </w:t>
      </w:r>
      <w:r w:rsidR="00267AD8" w:rsidRPr="00A519D0">
        <w:rPr>
          <w:bCs/>
          <w:lang w:val="en-US"/>
        </w:rPr>
        <w:t xml:space="preserve">suspicion of committing the criminal offence of money laundering </w:t>
      </w:r>
      <w:r w:rsidRPr="00A519D0">
        <w:rPr>
          <w:bCs/>
          <w:lang w:val="en-US"/>
        </w:rPr>
        <w:t xml:space="preserve">in years of the period 2010-2020 are </w:t>
      </w:r>
      <w:r w:rsidR="00597A8E" w:rsidRPr="00A519D0">
        <w:rPr>
          <w:bCs/>
          <w:lang w:val="en-US"/>
        </w:rPr>
        <w:t>shown in the graph below.</w:t>
      </w:r>
    </w:p>
    <w:p w14:paraId="0EEB565F" w14:textId="77777777" w:rsidR="006F551F" w:rsidRPr="00A519D0" w:rsidRDefault="006F551F" w:rsidP="006F551F">
      <w:pPr>
        <w:pStyle w:val="Telobesedila"/>
        <w:spacing w:line="276" w:lineRule="auto"/>
        <w:ind w:right="-22"/>
        <w:rPr>
          <w:rFonts w:ascii="Arial" w:hAnsi="Arial"/>
          <w:sz w:val="20"/>
          <w:lang w:val="en-US"/>
        </w:rPr>
      </w:pPr>
    </w:p>
    <w:p w14:paraId="755D2777" w14:textId="1AC5CEBC" w:rsidR="006F551F" w:rsidRPr="00A519D0" w:rsidRDefault="00597A8E" w:rsidP="007B0E26">
      <w:pPr>
        <w:spacing w:line="276" w:lineRule="auto"/>
        <w:ind w:left="709" w:right="-22" w:hanging="709"/>
        <w:rPr>
          <w:b/>
          <w:i/>
          <w:iCs/>
          <w:sz w:val="18"/>
          <w:szCs w:val="18"/>
          <w:lang w:val="en-US"/>
        </w:rPr>
      </w:pPr>
      <w:r w:rsidRPr="00A519D0">
        <w:rPr>
          <w:b/>
          <w:bCs/>
          <w:i/>
          <w:iCs/>
          <w:sz w:val="18"/>
          <w:szCs w:val="18"/>
          <w:lang w:val="en-US"/>
        </w:rPr>
        <w:t>Graph</w:t>
      </w:r>
      <w:r w:rsidR="006F551F" w:rsidRPr="00A519D0">
        <w:rPr>
          <w:b/>
          <w:bCs/>
          <w:i/>
          <w:iCs/>
          <w:sz w:val="18"/>
          <w:szCs w:val="18"/>
          <w:lang w:val="en-US"/>
        </w:rPr>
        <w:t xml:space="preserve"> </w:t>
      </w:r>
      <w:r w:rsidR="00291E84" w:rsidRPr="00A519D0">
        <w:rPr>
          <w:b/>
          <w:bCs/>
          <w:i/>
          <w:iCs/>
          <w:sz w:val="18"/>
          <w:szCs w:val="18"/>
          <w:lang w:val="en-US"/>
        </w:rPr>
        <w:t>1</w:t>
      </w:r>
      <w:r w:rsidR="006F551F" w:rsidRPr="00A519D0">
        <w:rPr>
          <w:b/>
          <w:bCs/>
          <w:i/>
          <w:iCs/>
          <w:sz w:val="18"/>
          <w:szCs w:val="18"/>
          <w:lang w:val="en-US"/>
        </w:rPr>
        <w:t xml:space="preserve">: </w:t>
      </w:r>
      <w:r w:rsidR="00267AD8" w:rsidRPr="00A519D0">
        <w:rPr>
          <w:b/>
          <w:i/>
          <w:iCs/>
          <w:lang w:val="en-US"/>
        </w:rPr>
        <w:t>N</w:t>
      </w:r>
      <w:r w:rsidRPr="00A519D0">
        <w:rPr>
          <w:b/>
          <w:i/>
          <w:iCs/>
          <w:lang w:val="en-US"/>
        </w:rPr>
        <w:t xml:space="preserve">umber of filed criminal reports due to </w:t>
      </w:r>
      <w:r w:rsidR="00663E3E">
        <w:rPr>
          <w:b/>
          <w:i/>
          <w:iCs/>
          <w:lang w:val="en-US"/>
        </w:rPr>
        <w:t>reasonable</w:t>
      </w:r>
      <w:r w:rsidR="00663E3E" w:rsidRPr="00A519D0">
        <w:rPr>
          <w:b/>
          <w:i/>
          <w:iCs/>
          <w:lang w:val="en-US"/>
        </w:rPr>
        <w:t xml:space="preserve"> ground</w:t>
      </w:r>
      <w:r w:rsidR="00663E3E">
        <w:rPr>
          <w:b/>
          <w:i/>
          <w:iCs/>
          <w:lang w:val="en-US"/>
        </w:rPr>
        <w:t>s for</w:t>
      </w:r>
      <w:r w:rsidR="00663E3E" w:rsidRPr="00A519D0">
        <w:rPr>
          <w:b/>
          <w:i/>
          <w:iCs/>
          <w:lang w:val="en-US"/>
        </w:rPr>
        <w:t xml:space="preserve"> </w:t>
      </w:r>
      <w:r w:rsidRPr="00A519D0">
        <w:rPr>
          <w:b/>
          <w:i/>
          <w:iCs/>
          <w:lang w:val="en-US"/>
        </w:rPr>
        <w:t xml:space="preserve">suspicion of committing the criminal offence of money </w:t>
      </w:r>
      <w:proofErr w:type="gramStart"/>
      <w:r w:rsidRPr="00A519D0">
        <w:rPr>
          <w:b/>
          <w:i/>
          <w:iCs/>
          <w:lang w:val="en-US"/>
        </w:rPr>
        <w:t xml:space="preserve">laundering  </w:t>
      </w:r>
      <w:r w:rsidR="00267AD8" w:rsidRPr="00A519D0">
        <w:rPr>
          <w:b/>
          <w:i/>
          <w:iCs/>
          <w:lang w:val="en-US"/>
        </w:rPr>
        <w:t>for</w:t>
      </w:r>
      <w:proofErr w:type="gramEnd"/>
      <w:r w:rsidRPr="00A519D0">
        <w:rPr>
          <w:b/>
          <w:i/>
          <w:iCs/>
          <w:lang w:val="en-US"/>
        </w:rPr>
        <w:t xml:space="preserve"> the period </w:t>
      </w:r>
      <w:r w:rsidR="006F551F" w:rsidRPr="00A519D0">
        <w:rPr>
          <w:b/>
          <w:i/>
          <w:iCs/>
          <w:sz w:val="18"/>
          <w:szCs w:val="18"/>
          <w:lang w:val="en-US"/>
        </w:rPr>
        <w:t>2011–2021</w:t>
      </w:r>
    </w:p>
    <w:p w14:paraId="7E20BB19" w14:textId="29620FC1" w:rsidR="00CF2B6E" w:rsidRPr="00A519D0" w:rsidRDefault="00CF2B6E" w:rsidP="007B0E26">
      <w:pPr>
        <w:spacing w:line="276" w:lineRule="auto"/>
        <w:ind w:left="709" w:right="-22" w:hanging="709"/>
        <w:rPr>
          <w:b/>
          <w:bCs/>
          <w:i/>
          <w:iCs/>
          <w:sz w:val="18"/>
          <w:szCs w:val="18"/>
          <w:lang w:val="en-US"/>
        </w:rPr>
      </w:pPr>
      <w:r w:rsidRPr="00A519D0">
        <w:rPr>
          <w:noProof/>
          <w:lang w:val="en-US" w:eastAsia="en-GB"/>
        </w:rPr>
        <w:drawing>
          <wp:inline distT="0" distB="0" distL="0" distR="0" wp14:anchorId="32033475" wp14:editId="31BFC7EF">
            <wp:extent cx="5760720" cy="3853957"/>
            <wp:effectExtent l="0" t="0" r="0" b="0"/>
            <wp:docPr id="2" name="Slika 2" descr="Number of filed criminal reports due to reasonable grounds for suspicion of committing the criminal offence of money laundering  for the period 201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Number of filed criminal reports due to reasonable grounds for suspicion of committing the criminal offence of money laundering  for the period 2011–20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53957"/>
                    </a:xfrm>
                    <a:prstGeom prst="rect">
                      <a:avLst/>
                    </a:prstGeom>
                    <a:noFill/>
                  </pic:spPr>
                </pic:pic>
              </a:graphicData>
            </a:graphic>
          </wp:inline>
        </w:drawing>
      </w:r>
    </w:p>
    <w:p w14:paraId="40A06AD8" w14:textId="11C3BD01" w:rsidR="007B0E26" w:rsidRPr="00A519D0" w:rsidRDefault="00597A8E" w:rsidP="007B0E26">
      <w:pPr>
        <w:pStyle w:val="Telobesedila"/>
        <w:spacing w:line="276" w:lineRule="auto"/>
        <w:ind w:right="-22"/>
        <w:rPr>
          <w:rFonts w:ascii="Arial" w:hAnsi="Arial"/>
          <w:sz w:val="20"/>
          <w:lang w:val="en-US"/>
        </w:rPr>
      </w:pPr>
      <w:r w:rsidRPr="00A519D0">
        <w:rPr>
          <w:rFonts w:ascii="Arial" w:hAnsi="Arial"/>
          <w:color w:val="000000" w:themeColor="text1"/>
          <w:sz w:val="20"/>
          <w:lang w:val="en-US"/>
        </w:rPr>
        <w:t xml:space="preserve">In 2021 the </w:t>
      </w:r>
      <w:r w:rsidR="00B20CBE" w:rsidRPr="00A519D0">
        <w:rPr>
          <w:rFonts w:ascii="Arial" w:hAnsi="Arial"/>
          <w:color w:val="000000" w:themeColor="text1"/>
          <w:sz w:val="20"/>
          <w:lang w:val="en-US"/>
        </w:rPr>
        <w:t>P</w:t>
      </w:r>
      <w:r w:rsidRPr="00A519D0">
        <w:rPr>
          <w:rFonts w:ascii="Arial" w:hAnsi="Arial"/>
          <w:color w:val="000000" w:themeColor="text1"/>
          <w:sz w:val="20"/>
          <w:lang w:val="en-US"/>
        </w:rPr>
        <w:t>olice</w:t>
      </w:r>
      <w:r w:rsidR="00B20CBE" w:rsidRPr="00A519D0">
        <w:rPr>
          <w:rFonts w:ascii="Arial" w:hAnsi="Arial"/>
          <w:color w:val="000000" w:themeColor="text1"/>
          <w:sz w:val="20"/>
          <w:lang w:val="en-US"/>
        </w:rPr>
        <w:t xml:space="preserve"> filed 49</w:t>
      </w:r>
      <w:r w:rsidRPr="00A519D0">
        <w:rPr>
          <w:rFonts w:ascii="Arial" w:hAnsi="Arial"/>
          <w:color w:val="000000" w:themeColor="text1"/>
          <w:sz w:val="20"/>
          <w:lang w:val="en-US"/>
        </w:rPr>
        <w:t xml:space="preserve"> </w:t>
      </w:r>
      <w:r w:rsidR="00B20CBE" w:rsidRPr="00A519D0">
        <w:rPr>
          <w:rFonts w:ascii="Arial" w:hAnsi="Arial"/>
          <w:bCs/>
          <w:sz w:val="20"/>
          <w:lang w:val="en-US"/>
        </w:rPr>
        <w:t xml:space="preserve">criminal reports due to </w:t>
      </w:r>
      <w:r w:rsidR="00663E3E">
        <w:rPr>
          <w:rFonts w:ascii="Arial" w:hAnsi="Arial"/>
          <w:bCs/>
          <w:sz w:val="20"/>
          <w:lang w:val="en-US"/>
        </w:rPr>
        <w:t>reasonable</w:t>
      </w:r>
      <w:r w:rsidR="00B20CBE" w:rsidRPr="00A519D0">
        <w:rPr>
          <w:rFonts w:ascii="Arial" w:hAnsi="Arial"/>
          <w:bCs/>
          <w:sz w:val="20"/>
          <w:lang w:val="en-US"/>
        </w:rPr>
        <w:t xml:space="preserve"> suspicion of committing the criminal offence of money laundering</w:t>
      </w:r>
      <w:r w:rsidR="00595C33" w:rsidRPr="00A519D0">
        <w:rPr>
          <w:rFonts w:ascii="Arial" w:hAnsi="Arial"/>
          <w:bCs/>
          <w:sz w:val="20"/>
          <w:lang w:val="en-US"/>
        </w:rPr>
        <w:t>,</w:t>
      </w:r>
      <w:r w:rsidR="00B20CBE" w:rsidRPr="00A519D0">
        <w:rPr>
          <w:rFonts w:ascii="Arial" w:hAnsi="Arial"/>
          <w:bCs/>
          <w:sz w:val="20"/>
          <w:lang w:val="en-US"/>
        </w:rPr>
        <w:t xml:space="preserve"> </w:t>
      </w:r>
      <w:r w:rsidR="00B20CBE" w:rsidRPr="00A519D0">
        <w:rPr>
          <w:rFonts w:ascii="Arial" w:hAnsi="Arial"/>
          <w:color w:val="000000" w:themeColor="text1"/>
          <w:sz w:val="20"/>
          <w:lang w:val="en-US"/>
        </w:rPr>
        <w:t xml:space="preserve">which </w:t>
      </w:r>
      <w:r w:rsidR="000F1CE9" w:rsidRPr="00A519D0">
        <w:rPr>
          <w:rFonts w:ascii="Arial" w:hAnsi="Arial"/>
          <w:color w:val="000000" w:themeColor="text1"/>
          <w:sz w:val="20"/>
          <w:lang w:val="en-US"/>
        </w:rPr>
        <w:t>wa</w:t>
      </w:r>
      <w:r w:rsidR="00B20CBE" w:rsidRPr="00A519D0">
        <w:rPr>
          <w:rFonts w:ascii="Arial" w:hAnsi="Arial"/>
          <w:color w:val="000000" w:themeColor="text1"/>
          <w:sz w:val="20"/>
          <w:lang w:val="en-US"/>
        </w:rPr>
        <w:t xml:space="preserve">s above the average for the last six years. The graph shows that </w:t>
      </w:r>
      <w:r w:rsidR="000F1CE9" w:rsidRPr="00A519D0">
        <w:rPr>
          <w:rFonts w:ascii="Arial" w:hAnsi="Arial"/>
          <w:color w:val="000000" w:themeColor="text1"/>
          <w:sz w:val="20"/>
          <w:lang w:val="en-US"/>
        </w:rPr>
        <w:t xml:space="preserve">in previous years </w:t>
      </w:r>
      <w:r w:rsidR="00B20CBE" w:rsidRPr="00A519D0">
        <w:rPr>
          <w:rFonts w:ascii="Arial" w:hAnsi="Arial"/>
          <w:color w:val="000000" w:themeColor="text1"/>
          <w:sz w:val="20"/>
          <w:lang w:val="en-US"/>
        </w:rPr>
        <w:t xml:space="preserve">60% of </w:t>
      </w:r>
      <w:r w:rsidR="000F1CE9" w:rsidRPr="00A519D0">
        <w:rPr>
          <w:rFonts w:ascii="Arial" w:hAnsi="Arial"/>
          <w:color w:val="000000" w:themeColor="text1"/>
          <w:sz w:val="20"/>
          <w:lang w:val="en-US"/>
        </w:rPr>
        <w:t>such filed</w:t>
      </w:r>
      <w:r w:rsidR="00B20CBE" w:rsidRPr="00A519D0">
        <w:rPr>
          <w:rFonts w:ascii="Arial" w:hAnsi="Arial"/>
          <w:color w:val="000000" w:themeColor="text1"/>
          <w:sz w:val="20"/>
          <w:lang w:val="en-US"/>
        </w:rPr>
        <w:t xml:space="preserve"> </w:t>
      </w:r>
      <w:r w:rsidR="00B20CBE" w:rsidRPr="00A519D0">
        <w:rPr>
          <w:rFonts w:ascii="Arial" w:hAnsi="Arial"/>
          <w:bCs/>
          <w:sz w:val="20"/>
          <w:lang w:val="en-US"/>
        </w:rPr>
        <w:t xml:space="preserve">criminal reports were based on information </w:t>
      </w:r>
      <w:r w:rsidR="00650A7E" w:rsidRPr="00A519D0">
        <w:rPr>
          <w:rFonts w:ascii="Arial" w:hAnsi="Arial"/>
          <w:bCs/>
          <w:sz w:val="20"/>
          <w:lang w:val="en-US"/>
        </w:rPr>
        <w:t>forwarded</w:t>
      </w:r>
      <w:r w:rsidR="00B20CBE" w:rsidRPr="00A519D0">
        <w:rPr>
          <w:rFonts w:ascii="Arial" w:hAnsi="Arial"/>
          <w:bCs/>
          <w:sz w:val="20"/>
          <w:lang w:val="en-US"/>
        </w:rPr>
        <w:t xml:space="preserve"> to the </w:t>
      </w:r>
      <w:r w:rsidR="00650A7E" w:rsidRPr="00A519D0">
        <w:rPr>
          <w:rFonts w:ascii="Arial" w:hAnsi="Arial"/>
          <w:bCs/>
          <w:sz w:val="20"/>
          <w:lang w:val="en-US"/>
        </w:rPr>
        <w:t>Police</w:t>
      </w:r>
      <w:r w:rsidR="00B20CBE" w:rsidRPr="00A519D0">
        <w:rPr>
          <w:rFonts w:ascii="Arial" w:hAnsi="Arial"/>
          <w:bCs/>
          <w:sz w:val="20"/>
          <w:lang w:val="en-US"/>
        </w:rPr>
        <w:t xml:space="preserve"> by the O</w:t>
      </w:r>
      <w:r w:rsidR="000F1CE9" w:rsidRPr="00A519D0">
        <w:rPr>
          <w:rFonts w:ascii="Arial" w:hAnsi="Arial"/>
          <w:bCs/>
          <w:sz w:val="20"/>
          <w:lang w:val="en-US"/>
        </w:rPr>
        <w:t>MLP but i</w:t>
      </w:r>
      <w:r w:rsidR="00663E3E">
        <w:rPr>
          <w:rFonts w:ascii="Arial" w:hAnsi="Arial"/>
          <w:bCs/>
          <w:sz w:val="20"/>
          <w:lang w:val="en-US"/>
        </w:rPr>
        <w:t>n</w:t>
      </w:r>
      <w:r w:rsidR="000F1CE9" w:rsidRPr="00A519D0">
        <w:rPr>
          <w:rFonts w:ascii="Arial" w:hAnsi="Arial"/>
          <w:bCs/>
          <w:sz w:val="20"/>
          <w:lang w:val="en-US"/>
        </w:rPr>
        <w:t xml:space="preserve"> </w:t>
      </w:r>
      <w:r w:rsidR="00B20CBE" w:rsidRPr="00A519D0">
        <w:rPr>
          <w:rFonts w:ascii="Arial" w:hAnsi="Arial"/>
          <w:bCs/>
          <w:sz w:val="20"/>
          <w:lang w:val="en-US"/>
        </w:rPr>
        <w:t xml:space="preserve">2021 </w:t>
      </w:r>
      <w:r w:rsidR="000F1CE9" w:rsidRPr="00A519D0">
        <w:rPr>
          <w:rFonts w:ascii="Arial" w:hAnsi="Arial"/>
          <w:bCs/>
          <w:sz w:val="20"/>
          <w:lang w:val="en-US"/>
        </w:rPr>
        <w:t>this share</w:t>
      </w:r>
      <w:r w:rsidR="00B20CBE" w:rsidRPr="00A519D0">
        <w:rPr>
          <w:rFonts w:ascii="Arial" w:hAnsi="Arial"/>
          <w:bCs/>
          <w:sz w:val="20"/>
          <w:lang w:val="en-US"/>
        </w:rPr>
        <w:t xml:space="preserve"> decreased to 24%.</w:t>
      </w:r>
      <w:r w:rsidR="007B0E26" w:rsidRPr="00A519D0">
        <w:rPr>
          <w:rFonts w:ascii="Arial" w:hAnsi="Arial"/>
          <w:sz w:val="20"/>
          <w:lang w:val="en-US"/>
        </w:rPr>
        <w:t xml:space="preserve"> </w:t>
      </w:r>
      <w:r w:rsidR="00B20CBE" w:rsidRPr="00A519D0">
        <w:rPr>
          <w:rFonts w:ascii="Arial" w:hAnsi="Arial"/>
          <w:sz w:val="20"/>
          <w:lang w:val="en-US"/>
        </w:rPr>
        <w:t xml:space="preserve">The </w:t>
      </w:r>
      <w:r w:rsidR="00663E3E">
        <w:rPr>
          <w:rFonts w:ascii="Arial" w:hAnsi="Arial"/>
          <w:sz w:val="20"/>
          <w:lang w:val="en-US"/>
        </w:rPr>
        <w:t>ratio</w:t>
      </w:r>
      <w:r w:rsidR="00663E3E" w:rsidRPr="00A519D0">
        <w:rPr>
          <w:rFonts w:ascii="Arial" w:hAnsi="Arial"/>
          <w:sz w:val="20"/>
          <w:lang w:val="en-US"/>
        </w:rPr>
        <w:t xml:space="preserve"> </w:t>
      </w:r>
      <w:r w:rsidR="00595C33" w:rsidRPr="00A519D0">
        <w:rPr>
          <w:rFonts w:ascii="Arial" w:hAnsi="Arial"/>
          <w:sz w:val="20"/>
          <w:lang w:val="en-US"/>
        </w:rPr>
        <w:t>deviate</w:t>
      </w:r>
      <w:r w:rsidR="000F1CE9" w:rsidRPr="00A519D0">
        <w:rPr>
          <w:rFonts w:ascii="Arial" w:hAnsi="Arial"/>
          <w:sz w:val="20"/>
          <w:lang w:val="en-US"/>
        </w:rPr>
        <w:t>d</w:t>
      </w:r>
      <w:r w:rsidR="00595C33" w:rsidRPr="00A519D0">
        <w:rPr>
          <w:rFonts w:ascii="Arial" w:hAnsi="Arial"/>
          <w:sz w:val="20"/>
          <w:lang w:val="en-US"/>
        </w:rPr>
        <w:t xml:space="preserve"> strongly only for 20</w:t>
      </w:r>
      <w:r w:rsidR="007B0E26" w:rsidRPr="00A519D0">
        <w:rPr>
          <w:rFonts w:ascii="Arial" w:hAnsi="Arial"/>
          <w:sz w:val="20"/>
          <w:lang w:val="en-US"/>
        </w:rPr>
        <w:t xml:space="preserve">18 </w:t>
      </w:r>
      <w:r w:rsidR="00595C33" w:rsidRPr="00A519D0">
        <w:rPr>
          <w:rFonts w:ascii="Arial" w:hAnsi="Arial"/>
          <w:sz w:val="20"/>
          <w:lang w:val="en-US"/>
        </w:rPr>
        <w:t>and</w:t>
      </w:r>
      <w:r w:rsidR="007B0E26" w:rsidRPr="00A519D0">
        <w:rPr>
          <w:rFonts w:ascii="Arial" w:hAnsi="Arial"/>
          <w:sz w:val="20"/>
          <w:lang w:val="en-US"/>
        </w:rPr>
        <w:t xml:space="preserve"> 2020, </w:t>
      </w:r>
      <w:r w:rsidR="00595C33" w:rsidRPr="00A519D0">
        <w:rPr>
          <w:rFonts w:ascii="Arial" w:hAnsi="Arial"/>
          <w:sz w:val="20"/>
          <w:lang w:val="en-US"/>
        </w:rPr>
        <w:t>when the least criminal reports in the last ten years were filed</w:t>
      </w:r>
      <w:r w:rsidR="00663E3E">
        <w:rPr>
          <w:rFonts w:ascii="Arial" w:hAnsi="Arial"/>
          <w:sz w:val="20"/>
          <w:lang w:val="en-US"/>
        </w:rPr>
        <w:t xml:space="preserve"> and</w:t>
      </w:r>
      <w:r w:rsidR="000F1CE9" w:rsidRPr="00A519D0">
        <w:rPr>
          <w:rFonts w:ascii="Arial" w:hAnsi="Arial"/>
          <w:sz w:val="20"/>
          <w:lang w:val="en-US"/>
        </w:rPr>
        <w:t xml:space="preserve"> 87% criminal reports were based on information sent to the Police by</w:t>
      </w:r>
      <w:r w:rsidR="00663E3E">
        <w:rPr>
          <w:rFonts w:ascii="Arial" w:hAnsi="Arial"/>
          <w:sz w:val="20"/>
          <w:lang w:val="en-US"/>
        </w:rPr>
        <w:t xml:space="preserve"> the</w:t>
      </w:r>
      <w:r w:rsidR="000F1CE9" w:rsidRPr="00A519D0">
        <w:rPr>
          <w:rFonts w:ascii="Arial" w:hAnsi="Arial"/>
          <w:sz w:val="20"/>
          <w:lang w:val="en-US"/>
        </w:rPr>
        <w:t xml:space="preserve"> OMLP.</w:t>
      </w:r>
    </w:p>
    <w:p w14:paraId="3A97DFFB" w14:textId="6AC2EFE2" w:rsidR="009E181E" w:rsidRPr="00A519D0" w:rsidRDefault="009E181E" w:rsidP="007B0E26">
      <w:pPr>
        <w:pStyle w:val="Telobesedila"/>
        <w:spacing w:line="276" w:lineRule="auto"/>
        <w:ind w:right="-22"/>
        <w:rPr>
          <w:rFonts w:ascii="Arial" w:hAnsi="Arial"/>
          <w:sz w:val="20"/>
          <w:lang w:val="en-US"/>
        </w:rPr>
      </w:pPr>
    </w:p>
    <w:p w14:paraId="53799368" w14:textId="7A18E29B" w:rsidR="000F1CE9" w:rsidRPr="00A519D0" w:rsidRDefault="000F1CE9" w:rsidP="007B0E26">
      <w:pPr>
        <w:pStyle w:val="Telobesedila"/>
        <w:spacing w:line="276" w:lineRule="auto"/>
        <w:ind w:right="-22"/>
        <w:rPr>
          <w:rFonts w:ascii="Arial" w:hAnsi="Arial"/>
          <w:sz w:val="20"/>
          <w:lang w:val="en-US"/>
        </w:rPr>
      </w:pPr>
    </w:p>
    <w:p w14:paraId="27BA4EBE" w14:textId="5968EE53" w:rsidR="000F1CE9" w:rsidRPr="00A519D0" w:rsidRDefault="000F1CE9" w:rsidP="007B0E26">
      <w:pPr>
        <w:pStyle w:val="Telobesedila"/>
        <w:spacing w:line="276" w:lineRule="auto"/>
        <w:ind w:right="-22"/>
        <w:rPr>
          <w:rFonts w:ascii="Arial" w:hAnsi="Arial"/>
          <w:sz w:val="20"/>
          <w:lang w:val="en-US"/>
        </w:rPr>
      </w:pPr>
    </w:p>
    <w:p w14:paraId="298BDBA4" w14:textId="77777777" w:rsidR="000F1CE9" w:rsidRPr="00A519D0" w:rsidRDefault="000F1CE9" w:rsidP="007B0E26">
      <w:pPr>
        <w:pStyle w:val="Telobesedila"/>
        <w:spacing w:line="276" w:lineRule="auto"/>
        <w:ind w:right="-22"/>
        <w:rPr>
          <w:rFonts w:ascii="Arial" w:hAnsi="Arial"/>
          <w:sz w:val="20"/>
          <w:lang w:val="en-US"/>
        </w:rPr>
      </w:pPr>
    </w:p>
    <w:p w14:paraId="531BB47C" w14:textId="1D3693ED" w:rsidR="00B65A09" w:rsidRPr="00A519D0" w:rsidRDefault="00595C33" w:rsidP="00B65A09">
      <w:pPr>
        <w:pStyle w:val="Naslov3"/>
        <w:rPr>
          <w:lang w:val="en-US"/>
        </w:rPr>
      </w:pPr>
      <w:bookmarkStart w:id="17" w:name="_Toc119581709"/>
      <w:r w:rsidRPr="00A519D0">
        <w:rPr>
          <w:lang w:val="en-US"/>
        </w:rPr>
        <w:lastRenderedPageBreak/>
        <w:t>Statistical data on pre-</w:t>
      </w:r>
      <w:r w:rsidR="00C5682E">
        <w:rPr>
          <w:lang w:val="en-US"/>
        </w:rPr>
        <w:t>trial</w:t>
      </w:r>
      <w:r w:rsidR="00C5682E" w:rsidRPr="00A519D0">
        <w:rPr>
          <w:lang w:val="en-US"/>
        </w:rPr>
        <w:t xml:space="preserve"> </w:t>
      </w:r>
      <w:r w:rsidRPr="00A519D0">
        <w:rPr>
          <w:lang w:val="en-US"/>
        </w:rPr>
        <w:t xml:space="preserve">and </w:t>
      </w:r>
      <w:r w:rsidR="00650A7E" w:rsidRPr="00A519D0">
        <w:rPr>
          <w:lang w:val="en-US"/>
        </w:rPr>
        <w:t>criminal</w:t>
      </w:r>
      <w:r w:rsidRPr="00A519D0">
        <w:rPr>
          <w:lang w:val="en-US"/>
        </w:rPr>
        <w:t xml:space="preserve"> proceedings for</w:t>
      </w:r>
      <w:r w:rsidR="00650A7E" w:rsidRPr="00A519D0">
        <w:rPr>
          <w:lang w:val="en-US"/>
        </w:rPr>
        <w:t xml:space="preserve"> </w:t>
      </w:r>
      <w:r w:rsidRPr="00A519D0">
        <w:rPr>
          <w:lang w:val="en-US"/>
        </w:rPr>
        <w:t xml:space="preserve">the criminal offence of money laundering </w:t>
      </w:r>
      <w:bookmarkEnd w:id="17"/>
      <w:r w:rsidR="00B65A09" w:rsidRPr="00A519D0">
        <w:rPr>
          <w:lang w:val="en-US"/>
        </w:rPr>
        <w:t xml:space="preserve"> </w:t>
      </w:r>
    </w:p>
    <w:p w14:paraId="68E7CDCA" w14:textId="77777777" w:rsidR="00B65A09" w:rsidRPr="00A519D0" w:rsidRDefault="00B65A09" w:rsidP="00B65A09">
      <w:pPr>
        <w:rPr>
          <w:lang w:val="en-US"/>
        </w:rPr>
      </w:pPr>
    </w:p>
    <w:p w14:paraId="7E394B55" w14:textId="45F2B33A" w:rsidR="00595C33" w:rsidRPr="00A519D0" w:rsidRDefault="00595C33" w:rsidP="00595C33">
      <w:pPr>
        <w:rPr>
          <w:lang w:val="en-US"/>
        </w:rPr>
      </w:pPr>
      <w:r w:rsidRPr="00A519D0">
        <w:rPr>
          <w:lang w:val="en-US"/>
        </w:rPr>
        <w:t>From the data received for the year 2021 from the State Prosecutors</w:t>
      </w:r>
      <w:r w:rsidR="00665B4C">
        <w:rPr>
          <w:lang w:val="en-US"/>
        </w:rPr>
        <w:t>’</w:t>
      </w:r>
      <w:r w:rsidRPr="00A519D0">
        <w:rPr>
          <w:lang w:val="en-US"/>
        </w:rPr>
        <w:t xml:space="preserve"> Offices and Courts </w:t>
      </w:r>
      <w:r w:rsidR="00665B4C">
        <w:rPr>
          <w:lang w:val="en-US"/>
        </w:rPr>
        <w:t xml:space="preserve">it </w:t>
      </w:r>
      <w:r w:rsidRPr="00A519D0">
        <w:rPr>
          <w:lang w:val="en-US"/>
        </w:rPr>
        <w:t xml:space="preserve">could be seen that </w:t>
      </w:r>
      <w:r w:rsidR="00665B4C">
        <w:rPr>
          <w:lang w:val="en-US"/>
        </w:rPr>
        <w:t xml:space="preserve">there were </w:t>
      </w:r>
      <w:r w:rsidR="00F1507D" w:rsidRPr="00A519D0">
        <w:rPr>
          <w:b/>
          <w:lang w:val="en-US"/>
        </w:rPr>
        <w:t>735</w:t>
      </w:r>
      <w:r w:rsidRPr="00A519D0">
        <w:rPr>
          <w:b/>
          <w:lang w:val="en-US"/>
        </w:rPr>
        <w:t xml:space="preserve"> cases against </w:t>
      </w:r>
      <w:r w:rsidR="00F1507D" w:rsidRPr="00A519D0">
        <w:rPr>
          <w:b/>
          <w:lang w:val="en-US"/>
        </w:rPr>
        <w:t>1364</w:t>
      </w:r>
      <w:r w:rsidRPr="00A519D0">
        <w:rPr>
          <w:b/>
          <w:lang w:val="en-US"/>
        </w:rPr>
        <w:t xml:space="preserve"> </w:t>
      </w:r>
      <w:r w:rsidR="00F1507D" w:rsidRPr="00A519D0">
        <w:rPr>
          <w:b/>
          <w:lang w:val="en-US"/>
        </w:rPr>
        <w:t>natural persons and</w:t>
      </w:r>
      <w:r w:rsidRPr="00A519D0">
        <w:rPr>
          <w:b/>
          <w:lang w:val="en-US"/>
        </w:rPr>
        <w:t xml:space="preserve"> </w:t>
      </w:r>
      <w:r w:rsidR="00F1507D" w:rsidRPr="00A519D0">
        <w:rPr>
          <w:b/>
          <w:lang w:val="en-US"/>
        </w:rPr>
        <w:t>181</w:t>
      </w:r>
      <w:r w:rsidRPr="00A519D0">
        <w:rPr>
          <w:b/>
          <w:lang w:val="en-US"/>
        </w:rPr>
        <w:t xml:space="preserve"> and legal persons</w:t>
      </w:r>
      <w:r w:rsidRPr="00A519D0">
        <w:rPr>
          <w:lang w:val="en-US"/>
        </w:rPr>
        <w:t xml:space="preserve"> </w:t>
      </w:r>
      <w:r w:rsidR="00F1507D" w:rsidRPr="00A519D0">
        <w:rPr>
          <w:lang w:val="en-US"/>
        </w:rPr>
        <w:t xml:space="preserve">at the </w:t>
      </w:r>
      <w:r w:rsidR="00650A7E" w:rsidRPr="00A519D0">
        <w:rPr>
          <w:lang w:val="en-US"/>
        </w:rPr>
        <w:t>different</w:t>
      </w:r>
      <w:r w:rsidR="00F1507D" w:rsidRPr="00A519D0">
        <w:rPr>
          <w:lang w:val="en-US"/>
        </w:rPr>
        <w:t xml:space="preserve"> stage of proce</w:t>
      </w:r>
      <w:r w:rsidR="000F1CE9" w:rsidRPr="00A519D0">
        <w:rPr>
          <w:lang w:val="en-US"/>
        </w:rPr>
        <w:t>edings</w:t>
      </w:r>
      <w:r w:rsidR="00F1507D" w:rsidRPr="00A519D0">
        <w:rPr>
          <w:lang w:val="en-US"/>
        </w:rPr>
        <w:t xml:space="preserve"> (from filed report</w:t>
      </w:r>
      <w:r w:rsidR="000F1CE9" w:rsidRPr="00A519D0">
        <w:rPr>
          <w:lang w:val="en-US"/>
        </w:rPr>
        <w:t>s</w:t>
      </w:r>
      <w:r w:rsidR="00F1507D" w:rsidRPr="00A519D0">
        <w:rPr>
          <w:lang w:val="en-US"/>
        </w:rPr>
        <w:t xml:space="preserve"> to final court decisions) </w:t>
      </w:r>
      <w:r w:rsidRPr="00A519D0">
        <w:rPr>
          <w:lang w:val="en-US"/>
        </w:rPr>
        <w:t>on 31 December 20</w:t>
      </w:r>
      <w:r w:rsidR="000F1CE9" w:rsidRPr="00A519D0">
        <w:rPr>
          <w:lang w:val="en-US"/>
        </w:rPr>
        <w:t>21</w:t>
      </w:r>
      <w:r w:rsidR="00665B4C">
        <w:rPr>
          <w:lang w:val="en-US"/>
        </w:rPr>
        <w:t>.</w:t>
      </w:r>
    </w:p>
    <w:p w14:paraId="20410BAE" w14:textId="1148EB87" w:rsidR="00F35424" w:rsidRPr="00A519D0" w:rsidRDefault="00F1507D" w:rsidP="005A0CAB">
      <w:pPr>
        <w:spacing w:line="276" w:lineRule="auto"/>
        <w:ind w:right="-22"/>
        <w:rPr>
          <w:bCs/>
          <w:color w:val="000000" w:themeColor="text1"/>
          <w:lang w:val="en-US"/>
        </w:rPr>
      </w:pPr>
      <w:r w:rsidRPr="00A519D0">
        <w:rPr>
          <w:bCs/>
          <w:color w:val="000000" w:themeColor="text1"/>
          <w:lang w:val="en-US"/>
        </w:rPr>
        <w:t xml:space="preserve">The </w:t>
      </w:r>
      <w:r w:rsidR="00650A7E" w:rsidRPr="00A519D0">
        <w:rPr>
          <w:bCs/>
          <w:color w:val="000000" w:themeColor="text1"/>
          <w:lang w:val="en-US"/>
        </w:rPr>
        <w:t>next</w:t>
      </w:r>
      <w:r w:rsidRPr="00A519D0">
        <w:rPr>
          <w:bCs/>
          <w:color w:val="000000" w:themeColor="text1"/>
          <w:lang w:val="en-US"/>
        </w:rPr>
        <w:t xml:space="preserve"> table shows the number of cases in different stage</w:t>
      </w:r>
      <w:r w:rsidR="000F1CE9" w:rsidRPr="00A519D0">
        <w:rPr>
          <w:bCs/>
          <w:color w:val="000000" w:themeColor="text1"/>
          <w:lang w:val="en-US"/>
        </w:rPr>
        <w:t>s</w:t>
      </w:r>
      <w:r w:rsidRPr="00A519D0">
        <w:rPr>
          <w:bCs/>
          <w:color w:val="000000" w:themeColor="text1"/>
          <w:lang w:val="en-US"/>
        </w:rPr>
        <w:t xml:space="preserve"> of proce</w:t>
      </w:r>
      <w:r w:rsidR="000F1CE9" w:rsidRPr="00A519D0">
        <w:rPr>
          <w:bCs/>
          <w:color w:val="000000" w:themeColor="text1"/>
          <w:lang w:val="en-US"/>
        </w:rPr>
        <w:t>edings</w:t>
      </w:r>
      <w:r w:rsidRPr="00A519D0">
        <w:rPr>
          <w:bCs/>
          <w:color w:val="000000" w:themeColor="text1"/>
          <w:lang w:val="en-US"/>
        </w:rPr>
        <w:t xml:space="preserve"> and number and type of </w:t>
      </w:r>
      <w:r w:rsidR="003854EF" w:rsidRPr="00A519D0">
        <w:rPr>
          <w:bCs/>
          <w:color w:val="000000" w:themeColor="text1"/>
          <w:lang w:val="en-US"/>
        </w:rPr>
        <w:t>subjects (</w:t>
      </w:r>
      <w:r w:rsidRPr="00A519D0">
        <w:rPr>
          <w:bCs/>
          <w:color w:val="000000" w:themeColor="text1"/>
          <w:lang w:val="en-US"/>
        </w:rPr>
        <w:t xml:space="preserve">suspected, </w:t>
      </w:r>
      <w:r w:rsidR="00B24B83" w:rsidRPr="00A519D0">
        <w:rPr>
          <w:bCs/>
          <w:color w:val="000000" w:themeColor="text1"/>
          <w:lang w:val="en-US"/>
        </w:rPr>
        <w:t>accused</w:t>
      </w:r>
      <w:r w:rsidRPr="00A519D0">
        <w:rPr>
          <w:bCs/>
          <w:color w:val="000000" w:themeColor="text1"/>
          <w:lang w:val="en-US"/>
        </w:rPr>
        <w:t xml:space="preserve"> and </w:t>
      </w:r>
      <w:r w:rsidR="00B24B83" w:rsidRPr="00A519D0">
        <w:rPr>
          <w:bCs/>
          <w:color w:val="000000" w:themeColor="text1"/>
          <w:lang w:val="en-US"/>
        </w:rPr>
        <w:t>convicted</w:t>
      </w:r>
      <w:r w:rsidR="003854EF" w:rsidRPr="00A519D0">
        <w:rPr>
          <w:bCs/>
          <w:color w:val="000000" w:themeColor="text1"/>
          <w:lang w:val="en-US"/>
        </w:rPr>
        <w:t>)</w:t>
      </w:r>
      <w:r w:rsidRPr="00A519D0">
        <w:rPr>
          <w:bCs/>
          <w:color w:val="000000" w:themeColor="text1"/>
          <w:lang w:val="en-US"/>
        </w:rPr>
        <w:t xml:space="preserve">. </w:t>
      </w:r>
    </w:p>
    <w:p w14:paraId="7A69CDC7" w14:textId="77777777" w:rsidR="00F35424" w:rsidRPr="00A519D0" w:rsidRDefault="00F35424" w:rsidP="005A0CAB">
      <w:pPr>
        <w:pStyle w:val="Telobesedila"/>
        <w:spacing w:line="276" w:lineRule="auto"/>
        <w:ind w:right="-22"/>
        <w:rPr>
          <w:rFonts w:ascii="Arial" w:hAnsi="Arial"/>
          <w:sz w:val="20"/>
          <w:lang w:val="en-US"/>
        </w:rPr>
      </w:pPr>
    </w:p>
    <w:p w14:paraId="480834A4" w14:textId="06BFBC54" w:rsidR="00F35424" w:rsidRPr="00A519D0" w:rsidRDefault="00F1507D" w:rsidP="00F35424">
      <w:pPr>
        <w:spacing w:line="276" w:lineRule="auto"/>
        <w:ind w:left="1418" w:right="-22" w:hanging="1418"/>
        <w:rPr>
          <w:b/>
          <w:bCs/>
          <w:i/>
          <w:iCs/>
          <w:sz w:val="18"/>
          <w:szCs w:val="18"/>
          <w:lang w:val="en-US"/>
        </w:rPr>
      </w:pPr>
      <w:r w:rsidRPr="00A519D0">
        <w:rPr>
          <w:b/>
          <w:bCs/>
          <w:i/>
          <w:iCs/>
          <w:sz w:val="18"/>
          <w:szCs w:val="18"/>
          <w:lang w:val="en-US"/>
        </w:rPr>
        <w:t>Table</w:t>
      </w:r>
      <w:r w:rsidR="00F35424" w:rsidRPr="00A519D0">
        <w:rPr>
          <w:b/>
          <w:bCs/>
          <w:i/>
          <w:iCs/>
          <w:sz w:val="18"/>
          <w:szCs w:val="18"/>
          <w:lang w:val="en-US"/>
        </w:rPr>
        <w:t xml:space="preserve"> </w:t>
      </w:r>
      <w:r w:rsidR="00291E84" w:rsidRPr="00A519D0">
        <w:rPr>
          <w:b/>
          <w:bCs/>
          <w:i/>
          <w:iCs/>
          <w:sz w:val="18"/>
          <w:szCs w:val="18"/>
          <w:lang w:val="en-US"/>
        </w:rPr>
        <w:t>4</w:t>
      </w:r>
      <w:r w:rsidR="00F35424" w:rsidRPr="00A519D0">
        <w:rPr>
          <w:b/>
          <w:bCs/>
          <w:i/>
          <w:iCs/>
          <w:sz w:val="18"/>
          <w:szCs w:val="18"/>
          <w:lang w:val="en-US"/>
        </w:rPr>
        <w:t xml:space="preserve">: </w:t>
      </w:r>
      <w:r w:rsidR="00F35424" w:rsidRPr="00A519D0">
        <w:rPr>
          <w:b/>
          <w:bCs/>
          <w:i/>
          <w:iCs/>
          <w:sz w:val="18"/>
          <w:szCs w:val="18"/>
          <w:lang w:val="en-US"/>
        </w:rPr>
        <w:tab/>
      </w:r>
      <w:r w:rsidR="00703DC1" w:rsidRPr="00A519D0">
        <w:rPr>
          <w:b/>
          <w:bCs/>
          <w:i/>
          <w:iCs/>
          <w:sz w:val="18"/>
          <w:szCs w:val="18"/>
          <w:lang w:val="en-US"/>
        </w:rPr>
        <w:t>Stages of proce</w:t>
      </w:r>
      <w:r w:rsidR="000F1CE9" w:rsidRPr="00A519D0">
        <w:rPr>
          <w:b/>
          <w:bCs/>
          <w:i/>
          <w:iCs/>
          <w:sz w:val="18"/>
          <w:szCs w:val="18"/>
          <w:lang w:val="en-US"/>
        </w:rPr>
        <w:t>edings</w:t>
      </w:r>
      <w:r w:rsidR="00703DC1" w:rsidRPr="00A519D0">
        <w:rPr>
          <w:b/>
          <w:bCs/>
          <w:i/>
          <w:iCs/>
          <w:sz w:val="18"/>
          <w:szCs w:val="18"/>
          <w:lang w:val="en-US"/>
        </w:rPr>
        <w:t xml:space="preserve"> of cases connected with the criminal offence of money laundering on 31 December 2021</w:t>
      </w:r>
    </w:p>
    <w:tbl>
      <w:tblPr>
        <w:tblStyle w:val="Tabelatemnamrea5poudarek5"/>
        <w:tblW w:w="8692" w:type="dxa"/>
        <w:tblLook w:val="04A0" w:firstRow="1" w:lastRow="0" w:firstColumn="1" w:lastColumn="0" w:noHBand="0" w:noVBand="1"/>
      </w:tblPr>
      <w:tblGrid>
        <w:gridCol w:w="3752"/>
        <w:gridCol w:w="848"/>
        <w:gridCol w:w="1117"/>
        <w:gridCol w:w="1023"/>
        <w:gridCol w:w="1117"/>
        <w:gridCol w:w="1023"/>
      </w:tblGrid>
      <w:tr w:rsidR="00A9101E" w:rsidRPr="00A519D0" w14:paraId="621F3346" w14:textId="77777777" w:rsidTr="00366EF9">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752" w:type="dxa"/>
            <w:hideMark/>
          </w:tcPr>
          <w:p w14:paraId="08D5953B" w14:textId="78C5B8A7" w:rsidR="00C741C5" w:rsidRPr="00A519D0" w:rsidRDefault="00703DC1" w:rsidP="00F569C7">
            <w:pPr>
              <w:spacing w:line="360" w:lineRule="auto"/>
              <w:jc w:val="center"/>
              <w:rPr>
                <w:b w:val="0"/>
                <w:bCs w:val="0"/>
                <w:color w:val="auto"/>
                <w:lang w:val="en-US" w:eastAsia="sl-SI"/>
              </w:rPr>
            </w:pPr>
            <w:r w:rsidRPr="00A519D0">
              <w:rPr>
                <w:color w:val="auto"/>
                <w:lang w:val="en-US" w:eastAsia="sl-SI"/>
              </w:rPr>
              <w:t>STAGE OF PROCEDURE</w:t>
            </w:r>
          </w:p>
        </w:tc>
        <w:tc>
          <w:tcPr>
            <w:tcW w:w="848" w:type="dxa"/>
            <w:hideMark/>
          </w:tcPr>
          <w:p w14:paraId="04CAA5C5" w14:textId="648AD179" w:rsidR="00C741C5" w:rsidRPr="00A519D0" w:rsidRDefault="00703DC1"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US" w:eastAsia="sl-SI"/>
              </w:rPr>
            </w:pPr>
            <w:r w:rsidRPr="00A519D0">
              <w:rPr>
                <w:color w:val="auto"/>
                <w:lang w:val="en-US" w:eastAsia="sl-SI"/>
              </w:rPr>
              <w:t>No of cases</w:t>
            </w:r>
          </w:p>
        </w:tc>
        <w:tc>
          <w:tcPr>
            <w:tcW w:w="1023" w:type="dxa"/>
            <w:hideMark/>
          </w:tcPr>
          <w:p w14:paraId="6D4625EB" w14:textId="1CE11E0A" w:rsidR="00C741C5" w:rsidRPr="00A519D0" w:rsidRDefault="00703DC1"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US" w:eastAsia="sl-SI"/>
              </w:rPr>
            </w:pPr>
            <w:r w:rsidRPr="00A519D0">
              <w:rPr>
                <w:color w:val="auto"/>
                <w:lang w:val="en-US" w:eastAsia="sl-SI"/>
              </w:rPr>
              <w:t>Domestic natural persons</w:t>
            </w:r>
          </w:p>
        </w:tc>
        <w:tc>
          <w:tcPr>
            <w:tcW w:w="1023" w:type="dxa"/>
            <w:hideMark/>
          </w:tcPr>
          <w:p w14:paraId="3729A0C8" w14:textId="0B01165F" w:rsidR="00C741C5" w:rsidRPr="00A519D0" w:rsidRDefault="00703DC1"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US" w:eastAsia="sl-SI"/>
              </w:rPr>
            </w:pPr>
            <w:r w:rsidRPr="00A519D0">
              <w:rPr>
                <w:color w:val="auto"/>
                <w:lang w:val="en-US" w:eastAsia="sl-SI"/>
              </w:rPr>
              <w:t>Foreign natural persons</w:t>
            </w:r>
          </w:p>
        </w:tc>
        <w:tc>
          <w:tcPr>
            <w:tcW w:w="1023" w:type="dxa"/>
            <w:hideMark/>
          </w:tcPr>
          <w:p w14:paraId="5309EE99" w14:textId="4E237C60" w:rsidR="00C741C5" w:rsidRPr="00A519D0" w:rsidRDefault="00703DC1"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US" w:eastAsia="sl-SI"/>
              </w:rPr>
            </w:pPr>
            <w:r w:rsidRPr="00A519D0">
              <w:rPr>
                <w:color w:val="auto"/>
                <w:lang w:val="en-US" w:eastAsia="sl-SI"/>
              </w:rPr>
              <w:t>Domestic legal persons</w:t>
            </w:r>
          </w:p>
        </w:tc>
        <w:tc>
          <w:tcPr>
            <w:tcW w:w="1023" w:type="dxa"/>
            <w:hideMark/>
          </w:tcPr>
          <w:p w14:paraId="3F134A89" w14:textId="4CE4419A" w:rsidR="00C741C5" w:rsidRPr="00A519D0" w:rsidRDefault="00703DC1"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lang w:val="en-US" w:eastAsia="sl-SI"/>
              </w:rPr>
            </w:pPr>
            <w:r w:rsidRPr="00A519D0">
              <w:rPr>
                <w:color w:val="auto"/>
                <w:lang w:val="en-US" w:eastAsia="sl-SI"/>
              </w:rPr>
              <w:t>Foreign legal persons</w:t>
            </w:r>
          </w:p>
        </w:tc>
      </w:tr>
      <w:tr w:rsidR="00A9101E" w:rsidRPr="00A519D0" w14:paraId="6B049BF7" w14:textId="77777777" w:rsidTr="00366EF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61FEE589" w14:textId="0420EAAD"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SP*</w:t>
            </w:r>
            <w:r w:rsidR="00C741C5" w:rsidRPr="00A519D0">
              <w:rPr>
                <w:color w:val="auto"/>
                <w:sz w:val="18"/>
                <w:szCs w:val="18"/>
                <w:lang w:val="en-US" w:eastAsia="sl-SI"/>
              </w:rPr>
              <w:t xml:space="preserve">: </w:t>
            </w:r>
            <w:r w:rsidRPr="00A519D0">
              <w:rPr>
                <w:color w:val="auto"/>
                <w:sz w:val="18"/>
                <w:szCs w:val="18"/>
                <w:lang w:val="en-US" w:eastAsia="sl-SI"/>
              </w:rPr>
              <w:t>decision has not been made yet</w:t>
            </w:r>
          </w:p>
        </w:tc>
        <w:tc>
          <w:tcPr>
            <w:tcW w:w="848" w:type="dxa"/>
            <w:noWrap/>
            <w:hideMark/>
          </w:tcPr>
          <w:p w14:paraId="0AB8A232"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177</w:t>
            </w:r>
          </w:p>
        </w:tc>
        <w:tc>
          <w:tcPr>
            <w:tcW w:w="1023" w:type="dxa"/>
            <w:noWrap/>
            <w:hideMark/>
          </w:tcPr>
          <w:p w14:paraId="68332171"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184</w:t>
            </w:r>
          </w:p>
        </w:tc>
        <w:tc>
          <w:tcPr>
            <w:tcW w:w="1023" w:type="dxa"/>
            <w:noWrap/>
            <w:hideMark/>
          </w:tcPr>
          <w:p w14:paraId="0C96DE9F"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132</w:t>
            </w:r>
          </w:p>
        </w:tc>
        <w:tc>
          <w:tcPr>
            <w:tcW w:w="1023" w:type="dxa"/>
            <w:noWrap/>
            <w:hideMark/>
          </w:tcPr>
          <w:p w14:paraId="12E722D3"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51</w:t>
            </w:r>
          </w:p>
        </w:tc>
        <w:tc>
          <w:tcPr>
            <w:tcW w:w="1023" w:type="dxa"/>
            <w:noWrap/>
            <w:hideMark/>
          </w:tcPr>
          <w:p w14:paraId="482FC0CF"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18</w:t>
            </w:r>
          </w:p>
        </w:tc>
      </w:tr>
      <w:tr w:rsidR="00A9101E" w:rsidRPr="00A519D0" w14:paraId="7048E048" w14:textId="77777777" w:rsidTr="00366EF9">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2AE0399C" w14:textId="0F44E9DD"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SP*</w:t>
            </w:r>
            <w:r w:rsidR="00C741C5" w:rsidRPr="00A519D0">
              <w:rPr>
                <w:color w:val="auto"/>
                <w:sz w:val="18"/>
                <w:szCs w:val="18"/>
                <w:lang w:val="en-US" w:eastAsia="sl-SI"/>
              </w:rPr>
              <w:t xml:space="preserve">: </w:t>
            </w:r>
            <w:r w:rsidR="00650A7E" w:rsidRPr="00A519D0">
              <w:rPr>
                <w:color w:val="auto"/>
                <w:sz w:val="18"/>
                <w:szCs w:val="18"/>
                <w:lang w:val="en-US" w:eastAsia="sl-SI"/>
              </w:rPr>
              <w:t>criminal</w:t>
            </w:r>
            <w:r w:rsidRPr="00A519D0">
              <w:rPr>
                <w:color w:val="auto"/>
                <w:sz w:val="18"/>
                <w:szCs w:val="18"/>
                <w:lang w:val="en-US" w:eastAsia="sl-SI"/>
              </w:rPr>
              <w:t xml:space="preserve"> charge rejected</w:t>
            </w:r>
          </w:p>
        </w:tc>
        <w:tc>
          <w:tcPr>
            <w:tcW w:w="848" w:type="dxa"/>
            <w:noWrap/>
            <w:hideMark/>
          </w:tcPr>
          <w:p w14:paraId="770ED848"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127</w:t>
            </w:r>
          </w:p>
        </w:tc>
        <w:tc>
          <w:tcPr>
            <w:tcW w:w="1023" w:type="dxa"/>
            <w:noWrap/>
            <w:hideMark/>
          </w:tcPr>
          <w:p w14:paraId="0F8C2E5B"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176</w:t>
            </w:r>
          </w:p>
        </w:tc>
        <w:tc>
          <w:tcPr>
            <w:tcW w:w="1023" w:type="dxa"/>
            <w:noWrap/>
            <w:hideMark/>
          </w:tcPr>
          <w:p w14:paraId="0FDB17A1"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79</w:t>
            </w:r>
          </w:p>
        </w:tc>
        <w:tc>
          <w:tcPr>
            <w:tcW w:w="1023" w:type="dxa"/>
            <w:noWrap/>
            <w:hideMark/>
          </w:tcPr>
          <w:p w14:paraId="6326224D"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43</w:t>
            </w:r>
          </w:p>
        </w:tc>
        <w:tc>
          <w:tcPr>
            <w:tcW w:w="1023" w:type="dxa"/>
            <w:noWrap/>
            <w:hideMark/>
          </w:tcPr>
          <w:p w14:paraId="48FEC142"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10</w:t>
            </w:r>
          </w:p>
        </w:tc>
      </w:tr>
      <w:tr w:rsidR="00A9101E" w:rsidRPr="00A519D0" w14:paraId="1CCF31D9" w14:textId="77777777" w:rsidTr="00366EF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36D12C28" w14:textId="0093E2FC"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SP*</w:t>
            </w:r>
            <w:r w:rsidR="00C741C5" w:rsidRPr="00A519D0">
              <w:rPr>
                <w:color w:val="auto"/>
                <w:sz w:val="18"/>
                <w:szCs w:val="18"/>
                <w:lang w:val="en-US" w:eastAsia="sl-SI"/>
              </w:rPr>
              <w:t xml:space="preserve">: </w:t>
            </w:r>
            <w:r w:rsidRPr="00A519D0">
              <w:rPr>
                <w:color w:val="auto"/>
                <w:sz w:val="18"/>
                <w:szCs w:val="18"/>
                <w:lang w:val="en-US" w:eastAsia="sl-SI"/>
              </w:rPr>
              <w:t>prosecution has been delayed</w:t>
            </w:r>
          </w:p>
        </w:tc>
        <w:tc>
          <w:tcPr>
            <w:tcW w:w="848" w:type="dxa"/>
            <w:noWrap/>
            <w:hideMark/>
          </w:tcPr>
          <w:p w14:paraId="1197DA11"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w:t>
            </w:r>
          </w:p>
        </w:tc>
        <w:tc>
          <w:tcPr>
            <w:tcW w:w="1023" w:type="dxa"/>
            <w:noWrap/>
            <w:hideMark/>
          </w:tcPr>
          <w:p w14:paraId="0995885C"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w:t>
            </w:r>
          </w:p>
        </w:tc>
        <w:tc>
          <w:tcPr>
            <w:tcW w:w="1023" w:type="dxa"/>
            <w:noWrap/>
            <w:hideMark/>
          </w:tcPr>
          <w:p w14:paraId="489CDE27" w14:textId="743CC24A" w:rsidR="00C741C5" w:rsidRPr="00A519D0" w:rsidRDefault="00EB5CFB"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0</w:t>
            </w:r>
            <w:r w:rsidR="00C741C5" w:rsidRPr="00A519D0">
              <w:rPr>
                <w:rFonts w:cs="Times New Roman"/>
                <w:lang w:val="en-US" w:eastAsia="sl-SI"/>
              </w:rPr>
              <w:t> </w:t>
            </w:r>
          </w:p>
        </w:tc>
        <w:tc>
          <w:tcPr>
            <w:tcW w:w="1023" w:type="dxa"/>
            <w:noWrap/>
            <w:hideMark/>
          </w:tcPr>
          <w:p w14:paraId="450368DE" w14:textId="59F698BA" w:rsidR="00C741C5" w:rsidRPr="00A519D0" w:rsidRDefault="00EB5CFB"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0</w:t>
            </w:r>
            <w:r w:rsidR="00C741C5" w:rsidRPr="00A519D0">
              <w:rPr>
                <w:rFonts w:cs="Times New Roman"/>
                <w:lang w:val="en-US" w:eastAsia="sl-SI"/>
              </w:rPr>
              <w:t> </w:t>
            </w:r>
          </w:p>
        </w:tc>
        <w:tc>
          <w:tcPr>
            <w:tcW w:w="1023" w:type="dxa"/>
            <w:noWrap/>
            <w:hideMark/>
          </w:tcPr>
          <w:p w14:paraId="2EDAD94D" w14:textId="644DFD8C" w:rsidR="00C741C5" w:rsidRPr="00A519D0" w:rsidRDefault="00EB5CFB"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0</w:t>
            </w:r>
            <w:r w:rsidR="00C741C5" w:rsidRPr="00A519D0">
              <w:rPr>
                <w:rFonts w:cs="Times New Roman"/>
                <w:lang w:val="en-US" w:eastAsia="sl-SI"/>
              </w:rPr>
              <w:t> </w:t>
            </w:r>
          </w:p>
        </w:tc>
      </w:tr>
      <w:tr w:rsidR="00A9101E" w:rsidRPr="00A519D0" w14:paraId="1CC6349F" w14:textId="77777777" w:rsidTr="00366EF9">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53B80143" w14:textId="3947DC6E"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SP*</w:t>
            </w:r>
            <w:r w:rsidR="00C741C5" w:rsidRPr="00A519D0">
              <w:rPr>
                <w:color w:val="auto"/>
                <w:sz w:val="18"/>
                <w:szCs w:val="18"/>
                <w:lang w:val="en-US" w:eastAsia="sl-SI"/>
              </w:rPr>
              <w:t xml:space="preserve">: </w:t>
            </w:r>
            <w:r w:rsidRPr="00A519D0">
              <w:rPr>
                <w:color w:val="auto"/>
                <w:sz w:val="18"/>
                <w:szCs w:val="18"/>
                <w:lang w:val="en-US" w:eastAsia="sl-SI"/>
              </w:rPr>
              <w:t xml:space="preserve">demand for investigation </w:t>
            </w:r>
          </w:p>
        </w:tc>
        <w:tc>
          <w:tcPr>
            <w:tcW w:w="848" w:type="dxa"/>
            <w:noWrap/>
            <w:hideMark/>
          </w:tcPr>
          <w:p w14:paraId="5515405B"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48</w:t>
            </w:r>
          </w:p>
        </w:tc>
        <w:tc>
          <w:tcPr>
            <w:tcW w:w="1023" w:type="dxa"/>
            <w:noWrap/>
            <w:hideMark/>
          </w:tcPr>
          <w:p w14:paraId="2B52B4CF"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109</w:t>
            </w:r>
          </w:p>
        </w:tc>
        <w:tc>
          <w:tcPr>
            <w:tcW w:w="1023" w:type="dxa"/>
            <w:noWrap/>
            <w:hideMark/>
          </w:tcPr>
          <w:p w14:paraId="1EEF2332"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20</w:t>
            </w:r>
          </w:p>
        </w:tc>
        <w:tc>
          <w:tcPr>
            <w:tcW w:w="1023" w:type="dxa"/>
            <w:noWrap/>
            <w:hideMark/>
          </w:tcPr>
          <w:p w14:paraId="5725FF44"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2</w:t>
            </w:r>
          </w:p>
        </w:tc>
        <w:tc>
          <w:tcPr>
            <w:tcW w:w="1023" w:type="dxa"/>
            <w:noWrap/>
            <w:hideMark/>
          </w:tcPr>
          <w:p w14:paraId="67BEC631"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w:t>
            </w:r>
          </w:p>
        </w:tc>
      </w:tr>
      <w:tr w:rsidR="00A9101E" w:rsidRPr="00A519D0" w14:paraId="0FBA5BB3" w14:textId="77777777" w:rsidTr="00366EF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7ADD8409" w14:textId="294B15CD"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IJ**</w:t>
            </w:r>
            <w:r w:rsidR="00C741C5" w:rsidRPr="00A519D0">
              <w:rPr>
                <w:color w:val="auto"/>
                <w:sz w:val="18"/>
                <w:szCs w:val="18"/>
                <w:lang w:val="en-US" w:eastAsia="sl-SI"/>
              </w:rPr>
              <w:t xml:space="preserve">: </w:t>
            </w:r>
            <w:r w:rsidRPr="00A519D0">
              <w:rPr>
                <w:color w:val="auto"/>
                <w:sz w:val="18"/>
                <w:szCs w:val="18"/>
                <w:lang w:val="en-US" w:eastAsia="sl-SI"/>
              </w:rPr>
              <w:t>investigation has been introduced</w:t>
            </w:r>
          </w:p>
        </w:tc>
        <w:tc>
          <w:tcPr>
            <w:tcW w:w="848" w:type="dxa"/>
            <w:noWrap/>
            <w:hideMark/>
          </w:tcPr>
          <w:p w14:paraId="1F1F4A07"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30</w:t>
            </w:r>
          </w:p>
        </w:tc>
        <w:tc>
          <w:tcPr>
            <w:tcW w:w="1023" w:type="dxa"/>
            <w:noWrap/>
            <w:hideMark/>
          </w:tcPr>
          <w:p w14:paraId="0E67B2A8"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63</w:t>
            </w:r>
          </w:p>
        </w:tc>
        <w:tc>
          <w:tcPr>
            <w:tcW w:w="1023" w:type="dxa"/>
            <w:noWrap/>
            <w:hideMark/>
          </w:tcPr>
          <w:p w14:paraId="3B3D8EC7"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4</w:t>
            </w:r>
          </w:p>
        </w:tc>
        <w:tc>
          <w:tcPr>
            <w:tcW w:w="1023" w:type="dxa"/>
            <w:noWrap/>
            <w:hideMark/>
          </w:tcPr>
          <w:p w14:paraId="439B4787"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11</w:t>
            </w:r>
          </w:p>
        </w:tc>
        <w:tc>
          <w:tcPr>
            <w:tcW w:w="1023" w:type="dxa"/>
            <w:noWrap/>
            <w:hideMark/>
          </w:tcPr>
          <w:p w14:paraId="3713DAB6"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w:t>
            </w:r>
          </w:p>
        </w:tc>
      </w:tr>
      <w:tr w:rsidR="00A9101E" w:rsidRPr="00A519D0" w14:paraId="7F9D08BE" w14:textId="77777777" w:rsidTr="00366EF9">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7B5CA4DC" w14:textId="75148CBD"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COURT</w:t>
            </w:r>
            <w:r w:rsidR="00C741C5" w:rsidRPr="00A519D0">
              <w:rPr>
                <w:color w:val="auto"/>
                <w:sz w:val="18"/>
                <w:szCs w:val="18"/>
                <w:lang w:val="en-US" w:eastAsia="sl-SI"/>
              </w:rPr>
              <w:t xml:space="preserve">: </w:t>
            </w:r>
            <w:r w:rsidRPr="00A519D0">
              <w:rPr>
                <w:color w:val="auto"/>
                <w:sz w:val="18"/>
                <w:szCs w:val="18"/>
                <w:lang w:val="en-US" w:eastAsia="sl-SI"/>
              </w:rPr>
              <w:t>indictment</w:t>
            </w:r>
          </w:p>
        </w:tc>
        <w:tc>
          <w:tcPr>
            <w:tcW w:w="848" w:type="dxa"/>
            <w:noWrap/>
            <w:hideMark/>
          </w:tcPr>
          <w:p w14:paraId="2C2D8D06"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112</w:t>
            </w:r>
          </w:p>
        </w:tc>
        <w:tc>
          <w:tcPr>
            <w:tcW w:w="1023" w:type="dxa"/>
            <w:noWrap/>
            <w:hideMark/>
          </w:tcPr>
          <w:p w14:paraId="6A87F7D1"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192</w:t>
            </w:r>
          </w:p>
        </w:tc>
        <w:tc>
          <w:tcPr>
            <w:tcW w:w="1023" w:type="dxa"/>
            <w:noWrap/>
            <w:hideMark/>
          </w:tcPr>
          <w:p w14:paraId="7D3B088E"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25</w:t>
            </w:r>
          </w:p>
        </w:tc>
        <w:tc>
          <w:tcPr>
            <w:tcW w:w="1023" w:type="dxa"/>
            <w:noWrap/>
            <w:hideMark/>
          </w:tcPr>
          <w:p w14:paraId="5CC4248C"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15</w:t>
            </w:r>
          </w:p>
        </w:tc>
        <w:tc>
          <w:tcPr>
            <w:tcW w:w="1023" w:type="dxa"/>
            <w:noWrap/>
            <w:hideMark/>
          </w:tcPr>
          <w:p w14:paraId="6BBAFD87"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7</w:t>
            </w:r>
          </w:p>
        </w:tc>
      </w:tr>
      <w:tr w:rsidR="00A9101E" w:rsidRPr="00A519D0" w14:paraId="3370F3B4" w14:textId="77777777" w:rsidTr="00366EF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46656605" w14:textId="32038909"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COURT</w:t>
            </w:r>
            <w:r w:rsidR="00C741C5" w:rsidRPr="00A519D0">
              <w:rPr>
                <w:color w:val="auto"/>
                <w:sz w:val="18"/>
                <w:szCs w:val="18"/>
                <w:lang w:val="en-US" w:eastAsia="sl-SI"/>
              </w:rPr>
              <w:t xml:space="preserve">: </w:t>
            </w:r>
            <w:r w:rsidRPr="00A519D0">
              <w:rPr>
                <w:color w:val="auto"/>
                <w:sz w:val="18"/>
                <w:szCs w:val="18"/>
                <w:lang w:val="en-US" w:eastAsia="sl-SI"/>
              </w:rPr>
              <w:t>convictions</w:t>
            </w:r>
          </w:p>
        </w:tc>
        <w:tc>
          <w:tcPr>
            <w:tcW w:w="848" w:type="dxa"/>
            <w:noWrap/>
            <w:hideMark/>
          </w:tcPr>
          <w:p w14:paraId="3B07B78A"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112</w:t>
            </w:r>
          </w:p>
        </w:tc>
        <w:tc>
          <w:tcPr>
            <w:tcW w:w="1023" w:type="dxa"/>
            <w:noWrap/>
            <w:hideMark/>
          </w:tcPr>
          <w:p w14:paraId="32190E4A"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139</w:t>
            </w:r>
          </w:p>
        </w:tc>
        <w:tc>
          <w:tcPr>
            <w:tcW w:w="1023" w:type="dxa"/>
            <w:noWrap/>
            <w:hideMark/>
          </w:tcPr>
          <w:p w14:paraId="0645E89B"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24</w:t>
            </w:r>
          </w:p>
        </w:tc>
        <w:tc>
          <w:tcPr>
            <w:tcW w:w="1023" w:type="dxa"/>
            <w:noWrap/>
            <w:hideMark/>
          </w:tcPr>
          <w:p w14:paraId="42F92CDE"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7</w:t>
            </w:r>
          </w:p>
        </w:tc>
        <w:tc>
          <w:tcPr>
            <w:tcW w:w="1023" w:type="dxa"/>
            <w:noWrap/>
            <w:hideMark/>
          </w:tcPr>
          <w:p w14:paraId="6C3B2114" w14:textId="1F04C5DE" w:rsidR="00C741C5" w:rsidRPr="00A519D0" w:rsidRDefault="00EB5CFB"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0</w:t>
            </w:r>
            <w:r w:rsidR="00C741C5" w:rsidRPr="00A519D0">
              <w:rPr>
                <w:rFonts w:cs="Times New Roman"/>
                <w:lang w:val="en-US" w:eastAsia="sl-SI"/>
              </w:rPr>
              <w:t> </w:t>
            </w:r>
          </w:p>
        </w:tc>
      </w:tr>
      <w:tr w:rsidR="00A9101E" w:rsidRPr="00A519D0" w14:paraId="0F69B3D6" w14:textId="77777777" w:rsidTr="00366EF9">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0F42088D" w14:textId="622BA42E"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COURT</w:t>
            </w:r>
            <w:r w:rsidR="00C741C5" w:rsidRPr="00A519D0">
              <w:rPr>
                <w:color w:val="auto"/>
                <w:sz w:val="18"/>
                <w:szCs w:val="18"/>
                <w:lang w:val="en-US" w:eastAsia="sl-SI"/>
              </w:rPr>
              <w:t xml:space="preserve">: </w:t>
            </w:r>
            <w:r w:rsidRPr="00A519D0">
              <w:rPr>
                <w:color w:val="auto"/>
                <w:sz w:val="18"/>
                <w:szCs w:val="18"/>
                <w:lang w:val="en-US" w:eastAsia="sl-SI"/>
              </w:rPr>
              <w:t>acquittals (final)</w:t>
            </w:r>
          </w:p>
        </w:tc>
        <w:tc>
          <w:tcPr>
            <w:tcW w:w="848" w:type="dxa"/>
            <w:noWrap/>
            <w:hideMark/>
          </w:tcPr>
          <w:p w14:paraId="734EB9A0"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30</w:t>
            </w:r>
          </w:p>
        </w:tc>
        <w:tc>
          <w:tcPr>
            <w:tcW w:w="1023" w:type="dxa"/>
            <w:noWrap/>
            <w:hideMark/>
          </w:tcPr>
          <w:p w14:paraId="2E341601"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42</w:t>
            </w:r>
          </w:p>
        </w:tc>
        <w:tc>
          <w:tcPr>
            <w:tcW w:w="1023" w:type="dxa"/>
            <w:noWrap/>
            <w:hideMark/>
          </w:tcPr>
          <w:p w14:paraId="1F3CE6FA"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9</w:t>
            </w:r>
          </w:p>
        </w:tc>
        <w:tc>
          <w:tcPr>
            <w:tcW w:w="1023" w:type="dxa"/>
            <w:noWrap/>
            <w:hideMark/>
          </w:tcPr>
          <w:p w14:paraId="7E75CAA6"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7</w:t>
            </w:r>
          </w:p>
        </w:tc>
        <w:tc>
          <w:tcPr>
            <w:tcW w:w="1023" w:type="dxa"/>
            <w:noWrap/>
            <w:hideMark/>
          </w:tcPr>
          <w:p w14:paraId="07EC4D9A"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w:t>
            </w:r>
          </w:p>
        </w:tc>
      </w:tr>
      <w:tr w:rsidR="00A9101E" w:rsidRPr="00A519D0" w14:paraId="7FB4CF41" w14:textId="77777777" w:rsidTr="00B24B8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752" w:type="dxa"/>
            <w:noWrap/>
            <w:hideMark/>
          </w:tcPr>
          <w:p w14:paraId="6524D6A2" w14:textId="6C0DCABD"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SP</w:t>
            </w:r>
            <w:r w:rsidR="00C741C5" w:rsidRPr="00A519D0">
              <w:rPr>
                <w:color w:val="auto"/>
                <w:sz w:val="18"/>
                <w:szCs w:val="18"/>
                <w:lang w:val="en-US" w:eastAsia="sl-SI"/>
              </w:rPr>
              <w:t xml:space="preserve">: </w:t>
            </w:r>
            <w:r w:rsidR="00B24B83" w:rsidRPr="00A519D0">
              <w:rPr>
                <w:color w:val="auto"/>
                <w:sz w:val="18"/>
                <w:szCs w:val="18"/>
                <w:lang w:val="en-US" w:eastAsia="sl-SI"/>
              </w:rPr>
              <w:t>Withdrawal from prosecution</w:t>
            </w:r>
          </w:p>
        </w:tc>
        <w:tc>
          <w:tcPr>
            <w:tcW w:w="848" w:type="dxa"/>
            <w:noWrap/>
            <w:hideMark/>
          </w:tcPr>
          <w:p w14:paraId="514AE00A"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47</w:t>
            </w:r>
          </w:p>
        </w:tc>
        <w:tc>
          <w:tcPr>
            <w:tcW w:w="1023" w:type="dxa"/>
            <w:noWrap/>
            <w:hideMark/>
          </w:tcPr>
          <w:p w14:paraId="4081BBA5"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93</w:t>
            </w:r>
          </w:p>
        </w:tc>
        <w:tc>
          <w:tcPr>
            <w:tcW w:w="1023" w:type="dxa"/>
            <w:noWrap/>
            <w:hideMark/>
          </w:tcPr>
          <w:p w14:paraId="4C0884E1"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13</w:t>
            </w:r>
          </w:p>
        </w:tc>
        <w:tc>
          <w:tcPr>
            <w:tcW w:w="1023" w:type="dxa"/>
            <w:noWrap/>
            <w:hideMark/>
          </w:tcPr>
          <w:p w14:paraId="7DDE80B4"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4</w:t>
            </w:r>
          </w:p>
        </w:tc>
        <w:tc>
          <w:tcPr>
            <w:tcW w:w="1023" w:type="dxa"/>
            <w:noWrap/>
            <w:hideMark/>
          </w:tcPr>
          <w:p w14:paraId="5BFC78D8" w14:textId="15279F9B" w:rsidR="00C741C5" w:rsidRPr="00A519D0" w:rsidRDefault="00EB5CFB"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0</w:t>
            </w:r>
            <w:r w:rsidR="00C741C5" w:rsidRPr="00A519D0">
              <w:rPr>
                <w:rFonts w:cs="Times New Roman"/>
                <w:lang w:val="en-US" w:eastAsia="sl-SI"/>
              </w:rPr>
              <w:t> </w:t>
            </w:r>
          </w:p>
        </w:tc>
      </w:tr>
      <w:tr w:rsidR="00A9101E" w:rsidRPr="00A519D0" w14:paraId="53B22FF6" w14:textId="77777777" w:rsidTr="00366EF9">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567FFA2E" w14:textId="0AD28F84"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COUR</w:t>
            </w:r>
            <w:r w:rsidR="00665B4C">
              <w:rPr>
                <w:color w:val="auto"/>
                <w:sz w:val="18"/>
                <w:szCs w:val="18"/>
                <w:lang w:val="en-US" w:eastAsia="sl-SI"/>
              </w:rPr>
              <w:t>T</w:t>
            </w:r>
            <w:r w:rsidR="00C741C5" w:rsidRPr="00A519D0">
              <w:rPr>
                <w:color w:val="auto"/>
                <w:sz w:val="18"/>
                <w:szCs w:val="18"/>
                <w:lang w:val="en-US" w:eastAsia="sl-SI"/>
              </w:rPr>
              <w:t xml:space="preserve">: </w:t>
            </w:r>
            <w:r w:rsidR="00B24B83" w:rsidRPr="00A519D0">
              <w:rPr>
                <w:color w:val="auto"/>
                <w:sz w:val="18"/>
                <w:szCs w:val="18"/>
                <w:lang w:val="en-US" w:eastAsia="sl-SI"/>
              </w:rPr>
              <w:t>Stop of the criminal procedure</w:t>
            </w:r>
          </w:p>
        </w:tc>
        <w:tc>
          <w:tcPr>
            <w:tcW w:w="848" w:type="dxa"/>
            <w:noWrap/>
            <w:hideMark/>
          </w:tcPr>
          <w:p w14:paraId="06ADA370"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27</w:t>
            </w:r>
          </w:p>
        </w:tc>
        <w:tc>
          <w:tcPr>
            <w:tcW w:w="1023" w:type="dxa"/>
            <w:noWrap/>
            <w:hideMark/>
          </w:tcPr>
          <w:p w14:paraId="4E63A24E"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33</w:t>
            </w:r>
          </w:p>
        </w:tc>
        <w:tc>
          <w:tcPr>
            <w:tcW w:w="1023" w:type="dxa"/>
            <w:noWrap/>
            <w:hideMark/>
          </w:tcPr>
          <w:p w14:paraId="5F566107"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7</w:t>
            </w:r>
          </w:p>
        </w:tc>
        <w:tc>
          <w:tcPr>
            <w:tcW w:w="1023" w:type="dxa"/>
            <w:noWrap/>
            <w:hideMark/>
          </w:tcPr>
          <w:p w14:paraId="0FD52974"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2</w:t>
            </w:r>
          </w:p>
        </w:tc>
        <w:tc>
          <w:tcPr>
            <w:tcW w:w="1023" w:type="dxa"/>
            <w:noWrap/>
            <w:hideMark/>
          </w:tcPr>
          <w:p w14:paraId="7FA40DCB" w14:textId="2C22BB80" w:rsidR="00C741C5" w:rsidRPr="00A519D0" w:rsidRDefault="00EB5CFB" w:rsidP="00F569C7">
            <w:pPr>
              <w:spacing w:line="360" w:lineRule="auto"/>
              <w:jc w:val="right"/>
              <w:cnfStyle w:val="000000000000" w:firstRow="0" w:lastRow="0" w:firstColumn="0" w:lastColumn="0" w:oddVBand="0" w:evenVBand="0" w:oddHBand="0" w:evenHBand="0" w:firstRowFirstColumn="0" w:firstRowLastColumn="0" w:lastRowFirstColumn="0" w:lastRowLastColumn="0"/>
              <w:rPr>
                <w:rFonts w:cs="Times New Roman"/>
                <w:lang w:val="en-US" w:eastAsia="sl-SI"/>
              </w:rPr>
            </w:pPr>
            <w:r w:rsidRPr="00A519D0">
              <w:rPr>
                <w:rFonts w:cs="Times New Roman"/>
                <w:lang w:val="en-US" w:eastAsia="sl-SI"/>
              </w:rPr>
              <w:t>0</w:t>
            </w:r>
            <w:r w:rsidR="00C741C5" w:rsidRPr="00A519D0">
              <w:rPr>
                <w:rFonts w:cs="Times New Roman"/>
                <w:lang w:val="en-US" w:eastAsia="sl-SI"/>
              </w:rPr>
              <w:t> </w:t>
            </w:r>
          </w:p>
        </w:tc>
      </w:tr>
      <w:tr w:rsidR="00A9101E" w:rsidRPr="00A519D0" w14:paraId="32DFAD15" w14:textId="77777777" w:rsidTr="00366EF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75E6DD16" w14:textId="7F955EBC" w:rsidR="00C741C5" w:rsidRPr="00A519D0" w:rsidRDefault="00703DC1" w:rsidP="00F569C7">
            <w:pPr>
              <w:spacing w:line="360" w:lineRule="auto"/>
              <w:jc w:val="left"/>
              <w:rPr>
                <w:color w:val="auto"/>
                <w:sz w:val="18"/>
                <w:szCs w:val="18"/>
                <w:lang w:val="en-US" w:eastAsia="sl-SI"/>
              </w:rPr>
            </w:pPr>
            <w:r w:rsidRPr="00A519D0">
              <w:rPr>
                <w:color w:val="auto"/>
                <w:sz w:val="18"/>
                <w:szCs w:val="18"/>
                <w:lang w:val="en-US" w:eastAsia="sl-SI"/>
              </w:rPr>
              <w:t>COURT</w:t>
            </w:r>
            <w:r w:rsidR="00C741C5" w:rsidRPr="00A519D0">
              <w:rPr>
                <w:color w:val="auto"/>
                <w:sz w:val="18"/>
                <w:szCs w:val="18"/>
                <w:lang w:val="en-US" w:eastAsia="sl-SI"/>
              </w:rPr>
              <w:t xml:space="preserve">: </w:t>
            </w:r>
            <w:r w:rsidR="00650A7E" w:rsidRPr="00A519D0">
              <w:rPr>
                <w:color w:val="auto"/>
                <w:sz w:val="18"/>
                <w:szCs w:val="18"/>
                <w:lang w:val="en-US" w:eastAsia="sl-SI"/>
              </w:rPr>
              <w:t>Withdrawal</w:t>
            </w:r>
            <w:r w:rsidR="00B24B83" w:rsidRPr="00A519D0">
              <w:rPr>
                <w:color w:val="auto"/>
                <w:sz w:val="18"/>
                <w:szCs w:val="18"/>
                <w:lang w:val="en-US" w:eastAsia="sl-SI"/>
              </w:rPr>
              <w:t xml:space="preserve"> of prosecution abroad</w:t>
            </w:r>
          </w:p>
        </w:tc>
        <w:tc>
          <w:tcPr>
            <w:tcW w:w="848" w:type="dxa"/>
            <w:noWrap/>
            <w:hideMark/>
          </w:tcPr>
          <w:p w14:paraId="34BC8456"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6</w:t>
            </w:r>
          </w:p>
        </w:tc>
        <w:tc>
          <w:tcPr>
            <w:tcW w:w="1023" w:type="dxa"/>
            <w:noWrap/>
            <w:hideMark/>
          </w:tcPr>
          <w:p w14:paraId="3F2DAE16" w14:textId="05E1E60F" w:rsidR="00C741C5" w:rsidRPr="00A519D0" w:rsidRDefault="00EB5CFB"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0</w:t>
            </w:r>
            <w:r w:rsidR="00C741C5" w:rsidRPr="00A519D0">
              <w:rPr>
                <w:rFonts w:cs="Times New Roman"/>
                <w:lang w:val="en-US" w:eastAsia="sl-SI"/>
              </w:rPr>
              <w:t> </w:t>
            </w:r>
          </w:p>
        </w:tc>
        <w:tc>
          <w:tcPr>
            <w:tcW w:w="1023" w:type="dxa"/>
            <w:noWrap/>
            <w:hideMark/>
          </w:tcPr>
          <w:p w14:paraId="567C4979"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8</w:t>
            </w:r>
          </w:p>
        </w:tc>
        <w:tc>
          <w:tcPr>
            <w:tcW w:w="1023" w:type="dxa"/>
            <w:noWrap/>
            <w:hideMark/>
          </w:tcPr>
          <w:p w14:paraId="791B8BBC"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w:t>
            </w:r>
          </w:p>
        </w:tc>
        <w:tc>
          <w:tcPr>
            <w:tcW w:w="1023" w:type="dxa"/>
            <w:noWrap/>
            <w:hideMark/>
          </w:tcPr>
          <w:p w14:paraId="30CC90E7" w14:textId="4B7FEE33" w:rsidR="00C741C5" w:rsidRPr="00A519D0" w:rsidRDefault="00EB5CFB"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0</w:t>
            </w:r>
            <w:r w:rsidR="00C741C5" w:rsidRPr="00A519D0">
              <w:rPr>
                <w:rFonts w:cs="Times New Roman"/>
                <w:lang w:val="en-US" w:eastAsia="sl-SI"/>
              </w:rPr>
              <w:t> </w:t>
            </w:r>
          </w:p>
        </w:tc>
      </w:tr>
      <w:tr w:rsidR="00A9101E" w:rsidRPr="00A519D0" w14:paraId="2623F5B2" w14:textId="77777777" w:rsidTr="00366EF9">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49FFDD30" w14:textId="4AD86D74" w:rsidR="00C741C5" w:rsidRPr="00A519D0" w:rsidRDefault="00C04BFF" w:rsidP="00F569C7">
            <w:pPr>
              <w:spacing w:line="360" w:lineRule="auto"/>
              <w:jc w:val="left"/>
              <w:rPr>
                <w:color w:val="auto"/>
                <w:sz w:val="18"/>
                <w:szCs w:val="18"/>
                <w:lang w:val="en-US" w:eastAsia="sl-SI"/>
              </w:rPr>
            </w:pPr>
            <w:r>
              <w:rPr>
                <w:color w:val="auto"/>
                <w:sz w:val="18"/>
                <w:szCs w:val="18"/>
                <w:lang w:val="en-US" w:eastAsia="sl-SI"/>
              </w:rPr>
              <w:t>Modification of the legal qualification</w:t>
            </w:r>
            <w:r w:rsidR="00B24B83" w:rsidRPr="00A519D0">
              <w:rPr>
                <w:color w:val="auto"/>
                <w:sz w:val="18"/>
                <w:szCs w:val="18"/>
                <w:lang w:val="en-US" w:eastAsia="sl-SI"/>
              </w:rPr>
              <w:t xml:space="preserve"> of </w:t>
            </w:r>
            <w:r>
              <w:rPr>
                <w:color w:val="auto"/>
                <w:sz w:val="18"/>
                <w:szCs w:val="18"/>
                <w:lang w:val="en-US" w:eastAsia="sl-SI"/>
              </w:rPr>
              <w:t xml:space="preserve">the </w:t>
            </w:r>
            <w:r w:rsidR="00B24B83" w:rsidRPr="00A519D0">
              <w:rPr>
                <w:color w:val="auto"/>
                <w:sz w:val="18"/>
                <w:szCs w:val="18"/>
                <w:lang w:val="en-US" w:eastAsia="sl-SI"/>
              </w:rPr>
              <w:t>criminal offence</w:t>
            </w:r>
          </w:p>
        </w:tc>
        <w:tc>
          <w:tcPr>
            <w:tcW w:w="848" w:type="dxa"/>
            <w:noWrap/>
            <w:hideMark/>
          </w:tcPr>
          <w:p w14:paraId="77D55D1D"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5</w:t>
            </w:r>
          </w:p>
        </w:tc>
        <w:tc>
          <w:tcPr>
            <w:tcW w:w="1023" w:type="dxa"/>
            <w:noWrap/>
            <w:hideMark/>
          </w:tcPr>
          <w:p w14:paraId="4F622A34"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lang w:val="en-US" w:eastAsia="sl-SI"/>
              </w:rPr>
            </w:pPr>
            <w:r w:rsidRPr="00A519D0">
              <w:rPr>
                <w:lang w:val="en-US" w:eastAsia="sl-SI"/>
              </w:rPr>
              <w:t>11</w:t>
            </w:r>
          </w:p>
        </w:tc>
        <w:tc>
          <w:tcPr>
            <w:tcW w:w="1023" w:type="dxa"/>
            <w:noWrap/>
            <w:hideMark/>
          </w:tcPr>
          <w:p w14:paraId="03F9F2B9"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rFonts w:cs="Times New Roman"/>
                <w:lang w:val="en-US" w:eastAsia="sl-SI"/>
              </w:rPr>
            </w:pPr>
            <w:r w:rsidRPr="00A519D0">
              <w:rPr>
                <w:rFonts w:cs="Times New Roman"/>
                <w:lang w:val="en-US" w:eastAsia="sl-SI"/>
              </w:rPr>
              <w:t> </w:t>
            </w:r>
          </w:p>
        </w:tc>
        <w:tc>
          <w:tcPr>
            <w:tcW w:w="1023" w:type="dxa"/>
            <w:noWrap/>
            <w:hideMark/>
          </w:tcPr>
          <w:p w14:paraId="26E150EA"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rFonts w:cs="Times New Roman"/>
                <w:lang w:val="en-US" w:eastAsia="sl-SI"/>
              </w:rPr>
            </w:pPr>
            <w:r w:rsidRPr="00A519D0">
              <w:rPr>
                <w:rFonts w:cs="Times New Roman"/>
                <w:lang w:val="en-US" w:eastAsia="sl-SI"/>
              </w:rPr>
              <w:t> </w:t>
            </w:r>
          </w:p>
        </w:tc>
        <w:tc>
          <w:tcPr>
            <w:tcW w:w="1023" w:type="dxa"/>
            <w:noWrap/>
            <w:hideMark/>
          </w:tcPr>
          <w:p w14:paraId="2CE9F335"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rFonts w:cs="Times New Roman"/>
                <w:lang w:val="en-US" w:eastAsia="sl-SI"/>
              </w:rPr>
            </w:pPr>
            <w:r w:rsidRPr="00A519D0">
              <w:rPr>
                <w:rFonts w:cs="Times New Roman"/>
                <w:lang w:val="en-US" w:eastAsia="sl-SI"/>
              </w:rPr>
              <w:t> </w:t>
            </w:r>
          </w:p>
        </w:tc>
      </w:tr>
      <w:tr w:rsidR="00A9101E" w:rsidRPr="00A519D0" w14:paraId="60460F84" w14:textId="77777777" w:rsidTr="00366EF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4C958568" w14:textId="53C916A9" w:rsidR="00C741C5" w:rsidRPr="00A519D0" w:rsidRDefault="00C04BFF" w:rsidP="00F569C7">
            <w:pPr>
              <w:spacing w:line="360" w:lineRule="auto"/>
              <w:jc w:val="left"/>
              <w:rPr>
                <w:color w:val="auto"/>
                <w:sz w:val="18"/>
                <w:szCs w:val="18"/>
                <w:lang w:val="en-US" w:eastAsia="sl-SI"/>
              </w:rPr>
            </w:pPr>
            <w:r>
              <w:rPr>
                <w:color w:val="auto"/>
                <w:sz w:val="18"/>
                <w:szCs w:val="18"/>
                <w:lang w:val="en-US" w:eastAsia="sl-SI"/>
              </w:rPr>
              <w:t>Joinder</w:t>
            </w:r>
            <w:r w:rsidRPr="00A519D0">
              <w:rPr>
                <w:color w:val="auto"/>
                <w:sz w:val="18"/>
                <w:szCs w:val="18"/>
                <w:lang w:val="en-US" w:eastAsia="sl-SI"/>
              </w:rPr>
              <w:t xml:space="preserve"> </w:t>
            </w:r>
            <w:r w:rsidR="00B24B83" w:rsidRPr="00A519D0">
              <w:rPr>
                <w:color w:val="auto"/>
                <w:sz w:val="18"/>
                <w:szCs w:val="18"/>
                <w:lang w:val="en-US" w:eastAsia="sl-SI"/>
              </w:rPr>
              <w:t xml:space="preserve">of </w:t>
            </w:r>
            <w:r>
              <w:rPr>
                <w:color w:val="auto"/>
                <w:sz w:val="18"/>
                <w:szCs w:val="18"/>
                <w:lang w:val="en-US" w:eastAsia="sl-SI"/>
              </w:rPr>
              <w:t>proceedings</w:t>
            </w:r>
          </w:p>
        </w:tc>
        <w:tc>
          <w:tcPr>
            <w:tcW w:w="848" w:type="dxa"/>
            <w:noWrap/>
            <w:hideMark/>
          </w:tcPr>
          <w:p w14:paraId="1F2BB529"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lang w:val="en-US" w:eastAsia="sl-SI"/>
              </w:rPr>
            </w:pPr>
            <w:r w:rsidRPr="00A519D0">
              <w:rPr>
                <w:lang w:val="en-US" w:eastAsia="sl-SI"/>
              </w:rPr>
              <w:t>13</w:t>
            </w:r>
          </w:p>
        </w:tc>
        <w:tc>
          <w:tcPr>
            <w:tcW w:w="1023" w:type="dxa"/>
            <w:noWrap/>
            <w:hideMark/>
          </w:tcPr>
          <w:p w14:paraId="6AD19938"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 </w:t>
            </w:r>
          </w:p>
        </w:tc>
        <w:tc>
          <w:tcPr>
            <w:tcW w:w="1023" w:type="dxa"/>
            <w:noWrap/>
            <w:hideMark/>
          </w:tcPr>
          <w:p w14:paraId="05EFE372"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 </w:t>
            </w:r>
          </w:p>
        </w:tc>
        <w:tc>
          <w:tcPr>
            <w:tcW w:w="1023" w:type="dxa"/>
            <w:noWrap/>
            <w:hideMark/>
          </w:tcPr>
          <w:p w14:paraId="5EF547AE"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 </w:t>
            </w:r>
          </w:p>
        </w:tc>
        <w:tc>
          <w:tcPr>
            <w:tcW w:w="1023" w:type="dxa"/>
            <w:noWrap/>
            <w:hideMark/>
          </w:tcPr>
          <w:p w14:paraId="02CBD20E" w14:textId="77777777" w:rsidR="00C741C5" w:rsidRPr="00A519D0" w:rsidRDefault="00C741C5" w:rsidP="00F569C7">
            <w:pPr>
              <w:spacing w:line="360" w:lineRule="auto"/>
              <w:jc w:val="right"/>
              <w:cnfStyle w:val="000000100000" w:firstRow="0" w:lastRow="0" w:firstColumn="0" w:lastColumn="0" w:oddVBand="0" w:evenVBand="0" w:oddHBand="1" w:evenHBand="0" w:firstRowFirstColumn="0" w:firstRowLastColumn="0" w:lastRowFirstColumn="0" w:lastRowLastColumn="0"/>
              <w:rPr>
                <w:rFonts w:cs="Times New Roman"/>
                <w:lang w:val="en-US" w:eastAsia="sl-SI"/>
              </w:rPr>
            </w:pPr>
            <w:r w:rsidRPr="00A519D0">
              <w:rPr>
                <w:rFonts w:cs="Times New Roman"/>
                <w:lang w:val="en-US" w:eastAsia="sl-SI"/>
              </w:rPr>
              <w:t> </w:t>
            </w:r>
          </w:p>
        </w:tc>
      </w:tr>
      <w:tr w:rsidR="00A9101E" w:rsidRPr="00A519D0" w14:paraId="08C8E377" w14:textId="77777777" w:rsidTr="00366EF9">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7ACE3024" w14:textId="6083349E" w:rsidR="00C741C5" w:rsidRPr="00A519D0" w:rsidRDefault="008D58B1" w:rsidP="00F569C7">
            <w:pPr>
              <w:spacing w:line="360" w:lineRule="auto"/>
              <w:jc w:val="left"/>
              <w:rPr>
                <w:b w:val="0"/>
                <w:bCs w:val="0"/>
                <w:color w:val="auto"/>
                <w:lang w:val="en-US" w:eastAsia="sl-SI"/>
              </w:rPr>
            </w:pPr>
            <w:r w:rsidRPr="00A519D0">
              <w:rPr>
                <w:color w:val="auto"/>
                <w:lang w:val="en-US" w:eastAsia="sl-SI"/>
              </w:rPr>
              <w:t>TOTAL</w:t>
            </w:r>
          </w:p>
        </w:tc>
        <w:tc>
          <w:tcPr>
            <w:tcW w:w="848" w:type="dxa"/>
            <w:noWrap/>
            <w:hideMark/>
          </w:tcPr>
          <w:p w14:paraId="5319C937"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US" w:eastAsia="sl-SI"/>
              </w:rPr>
            </w:pPr>
            <w:r w:rsidRPr="00A519D0">
              <w:rPr>
                <w:b/>
                <w:bCs/>
                <w:lang w:val="en-US" w:eastAsia="sl-SI"/>
              </w:rPr>
              <w:t>735</w:t>
            </w:r>
          </w:p>
        </w:tc>
        <w:tc>
          <w:tcPr>
            <w:tcW w:w="1023" w:type="dxa"/>
            <w:noWrap/>
            <w:hideMark/>
          </w:tcPr>
          <w:p w14:paraId="1F4931CD"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US" w:eastAsia="sl-SI"/>
              </w:rPr>
            </w:pPr>
            <w:r w:rsidRPr="00A519D0">
              <w:rPr>
                <w:b/>
                <w:bCs/>
                <w:lang w:val="en-US" w:eastAsia="sl-SI"/>
              </w:rPr>
              <w:t>1043</w:t>
            </w:r>
          </w:p>
        </w:tc>
        <w:tc>
          <w:tcPr>
            <w:tcW w:w="1023" w:type="dxa"/>
            <w:noWrap/>
            <w:hideMark/>
          </w:tcPr>
          <w:p w14:paraId="560851C0"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US" w:eastAsia="sl-SI"/>
              </w:rPr>
            </w:pPr>
            <w:r w:rsidRPr="00A519D0">
              <w:rPr>
                <w:b/>
                <w:bCs/>
                <w:lang w:val="en-US" w:eastAsia="sl-SI"/>
              </w:rPr>
              <w:t>321</w:t>
            </w:r>
          </w:p>
        </w:tc>
        <w:tc>
          <w:tcPr>
            <w:tcW w:w="1023" w:type="dxa"/>
            <w:noWrap/>
            <w:hideMark/>
          </w:tcPr>
          <w:p w14:paraId="18350925"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US" w:eastAsia="sl-SI"/>
              </w:rPr>
            </w:pPr>
            <w:r w:rsidRPr="00A519D0">
              <w:rPr>
                <w:b/>
                <w:bCs/>
                <w:lang w:val="en-US" w:eastAsia="sl-SI"/>
              </w:rPr>
              <w:t>143</w:t>
            </w:r>
          </w:p>
        </w:tc>
        <w:tc>
          <w:tcPr>
            <w:tcW w:w="1023" w:type="dxa"/>
            <w:noWrap/>
            <w:hideMark/>
          </w:tcPr>
          <w:p w14:paraId="45AC947A" w14:textId="77777777" w:rsidR="00C741C5" w:rsidRPr="00A519D0" w:rsidRDefault="00C741C5" w:rsidP="00F569C7">
            <w:pPr>
              <w:spacing w:line="360" w:lineRule="auto"/>
              <w:jc w:val="right"/>
              <w:cnfStyle w:val="000000000000" w:firstRow="0" w:lastRow="0" w:firstColumn="0" w:lastColumn="0" w:oddVBand="0" w:evenVBand="0" w:oddHBand="0" w:evenHBand="0" w:firstRowFirstColumn="0" w:firstRowLastColumn="0" w:lastRowFirstColumn="0" w:lastRowLastColumn="0"/>
              <w:rPr>
                <w:b/>
                <w:bCs/>
                <w:lang w:val="en-US" w:eastAsia="sl-SI"/>
              </w:rPr>
            </w:pPr>
            <w:r w:rsidRPr="00A519D0">
              <w:rPr>
                <w:b/>
                <w:bCs/>
                <w:lang w:val="en-US" w:eastAsia="sl-SI"/>
              </w:rPr>
              <w:t>38</w:t>
            </w:r>
          </w:p>
        </w:tc>
      </w:tr>
    </w:tbl>
    <w:p w14:paraId="7026E98F" w14:textId="0D97F036" w:rsidR="00B65A09" w:rsidRPr="00A519D0" w:rsidRDefault="00703DC1" w:rsidP="00703DC1">
      <w:pPr>
        <w:rPr>
          <w:lang w:val="en-US"/>
        </w:rPr>
      </w:pPr>
      <w:r w:rsidRPr="00A519D0">
        <w:rPr>
          <w:lang w:val="en-US"/>
        </w:rPr>
        <w:t xml:space="preserve">*SP </w:t>
      </w:r>
      <w:r w:rsidR="00665B4C">
        <w:rPr>
          <w:lang w:val="en-US"/>
        </w:rPr>
        <w:t xml:space="preserve">means </w:t>
      </w:r>
      <w:r w:rsidRPr="00A519D0">
        <w:rPr>
          <w:lang w:val="en-US"/>
        </w:rPr>
        <w:t>State Prosecutor</w:t>
      </w:r>
      <w:r w:rsidR="00665B4C">
        <w:rPr>
          <w:lang w:val="en-US"/>
        </w:rPr>
        <w:t>’</w:t>
      </w:r>
      <w:r w:rsidRPr="00A519D0">
        <w:rPr>
          <w:lang w:val="en-US"/>
        </w:rPr>
        <w:t>s Office</w:t>
      </w:r>
    </w:p>
    <w:p w14:paraId="72EB8553" w14:textId="46598727" w:rsidR="00703DC1" w:rsidRPr="00A519D0" w:rsidRDefault="00703DC1" w:rsidP="00703DC1">
      <w:pPr>
        <w:rPr>
          <w:lang w:val="en-US"/>
        </w:rPr>
      </w:pPr>
      <w:r w:rsidRPr="00A519D0">
        <w:rPr>
          <w:lang w:val="en-US"/>
        </w:rPr>
        <w:t>**IJ means Investigative Judge</w:t>
      </w:r>
    </w:p>
    <w:p w14:paraId="13356B3B" w14:textId="6865930E" w:rsidR="006C2995" w:rsidRPr="00A519D0" w:rsidRDefault="006C2995" w:rsidP="006C2995">
      <w:pPr>
        <w:ind w:right="-22"/>
        <w:rPr>
          <w:lang w:val="en-US"/>
        </w:rPr>
      </w:pPr>
      <w:r w:rsidRPr="00A519D0">
        <w:rPr>
          <w:lang w:val="en-US"/>
        </w:rPr>
        <w:t xml:space="preserve">From the Table 4 can be seen that on 31 December 2021 </w:t>
      </w:r>
      <w:r w:rsidRPr="00A519D0">
        <w:rPr>
          <w:b/>
          <w:lang w:val="en-US"/>
        </w:rPr>
        <w:t>367</w:t>
      </w:r>
      <w:r w:rsidRPr="00A519D0">
        <w:rPr>
          <w:lang w:val="en-US"/>
        </w:rPr>
        <w:t xml:space="preserve"> </w:t>
      </w:r>
      <w:r w:rsidRPr="00A519D0">
        <w:rPr>
          <w:b/>
          <w:lang w:val="en-US"/>
        </w:rPr>
        <w:t>(out of 735) cases</w:t>
      </w:r>
      <w:r w:rsidRPr="00A519D0">
        <w:rPr>
          <w:lang w:val="en-US"/>
        </w:rPr>
        <w:t xml:space="preserve"> connected with the criminal offence of money laundering </w:t>
      </w:r>
      <w:r w:rsidRPr="00A519D0">
        <w:rPr>
          <w:b/>
          <w:lang w:val="en-US"/>
        </w:rPr>
        <w:t>became final</w:t>
      </w:r>
      <w:r w:rsidRPr="00A519D0">
        <w:rPr>
          <w:lang w:val="en-US"/>
        </w:rPr>
        <w:t xml:space="preserve"> as follows:</w:t>
      </w:r>
    </w:p>
    <w:p w14:paraId="7E3B23A4" w14:textId="1BC76EFB" w:rsidR="006C2995" w:rsidRPr="00A519D0" w:rsidRDefault="006C2995" w:rsidP="00F66FAB">
      <w:pPr>
        <w:widowControl w:val="0"/>
        <w:numPr>
          <w:ilvl w:val="0"/>
          <w:numId w:val="7"/>
        </w:numPr>
        <w:snapToGrid w:val="0"/>
        <w:spacing w:after="0" w:line="276" w:lineRule="auto"/>
        <w:ind w:right="-22"/>
        <w:jc w:val="left"/>
        <w:rPr>
          <w:bCs/>
          <w:lang w:val="en-US"/>
        </w:rPr>
      </w:pPr>
      <w:r w:rsidRPr="00A519D0">
        <w:rPr>
          <w:bCs/>
          <w:lang w:val="en-US"/>
        </w:rPr>
        <w:t>in 127 cases the State Prosecutor`s Office rejected the criminal report</w:t>
      </w:r>
      <w:r w:rsidR="00650A7E" w:rsidRPr="00A519D0">
        <w:rPr>
          <w:bCs/>
          <w:lang w:val="en-US"/>
        </w:rPr>
        <w:t>,</w:t>
      </w:r>
    </w:p>
    <w:p w14:paraId="3DD347C9" w14:textId="4CF9666E" w:rsidR="006C2995" w:rsidRPr="00A519D0" w:rsidRDefault="006C2995" w:rsidP="00F66FAB">
      <w:pPr>
        <w:widowControl w:val="0"/>
        <w:numPr>
          <w:ilvl w:val="0"/>
          <w:numId w:val="7"/>
        </w:numPr>
        <w:snapToGrid w:val="0"/>
        <w:spacing w:after="0" w:line="276" w:lineRule="auto"/>
        <w:ind w:right="-22"/>
        <w:jc w:val="left"/>
        <w:rPr>
          <w:bCs/>
          <w:lang w:val="en-US"/>
        </w:rPr>
      </w:pPr>
      <w:r w:rsidRPr="00A519D0">
        <w:rPr>
          <w:bCs/>
          <w:lang w:val="en-US"/>
        </w:rPr>
        <w:t>in 30 cases the final acquittals were pronounced</w:t>
      </w:r>
      <w:r w:rsidR="00650A7E" w:rsidRPr="00A519D0">
        <w:rPr>
          <w:bCs/>
          <w:lang w:val="en-US"/>
        </w:rPr>
        <w:t>,</w:t>
      </w:r>
    </w:p>
    <w:p w14:paraId="6D75B193" w14:textId="16DB5C3C" w:rsidR="006C2995" w:rsidRPr="00A519D0" w:rsidRDefault="006C2995" w:rsidP="00F66FAB">
      <w:pPr>
        <w:widowControl w:val="0"/>
        <w:numPr>
          <w:ilvl w:val="0"/>
          <w:numId w:val="7"/>
        </w:numPr>
        <w:snapToGrid w:val="0"/>
        <w:spacing w:after="0" w:line="276" w:lineRule="auto"/>
        <w:ind w:right="-22"/>
        <w:jc w:val="left"/>
        <w:rPr>
          <w:bCs/>
          <w:lang w:val="en-US"/>
        </w:rPr>
      </w:pPr>
      <w:r w:rsidRPr="00A519D0">
        <w:rPr>
          <w:bCs/>
          <w:lang w:val="en-US"/>
        </w:rPr>
        <w:t>121 cases ended with the final conviction</w:t>
      </w:r>
      <w:r w:rsidR="00650A7E" w:rsidRPr="00A519D0">
        <w:rPr>
          <w:bCs/>
          <w:lang w:val="en-US"/>
        </w:rPr>
        <w:t>,</w:t>
      </w:r>
    </w:p>
    <w:p w14:paraId="572A4026" w14:textId="09434BCC" w:rsidR="006C2995" w:rsidRPr="00A519D0" w:rsidRDefault="006C2995" w:rsidP="00F66FAB">
      <w:pPr>
        <w:widowControl w:val="0"/>
        <w:numPr>
          <w:ilvl w:val="0"/>
          <w:numId w:val="7"/>
        </w:numPr>
        <w:snapToGrid w:val="0"/>
        <w:spacing w:after="0" w:line="276" w:lineRule="auto"/>
        <w:ind w:right="-22"/>
        <w:jc w:val="left"/>
        <w:rPr>
          <w:bCs/>
          <w:lang w:val="en-US"/>
        </w:rPr>
      </w:pPr>
      <w:r w:rsidRPr="00A519D0">
        <w:rPr>
          <w:bCs/>
          <w:lang w:val="en-US"/>
        </w:rPr>
        <w:t xml:space="preserve">in 74 cases </w:t>
      </w:r>
      <w:r w:rsidR="00C04BFF">
        <w:rPr>
          <w:bCs/>
          <w:lang w:val="en-US"/>
        </w:rPr>
        <w:t xml:space="preserve">the </w:t>
      </w:r>
      <w:r w:rsidRPr="00A519D0">
        <w:rPr>
          <w:bCs/>
          <w:lang w:val="en-US"/>
        </w:rPr>
        <w:t xml:space="preserve">State Prosecutor`s Offices </w:t>
      </w:r>
      <w:r w:rsidR="00A12698">
        <w:rPr>
          <w:bCs/>
          <w:lang w:val="en-US"/>
        </w:rPr>
        <w:t>discontinued</w:t>
      </w:r>
      <w:r w:rsidRPr="00A519D0">
        <w:rPr>
          <w:bCs/>
          <w:lang w:val="en-US"/>
        </w:rPr>
        <w:t xml:space="preserve"> </w:t>
      </w:r>
      <w:proofErr w:type="gramStart"/>
      <w:r w:rsidR="00650A7E" w:rsidRPr="00A519D0">
        <w:rPr>
          <w:bCs/>
          <w:lang w:val="en-US"/>
        </w:rPr>
        <w:t>prosecution</w:t>
      </w:r>
      <w:proofErr w:type="gramEnd"/>
      <w:r w:rsidRPr="00A519D0">
        <w:rPr>
          <w:bCs/>
          <w:lang w:val="en-US"/>
        </w:rPr>
        <w:t xml:space="preserve"> or the court stopped the criminal prosecution</w:t>
      </w:r>
      <w:r w:rsidR="00650A7E" w:rsidRPr="00A519D0">
        <w:rPr>
          <w:bCs/>
          <w:lang w:val="en-US"/>
        </w:rPr>
        <w:t>,</w:t>
      </w:r>
    </w:p>
    <w:p w14:paraId="0AEBD371" w14:textId="2B6C1773" w:rsidR="006C2995" w:rsidRPr="00A519D0" w:rsidRDefault="006C2995" w:rsidP="00F66FAB">
      <w:pPr>
        <w:widowControl w:val="0"/>
        <w:numPr>
          <w:ilvl w:val="0"/>
          <w:numId w:val="7"/>
        </w:numPr>
        <w:snapToGrid w:val="0"/>
        <w:spacing w:after="0" w:line="276" w:lineRule="auto"/>
        <w:ind w:right="-22"/>
        <w:jc w:val="left"/>
        <w:rPr>
          <w:bCs/>
          <w:lang w:val="en-US"/>
        </w:rPr>
      </w:pPr>
      <w:r w:rsidRPr="00A519D0">
        <w:rPr>
          <w:bCs/>
          <w:lang w:val="en-US"/>
        </w:rPr>
        <w:t>6 cases were forwarded abroad for further procedures</w:t>
      </w:r>
      <w:r w:rsidR="00650A7E" w:rsidRPr="00A519D0">
        <w:rPr>
          <w:bCs/>
          <w:lang w:val="en-US"/>
        </w:rPr>
        <w:t>,</w:t>
      </w:r>
    </w:p>
    <w:p w14:paraId="141B3D2B" w14:textId="75BF803C" w:rsidR="006C2995" w:rsidRPr="00A519D0" w:rsidRDefault="006C2995" w:rsidP="00F66FAB">
      <w:pPr>
        <w:widowControl w:val="0"/>
        <w:numPr>
          <w:ilvl w:val="0"/>
          <w:numId w:val="7"/>
        </w:numPr>
        <w:snapToGrid w:val="0"/>
        <w:spacing w:after="0" w:line="276" w:lineRule="auto"/>
        <w:ind w:right="-22"/>
        <w:jc w:val="left"/>
        <w:rPr>
          <w:bCs/>
          <w:lang w:val="en-US"/>
        </w:rPr>
      </w:pPr>
      <w:r w:rsidRPr="00A519D0">
        <w:rPr>
          <w:bCs/>
          <w:lang w:val="en-US"/>
        </w:rPr>
        <w:t xml:space="preserve">5 cases ended with </w:t>
      </w:r>
      <w:r w:rsidR="00A12698">
        <w:rPr>
          <w:bCs/>
          <w:lang w:val="en-US"/>
        </w:rPr>
        <w:t>a modification of the legal qualification</w:t>
      </w:r>
      <w:r w:rsidR="00A12698" w:rsidRPr="00A519D0">
        <w:rPr>
          <w:bCs/>
          <w:lang w:val="en-US"/>
        </w:rPr>
        <w:t xml:space="preserve"> </w:t>
      </w:r>
      <w:r w:rsidRPr="00A519D0">
        <w:rPr>
          <w:bCs/>
          <w:lang w:val="en-US"/>
        </w:rPr>
        <w:t xml:space="preserve">to </w:t>
      </w:r>
      <w:r w:rsidR="00A12698">
        <w:rPr>
          <w:bCs/>
          <w:lang w:val="en-US"/>
        </w:rPr>
        <w:t>an</w:t>
      </w:r>
      <w:r w:rsidRPr="00A519D0">
        <w:rPr>
          <w:bCs/>
          <w:lang w:val="en-US"/>
        </w:rPr>
        <w:t>other criminal offence</w:t>
      </w:r>
      <w:r w:rsidR="00650A7E" w:rsidRPr="00A519D0">
        <w:rPr>
          <w:bCs/>
          <w:lang w:val="en-US"/>
        </w:rPr>
        <w:t>,</w:t>
      </w:r>
    </w:p>
    <w:p w14:paraId="7406470D" w14:textId="1B163C86" w:rsidR="006C2995" w:rsidRPr="00A519D0" w:rsidRDefault="006C2995" w:rsidP="00F66FAB">
      <w:pPr>
        <w:widowControl w:val="0"/>
        <w:numPr>
          <w:ilvl w:val="0"/>
          <w:numId w:val="7"/>
        </w:numPr>
        <w:snapToGrid w:val="0"/>
        <w:spacing w:after="0" w:line="276" w:lineRule="auto"/>
        <w:ind w:right="-22"/>
        <w:jc w:val="left"/>
        <w:rPr>
          <w:bCs/>
          <w:lang w:val="en-US"/>
        </w:rPr>
      </w:pPr>
      <w:r w:rsidRPr="00A519D0">
        <w:rPr>
          <w:bCs/>
          <w:lang w:val="en-US"/>
        </w:rPr>
        <w:t xml:space="preserve">in 13 cases the courts </w:t>
      </w:r>
      <w:r w:rsidR="00A12698">
        <w:rPr>
          <w:bCs/>
          <w:lang w:val="en-US"/>
        </w:rPr>
        <w:t>or the</w:t>
      </w:r>
      <w:r w:rsidR="00A12698" w:rsidRPr="00A519D0">
        <w:rPr>
          <w:bCs/>
          <w:lang w:val="en-US"/>
        </w:rPr>
        <w:t xml:space="preserve"> </w:t>
      </w:r>
      <w:r w:rsidR="00A12698">
        <w:rPr>
          <w:bCs/>
          <w:lang w:val="en-US"/>
        </w:rPr>
        <w:t>S</w:t>
      </w:r>
      <w:r w:rsidR="00A12698" w:rsidRPr="00A519D0">
        <w:rPr>
          <w:bCs/>
          <w:lang w:val="en-US"/>
        </w:rPr>
        <w:t xml:space="preserve">tate </w:t>
      </w:r>
      <w:r w:rsidR="00A12698">
        <w:rPr>
          <w:bCs/>
          <w:lang w:val="en-US"/>
        </w:rPr>
        <w:t>P</w:t>
      </w:r>
      <w:r w:rsidR="00A12698" w:rsidRPr="00A519D0">
        <w:rPr>
          <w:bCs/>
          <w:lang w:val="en-US"/>
        </w:rPr>
        <w:t>rosecutor</w:t>
      </w:r>
      <w:r w:rsidR="00A12698">
        <w:rPr>
          <w:bCs/>
          <w:lang w:val="en-US"/>
        </w:rPr>
        <w:t>s’</w:t>
      </w:r>
      <w:r w:rsidR="00A12698" w:rsidRPr="00A519D0">
        <w:rPr>
          <w:bCs/>
          <w:lang w:val="en-US"/>
        </w:rPr>
        <w:t xml:space="preserve"> </w:t>
      </w:r>
      <w:r w:rsidR="00A12698">
        <w:rPr>
          <w:bCs/>
          <w:lang w:val="en-US"/>
        </w:rPr>
        <w:t>O</w:t>
      </w:r>
      <w:r w:rsidRPr="00A519D0">
        <w:rPr>
          <w:bCs/>
          <w:lang w:val="en-US"/>
        </w:rPr>
        <w:t xml:space="preserve">ffices decided to </w:t>
      </w:r>
      <w:r w:rsidR="00A12698">
        <w:rPr>
          <w:bCs/>
          <w:lang w:val="en-US"/>
        </w:rPr>
        <w:t>join</w:t>
      </w:r>
      <w:r w:rsidR="00A12698" w:rsidRPr="00A519D0">
        <w:rPr>
          <w:bCs/>
          <w:lang w:val="en-US"/>
        </w:rPr>
        <w:t xml:space="preserve"> </w:t>
      </w:r>
      <w:r w:rsidRPr="00A519D0">
        <w:rPr>
          <w:bCs/>
          <w:lang w:val="en-US"/>
        </w:rPr>
        <w:t xml:space="preserve">the </w:t>
      </w:r>
      <w:r w:rsidR="00A12698">
        <w:rPr>
          <w:bCs/>
          <w:lang w:val="en-US"/>
        </w:rPr>
        <w:t>pre-trial</w:t>
      </w:r>
      <w:r w:rsidRPr="00A519D0">
        <w:rPr>
          <w:bCs/>
          <w:lang w:val="en-US"/>
        </w:rPr>
        <w:t xml:space="preserve"> </w:t>
      </w:r>
      <w:r w:rsidR="00A12698">
        <w:rPr>
          <w:bCs/>
          <w:lang w:val="en-US"/>
        </w:rPr>
        <w:t>or</w:t>
      </w:r>
      <w:r w:rsidR="00A12698" w:rsidRPr="00A519D0">
        <w:rPr>
          <w:bCs/>
          <w:lang w:val="en-US"/>
        </w:rPr>
        <w:t xml:space="preserve"> </w:t>
      </w:r>
      <w:r w:rsidRPr="00A519D0">
        <w:rPr>
          <w:bCs/>
          <w:lang w:val="en-US"/>
        </w:rPr>
        <w:t xml:space="preserve">criminal </w:t>
      </w:r>
      <w:r w:rsidR="00A12698">
        <w:rPr>
          <w:bCs/>
          <w:lang w:val="en-US"/>
        </w:rPr>
        <w:t>proceedings</w:t>
      </w:r>
      <w:r w:rsidRPr="00A519D0">
        <w:rPr>
          <w:bCs/>
          <w:lang w:val="en-US"/>
        </w:rPr>
        <w:t>.</w:t>
      </w:r>
    </w:p>
    <w:p w14:paraId="372E57B7" w14:textId="44C48E8E" w:rsidR="006C2995" w:rsidRPr="00A519D0" w:rsidRDefault="006C2995" w:rsidP="006C2995">
      <w:pPr>
        <w:ind w:right="-22"/>
        <w:rPr>
          <w:lang w:val="en-US"/>
        </w:rPr>
      </w:pPr>
      <w:r w:rsidRPr="00A519D0">
        <w:rPr>
          <w:lang w:val="en-US"/>
        </w:rPr>
        <w:lastRenderedPageBreak/>
        <w:t>In 177</w:t>
      </w:r>
      <w:r w:rsidRPr="00A519D0">
        <w:rPr>
          <w:b/>
          <w:lang w:val="en-US"/>
        </w:rPr>
        <w:t xml:space="preserve"> </w:t>
      </w:r>
      <w:r w:rsidRPr="00A519D0">
        <w:rPr>
          <w:lang w:val="en-US"/>
        </w:rPr>
        <w:t>cases the State Prosecutor`s Office has not taken the decision on criminal prosecution and in 1 case it postponed the prosecution. In</w:t>
      </w:r>
      <w:r w:rsidRPr="00A519D0">
        <w:rPr>
          <w:b/>
          <w:lang w:val="en-US"/>
        </w:rPr>
        <w:t xml:space="preserve"> 190 cases</w:t>
      </w:r>
      <w:r w:rsidRPr="00A519D0">
        <w:rPr>
          <w:lang w:val="en-US"/>
        </w:rPr>
        <w:t xml:space="preserve"> the State Prosecutor`s Office began with the pre-</w:t>
      </w:r>
      <w:r w:rsidR="00A12698">
        <w:rPr>
          <w:lang w:val="en-US"/>
        </w:rPr>
        <w:t>trial</w:t>
      </w:r>
      <w:r w:rsidR="00A12698" w:rsidRPr="00A519D0">
        <w:rPr>
          <w:lang w:val="en-US"/>
        </w:rPr>
        <w:t xml:space="preserve"> </w:t>
      </w:r>
      <w:r w:rsidRPr="00A519D0">
        <w:rPr>
          <w:lang w:val="en-US"/>
        </w:rPr>
        <w:t>and criminal proceedings at court, which were on 31 December 2021 at the following stages:</w:t>
      </w:r>
    </w:p>
    <w:p w14:paraId="66121494" w14:textId="439DC91C" w:rsidR="006C2995" w:rsidRPr="00A519D0" w:rsidRDefault="006C2995" w:rsidP="00A75696">
      <w:pPr>
        <w:widowControl w:val="0"/>
        <w:numPr>
          <w:ilvl w:val="0"/>
          <w:numId w:val="7"/>
        </w:numPr>
        <w:snapToGrid w:val="0"/>
        <w:spacing w:after="0" w:line="240" w:lineRule="auto"/>
        <w:ind w:right="-22"/>
        <w:rPr>
          <w:b/>
          <w:lang w:val="en-US"/>
        </w:rPr>
      </w:pPr>
      <w:r w:rsidRPr="00A519D0">
        <w:rPr>
          <w:b/>
          <w:lang w:val="en-US"/>
        </w:rPr>
        <w:t xml:space="preserve">in 48 cases </w:t>
      </w:r>
      <w:r w:rsidR="00F66FAB" w:rsidRPr="00A519D0">
        <w:rPr>
          <w:b/>
          <w:lang w:val="en-US"/>
        </w:rPr>
        <w:t>at</w:t>
      </w:r>
      <w:r w:rsidRPr="00A519D0">
        <w:rPr>
          <w:b/>
          <w:lang w:val="en-US"/>
        </w:rPr>
        <w:t xml:space="preserve"> the stage of demand for investigation</w:t>
      </w:r>
      <w:r w:rsidR="00650A7E" w:rsidRPr="00A519D0">
        <w:rPr>
          <w:b/>
          <w:lang w:val="en-US"/>
        </w:rPr>
        <w:t>,</w:t>
      </w:r>
      <w:r w:rsidRPr="00A519D0">
        <w:rPr>
          <w:b/>
          <w:lang w:val="en-US"/>
        </w:rPr>
        <w:t xml:space="preserve"> </w:t>
      </w:r>
    </w:p>
    <w:p w14:paraId="5EAC68FA" w14:textId="173903C0" w:rsidR="006C2995" w:rsidRPr="00A519D0" w:rsidRDefault="006C2995" w:rsidP="00A75696">
      <w:pPr>
        <w:widowControl w:val="0"/>
        <w:numPr>
          <w:ilvl w:val="0"/>
          <w:numId w:val="7"/>
        </w:numPr>
        <w:snapToGrid w:val="0"/>
        <w:spacing w:after="0" w:line="240" w:lineRule="auto"/>
        <w:ind w:right="-22"/>
        <w:rPr>
          <w:b/>
          <w:lang w:val="en-US"/>
        </w:rPr>
      </w:pPr>
      <w:r w:rsidRPr="00A519D0">
        <w:rPr>
          <w:b/>
          <w:lang w:val="en-US"/>
        </w:rPr>
        <w:t>in 32 cases the investigation has been introduced</w:t>
      </w:r>
      <w:r w:rsidR="00650A7E" w:rsidRPr="00A519D0">
        <w:rPr>
          <w:b/>
          <w:lang w:val="en-US"/>
        </w:rPr>
        <w:t>,</w:t>
      </w:r>
    </w:p>
    <w:p w14:paraId="1744184A" w14:textId="0151A8A8" w:rsidR="006C2995" w:rsidRPr="00A519D0" w:rsidRDefault="006C2995" w:rsidP="00A75696">
      <w:pPr>
        <w:widowControl w:val="0"/>
        <w:numPr>
          <w:ilvl w:val="0"/>
          <w:numId w:val="7"/>
        </w:numPr>
        <w:snapToGrid w:val="0"/>
        <w:spacing w:after="0" w:line="240" w:lineRule="auto"/>
        <w:ind w:right="-22"/>
        <w:rPr>
          <w:b/>
          <w:lang w:val="en-US"/>
        </w:rPr>
      </w:pPr>
      <w:r w:rsidRPr="00A519D0">
        <w:rPr>
          <w:b/>
          <w:lang w:val="en-US"/>
        </w:rPr>
        <w:t>in 103 cases the indictment has been filed.</w:t>
      </w:r>
    </w:p>
    <w:p w14:paraId="388891C4" w14:textId="21DFCAEF" w:rsidR="006C2995" w:rsidRPr="00A519D0" w:rsidRDefault="006C2995" w:rsidP="006C2995">
      <w:pPr>
        <w:ind w:right="-22"/>
        <w:rPr>
          <w:lang w:val="en-US"/>
        </w:rPr>
      </w:pPr>
    </w:p>
    <w:p w14:paraId="21E8AE38" w14:textId="6CA1E515" w:rsidR="00C741C5" w:rsidRPr="00A519D0" w:rsidRDefault="006C2995" w:rsidP="009C2E7F">
      <w:pPr>
        <w:spacing w:line="276" w:lineRule="auto"/>
        <w:ind w:right="-22"/>
        <w:rPr>
          <w:b/>
          <w:bCs/>
          <w:i/>
          <w:iCs/>
          <w:sz w:val="18"/>
          <w:szCs w:val="18"/>
          <w:lang w:val="en-US"/>
        </w:rPr>
      </w:pPr>
      <w:r w:rsidRPr="00A519D0">
        <w:rPr>
          <w:b/>
          <w:bCs/>
          <w:i/>
          <w:iCs/>
          <w:sz w:val="18"/>
          <w:szCs w:val="18"/>
          <w:lang w:val="en-US"/>
        </w:rPr>
        <w:t>Table 5</w:t>
      </w:r>
      <w:r w:rsidR="00C741C5" w:rsidRPr="00A519D0">
        <w:rPr>
          <w:b/>
          <w:bCs/>
          <w:i/>
          <w:iCs/>
          <w:sz w:val="18"/>
          <w:szCs w:val="18"/>
          <w:lang w:val="en-US"/>
        </w:rPr>
        <w:t xml:space="preserve">: </w:t>
      </w:r>
      <w:r w:rsidRPr="00A519D0">
        <w:rPr>
          <w:b/>
          <w:i/>
          <w:lang w:val="en-US"/>
        </w:rPr>
        <w:t xml:space="preserve">Comparison of the number of cases connected with committing the criminal                offence of money laundering </w:t>
      </w:r>
      <w:proofErr w:type="gramStart"/>
      <w:r w:rsidRPr="00A519D0">
        <w:rPr>
          <w:b/>
          <w:i/>
          <w:lang w:val="en-US"/>
        </w:rPr>
        <w:t>with regard to</w:t>
      </w:r>
      <w:proofErr w:type="gramEnd"/>
      <w:r w:rsidRPr="00A519D0">
        <w:rPr>
          <w:b/>
          <w:i/>
          <w:lang w:val="en-US"/>
        </w:rPr>
        <w:t xml:space="preserve"> the stages of procedures on the last day of the particular year (2012 – 2021)</w:t>
      </w:r>
    </w:p>
    <w:tbl>
      <w:tblPr>
        <w:tblStyle w:val="Tabelatemnamrea5poudarek5"/>
        <w:tblW w:w="9351" w:type="dxa"/>
        <w:tblLayout w:type="fixed"/>
        <w:tblLook w:val="04A0" w:firstRow="1" w:lastRow="0" w:firstColumn="1" w:lastColumn="0" w:noHBand="0" w:noVBand="1"/>
      </w:tblPr>
      <w:tblGrid>
        <w:gridCol w:w="2547"/>
        <w:gridCol w:w="680"/>
        <w:gridCol w:w="680"/>
        <w:gridCol w:w="681"/>
        <w:gridCol w:w="680"/>
        <w:gridCol w:w="681"/>
        <w:gridCol w:w="680"/>
        <w:gridCol w:w="680"/>
        <w:gridCol w:w="681"/>
        <w:gridCol w:w="680"/>
        <w:gridCol w:w="681"/>
      </w:tblGrid>
      <w:tr w:rsidR="00F569C7" w:rsidRPr="00A519D0" w14:paraId="17DE940B" w14:textId="77777777" w:rsidTr="00F569C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6127896" w14:textId="232257AD" w:rsidR="00194AB4" w:rsidRPr="00A519D0" w:rsidRDefault="008D58B1" w:rsidP="00F569C7">
            <w:pPr>
              <w:spacing w:line="360" w:lineRule="auto"/>
              <w:jc w:val="center"/>
              <w:rPr>
                <w:b w:val="0"/>
                <w:bCs w:val="0"/>
                <w:color w:val="auto"/>
                <w:sz w:val="18"/>
                <w:szCs w:val="18"/>
                <w:lang w:val="en-US" w:eastAsia="sl-SI"/>
              </w:rPr>
            </w:pPr>
            <w:r w:rsidRPr="00A519D0">
              <w:rPr>
                <w:color w:val="auto"/>
                <w:sz w:val="18"/>
                <w:szCs w:val="18"/>
                <w:lang w:val="en-US" w:eastAsia="sl-SI"/>
              </w:rPr>
              <w:t>STAGES OF PROCEDURE</w:t>
            </w:r>
          </w:p>
        </w:tc>
        <w:tc>
          <w:tcPr>
            <w:tcW w:w="680" w:type="dxa"/>
            <w:noWrap/>
            <w:hideMark/>
          </w:tcPr>
          <w:p w14:paraId="1DA8F493"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2012</w:t>
            </w:r>
          </w:p>
        </w:tc>
        <w:tc>
          <w:tcPr>
            <w:tcW w:w="680" w:type="dxa"/>
            <w:noWrap/>
            <w:hideMark/>
          </w:tcPr>
          <w:p w14:paraId="75BB7C52"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2013</w:t>
            </w:r>
          </w:p>
        </w:tc>
        <w:tc>
          <w:tcPr>
            <w:tcW w:w="681" w:type="dxa"/>
            <w:noWrap/>
            <w:hideMark/>
          </w:tcPr>
          <w:p w14:paraId="349D5C96"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2014</w:t>
            </w:r>
          </w:p>
        </w:tc>
        <w:tc>
          <w:tcPr>
            <w:tcW w:w="680" w:type="dxa"/>
            <w:noWrap/>
            <w:hideMark/>
          </w:tcPr>
          <w:p w14:paraId="13F5B7A4"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2015</w:t>
            </w:r>
          </w:p>
        </w:tc>
        <w:tc>
          <w:tcPr>
            <w:tcW w:w="681" w:type="dxa"/>
            <w:hideMark/>
          </w:tcPr>
          <w:p w14:paraId="5492DD8D"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2016</w:t>
            </w:r>
          </w:p>
        </w:tc>
        <w:tc>
          <w:tcPr>
            <w:tcW w:w="680" w:type="dxa"/>
            <w:hideMark/>
          </w:tcPr>
          <w:p w14:paraId="214A554C"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2017</w:t>
            </w:r>
          </w:p>
        </w:tc>
        <w:tc>
          <w:tcPr>
            <w:tcW w:w="680" w:type="dxa"/>
            <w:hideMark/>
          </w:tcPr>
          <w:p w14:paraId="3BB70DBD"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2018</w:t>
            </w:r>
          </w:p>
        </w:tc>
        <w:tc>
          <w:tcPr>
            <w:tcW w:w="681" w:type="dxa"/>
            <w:hideMark/>
          </w:tcPr>
          <w:p w14:paraId="7896F049"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2019</w:t>
            </w:r>
          </w:p>
        </w:tc>
        <w:tc>
          <w:tcPr>
            <w:tcW w:w="680" w:type="dxa"/>
            <w:hideMark/>
          </w:tcPr>
          <w:p w14:paraId="518D1E8C"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2020</w:t>
            </w:r>
          </w:p>
        </w:tc>
        <w:tc>
          <w:tcPr>
            <w:tcW w:w="681" w:type="dxa"/>
            <w:hideMark/>
          </w:tcPr>
          <w:p w14:paraId="2DD9CEC8" w14:textId="77777777" w:rsidR="00194AB4" w:rsidRPr="00A519D0" w:rsidRDefault="00194AB4" w:rsidP="00F569C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en-US" w:eastAsia="sl-SI"/>
              </w:rPr>
            </w:pPr>
            <w:r w:rsidRPr="00A519D0">
              <w:rPr>
                <w:color w:val="auto"/>
                <w:sz w:val="18"/>
                <w:szCs w:val="18"/>
                <w:lang w:val="en-US" w:eastAsia="sl-SI"/>
              </w:rPr>
              <w:t>2021</w:t>
            </w:r>
          </w:p>
        </w:tc>
      </w:tr>
      <w:tr w:rsidR="008D58B1" w:rsidRPr="00A519D0" w14:paraId="0AEB6734" w14:textId="77777777" w:rsidTr="00F569C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0E2251D" w14:textId="1BC39EE2"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SP*: decision has not been made yet</w:t>
            </w:r>
          </w:p>
        </w:tc>
        <w:tc>
          <w:tcPr>
            <w:tcW w:w="680" w:type="dxa"/>
            <w:noWrap/>
            <w:hideMark/>
          </w:tcPr>
          <w:p w14:paraId="0EB6AF71"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64</w:t>
            </w:r>
          </w:p>
        </w:tc>
        <w:tc>
          <w:tcPr>
            <w:tcW w:w="680" w:type="dxa"/>
            <w:noWrap/>
            <w:hideMark/>
          </w:tcPr>
          <w:p w14:paraId="117536BB"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80</w:t>
            </w:r>
          </w:p>
        </w:tc>
        <w:tc>
          <w:tcPr>
            <w:tcW w:w="681" w:type="dxa"/>
            <w:noWrap/>
            <w:hideMark/>
          </w:tcPr>
          <w:p w14:paraId="58C14BA5"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104</w:t>
            </w:r>
          </w:p>
        </w:tc>
        <w:tc>
          <w:tcPr>
            <w:tcW w:w="680" w:type="dxa"/>
            <w:noWrap/>
            <w:hideMark/>
          </w:tcPr>
          <w:p w14:paraId="0A7FDD20"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94</w:t>
            </w:r>
          </w:p>
        </w:tc>
        <w:tc>
          <w:tcPr>
            <w:tcW w:w="681" w:type="dxa"/>
            <w:hideMark/>
          </w:tcPr>
          <w:p w14:paraId="6652C27B"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112</w:t>
            </w:r>
          </w:p>
        </w:tc>
        <w:tc>
          <w:tcPr>
            <w:tcW w:w="680" w:type="dxa"/>
            <w:hideMark/>
          </w:tcPr>
          <w:p w14:paraId="0FFBC8D2"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135</w:t>
            </w:r>
          </w:p>
        </w:tc>
        <w:tc>
          <w:tcPr>
            <w:tcW w:w="680" w:type="dxa"/>
            <w:hideMark/>
          </w:tcPr>
          <w:p w14:paraId="4953D57D"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141</w:t>
            </w:r>
          </w:p>
        </w:tc>
        <w:tc>
          <w:tcPr>
            <w:tcW w:w="681" w:type="dxa"/>
            <w:hideMark/>
          </w:tcPr>
          <w:p w14:paraId="3031F4E7"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138</w:t>
            </w:r>
          </w:p>
        </w:tc>
        <w:tc>
          <w:tcPr>
            <w:tcW w:w="680" w:type="dxa"/>
            <w:hideMark/>
          </w:tcPr>
          <w:p w14:paraId="078D0941"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147</w:t>
            </w:r>
          </w:p>
        </w:tc>
        <w:tc>
          <w:tcPr>
            <w:tcW w:w="681" w:type="dxa"/>
            <w:hideMark/>
          </w:tcPr>
          <w:p w14:paraId="48A8B317"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177</w:t>
            </w:r>
          </w:p>
        </w:tc>
      </w:tr>
      <w:tr w:rsidR="008D58B1" w:rsidRPr="00A519D0" w14:paraId="65BB8841" w14:textId="77777777" w:rsidTr="00F569C7">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3E2F44F" w14:textId="47F6BCA1"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 xml:space="preserve">SP*: </w:t>
            </w:r>
            <w:r w:rsidR="00650A7E" w:rsidRPr="00A519D0">
              <w:rPr>
                <w:color w:val="auto"/>
                <w:sz w:val="18"/>
                <w:szCs w:val="18"/>
                <w:lang w:val="en-US" w:eastAsia="sl-SI"/>
              </w:rPr>
              <w:t>criminal</w:t>
            </w:r>
            <w:r w:rsidRPr="00A519D0">
              <w:rPr>
                <w:color w:val="auto"/>
                <w:sz w:val="18"/>
                <w:szCs w:val="18"/>
                <w:lang w:val="en-US" w:eastAsia="sl-SI"/>
              </w:rPr>
              <w:t xml:space="preserve"> charge rejected</w:t>
            </w:r>
          </w:p>
        </w:tc>
        <w:tc>
          <w:tcPr>
            <w:tcW w:w="680" w:type="dxa"/>
            <w:noWrap/>
            <w:hideMark/>
          </w:tcPr>
          <w:p w14:paraId="34C339F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50</w:t>
            </w:r>
          </w:p>
        </w:tc>
        <w:tc>
          <w:tcPr>
            <w:tcW w:w="680" w:type="dxa"/>
            <w:noWrap/>
            <w:hideMark/>
          </w:tcPr>
          <w:p w14:paraId="409291B7"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55</w:t>
            </w:r>
          </w:p>
        </w:tc>
        <w:tc>
          <w:tcPr>
            <w:tcW w:w="681" w:type="dxa"/>
            <w:noWrap/>
            <w:hideMark/>
          </w:tcPr>
          <w:p w14:paraId="51ECF80A"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55</w:t>
            </w:r>
          </w:p>
        </w:tc>
        <w:tc>
          <w:tcPr>
            <w:tcW w:w="680" w:type="dxa"/>
            <w:noWrap/>
            <w:hideMark/>
          </w:tcPr>
          <w:p w14:paraId="0AF47A5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65</w:t>
            </w:r>
          </w:p>
        </w:tc>
        <w:tc>
          <w:tcPr>
            <w:tcW w:w="681" w:type="dxa"/>
            <w:hideMark/>
          </w:tcPr>
          <w:p w14:paraId="6005315E"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74</w:t>
            </w:r>
          </w:p>
        </w:tc>
        <w:tc>
          <w:tcPr>
            <w:tcW w:w="680" w:type="dxa"/>
            <w:hideMark/>
          </w:tcPr>
          <w:p w14:paraId="4243C8FA"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82</w:t>
            </w:r>
          </w:p>
        </w:tc>
        <w:tc>
          <w:tcPr>
            <w:tcW w:w="680" w:type="dxa"/>
            <w:hideMark/>
          </w:tcPr>
          <w:p w14:paraId="3D81F2E4"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87</w:t>
            </w:r>
          </w:p>
        </w:tc>
        <w:tc>
          <w:tcPr>
            <w:tcW w:w="681" w:type="dxa"/>
            <w:hideMark/>
          </w:tcPr>
          <w:p w14:paraId="3D4FE706"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103</w:t>
            </w:r>
          </w:p>
        </w:tc>
        <w:tc>
          <w:tcPr>
            <w:tcW w:w="680" w:type="dxa"/>
            <w:hideMark/>
          </w:tcPr>
          <w:p w14:paraId="3D5EB4FC"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112</w:t>
            </w:r>
          </w:p>
        </w:tc>
        <w:tc>
          <w:tcPr>
            <w:tcW w:w="681" w:type="dxa"/>
            <w:hideMark/>
          </w:tcPr>
          <w:p w14:paraId="7551FF49"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127</w:t>
            </w:r>
          </w:p>
        </w:tc>
      </w:tr>
      <w:tr w:rsidR="008D58B1" w:rsidRPr="00A519D0" w14:paraId="1239AD44" w14:textId="77777777" w:rsidTr="00F569C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66725D0" w14:textId="359DB80E"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SP*: prosecution has been delayed</w:t>
            </w:r>
          </w:p>
        </w:tc>
        <w:tc>
          <w:tcPr>
            <w:tcW w:w="680" w:type="dxa"/>
            <w:noWrap/>
            <w:hideMark/>
          </w:tcPr>
          <w:p w14:paraId="1E22949A"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0" w:type="dxa"/>
            <w:noWrap/>
            <w:hideMark/>
          </w:tcPr>
          <w:p w14:paraId="2FAB8AF9"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1" w:type="dxa"/>
            <w:noWrap/>
            <w:hideMark/>
          </w:tcPr>
          <w:p w14:paraId="62FF40AE"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0" w:type="dxa"/>
            <w:noWrap/>
            <w:hideMark/>
          </w:tcPr>
          <w:p w14:paraId="75614553"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1" w:type="dxa"/>
            <w:hideMark/>
          </w:tcPr>
          <w:p w14:paraId="2FAD737F"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0" w:type="dxa"/>
            <w:hideMark/>
          </w:tcPr>
          <w:p w14:paraId="2C3489CF"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0" w:type="dxa"/>
            <w:hideMark/>
          </w:tcPr>
          <w:p w14:paraId="7697864A"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1" w:type="dxa"/>
            <w:hideMark/>
          </w:tcPr>
          <w:p w14:paraId="2E07B8A6"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0" w:type="dxa"/>
            <w:hideMark/>
          </w:tcPr>
          <w:p w14:paraId="79438434"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c>
          <w:tcPr>
            <w:tcW w:w="681" w:type="dxa"/>
            <w:hideMark/>
          </w:tcPr>
          <w:p w14:paraId="2E33BF2B"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w:t>
            </w:r>
          </w:p>
        </w:tc>
      </w:tr>
      <w:tr w:rsidR="008D58B1" w:rsidRPr="00A519D0" w14:paraId="6B22E86D" w14:textId="77777777" w:rsidTr="00F569C7">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9B8B89C" w14:textId="78857FC9"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 xml:space="preserve">SP*: demand for investigation </w:t>
            </w:r>
          </w:p>
        </w:tc>
        <w:tc>
          <w:tcPr>
            <w:tcW w:w="680" w:type="dxa"/>
            <w:noWrap/>
            <w:hideMark/>
          </w:tcPr>
          <w:p w14:paraId="4E8F0745"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21</w:t>
            </w:r>
          </w:p>
        </w:tc>
        <w:tc>
          <w:tcPr>
            <w:tcW w:w="680" w:type="dxa"/>
            <w:noWrap/>
            <w:hideMark/>
          </w:tcPr>
          <w:p w14:paraId="6016D0A9"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27</w:t>
            </w:r>
          </w:p>
        </w:tc>
        <w:tc>
          <w:tcPr>
            <w:tcW w:w="681" w:type="dxa"/>
            <w:noWrap/>
            <w:hideMark/>
          </w:tcPr>
          <w:p w14:paraId="664FC12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20</w:t>
            </w:r>
          </w:p>
        </w:tc>
        <w:tc>
          <w:tcPr>
            <w:tcW w:w="680" w:type="dxa"/>
            <w:noWrap/>
            <w:hideMark/>
          </w:tcPr>
          <w:p w14:paraId="1CB0F1BF"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27</w:t>
            </w:r>
          </w:p>
        </w:tc>
        <w:tc>
          <w:tcPr>
            <w:tcW w:w="681" w:type="dxa"/>
            <w:hideMark/>
          </w:tcPr>
          <w:p w14:paraId="4B36EF4C"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31</w:t>
            </w:r>
          </w:p>
        </w:tc>
        <w:tc>
          <w:tcPr>
            <w:tcW w:w="680" w:type="dxa"/>
            <w:hideMark/>
          </w:tcPr>
          <w:p w14:paraId="15871852"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31</w:t>
            </w:r>
          </w:p>
        </w:tc>
        <w:tc>
          <w:tcPr>
            <w:tcW w:w="680" w:type="dxa"/>
            <w:hideMark/>
          </w:tcPr>
          <w:p w14:paraId="7ABCAFDE"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34</w:t>
            </w:r>
          </w:p>
        </w:tc>
        <w:tc>
          <w:tcPr>
            <w:tcW w:w="681" w:type="dxa"/>
            <w:hideMark/>
          </w:tcPr>
          <w:p w14:paraId="33B3CCB0"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48</w:t>
            </w:r>
          </w:p>
        </w:tc>
        <w:tc>
          <w:tcPr>
            <w:tcW w:w="680" w:type="dxa"/>
            <w:hideMark/>
          </w:tcPr>
          <w:p w14:paraId="13C04B4A"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45</w:t>
            </w:r>
          </w:p>
        </w:tc>
        <w:tc>
          <w:tcPr>
            <w:tcW w:w="681" w:type="dxa"/>
            <w:hideMark/>
          </w:tcPr>
          <w:p w14:paraId="53151712"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48</w:t>
            </w:r>
          </w:p>
        </w:tc>
      </w:tr>
      <w:tr w:rsidR="008D58B1" w:rsidRPr="00A519D0" w14:paraId="5D9E5528" w14:textId="77777777" w:rsidTr="00F569C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53B841A" w14:textId="2127DC46"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IJ**: investigation has been introduced</w:t>
            </w:r>
          </w:p>
        </w:tc>
        <w:tc>
          <w:tcPr>
            <w:tcW w:w="680" w:type="dxa"/>
            <w:noWrap/>
            <w:hideMark/>
          </w:tcPr>
          <w:p w14:paraId="47479F81"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37</w:t>
            </w:r>
          </w:p>
        </w:tc>
        <w:tc>
          <w:tcPr>
            <w:tcW w:w="680" w:type="dxa"/>
            <w:noWrap/>
            <w:hideMark/>
          </w:tcPr>
          <w:p w14:paraId="21BEEB56"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54</w:t>
            </w:r>
          </w:p>
        </w:tc>
        <w:tc>
          <w:tcPr>
            <w:tcW w:w="681" w:type="dxa"/>
            <w:noWrap/>
            <w:hideMark/>
          </w:tcPr>
          <w:p w14:paraId="3457030E"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60</w:t>
            </w:r>
          </w:p>
        </w:tc>
        <w:tc>
          <w:tcPr>
            <w:tcW w:w="680" w:type="dxa"/>
            <w:noWrap/>
            <w:hideMark/>
          </w:tcPr>
          <w:p w14:paraId="091D0E80"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53</w:t>
            </w:r>
          </w:p>
        </w:tc>
        <w:tc>
          <w:tcPr>
            <w:tcW w:w="681" w:type="dxa"/>
            <w:hideMark/>
          </w:tcPr>
          <w:p w14:paraId="3AC1F2E2"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57</w:t>
            </w:r>
          </w:p>
        </w:tc>
        <w:tc>
          <w:tcPr>
            <w:tcW w:w="680" w:type="dxa"/>
            <w:hideMark/>
          </w:tcPr>
          <w:p w14:paraId="3D8F8C49"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58</w:t>
            </w:r>
          </w:p>
        </w:tc>
        <w:tc>
          <w:tcPr>
            <w:tcW w:w="680" w:type="dxa"/>
            <w:hideMark/>
          </w:tcPr>
          <w:p w14:paraId="4705B199"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57</w:t>
            </w:r>
          </w:p>
        </w:tc>
        <w:tc>
          <w:tcPr>
            <w:tcW w:w="681" w:type="dxa"/>
            <w:hideMark/>
          </w:tcPr>
          <w:p w14:paraId="407B15B2"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32</w:t>
            </w:r>
          </w:p>
        </w:tc>
        <w:tc>
          <w:tcPr>
            <w:tcW w:w="680" w:type="dxa"/>
            <w:hideMark/>
          </w:tcPr>
          <w:p w14:paraId="4CFC22B5"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28</w:t>
            </w:r>
          </w:p>
        </w:tc>
        <w:tc>
          <w:tcPr>
            <w:tcW w:w="681" w:type="dxa"/>
            <w:hideMark/>
          </w:tcPr>
          <w:p w14:paraId="7FCC59CF"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30</w:t>
            </w:r>
          </w:p>
        </w:tc>
      </w:tr>
      <w:tr w:rsidR="008D58B1" w:rsidRPr="00A519D0" w14:paraId="73A2B706" w14:textId="77777777" w:rsidTr="00F569C7">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E35BC38" w14:textId="7E9BD4A1"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COURT: indictment</w:t>
            </w:r>
          </w:p>
        </w:tc>
        <w:tc>
          <w:tcPr>
            <w:tcW w:w="680" w:type="dxa"/>
            <w:noWrap/>
            <w:hideMark/>
          </w:tcPr>
          <w:p w14:paraId="0E827E46"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39</w:t>
            </w:r>
          </w:p>
        </w:tc>
        <w:tc>
          <w:tcPr>
            <w:tcW w:w="680" w:type="dxa"/>
            <w:noWrap/>
            <w:hideMark/>
          </w:tcPr>
          <w:p w14:paraId="3F32F34F"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50</w:t>
            </w:r>
          </w:p>
        </w:tc>
        <w:tc>
          <w:tcPr>
            <w:tcW w:w="681" w:type="dxa"/>
            <w:noWrap/>
            <w:hideMark/>
          </w:tcPr>
          <w:p w14:paraId="20ACFA2A"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60</w:t>
            </w:r>
          </w:p>
        </w:tc>
        <w:tc>
          <w:tcPr>
            <w:tcW w:w="680" w:type="dxa"/>
            <w:noWrap/>
            <w:hideMark/>
          </w:tcPr>
          <w:p w14:paraId="2705D648"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73</w:t>
            </w:r>
          </w:p>
        </w:tc>
        <w:tc>
          <w:tcPr>
            <w:tcW w:w="681" w:type="dxa"/>
            <w:hideMark/>
          </w:tcPr>
          <w:p w14:paraId="25FA4467"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77</w:t>
            </w:r>
          </w:p>
        </w:tc>
        <w:tc>
          <w:tcPr>
            <w:tcW w:w="680" w:type="dxa"/>
            <w:hideMark/>
          </w:tcPr>
          <w:p w14:paraId="0D1ED865"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74</w:t>
            </w:r>
          </w:p>
        </w:tc>
        <w:tc>
          <w:tcPr>
            <w:tcW w:w="680" w:type="dxa"/>
            <w:hideMark/>
          </w:tcPr>
          <w:p w14:paraId="73605E46"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78</w:t>
            </w:r>
          </w:p>
        </w:tc>
        <w:tc>
          <w:tcPr>
            <w:tcW w:w="681" w:type="dxa"/>
            <w:hideMark/>
          </w:tcPr>
          <w:p w14:paraId="530D9D7D"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101</w:t>
            </w:r>
          </w:p>
        </w:tc>
        <w:tc>
          <w:tcPr>
            <w:tcW w:w="680" w:type="dxa"/>
            <w:hideMark/>
          </w:tcPr>
          <w:p w14:paraId="4C5F9A34"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110</w:t>
            </w:r>
          </w:p>
        </w:tc>
        <w:tc>
          <w:tcPr>
            <w:tcW w:w="681" w:type="dxa"/>
            <w:hideMark/>
          </w:tcPr>
          <w:p w14:paraId="0AAB95E9"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112</w:t>
            </w:r>
          </w:p>
        </w:tc>
      </w:tr>
      <w:tr w:rsidR="008D58B1" w:rsidRPr="00A519D0" w14:paraId="61FC6977" w14:textId="77777777" w:rsidTr="00F569C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45467E7" w14:textId="19D15105"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COURT: convictions</w:t>
            </w:r>
          </w:p>
        </w:tc>
        <w:tc>
          <w:tcPr>
            <w:tcW w:w="680" w:type="dxa"/>
            <w:noWrap/>
            <w:hideMark/>
          </w:tcPr>
          <w:p w14:paraId="7522D32B"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9</w:t>
            </w:r>
          </w:p>
        </w:tc>
        <w:tc>
          <w:tcPr>
            <w:tcW w:w="680" w:type="dxa"/>
            <w:noWrap/>
            <w:hideMark/>
          </w:tcPr>
          <w:p w14:paraId="540C190C"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26</w:t>
            </w:r>
          </w:p>
        </w:tc>
        <w:tc>
          <w:tcPr>
            <w:tcW w:w="681" w:type="dxa"/>
            <w:noWrap/>
            <w:hideMark/>
          </w:tcPr>
          <w:p w14:paraId="6F29C815"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42</w:t>
            </w:r>
          </w:p>
        </w:tc>
        <w:tc>
          <w:tcPr>
            <w:tcW w:w="680" w:type="dxa"/>
            <w:noWrap/>
            <w:hideMark/>
          </w:tcPr>
          <w:p w14:paraId="30EDCEF5"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60</w:t>
            </w:r>
          </w:p>
        </w:tc>
        <w:tc>
          <w:tcPr>
            <w:tcW w:w="681" w:type="dxa"/>
            <w:hideMark/>
          </w:tcPr>
          <w:p w14:paraId="2E295443"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68</w:t>
            </w:r>
          </w:p>
        </w:tc>
        <w:tc>
          <w:tcPr>
            <w:tcW w:w="680" w:type="dxa"/>
            <w:hideMark/>
          </w:tcPr>
          <w:p w14:paraId="02925E38"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78</w:t>
            </w:r>
          </w:p>
        </w:tc>
        <w:tc>
          <w:tcPr>
            <w:tcW w:w="680" w:type="dxa"/>
            <w:hideMark/>
          </w:tcPr>
          <w:p w14:paraId="44352F95"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83</w:t>
            </w:r>
          </w:p>
        </w:tc>
        <w:tc>
          <w:tcPr>
            <w:tcW w:w="681" w:type="dxa"/>
            <w:hideMark/>
          </w:tcPr>
          <w:p w14:paraId="476F4B89"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93</w:t>
            </w:r>
          </w:p>
        </w:tc>
        <w:tc>
          <w:tcPr>
            <w:tcW w:w="680" w:type="dxa"/>
            <w:hideMark/>
          </w:tcPr>
          <w:p w14:paraId="13B1A089"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101</w:t>
            </w:r>
          </w:p>
        </w:tc>
        <w:tc>
          <w:tcPr>
            <w:tcW w:w="681" w:type="dxa"/>
            <w:hideMark/>
          </w:tcPr>
          <w:p w14:paraId="2068727A"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112</w:t>
            </w:r>
          </w:p>
        </w:tc>
      </w:tr>
      <w:tr w:rsidR="008D58B1" w:rsidRPr="00A519D0" w14:paraId="4AFF7FA1" w14:textId="77777777" w:rsidTr="00F569C7">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B66EE72" w14:textId="2C380327"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COURT: acquittals (final)</w:t>
            </w:r>
          </w:p>
        </w:tc>
        <w:tc>
          <w:tcPr>
            <w:tcW w:w="680" w:type="dxa"/>
            <w:noWrap/>
            <w:hideMark/>
          </w:tcPr>
          <w:p w14:paraId="26D65AB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13</w:t>
            </w:r>
          </w:p>
        </w:tc>
        <w:tc>
          <w:tcPr>
            <w:tcW w:w="680" w:type="dxa"/>
            <w:noWrap/>
            <w:hideMark/>
          </w:tcPr>
          <w:p w14:paraId="0861F286"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15</w:t>
            </w:r>
          </w:p>
        </w:tc>
        <w:tc>
          <w:tcPr>
            <w:tcW w:w="681" w:type="dxa"/>
            <w:noWrap/>
            <w:hideMark/>
          </w:tcPr>
          <w:p w14:paraId="30A1B754"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16</w:t>
            </w:r>
          </w:p>
        </w:tc>
        <w:tc>
          <w:tcPr>
            <w:tcW w:w="680" w:type="dxa"/>
            <w:noWrap/>
            <w:hideMark/>
          </w:tcPr>
          <w:p w14:paraId="4702D148"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19</w:t>
            </w:r>
          </w:p>
        </w:tc>
        <w:tc>
          <w:tcPr>
            <w:tcW w:w="681" w:type="dxa"/>
            <w:hideMark/>
          </w:tcPr>
          <w:p w14:paraId="522380BC"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22</w:t>
            </w:r>
          </w:p>
        </w:tc>
        <w:tc>
          <w:tcPr>
            <w:tcW w:w="680" w:type="dxa"/>
            <w:hideMark/>
          </w:tcPr>
          <w:p w14:paraId="370E9460"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26</w:t>
            </w:r>
          </w:p>
        </w:tc>
        <w:tc>
          <w:tcPr>
            <w:tcW w:w="680" w:type="dxa"/>
            <w:hideMark/>
          </w:tcPr>
          <w:p w14:paraId="455EE5D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27</w:t>
            </w:r>
          </w:p>
        </w:tc>
        <w:tc>
          <w:tcPr>
            <w:tcW w:w="681" w:type="dxa"/>
            <w:hideMark/>
          </w:tcPr>
          <w:p w14:paraId="64A34C94"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28</w:t>
            </w:r>
          </w:p>
        </w:tc>
        <w:tc>
          <w:tcPr>
            <w:tcW w:w="680" w:type="dxa"/>
            <w:hideMark/>
          </w:tcPr>
          <w:p w14:paraId="67BDB8CF"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29</w:t>
            </w:r>
          </w:p>
        </w:tc>
        <w:tc>
          <w:tcPr>
            <w:tcW w:w="681" w:type="dxa"/>
            <w:hideMark/>
          </w:tcPr>
          <w:p w14:paraId="7467BE6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30</w:t>
            </w:r>
          </w:p>
        </w:tc>
      </w:tr>
      <w:tr w:rsidR="00F569C7" w:rsidRPr="00A519D0" w14:paraId="680C066D" w14:textId="77777777" w:rsidTr="00F569C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6D02F03" w14:textId="3E032795" w:rsidR="00194AB4" w:rsidRPr="00A519D0" w:rsidRDefault="008D58B1" w:rsidP="00F569C7">
            <w:pPr>
              <w:spacing w:line="360" w:lineRule="auto"/>
              <w:jc w:val="left"/>
              <w:rPr>
                <w:color w:val="auto"/>
                <w:sz w:val="18"/>
                <w:szCs w:val="18"/>
                <w:lang w:val="en-US" w:eastAsia="sl-SI"/>
              </w:rPr>
            </w:pPr>
            <w:r w:rsidRPr="00A519D0">
              <w:rPr>
                <w:color w:val="auto"/>
                <w:sz w:val="18"/>
                <w:szCs w:val="18"/>
                <w:lang w:val="en-US" w:eastAsia="sl-SI"/>
              </w:rPr>
              <w:t>SP: Withdrawal from prosecution</w:t>
            </w:r>
          </w:p>
        </w:tc>
        <w:tc>
          <w:tcPr>
            <w:tcW w:w="680" w:type="dxa"/>
            <w:noWrap/>
            <w:hideMark/>
          </w:tcPr>
          <w:p w14:paraId="3BA852AB"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24</w:t>
            </w:r>
          </w:p>
        </w:tc>
        <w:tc>
          <w:tcPr>
            <w:tcW w:w="680" w:type="dxa"/>
            <w:noWrap/>
            <w:hideMark/>
          </w:tcPr>
          <w:p w14:paraId="43783606"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29</w:t>
            </w:r>
          </w:p>
        </w:tc>
        <w:tc>
          <w:tcPr>
            <w:tcW w:w="681" w:type="dxa"/>
            <w:noWrap/>
            <w:hideMark/>
          </w:tcPr>
          <w:p w14:paraId="75BD5E17"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20</w:t>
            </w:r>
          </w:p>
        </w:tc>
        <w:tc>
          <w:tcPr>
            <w:tcW w:w="680" w:type="dxa"/>
            <w:noWrap/>
            <w:hideMark/>
          </w:tcPr>
          <w:p w14:paraId="7CCF975B"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25</w:t>
            </w:r>
          </w:p>
        </w:tc>
        <w:tc>
          <w:tcPr>
            <w:tcW w:w="681" w:type="dxa"/>
            <w:hideMark/>
          </w:tcPr>
          <w:p w14:paraId="42EE79C4"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28</w:t>
            </w:r>
          </w:p>
        </w:tc>
        <w:tc>
          <w:tcPr>
            <w:tcW w:w="680" w:type="dxa"/>
            <w:hideMark/>
          </w:tcPr>
          <w:p w14:paraId="51C229D8"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30</w:t>
            </w:r>
          </w:p>
        </w:tc>
        <w:tc>
          <w:tcPr>
            <w:tcW w:w="680" w:type="dxa"/>
            <w:hideMark/>
          </w:tcPr>
          <w:p w14:paraId="20CC34EA"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31</w:t>
            </w:r>
          </w:p>
        </w:tc>
        <w:tc>
          <w:tcPr>
            <w:tcW w:w="681" w:type="dxa"/>
            <w:hideMark/>
          </w:tcPr>
          <w:p w14:paraId="5516A8A2"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45</w:t>
            </w:r>
          </w:p>
        </w:tc>
        <w:tc>
          <w:tcPr>
            <w:tcW w:w="680" w:type="dxa"/>
            <w:hideMark/>
          </w:tcPr>
          <w:p w14:paraId="61502E75"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46</w:t>
            </w:r>
          </w:p>
        </w:tc>
        <w:tc>
          <w:tcPr>
            <w:tcW w:w="681" w:type="dxa"/>
            <w:hideMark/>
          </w:tcPr>
          <w:p w14:paraId="5C133603" w14:textId="77777777" w:rsidR="00194AB4" w:rsidRPr="00A519D0" w:rsidRDefault="00194AB4" w:rsidP="00F569C7">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47</w:t>
            </w:r>
          </w:p>
        </w:tc>
      </w:tr>
      <w:tr w:rsidR="008D58B1" w:rsidRPr="00A519D0" w14:paraId="74F14FA8" w14:textId="77777777" w:rsidTr="00F569C7">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05F6EAC" w14:textId="7D90BEC0"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COUTR: Stop of the criminal procedure</w:t>
            </w:r>
          </w:p>
        </w:tc>
        <w:tc>
          <w:tcPr>
            <w:tcW w:w="680" w:type="dxa"/>
            <w:noWrap/>
            <w:hideMark/>
          </w:tcPr>
          <w:p w14:paraId="5825859D" w14:textId="6FEDFB5F"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0 </w:t>
            </w:r>
          </w:p>
        </w:tc>
        <w:tc>
          <w:tcPr>
            <w:tcW w:w="680" w:type="dxa"/>
            <w:noWrap/>
            <w:hideMark/>
          </w:tcPr>
          <w:p w14:paraId="3283BCAA" w14:textId="17D15371"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0 </w:t>
            </w:r>
          </w:p>
        </w:tc>
        <w:tc>
          <w:tcPr>
            <w:tcW w:w="681" w:type="dxa"/>
            <w:noWrap/>
            <w:hideMark/>
          </w:tcPr>
          <w:p w14:paraId="02E99D6E"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13</w:t>
            </w:r>
          </w:p>
        </w:tc>
        <w:tc>
          <w:tcPr>
            <w:tcW w:w="680" w:type="dxa"/>
            <w:noWrap/>
            <w:hideMark/>
          </w:tcPr>
          <w:p w14:paraId="5749260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17</w:t>
            </w:r>
          </w:p>
        </w:tc>
        <w:tc>
          <w:tcPr>
            <w:tcW w:w="681" w:type="dxa"/>
            <w:hideMark/>
          </w:tcPr>
          <w:p w14:paraId="2C43D22D"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20</w:t>
            </w:r>
          </w:p>
        </w:tc>
        <w:tc>
          <w:tcPr>
            <w:tcW w:w="680" w:type="dxa"/>
            <w:hideMark/>
          </w:tcPr>
          <w:p w14:paraId="40E2E2B6"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21</w:t>
            </w:r>
          </w:p>
        </w:tc>
        <w:tc>
          <w:tcPr>
            <w:tcW w:w="680" w:type="dxa"/>
            <w:hideMark/>
          </w:tcPr>
          <w:p w14:paraId="5B203C34"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21</w:t>
            </w:r>
          </w:p>
        </w:tc>
        <w:tc>
          <w:tcPr>
            <w:tcW w:w="681" w:type="dxa"/>
            <w:hideMark/>
          </w:tcPr>
          <w:p w14:paraId="7EB279CB"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24</w:t>
            </w:r>
          </w:p>
        </w:tc>
        <w:tc>
          <w:tcPr>
            <w:tcW w:w="680" w:type="dxa"/>
            <w:hideMark/>
          </w:tcPr>
          <w:p w14:paraId="1FF757F6"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24</w:t>
            </w:r>
          </w:p>
        </w:tc>
        <w:tc>
          <w:tcPr>
            <w:tcW w:w="681" w:type="dxa"/>
            <w:hideMark/>
          </w:tcPr>
          <w:p w14:paraId="6EF62B8A"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27</w:t>
            </w:r>
          </w:p>
        </w:tc>
      </w:tr>
      <w:tr w:rsidR="008D58B1" w:rsidRPr="00A519D0" w14:paraId="51C4431E" w14:textId="77777777" w:rsidTr="00F569C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889CA0D" w14:textId="607AA996" w:rsidR="008D58B1" w:rsidRPr="00A519D0" w:rsidRDefault="008D58B1" w:rsidP="008D58B1">
            <w:pPr>
              <w:spacing w:line="360" w:lineRule="auto"/>
              <w:jc w:val="left"/>
              <w:rPr>
                <w:color w:val="auto"/>
                <w:sz w:val="18"/>
                <w:szCs w:val="18"/>
                <w:lang w:val="en-US" w:eastAsia="sl-SI"/>
              </w:rPr>
            </w:pPr>
            <w:r w:rsidRPr="00A519D0">
              <w:rPr>
                <w:color w:val="auto"/>
                <w:sz w:val="18"/>
                <w:szCs w:val="18"/>
                <w:lang w:val="en-US" w:eastAsia="sl-SI"/>
              </w:rPr>
              <w:t xml:space="preserve">COURT: </w:t>
            </w:r>
            <w:r w:rsidR="00650A7E" w:rsidRPr="00A519D0">
              <w:rPr>
                <w:color w:val="auto"/>
                <w:sz w:val="18"/>
                <w:szCs w:val="18"/>
                <w:lang w:val="en-US" w:eastAsia="sl-SI"/>
              </w:rPr>
              <w:t>Withdrawal</w:t>
            </w:r>
            <w:r w:rsidRPr="00A519D0">
              <w:rPr>
                <w:color w:val="auto"/>
                <w:sz w:val="18"/>
                <w:szCs w:val="18"/>
                <w:lang w:val="en-US" w:eastAsia="sl-SI"/>
              </w:rPr>
              <w:t xml:space="preserve"> of prosecution abroad</w:t>
            </w:r>
          </w:p>
        </w:tc>
        <w:tc>
          <w:tcPr>
            <w:tcW w:w="680" w:type="dxa"/>
            <w:noWrap/>
            <w:hideMark/>
          </w:tcPr>
          <w:p w14:paraId="091955D4"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4</w:t>
            </w:r>
          </w:p>
        </w:tc>
        <w:tc>
          <w:tcPr>
            <w:tcW w:w="680" w:type="dxa"/>
            <w:noWrap/>
            <w:hideMark/>
          </w:tcPr>
          <w:p w14:paraId="2BFE5838"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5</w:t>
            </w:r>
          </w:p>
        </w:tc>
        <w:tc>
          <w:tcPr>
            <w:tcW w:w="681" w:type="dxa"/>
            <w:noWrap/>
            <w:hideMark/>
          </w:tcPr>
          <w:p w14:paraId="578B2AA5"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c>
          <w:tcPr>
            <w:tcW w:w="680" w:type="dxa"/>
            <w:noWrap/>
            <w:hideMark/>
          </w:tcPr>
          <w:p w14:paraId="10EFCEAA"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c>
          <w:tcPr>
            <w:tcW w:w="681" w:type="dxa"/>
            <w:hideMark/>
          </w:tcPr>
          <w:p w14:paraId="5AD8179D"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c>
          <w:tcPr>
            <w:tcW w:w="680" w:type="dxa"/>
            <w:hideMark/>
          </w:tcPr>
          <w:p w14:paraId="2F0EC34B"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c>
          <w:tcPr>
            <w:tcW w:w="680" w:type="dxa"/>
            <w:hideMark/>
          </w:tcPr>
          <w:p w14:paraId="6466E53E"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c>
          <w:tcPr>
            <w:tcW w:w="681" w:type="dxa"/>
            <w:hideMark/>
          </w:tcPr>
          <w:p w14:paraId="5A7562EC"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c>
          <w:tcPr>
            <w:tcW w:w="680" w:type="dxa"/>
            <w:hideMark/>
          </w:tcPr>
          <w:p w14:paraId="6460EB0C"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c>
          <w:tcPr>
            <w:tcW w:w="681" w:type="dxa"/>
            <w:hideMark/>
          </w:tcPr>
          <w:p w14:paraId="75261A1A"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r>
      <w:tr w:rsidR="008D58B1" w:rsidRPr="00A519D0" w14:paraId="08BB082D" w14:textId="77777777" w:rsidTr="00F569C7">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14FB07C" w14:textId="6CF004E6" w:rsidR="008D58B1" w:rsidRPr="00A519D0" w:rsidRDefault="00845E62" w:rsidP="008D58B1">
            <w:pPr>
              <w:spacing w:line="360" w:lineRule="auto"/>
              <w:jc w:val="left"/>
              <w:rPr>
                <w:color w:val="auto"/>
                <w:sz w:val="18"/>
                <w:szCs w:val="18"/>
                <w:lang w:val="en-US" w:eastAsia="sl-SI"/>
              </w:rPr>
            </w:pPr>
            <w:r>
              <w:rPr>
                <w:color w:val="auto"/>
                <w:sz w:val="18"/>
                <w:szCs w:val="18"/>
                <w:lang w:val="en-US" w:eastAsia="sl-SI"/>
              </w:rPr>
              <w:t>Modification of the legal qualification</w:t>
            </w:r>
            <w:r w:rsidRPr="00A519D0">
              <w:rPr>
                <w:color w:val="auto"/>
                <w:sz w:val="18"/>
                <w:szCs w:val="18"/>
                <w:lang w:val="en-US" w:eastAsia="sl-SI"/>
              </w:rPr>
              <w:t xml:space="preserve"> </w:t>
            </w:r>
            <w:r w:rsidR="008D58B1" w:rsidRPr="00A519D0">
              <w:rPr>
                <w:color w:val="auto"/>
                <w:sz w:val="18"/>
                <w:szCs w:val="18"/>
                <w:lang w:val="en-US" w:eastAsia="sl-SI"/>
              </w:rPr>
              <w:t xml:space="preserve">of </w:t>
            </w:r>
            <w:r>
              <w:rPr>
                <w:color w:val="auto"/>
                <w:sz w:val="18"/>
                <w:szCs w:val="18"/>
                <w:lang w:val="en-US" w:eastAsia="sl-SI"/>
              </w:rPr>
              <w:t xml:space="preserve">the </w:t>
            </w:r>
            <w:r w:rsidR="008D58B1" w:rsidRPr="00A519D0">
              <w:rPr>
                <w:color w:val="auto"/>
                <w:sz w:val="18"/>
                <w:szCs w:val="18"/>
                <w:lang w:val="en-US" w:eastAsia="sl-SI"/>
              </w:rPr>
              <w:t>criminal offence</w:t>
            </w:r>
          </w:p>
        </w:tc>
        <w:tc>
          <w:tcPr>
            <w:tcW w:w="680" w:type="dxa"/>
            <w:noWrap/>
            <w:hideMark/>
          </w:tcPr>
          <w:p w14:paraId="1932760B"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 3</w:t>
            </w:r>
          </w:p>
        </w:tc>
        <w:tc>
          <w:tcPr>
            <w:tcW w:w="680" w:type="dxa"/>
            <w:noWrap/>
            <w:hideMark/>
          </w:tcPr>
          <w:p w14:paraId="3FE7342D"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3</w:t>
            </w:r>
          </w:p>
        </w:tc>
        <w:tc>
          <w:tcPr>
            <w:tcW w:w="681" w:type="dxa"/>
            <w:noWrap/>
            <w:hideMark/>
          </w:tcPr>
          <w:p w14:paraId="23C97452"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w:t>
            </w:r>
          </w:p>
        </w:tc>
        <w:tc>
          <w:tcPr>
            <w:tcW w:w="680" w:type="dxa"/>
            <w:noWrap/>
            <w:hideMark/>
          </w:tcPr>
          <w:p w14:paraId="02803CB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w:t>
            </w:r>
          </w:p>
        </w:tc>
        <w:tc>
          <w:tcPr>
            <w:tcW w:w="681" w:type="dxa"/>
            <w:hideMark/>
          </w:tcPr>
          <w:p w14:paraId="0CA5100C"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w:t>
            </w:r>
          </w:p>
        </w:tc>
        <w:tc>
          <w:tcPr>
            <w:tcW w:w="680" w:type="dxa"/>
            <w:hideMark/>
          </w:tcPr>
          <w:p w14:paraId="33654340"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w:t>
            </w:r>
          </w:p>
        </w:tc>
        <w:tc>
          <w:tcPr>
            <w:tcW w:w="680" w:type="dxa"/>
            <w:hideMark/>
          </w:tcPr>
          <w:p w14:paraId="4ED1C322"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w:t>
            </w:r>
          </w:p>
        </w:tc>
        <w:tc>
          <w:tcPr>
            <w:tcW w:w="681" w:type="dxa"/>
            <w:hideMark/>
          </w:tcPr>
          <w:p w14:paraId="6037D896"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w:t>
            </w:r>
          </w:p>
        </w:tc>
        <w:tc>
          <w:tcPr>
            <w:tcW w:w="680" w:type="dxa"/>
            <w:hideMark/>
          </w:tcPr>
          <w:p w14:paraId="597CE3EF"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w:t>
            </w:r>
          </w:p>
        </w:tc>
        <w:tc>
          <w:tcPr>
            <w:tcW w:w="681" w:type="dxa"/>
            <w:hideMark/>
          </w:tcPr>
          <w:p w14:paraId="274121D1"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sz w:val="18"/>
                <w:szCs w:val="18"/>
                <w:lang w:val="en-US" w:eastAsia="sl-SI"/>
              </w:rPr>
            </w:pPr>
            <w:r w:rsidRPr="00A519D0">
              <w:rPr>
                <w:sz w:val="18"/>
                <w:szCs w:val="18"/>
                <w:lang w:val="en-US" w:eastAsia="sl-SI"/>
              </w:rPr>
              <w:t>5</w:t>
            </w:r>
          </w:p>
        </w:tc>
      </w:tr>
      <w:tr w:rsidR="008D58B1" w:rsidRPr="00A519D0" w14:paraId="0B8E6F0C" w14:textId="77777777" w:rsidTr="00F569C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A355123" w14:textId="3ED81EE2" w:rsidR="008D58B1" w:rsidRPr="00A519D0" w:rsidRDefault="00845E62" w:rsidP="008D58B1">
            <w:pPr>
              <w:spacing w:line="360" w:lineRule="auto"/>
              <w:jc w:val="left"/>
              <w:rPr>
                <w:color w:val="auto"/>
                <w:sz w:val="18"/>
                <w:szCs w:val="18"/>
                <w:lang w:val="en-US" w:eastAsia="sl-SI"/>
              </w:rPr>
            </w:pPr>
            <w:r>
              <w:rPr>
                <w:color w:val="auto"/>
                <w:sz w:val="18"/>
                <w:szCs w:val="18"/>
                <w:lang w:val="en-US" w:eastAsia="sl-SI"/>
              </w:rPr>
              <w:t>Joinder</w:t>
            </w:r>
            <w:r w:rsidRPr="00A519D0">
              <w:rPr>
                <w:color w:val="auto"/>
                <w:sz w:val="18"/>
                <w:szCs w:val="18"/>
                <w:lang w:val="en-US" w:eastAsia="sl-SI"/>
              </w:rPr>
              <w:t xml:space="preserve"> </w:t>
            </w:r>
            <w:r w:rsidR="008D58B1" w:rsidRPr="00A519D0">
              <w:rPr>
                <w:color w:val="auto"/>
                <w:sz w:val="18"/>
                <w:szCs w:val="18"/>
                <w:lang w:val="en-US" w:eastAsia="sl-SI"/>
              </w:rPr>
              <w:t xml:space="preserve">of </w:t>
            </w:r>
            <w:r w:rsidRPr="00A519D0">
              <w:rPr>
                <w:color w:val="auto"/>
                <w:sz w:val="18"/>
                <w:szCs w:val="18"/>
                <w:lang w:val="en-US" w:eastAsia="sl-SI"/>
              </w:rPr>
              <w:t>proce</w:t>
            </w:r>
            <w:r>
              <w:rPr>
                <w:color w:val="auto"/>
                <w:sz w:val="18"/>
                <w:szCs w:val="18"/>
                <w:lang w:val="en-US" w:eastAsia="sl-SI"/>
              </w:rPr>
              <w:t>edings</w:t>
            </w:r>
          </w:p>
        </w:tc>
        <w:tc>
          <w:tcPr>
            <w:tcW w:w="680" w:type="dxa"/>
            <w:noWrap/>
            <w:hideMark/>
          </w:tcPr>
          <w:p w14:paraId="3A765454" w14:textId="547AC721"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0 </w:t>
            </w:r>
          </w:p>
        </w:tc>
        <w:tc>
          <w:tcPr>
            <w:tcW w:w="680" w:type="dxa"/>
            <w:noWrap/>
            <w:hideMark/>
          </w:tcPr>
          <w:p w14:paraId="688DDF39"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3</w:t>
            </w:r>
          </w:p>
        </w:tc>
        <w:tc>
          <w:tcPr>
            <w:tcW w:w="681" w:type="dxa"/>
            <w:noWrap/>
            <w:hideMark/>
          </w:tcPr>
          <w:p w14:paraId="25B97D34"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6</w:t>
            </w:r>
          </w:p>
        </w:tc>
        <w:tc>
          <w:tcPr>
            <w:tcW w:w="680" w:type="dxa"/>
            <w:noWrap/>
            <w:hideMark/>
          </w:tcPr>
          <w:p w14:paraId="5804F228"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12</w:t>
            </w:r>
          </w:p>
        </w:tc>
        <w:tc>
          <w:tcPr>
            <w:tcW w:w="681" w:type="dxa"/>
            <w:hideMark/>
          </w:tcPr>
          <w:p w14:paraId="50CAC032"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12</w:t>
            </w:r>
          </w:p>
        </w:tc>
        <w:tc>
          <w:tcPr>
            <w:tcW w:w="680" w:type="dxa"/>
            <w:hideMark/>
          </w:tcPr>
          <w:p w14:paraId="0D3C2BF0"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12</w:t>
            </w:r>
          </w:p>
        </w:tc>
        <w:tc>
          <w:tcPr>
            <w:tcW w:w="680" w:type="dxa"/>
            <w:hideMark/>
          </w:tcPr>
          <w:p w14:paraId="586E4DA2"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12</w:t>
            </w:r>
          </w:p>
        </w:tc>
        <w:tc>
          <w:tcPr>
            <w:tcW w:w="681" w:type="dxa"/>
            <w:hideMark/>
          </w:tcPr>
          <w:p w14:paraId="1AA52994"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12</w:t>
            </w:r>
          </w:p>
        </w:tc>
        <w:tc>
          <w:tcPr>
            <w:tcW w:w="680" w:type="dxa"/>
            <w:hideMark/>
          </w:tcPr>
          <w:p w14:paraId="4D38D18E"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13</w:t>
            </w:r>
          </w:p>
        </w:tc>
        <w:tc>
          <w:tcPr>
            <w:tcW w:w="681" w:type="dxa"/>
            <w:hideMark/>
          </w:tcPr>
          <w:p w14:paraId="17CC16AB" w14:textId="77777777" w:rsidR="008D58B1" w:rsidRPr="00A519D0" w:rsidRDefault="008D58B1" w:rsidP="008D58B1">
            <w:pPr>
              <w:spacing w:line="360" w:lineRule="auto"/>
              <w:jc w:val="right"/>
              <w:cnfStyle w:val="000000100000" w:firstRow="0" w:lastRow="0" w:firstColumn="0" w:lastColumn="0" w:oddVBand="0" w:evenVBand="0" w:oddHBand="1" w:evenHBand="0" w:firstRowFirstColumn="0" w:firstRowLastColumn="0" w:lastRowFirstColumn="0" w:lastRowLastColumn="0"/>
              <w:rPr>
                <w:sz w:val="18"/>
                <w:szCs w:val="18"/>
                <w:lang w:val="en-US" w:eastAsia="sl-SI"/>
              </w:rPr>
            </w:pPr>
            <w:r w:rsidRPr="00A519D0">
              <w:rPr>
                <w:sz w:val="18"/>
                <w:szCs w:val="18"/>
                <w:lang w:val="en-US" w:eastAsia="sl-SI"/>
              </w:rPr>
              <w:t>13</w:t>
            </w:r>
          </w:p>
        </w:tc>
      </w:tr>
      <w:tr w:rsidR="008D58B1" w:rsidRPr="00A519D0" w14:paraId="68DD5B26" w14:textId="77777777" w:rsidTr="00F569C7">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246D96D" w14:textId="4F4F8C3C" w:rsidR="008D58B1" w:rsidRPr="00A519D0" w:rsidRDefault="008D58B1" w:rsidP="008D58B1">
            <w:pPr>
              <w:spacing w:line="360" w:lineRule="auto"/>
              <w:jc w:val="left"/>
              <w:rPr>
                <w:b w:val="0"/>
                <w:bCs w:val="0"/>
                <w:color w:val="auto"/>
                <w:sz w:val="18"/>
                <w:szCs w:val="18"/>
                <w:lang w:val="en-US" w:eastAsia="sl-SI"/>
              </w:rPr>
            </w:pPr>
            <w:r w:rsidRPr="00A519D0">
              <w:rPr>
                <w:color w:val="auto"/>
                <w:lang w:val="en-US" w:eastAsia="sl-SI"/>
              </w:rPr>
              <w:t>TOTAL</w:t>
            </w:r>
          </w:p>
        </w:tc>
        <w:tc>
          <w:tcPr>
            <w:tcW w:w="680" w:type="dxa"/>
            <w:noWrap/>
            <w:hideMark/>
          </w:tcPr>
          <w:p w14:paraId="23102209" w14:textId="77777777" w:rsidR="008D58B1" w:rsidRPr="00A519D0" w:rsidRDefault="008D58B1" w:rsidP="008D58B1">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265</w:t>
            </w:r>
          </w:p>
        </w:tc>
        <w:tc>
          <w:tcPr>
            <w:tcW w:w="680" w:type="dxa"/>
            <w:noWrap/>
            <w:hideMark/>
          </w:tcPr>
          <w:p w14:paraId="3CF67B6D" w14:textId="77777777" w:rsidR="008D58B1" w:rsidRPr="00A519D0" w:rsidRDefault="008D58B1" w:rsidP="008D58B1">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348</w:t>
            </w:r>
          </w:p>
        </w:tc>
        <w:tc>
          <w:tcPr>
            <w:tcW w:w="681" w:type="dxa"/>
            <w:noWrap/>
            <w:hideMark/>
          </w:tcPr>
          <w:p w14:paraId="56E9DB5D" w14:textId="77777777" w:rsidR="008D58B1" w:rsidRPr="00A519D0" w:rsidRDefault="008D58B1" w:rsidP="008D58B1">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408</w:t>
            </w:r>
          </w:p>
        </w:tc>
        <w:tc>
          <w:tcPr>
            <w:tcW w:w="680" w:type="dxa"/>
            <w:noWrap/>
            <w:hideMark/>
          </w:tcPr>
          <w:p w14:paraId="649165A9" w14:textId="77777777" w:rsidR="008D58B1" w:rsidRPr="00A519D0" w:rsidRDefault="008D58B1" w:rsidP="008D58B1">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457</w:t>
            </w:r>
          </w:p>
        </w:tc>
        <w:tc>
          <w:tcPr>
            <w:tcW w:w="681" w:type="dxa"/>
            <w:hideMark/>
          </w:tcPr>
          <w:p w14:paraId="38F5ED4B" w14:textId="77777777" w:rsidR="008D58B1" w:rsidRPr="00A519D0" w:rsidRDefault="008D58B1" w:rsidP="008D58B1">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513</w:t>
            </w:r>
          </w:p>
        </w:tc>
        <w:tc>
          <w:tcPr>
            <w:tcW w:w="680" w:type="dxa"/>
            <w:hideMark/>
          </w:tcPr>
          <w:p w14:paraId="4D9D3B79" w14:textId="77777777" w:rsidR="008D58B1" w:rsidRPr="00A519D0" w:rsidRDefault="008D58B1" w:rsidP="008D58B1">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559</w:t>
            </w:r>
          </w:p>
        </w:tc>
        <w:tc>
          <w:tcPr>
            <w:tcW w:w="680" w:type="dxa"/>
            <w:hideMark/>
          </w:tcPr>
          <w:p w14:paraId="23FF7A02" w14:textId="77777777" w:rsidR="008D58B1" w:rsidRPr="00A519D0" w:rsidRDefault="008D58B1" w:rsidP="008D58B1">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583</w:t>
            </w:r>
          </w:p>
        </w:tc>
        <w:tc>
          <w:tcPr>
            <w:tcW w:w="681" w:type="dxa"/>
            <w:hideMark/>
          </w:tcPr>
          <w:p w14:paraId="1AF86B88" w14:textId="77777777" w:rsidR="008D58B1" w:rsidRPr="00A519D0" w:rsidRDefault="008D58B1" w:rsidP="008D58B1">
            <w:pPr>
              <w:spacing w:line="360" w:lineRule="auto"/>
              <w:jc w:val="center"/>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636</w:t>
            </w:r>
          </w:p>
        </w:tc>
        <w:tc>
          <w:tcPr>
            <w:tcW w:w="680" w:type="dxa"/>
            <w:hideMark/>
          </w:tcPr>
          <w:p w14:paraId="4741FADA"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667</w:t>
            </w:r>
          </w:p>
        </w:tc>
        <w:tc>
          <w:tcPr>
            <w:tcW w:w="681" w:type="dxa"/>
            <w:hideMark/>
          </w:tcPr>
          <w:p w14:paraId="49414ABF" w14:textId="77777777" w:rsidR="008D58B1" w:rsidRPr="00A519D0" w:rsidRDefault="008D58B1" w:rsidP="008D58B1">
            <w:pPr>
              <w:spacing w:line="360" w:lineRule="auto"/>
              <w:jc w:val="right"/>
              <w:cnfStyle w:val="000000000000" w:firstRow="0" w:lastRow="0" w:firstColumn="0" w:lastColumn="0" w:oddVBand="0" w:evenVBand="0" w:oddHBand="0" w:evenHBand="0" w:firstRowFirstColumn="0" w:firstRowLastColumn="0" w:lastRowFirstColumn="0" w:lastRowLastColumn="0"/>
              <w:rPr>
                <w:b/>
                <w:bCs/>
                <w:sz w:val="18"/>
                <w:szCs w:val="18"/>
                <w:lang w:val="en-US" w:eastAsia="sl-SI"/>
              </w:rPr>
            </w:pPr>
            <w:r w:rsidRPr="00A519D0">
              <w:rPr>
                <w:b/>
                <w:bCs/>
                <w:sz w:val="18"/>
                <w:szCs w:val="18"/>
                <w:lang w:val="en-US" w:eastAsia="sl-SI"/>
              </w:rPr>
              <w:t>735</w:t>
            </w:r>
          </w:p>
        </w:tc>
      </w:tr>
    </w:tbl>
    <w:p w14:paraId="65487CC4" w14:textId="01B216CC" w:rsidR="008D58B1" w:rsidRPr="00A519D0" w:rsidRDefault="008D58B1" w:rsidP="008D58B1">
      <w:pPr>
        <w:rPr>
          <w:lang w:val="en-US"/>
        </w:rPr>
      </w:pPr>
      <w:r w:rsidRPr="00A519D0">
        <w:rPr>
          <w:lang w:val="en-US"/>
        </w:rPr>
        <w:t xml:space="preserve">*SP </w:t>
      </w:r>
      <w:r w:rsidR="00845E62">
        <w:rPr>
          <w:lang w:val="en-US"/>
        </w:rPr>
        <w:t xml:space="preserve">means </w:t>
      </w:r>
      <w:r w:rsidRPr="00A519D0">
        <w:rPr>
          <w:lang w:val="en-US"/>
        </w:rPr>
        <w:t>State Prosecutor</w:t>
      </w:r>
      <w:r w:rsidR="00845E62">
        <w:rPr>
          <w:lang w:val="en-US"/>
        </w:rPr>
        <w:t>’</w:t>
      </w:r>
      <w:r w:rsidRPr="00A519D0">
        <w:rPr>
          <w:lang w:val="en-US"/>
        </w:rPr>
        <w:t>s Office</w:t>
      </w:r>
    </w:p>
    <w:p w14:paraId="28E75EBF" w14:textId="77777777" w:rsidR="008D58B1" w:rsidRPr="00A519D0" w:rsidRDefault="008D58B1" w:rsidP="008D58B1">
      <w:pPr>
        <w:rPr>
          <w:lang w:val="en-US"/>
        </w:rPr>
      </w:pPr>
      <w:r w:rsidRPr="00A519D0">
        <w:rPr>
          <w:lang w:val="en-US"/>
        </w:rPr>
        <w:t>**IJ means Investigative Judge</w:t>
      </w:r>
    </w:p>
    <w:p w14:paraId="27F2A25E" w14:textId="37EE58C3" w:rsidR="008D58B1" w:rsidRPr="00A519D0" w:rsidRDefault="008D58B1" w:rsidP="008D58B1">
      <w:pPr>
        <w:ind w:right="-22"/>
        <w:rPr>
          <w:lang w:val="en-US"/>
        </w:rPr>
      </w:pPr>
      <w:r w:rsidRPr="00A519D0">
        <w:rPr>
          <w:lang w:val="en-US"/>
        </w:rPr>
        <w:t>The State Prosecutors</w:t>
      </w:r>
      <w:r w:rsidR="00845E62">
        <w:rPr>
          <w:lang w:val="en-US"/>
        </w:rPr>
        <w:t>’</w:t>
      </w:r>
      <w:r w:rsidRPr="00A519D0">
        <w:rPr>
          <w:lang w:val="en-US"/>
        </w:rPr>
        <w:t xml:space="preserve"> Offices </w:t>
      </w:r>
      <w:r w:rsidR="00845E62">
        <w:rPr>
          <w:lang w:val="en-US"/>
        </w:rPr>
        <w:t>dismissed 15</w:t>
      </w:r>
      <w:r w:rsidR="00845E62" w:rsidRPr="00A519D0">
        <w:rPr>
          <w:lang w:val="en-US"/>
        </w:rPr>
        <w:t xml:space="preserve"> </w:t>
      </w:r>
      <w:r w:rsidR="002E154D" w:rsidRPr="00A519D0">
        <w:rPr>
          <w:lang w:val="en-US"/>
        </w:rPr>
        <w:t xml:space="preserve">criminal </w:t>
      </w:r>
      <w:r w:rsidR="00845E62">
        <w:rPr>
          <w:lang w:val="en-US"/>
        </w:rPr>
        <w:t>complaints</w:t>
      </w:r>
      <w:r w:rsidR="00845E62" w:rsidRPr="00A519D0">
        <w:rPr>
          <w:lang w:val="en-US"/>
        </w:rPr>
        <w:t xml:space="preserve"> </w:t>
      </w:r>
      <w:r w:rsidRPr="00A519D0">
        <w:rPr>
          <w:lang w:val="en-US"/>
        </w:rPr>
        <w:t>filed due to suspicions of committing the criminal offence o</w:t>
      </w:r>
      <w:r w:rsidR="009C2E7F" w:rsidRPr="00A519D0">
        <w:rPr>
          <w:lang w:val="en-US"/>
        </w:rPr>
        <w:t>f money laundering</w:t>
      </w:r>
      <w:r w:rsidRPr="00A519D0">
        <w:rPr>
          <w:lang w:val="en-US"/>
        </w:rPr>
        <w:t>. At the same time, the number of cases in active stages of pre-</w:t>
      </w:r>
      <w:r w:rsidR="00845E62">
        <w:rPr>
          <w:lang w:val="en-US"/>
        </w:rPr>
        <w:t>trial</w:t>
      </w:r>
      <w:r w:rsidR="00845E62" w:rsidRPr="00A519D0">
        <w:rPr>
          <w:lang w:val="en-US"/>
        </w:rPr>
        <w:t xml:space="preserve"> </w:t>
      </w:r>
      <w:r w:rsidRPr="00A519D0">
        <w:rPr>
          <w:lang w:val="en-US"/>
        </w:rPr>
        <w:t xml:space="preserve">and criminal </w:t>
      </w:r>
      <w:r w:rsidR="00845E62">
        <w:rPr>
          <w:lang w:val="en-US"/>
        </w:rPr>
        <w:t>proceedings</w:t>
      </w:r>
      <w:r w:rsidR="00845E62" w:rsidRPr="00A519D0">
        <w:rPr>
          <w:lang w:val="en-US"/>
        </w:rPr>
        <w:t xml:space="preserve"> </w:t>
      </w:r>
      <w:r w:rsidR="004C4FB7" w:rsidRPr="00A519D0">
        <w:rPr>
          <w:lang w:val="en-US"/>
        </w:rPr>
        <w:t>d</w:t>
      </w:r>
      <w:r w:rsidR="00650A7E" w:rsidRPr="00A519D0">
        <w:rPr>
          <w:lang w:val="en-US"/>
        </w:rPr>
        <w:t>i</w:t>
      </w:r>
      <w:r w:rsidR="004C4FB7" w:rsidRPr="00A519D0">
        <w:rPr>
          <w:lang w:val="en-US"/>
        </w:rPr>
        <w:t>d not change significantly</w:t>
      </w:r>
      <w:r w:rsidRPr="00A519D0">
        <w:rPr>
          <w:lang w:val="en-US"/>
        </w:rPr>
        <w:t xml:space="preserve">. </w:t>
      </w:r>
    </w:p>
    <w:p w14:paraId="5E56456B" w14:textId="6ADFA2D2" w:rsidR="00B65A09" w:rsidRPr="00A519D0" w:rsidRDefault="002E154D" w:rsidP="00B65A09">
      <w:pPr>
        <w:pStyle w:val="Naslov1"/>
        <w:rPr>
          <w:lang w:val="en-US"/>
        </w:rPr>
      </w:pPr>
      <w:bookmarkStart w:id="18" w:name="_Toc119581712"/>
      <w:r w:rsidRPr="00A519D0">
        <w:rPr>
          <w:lang w:val="en-US"/>
        </w:rPr>
        <w:t>LEGISLATION AND OTHER LEGAL MATTER</w:t>
      </w:r>
      <w:bookmarkEnd w:id="18"/>
      <w:r w:rsidRPr="00A519D0">
        <w:rPr>
          <w:lang w:val="en-US"/>
        </w:rPr>
        <w:t>S</w:t>
      </w:r>
    </w:p>
    <w:p w14:paraId="7F4097DC" w14:textId="714ADAED" w:rsidR="00B65A09" w:rsidRPr="00A519D0" w:rsidRDefault="00B65A09" w:rsidP="00B65A09">
      <w:pPr>
        <w:rPr>
          <w:lang w:val="en-US"/>
        </w:rPr>
      </w:pPr>
    </w:p>
    <w:p w14:paraId="5FBDAF08" w14:textId="48908F48" w:rsidR="002E154D" w:rsidRPr="00A519D0" w:rsidRDefault="002E154D" w:rsidP="00B65A09">
      <w:pPr>
        <w:rPr>
          <w:lang w:val="en-US"/>
        </w:rPr>
      </w:pPr>
      <w:r w:rsidRPr="00A519D0">
        <w:rPr>
          <w:lang w:val="en-US"/>
        </w:rPr>
        <w:t>In 2021, the activities of the OMLP in the field of legal matters were as follows</w:t>
      </w:r>
      <w:r w:rsidR="00650A7E" w:rsidRPr="00A519D0">
        <w:rPr>
          <w:lang w:val="en-US"/>
        </w:rPr>
        <w:t>:</w:t>
      </w:r>
    </w:p>
    <w:p w14:paraId="74F97830" w14:textId="292C640B" w:rsidR="00313624" w:rsidRPr="00A519D0" w:rsidRDefault="002E154D" w:rsidP="009C2E7F">
      <w:pPr>
        <w:pStyle w:val="Odstavekseznama"/>
        <w:tabs>
          <w:tab w:val="left" w:pos="4536"/>
        </w:tabs>
        <w:spacing w:line="276" w:lineRule="auto"/>
        <w:ind w:left="851" w:hanging="284"/>
        <w:rPr>
          <w:lang w:val="en-US"/>
        </w:rPr>
      </w:pPr>
      <w:r w:rsidRPr="00A519D0">
        <w:rPr>
          <w:lang w:val="en-US"/>
        </w:rPr>
        <w:lastRenderedPageBreak/>
        <w:t xml:space="preserve">preparation of </w:t>
      </w:r>
      <w:r w:rsidR="00845E62">
        <w:rPr>
          <w:lang w:val="en-US"/>
        </w:rPr>
        <w:t xml:space="preserve">the </w:t>
      </w:r>
      <w:r w:rsidRPr="00A519D0">
        <w:rPr>
          <w:lang w:val="en-US"/>
        </w:rPr>
        <w:t xml:space="preserve">proposal of </w:t>
      </w:r>
      <w:r w:rsidR="00845E62">
        <w:rPr>
          <w:lang w:val="en-US"/>
        </w:rPr>
        <w:t xml:space="preserve">the </w:t>
      </w:r>
      <w:r w:rsidRPr="00A519D0">
        <w:rPr>
          <w:lang w:val="en-US"/>
        </w:rPr>
        <w:t xml:space="preserve">Act on prevention of money laundering and financing of terrorism </w:t>
      </w:r>
      <w:r w:rsidR="00313624" w:rsidRPr="00A519D0">
        <w:rPr>
          <w:lang w:val="en-US"/>
        </w:rPr>
        <w:t>(</w:t>
      </w:r>
      <w:r w:rsidRPr="00A519D0">
        <w:rPr>
          <w:lang w:val="en-US"/>
        </w:rPr>
        <w:t>APMLFT</w:t>
      </w:r>
      <w:r w:rsidR="00C63F16" w:rsidRPr="00A519D0">
        <w:rPr>
          <w:lang w:val="en-US"/>
        </w:rPr>
        <w:noBreakHyphen/>
      </w:r>
      <w:r w:rsidR="00313624" w:rsidRPr="00A519D0">
        <w:rPr>
          <w:lang w:val="en-US"/>
        </w:rPr>
        <w:t>2)</w:t>
      </w:r>
      <w:r w:rsidR="007D73FD" w:rsidRPr="00A519D0">
        <w:rPr>
          <w:lang w:val="en-US"/>
        </w:rPr>
        <w:t>,</w:t>
      </w:r>
      <w:r w:rsidR="00313624" w:rsidRPr="00A519D0">
        <w:rPr>
          <w:lang w:val="en-US"/>
        </w:rPr>
        <w:t xml:space="preserve"> </w:t>
      </w:r>
    </w:p>
    <w:p w14:paraId="2184C452" w14:textId="4BC7EDC3" w:rsidR="00313624" w:rsidRPr="00A519D0" w:rsidRDefault="002E154D" w:rsidP="009C2E7F">
      <w:pPr>
        <w:pStyle w:val="Odstavekseznama"/>
        <w:tabs>
          <w:tab w:val="left" w:pos="4536"/>
        </w:tabs>
        <w:spacing w:line="276" w:lineRule="auto"/>
        <w:ind w:left="851" w:hanging="284"/>
        <w:rPr>
          <w:lang w:val="en-US"/>
        </w:rPr>
      </w:pPr>
      <w:r w:rsidRPr="00A519D0">
        <w:rPr>
          <w:lang w:val="en-US"/>
        </w:rPr>
        <w:t xml:space="preserve">preparation of </w:t>
      </w:r>
      <w:r w:rsidR="00845E62">
        <w:rPr>
          <w:lang w:val="en-US"/>
        </w:rPr>
        <w:t xml:space="preserve">the </w:t>
      </w:r>
      <w:r w:rsidRPr="00A519D0">
        <w:rPr>
          <w:lang w:val="en-US"/>
        </w:rPr>
        <w:t xml:space="preserve">proposal </w:t>
      </w:r>
      <w:r w:rsidR="00845E62">
        <w:rPr>
          <w:lang w:val="en-US"/>
        </w:rPr>
        <w:t xml:space="preserve">of the </w:t>
      </w:r>
      <w:r w:rsidR="00AC3E78" w:rsidRPr="00A519D0">
        <w:rPr>
          <w:lang w:val="en-US"/>
        </w:rPr>
        <w:t xml:space="preserve">Rules on the register </w:t>
      </w:r>
      <w:bookmarkStart w:id="19" w:name="_Hlk144465927"/>
      <w:r w:rsidR="00AC3E78" w:rsidRPr="00A519D0">
        <w:rPr>
          <w:lang w:val="en-US"/>
        </w:rPr>
        <w:t xml:space="preserve">of providers of exchange services between virtual and fiat currencies and custodian wallet providers </w:t>
      </w:r>
      <w:bookmarkEnd w:id="19"/>
      <w:r w:rsidR="00313624" w:rsidRPr="00A519D0">
        <w:rPr>
          <w:lang w:val="en-US"/>
        </w:rPr>
        <w:t>(</w:t>
      </w:r>
      <w:r w:rsidR="00AC3E78" w:rsidRPr="00A519D0">
        <w:rPr>
          <w:lang w:val="en-US"/>
        </w:rPr>
        <w:t>Official Gazette of the Republic of Slovenia No.:</w:t>
      </w:r>
      <w:r w:rsidR="00313624" w:rsidRPr="00A519D0">
        <w:rPr>
          <w:lang w:val="en-US"/>
        </w:rPr>
        <w:t xml:space="preserve"> 41/21)</w:t>
      </w:r>
      <w:r w:rsidR="007D73FD" w:rsidRPr="00A519D0">
        <w:rPr>
          <w:lang w:val="en-US"/>
        </w:rPr>
        <w:t>,</w:t>
      </w:r>
    </w:p>
    <w:p w14:paraId="2AB3EB4D" w14:textId="0603B3C7" w:rsidR="00313624" w:rsidRPr="00A519D0" w:rsidRDefault="00AC3E78" w:rsidP="009C2E7F">
      <w:pPr>
        <w:pStyle w:val="Odstavekseznama"/>
        <w:tabs>
          <w:tab w:val="left" w:pos="4536"/>
        </w:tabs>
        <w:spacing w:line="276" w:lineRule="auto"/>
        <w:ind w:left="851" w:hanging="284"/>
        <w:rPr>
          <w:lang w:val="en-US"/>
        </w:rPr>
      </w:pPr>
      <w:r w:rsidRPr="00A519D0">
        <w:rPr>
          <w:lang w:val="en-US"/>
        </w:rPr>
        <w:t>preparation of</w:t>
      </w:r>
      <w:r w:rsidR="00313624" w:rsidRPr="00A519D0">
        <w:rPr>
          <w:lang w:val="en-US"/>
        </w:rPr>
        <w:t xml:space="preserve"> </w:t>
      </w:r>
      <w:r w:rsidR="00845E62">
        <w:rPr>
          <w:lang w:val="en-US"/>
        </w:rPr>
        <w:t xml:space="preserve">the </w:t>
      </w:r>
      <w:r w:rsidRPr="00A519D0">
        <w:rPr>
          <w:lang w:val="en-US"/>
        </w:rPr>
        <w:t xml:space="preserve">Rules on the technical conditions that must be met by safes and means of video-based electronic identification or means providing the identification of a customer </w:t>
      </w:r>
      <w:proofErr w:type="gramStart"/>
      <w:r w:rsidRPr="00A519D0">
        <w:rPr>
          <w:lang w:val="en-US"/>
        </w:rPr>
        <w:t>on the basis of</w:t>
      </w:r>
      <w:proofErr w:type="gramEnd"/>
      <w:r w:rsidRPr="00A519D0">
        <w:rPr>
          <w:lang w:val="en-US"/>
        </w:rPr>
        <w:t xml:space="preserve"> their biometric characteristics</w:t>
      </w:r>
      <w:r w:rsidR="007D73FD" w:rsidRPr="00A519D0">
        <w:rPr>
          <w:lang w:val="en-US"/>
        </w:rPr>
        <w:t>,</w:t>
      </w:r>
    </w:p>
    <w:p w14:paraId="7AC7EE21" w14:textId="4DCFFE17" w:rsidR="00313624" w:rsidRPr="00A519D0" w:rsidRDefault="00AC3E78" w:rsidP="009C2E7F">
      <w:pPr>
        <w:pStyle w:val="Odstavekseznama"/>
        <w:tabs>
          <w:tab w:val="left" w:pos="4536"/>
        </w:tabs>
        <w:spacing w:line="276" w:lineRule="auto"/>
        <w:ind w:left="851" w:hanging="284"/>
        <w:rPr>
          <w:lang w:val="en-US"/>
        </w:rPr>
      </w:pPr>
      <w:r w:rsidRPr="00A519D0">
        <w:rPr>
          <w:lang w:val="en-US"/>
        </w:rPr>
        <w:t xml:space="preserve">cooperation with Agency </w:t>
      </w:r>
      <w:r w:rsidR="00307CE8" w:rsidRPr="00A519D0">
        <w:rPr>
          <w:lang w:val="en-US"/>
        </w:rPr>
        <w:t xml:space="preserve">of the Republic of Slovenia </w:t>
      </w:r>
      <w:r w:rsidR="00845E62" w:rsidRPr="00A519D0">
        <w:rPr>
          <w:lang w:val="en-US"/>
        </w:rPr>
        <w:t>for</w:t>
      </w:r>
      <w:r w:rsidR="00307CE8" w:rsidRPr="00A519D0">
        <w:rPr>
          <w:lang w:val="en-US"/>
        </w:rPr>
        <w:t xml:space="preserve"> Public Legal Records Services for preparation of proposal of </w:t>
      </w:r>
      <w:r w:rsidR="00845E62">
        <w:rPr>
          <w:lang w:val="en-US"/>
        </w:rPr>
        <w:t xml:space="preserve">the </w:t>
      </w:r>
      <w:r w:rsidR="00307CE8" w:rsidRPr="00A519D0">
        <w:rPr>
          <w:lang w:val="en-US"/>
        </w:rPr>
        <w:t>new</w:t>
      </w:r>
      <w:r w:rsidR="00313624" w:rsidRPr="00A519D0">
        <w:rPr>
          <w:lang w:val="en-US"/>
        </w:rPr>
        <w:t xml:space="preserve"> </w:t>
      </w:r>
      <w:r w:rsidR="00307CE8" w:rsidRPr="00A519D0">
        <w:rPr>
          <w:lang w:val="en-US"/>
        </w:rPr>
        <w:t>Rules on maintenance and management of the Register of Beneficial Owners</w:t>
      </w:r>
      <w:r w:rsidR="00313624" w:rsidRPr="00A519D0">
        <w:rPr>
          <w:lang w:val="en-US"/>
        </w:rPr>
        <w:t>,</w:t>
      </w:r>
    </w:p>
    <w:p w14:paraId="202797C3" w14:textId="3F539C9C" w:rsidR="004B5767" w:rsidRPr="00A519D0" w:rsidRDefault="00307CE8" w:rsidP="009C2E7F">
      <w:pPr>
        <w:pStyle w:val="Odstavekseznama"/>
        <w:tabs>
          <w:tab w:val="left" w:pos="4536"/>
        </w:tabs>
        <w:spacing w:line="276" w:lineRule="auto"/>
        <w:ind w:left="851" w:hanging="284"/>
        <w:rPr>
          <w:lang w:val="en-US"/>
        </w:rPr>
      </w:pPr>
      <w:r w:rsidRPr="00A519D0">
        <w:rPr>
          <w:lang w:val="en-US"/>
        </w:rPr>
        <w:t xml:space="preserve">preparation of </w:t>
      </w:r>
      <w:r w:rsidR="00845E62">
        <w:rPr>
          <w:lang w:val="en-US"/>
        </w:rPr>
        <w:t xml:space="preserve">the </w:t>
      </w:r>
      <w:r w:rsidRPr="00A519D0">
        <w:rPr>
          <w:lang w:val="en-US"/>
        </w:rPr>
        <w:t xml:space="preserve">proposal of the answer </w:t>
      </w:r>
      <w:r w:rsidR="00F83EC9" w:rsidRPr="00A519D0">
        <w:rPr>
          <w:lang w:val="en-US"/>
        </w:rPr>
        <w:t xml:space="preserve">to </w:t>
      </w:r>
      <w:r w:rsidR="00CC7832">
        <w:rPr>
          <w:lang w:val="en-US"/>
        </w:rPr>
        <w:t>the letter of notice</w:t>
      </w:r>
      <w:r w:rsidR="00CC7832" w:rsidRPr="00A519D0">
        <w:rPr>
          <w:lang w:val="en-US"/>
        </w:rPr>
        <w:t xml:space="preserve"> </w:t>
      </w:r>
      <w:r w:rsidR="00CC7832">
        <w:rPr>
          <w:lang w:val="en-US"/>
        </w:rPr>
        <w:t xml:space="preserve">by the European Commission on the </w:t>
      </w:r>
      <w:r w:rsidR="00650A7E" w:rsidRPr="00A519D0">
        <w:rPr>
          <w:lang w:val="en-US"/>
        </w:rPr>
        <w:t>infringement</w:t>
      </w:r>
      <w:r w:rsidR="00F83EC9" w:rsidRPr="00A519D0">
        <w:rPr>
          <w:lang w:val="en-US"/>
        </w:rPr>
        <w:t xml:space="preserve"> in relation</w:t>
      </w:r>
      <w:r w:rsidR="00CC7832">
        <w:rPr>
          <w:lang w:val="en-US"/>
        </w:rPr>
        <w:t xml:space="preserve"> to</w:t>
      </w:r>
      <w:r w:rsidR="00F83EC9" w:rsidRPr="00A519D0">
        <w:rPr>
          <w:lang w:val="en-US"/>
        </w:rPr>
        <w:t xml:space="preserve"> </w:t>
      </w:r>
      <w:r w:rsidR="00650A7E" w:rsidRPr="00A519D0">
        <w:rPr>
          <w:lang w:val="en-US"/>
        </w:rPr>
        <w:t>Directive</w:t>
      </w:r>
      <w:r w:rsidR="004B5767" w:rsidRPr="00A519D0">
        <w:rPr>
          <w:lang w:val="en-US"/>
        </w:rPr>
        <w:t xml:space="preserve"> (EU) 2018/843 of the European Parliament and of the Council of 30 May 2018 amending Directive (EU) 2015/849 on the prevention of the use of the financial system for the purposes of money laundering or terrorist financing, and amending Directives 2009/138/EC and 2013/36/EU regarding the transposition </w:t>
      </w:r>
      <w:r w:rsidR="00650A7E" w:rsidRPr="00A519D0">
        <w:rPr>
          <w:lang w:val="en-US"/>
        </w:rPr>
        <w:t>into</w:t>
      </w:r>
      <w:r w:rsidR="004B5767" w:rsidRPr="00A519D0">
        <w:rPr>
          <w:lang w:val="en-US"/>
        </w:rPr>
        <w:t xml:space="preserve"> </w:t>
      </w:r>
      <w:r w:rsidR="00650A7E" w:rsidRPr="00A519D0">
        <w:rPr>
          <w:lang w:val="en-US"/>
        </w:rPr>
        <w:t>Slovenian</w:t>
      </w:r>
      <w:r w:rsidR="004B5767" w:rsidRPr="00A519D0">
        <w:rPr>
          <w:lang w:val="en-US"/>
        </w:rPr>
        <w:t xml:space="preserve"> </w:t>
      </w:r>
      <w:r w:rsidR="00650A7E" w:rsidRPr="00A519D0">
        <w:rPr>
          <w:lang w:val="en-US"/>
        </w:rPr>
        <w:t>legislation</w:t>
      </w:r>
      <w:r w:rsidR="004B5767" w:rsidRPr="00A519D0">
        <w:rPr>
          <w:lang w:val="en-US"/>
        </w:rPr>
        <w:t xml:space="preserve">, </w:t>
      </w:r>
    </w:p>
    <w:p w14:paraId="2BAB4EC7" w14:textId="48F7EF52" w:rsidR="00313624" w:rsidRPr="00A519D0" w:rsidRDefault="00AB3726" w:rsidP="009C2E7F">
      <w:pPr>
        <w:pStyle w:val="Odstavekseznama"/>
        <w:tabs>
          <w:tab w:val="left" w:pos="4536"/>
        </w:tabs>
        <w:spacing w:line="276" w:lineRule="auto"/>
        <w:ind w:left="851" w:hanging="284"/>
        <w:rPr>
          <w:lang w:val="en-US"/>
        </w:rPr>
      </w:pPr>
      <w:r w:rsidRPr="00A519D0">
        <w:rPr>
          <w:lang w:val="en-US"/>
        </w:rPr>
        <w:t xml:space="preserve">preparation of opinions and views </w:t>
      </w:r>
      <w:proofErr w:type="gramStart"/>
      <w:r w:rsidRPr="00A519D0">
        <w:rPr>
          <w:lang w:val="en-US"/>
        </w:rPr>
        <w:t>with regard to</w:t>
      </w:r>
      <w:proofErr w:type="gramEnd"/>
      <w:r w:rsidRPr="00A519D0">
        <w:rPr>
          <w:lang w:val="en-US"/>
        </w:rPr>
        <w:t xml:space="preserve"> the implementation of the APMLTF-2 and bylaws, issued on its basis</w:t>
      </w:r>
      <w:r w:rsidR="007D73FD" w:rsidRPr="00A519D0">
        <w:rPr>
          <w:lang w:val="en-US"/>
        </w:rPr>
        <w:t>,</w:t>
      </w:r>
    </w:p>
    <w:p w14:paraId="65F9ECED" w14:textId="05ABE7DD" w:rsidR="00313624" w:rsidRPr="00A519D0" w:rsidRDefault="00AB3726" w:rsidP="009C2E7F">
      <w:pPr>
        <w:pStyle w:val="Odstavekseznama"/>
        <w:tabs>
          <w:tab w:val="left" w:pos="4536"/>
        </w:tabs>
        <w:spacing w:line="276" w:lineRule="auto"/>
        <w:ind w:left="851" w:hanging="284"/>
        <w:rPr>
          <w:lang w:val="en-US"/>
        </w:rPr>
      </w:pPr>
      <w:r w:rsidRPr="00A519D0">
        <w:rPr>
          <w:lang w:val="en-US"/>
        </w:rPr>
        <w:t>establish</w:t>
      </w:r>
      <w:r w:rsidR="009C2E7F" w:rsidRPr="00A519D0">
        <w:rPr>
          <w:lang w:val="en-US"/>
        </w:rPr>
        <w:t>ment</w:t>
      </w:r>
      <w:r w:rsidRPr="00A519D0">
        <w:rPr>
          <w:lang w:val="en-US"/>
        </w:rPr>
        <w:t xml:space="preserve"> of register of providers of exchange services between virtual and fiat currencies and custodian wallet </w:t>
      </w:r>
      <w:r w:rsidR="00CC7832">
        <w:rPr>
          <w:lang w:val="en-US"/>
        </w:rPr>
        <w:t xml:space="preserve">providers </w:t>
      </w:r>
      <w:r w:rsidRPr="00A519D0">
        <w:rPr>
          <w:lang w:val="en-US"/>
        </w:rPr>
        <w:t xml:space="preserve">and publishing the </w:t>
      </w:r>
      <w:r w:rsidR="00650A7E" w:rsidRPr="00A519D0">
        <w:rPr>
          <w:lang w:val="en-US"/>
        </w:rPr>
        <w:t>register</w:t>
      </w:r>
      <w:r w:rsidRPr="00A519D0">
        <w:rPr>
          <w:lang w:val="en-US"/>
        </w:rPr>
        <w:t xml:space="preserve"> on t</w:t>
      </w:r>
      <w:r w:rsidR="00650A7E" w:rsidRPr="00A519D0">
        <w:rPr>
          <w:lang w:val="en-US"/>
        </w:rPr>
        <w:t>h</w:t>
      </w:r>
      <w:r w:rsidRPr="00A519D0">
        <w:rPr>
          <w:lang w:val="en-US"/>
        </w:rPr>
        <w:t>e website of OMLP</w:t>
      </w:r>
      <w:r w:rsidR="007D73FD" w:rsidRPr="00A519D0">
        <w:rPr>
          <w:lang w:val="en-US"/>
        </w:rPr>
        <w:t>,</w:t>
      </w:r>
    </w:p>
    <w:p w14:paraId="4003289F" w14:textId="7EABB2C2" w:rsidR="00313624" w:rsidRPr="00A519D0" w:rsidRDefault="004B5767" w:rsidP="009C2E7F">
      <w:pPr>
        <w:pStyle w:val="Odstavekseznama"/>
        <w:tabs>
          <w:tab w:val="left" w:pos="4536"/>
        </w:tabs>
        <w:spacing w:line="276" w:lineRule="auto"/>
        <w:ind w:left="851" w:hanging="284"/>
        <w:rPr>
          <w:lang w:val="en-US"/>
        </w:rPr>
      </w:pPr>
      <w:r w:rsidRPr="00A519D0">
        <w:rPr>
          <w:lang w:val="en-US"/>
        </w:rPr>
        <w:t xml:space="preserve">preparation of decisions and answers in relation to requests for </w:t>
      </w:r>
      <w:r w:rsidR="00650A7E" w:rsidRPr="00A519D0">
        <w:rPr>
          <w:lang w:val="en-US"/>
        </w:rPr>
        <w:t>access</w:t>
      </w:r>
      <w:r w:rsidRPr="00A519D0">
        <w:rPr>
          <w:lang w:val="en-US"/>
        </w:rPr>
        <w:t xml:space="preserve"> to </w:t>
      </w:r>
      <w:r w:rsidR="00B266C1">
        <w:rPr>
          <w:lang w:val="en-US"/>
        </w:rPr>
        <w:t>public information</w:t>
      </w:r>
      <w:r w:rsidRPr="00A519D0">
        <w:rPr>
          <w:lang w:val="en-US"/>
        </w:rPr>
        <w:t xml:space="preserve"> in accordance with </w:t>
      </w:r>
      <w:r w:rsidR="00B266C1">
        <w:rPr>
          <w:lang w:val="en-US"/>
        </w:rPr>
        <w:t xml:space="preserve">the </w:t>
      </w:r>
      <w:r w:rsidRPr="00A519D0">
        <w:rPr>
          <w:lang w:val="en-US"/>
        </w:rPr>
        <w:t xml:space="preserve">provisions of </w:t>
      </w:r>
      <w:r w:rsidR="00B266C1">
        <w:rPr>
          <w:lang w:val="en-US"/>
        </w:rPr>
        <w:t xml:space="preserve">the </w:t>
      </w:r>
      <w:r w:rsidRPr="00CC7832">
        <w:rPr>
          <w:lang w:val="en-US"/>
        </w:rPr>
        <w:t>Public Information Access Act</w:t>
      </w:r>
      <w:r w:rsidRPr="00A519D0">
        <w:rPr>
          <w:lang w:val="en-US"/>
        </w:rPr>
        <w:t xml:space="preserve"> </w:t>
      </w:r>
      <w:r w:rsidR="00313624" w:rsidRPr="00A519D0">
        <w:rPr>
          <w:lang w:val="en-US"/>
        </w:rPr>
        <w:t>(</w:t>
      </w:r>
      <w:r w:rsidRPr="00A519D0">
        <w:rPr>
          <w:lang w:val="en-US"/>
        </w:rPr>
        <w:t xml:space="preserve">Official </w:t>
      </w:r>
      <w:r w:rsidR="00650A7E" w:rsidRPr="00A519D0">
        <w:rPr>
          <w:lang w:val="en-US"/>
        </w:rPr>
        <w:t>Gazette</w:t>
      </w:r>
      <w:r w:rsidRPr="00A519D0">
        <w:rPr>
          <w:lang w:val="en-US"/>
        </w:rPr>
        <w:t xml:space="preserve"> of the Republic of Slovenia No.:</w:t>
      </w:r>
      <w:r w:rsidR="00313624" w:rsidRPr="00A519D0">
        <w:rPr>
          <w:lang w:val="en-US"/>
        </w:rPr>
        <w:t xml:space="preserve"> 51/06 – </w:t>
      </w:r>
      <w:r w:rsidRPr="00A519D0">
        <w:rPr>
          <w:lang w:val="en-US"/>
        </w:rPr>
        <w:t>officially consolidated text</w:t>
      </w:r>
      <w:r w:rsidR="00313624" w:rsidRPr="00A519D0">
        <w:rPr>
          <w:lang w:val="en-US"/>
        </w:rPr>
        <w:t xml:space="preserve">, 117/06 – ZDavP-2, 23/14, 50/14, 19/15 – </w:t>
      </w:r>
      <w:r w:rsidRPr="00A519D0">
        <w:rPr>
          <w:lang w:val="en-US"/>
        </w:rPr>
        <w:t>decision of the Constitutional Court</w:t>
      </w:r>
      <w:r w:rsidR="00313624" w:rsidRPr="00A519D0">
        <w:rPr>
          <w:lang w:val="en-US"/>
        </w:rPr>
        <w:t>, 102/15 in 7/18)</w:t>
      </w:r>
      <w:r w:rsidR="007D73FD" w:rsidRPr="00A519D0">
        <w:rPr>
          <w:lang w:val="en-US"/>
        </w:rPr>
        <w:t>,</w:t>
      </w:r>
    </w:p>
    <w:p w14:paraId="5D6EECA3" w14:textId="675F4C2C" w:rsidR="00AB3726" w:rsidRPr="00A519D0" w:rsidRDefault="00AB3726" w:rsidP="009C2E7F">
      <w:pPr>
        <w:pStyle w:val="Odstavekseznama"/>
        <w:tabs>
          <w:tab w:val="left" w:pos="4536"/>
        </w:tabs>
        <w:spacing w:line="276" w:lineRule="auto"/>
        <w:ind w:left="851" w:hanging="284"/>
        <w:rPr>
          <w:lang w:val="en-US"/>
        </w:rPr>
      </w:pPr>
      <w:r w:rsidRPr="00A519D0">
        <w:rPr>
          <w:lang w:val="en-US"/>
        </w:rPr>
        <w:t xml:space="preserve">preparation of replies and documentation to questions by the media, Members of Parliament and questions/demands received from </w:t>
      </w:r>
      <w:r w:rsidR="00B266C1" w:rsidRPr="00B266C1">
        <w:rPr>
          <w:lang w:val="en-US"/>
        </w:rPr>
        <w:t>Parliamentary Inquiries</w:t>
      </w:r>
      <w:r w:rsidR="00650A7E" w:rsidRPr="00A519D0">
        <w:rPr>
          <w:lang w:val="en-US"/>
        </w:rPr>
        <w:t>,</w:t>
      </w:r>
    </w:p>
    <w:p w14:paraId="29BDA508" w14:textId="4DFA1BE9" w:rsidR="00313624" w:rsidRPr="00A519D0" w:rsidRDefault="00A75696" w:rsidP="00FB0B61">
      <w:pPr>
        <w:pStyle w:val="Odstavekseznama"/>
        <w:tabs>
          <w:tab w:val="left" w:pos="4536"/>
        </w:tabs>
        <w:ind w:left="851" w:hanging="284"/>
        <w:rPr>
          <w:lang w:val="en-US"/>
        </w:rPr>
      </w:pPr>
      <w:r w:rsidRPr="00A519D0">
        <w:rPr>
          <w:lang w:val="en-US"/>
        </w:rPr>
        <w:t xml:space="preserve">participation </w:t>
      </w:r>
      <w:r w:rsidR="00B266C1">
        <w:rPr>
          <w:lang w:val="en-US"/>
        </w:rPr>
        <w:t>in the</w:t>
      </w:r>
      <w:r w:rsidR="00B266C1" w:rsidRPr="00A519D0">
        <w:rPr>
          <w:lang w:val="en-US"/>
        </w:rPr>
        <w:t xml:space="preserve"> </w:t>
      </w:r>
      <w:r w:rsidRPr="00A519D0">
        <w:rPr>
          <w:lang w:val="en-US"/>
        </w:rPr>
        <w:t>preparation and coordination of regulation of other competent authorities</w:t>
      </w:r>
      <w:r w:rsidR="007D73FD" w:rsidRPr="00A519D0">
        <w:rPr>
          <w:lang w:val="en-US"/>
        </w:rPr>
        <w:t>,</w:t>
      </w:r>
    </w:p>
    <w:p w14:paraId="6B70EFF5" w14:textId="65614195" w:rsidR="00313624" w:rsidRPr="00A519D0" w:rsidRDefault="00A75696" w:rsidP="009C2E7F">
      <w:pPr>
        <w:pStyle w:val="Odstavekseznama"/>
        <w:tabs>
          <w:tab w:val="left" w:pos="4536"/>
        </w:tabs>
        <w:spacing w:line="276" w:lineRule="auto"/>
        <w:ind w:left="851" w:hanging="284"/>
        <w:rPr>
          <w:lang w:val="en-US"/>
        </w:rPr>
      </w:pPr>
      <w:r w:rsidRPr="00A519D0">
        <w:rPr>
          <w:lang w:val="en-US"/>
        </w:rPr>
        <w:t xml:space="preserve">ongoing editing of the website of the OMLP in accordance with the guidelines of the Ministry for Public Administration and Government Communication Office. </w:t>
      </w:r>
    </w:p>
    <w:p w14:paraId="52DB743E" w14:textId="77777777" w:rsidR="00B65A09" w:rsidRPr="00A519D0" w:rsidRDefault="00B65A09" w:rsidP="00B65A09">
      <w:pPr>
        <w:rPr>
          <w:lang w:val="en-US"/>
        </w:rPr>
      </w:pPr>
    </w:p>
    <w:p w14:paraId="4807431E" w14:textId="494956A5" w:rsidR="00B65A09" w:rsidRPr="00A519D0" w:rsidRDefault="00A75696" w:rsidP="00B65A09">
      <w:pPr>
        <w:pStyle w:val="Naslov2"/>
        <w:rPr>
          <w:lang w:val="en-US"/>
        </w:rPr>
      </w:pPr>
      <w:r w:rsidRPr="00A519D0">
        <w:rPr>
          <w:lang w:val="en-US"/>
        </w:rPr>
        <w:t>LEGISLATION AND ASSISTANCE AT ITS IMPLEMENTATION</w:t>
      </w:r>
    </w:p>
    <w:p w14:paraId="59A6B282" w14:textId="77777777" w:rsidR="00B65A09" w:rsidRPr="00A519D0" w:rsidRDefault="00B65A09" w:rsidP="00B65A09">
      <w:pPr>
        <w:rPr>
          <w:lang w:val="en-US"/>
        </w:rPr>
      </w:pPr>
    </w:p>
    <w:p w14:paraId="08A35F3A" w14:textId="2F07A655" w:rsidR="00B65A09" w:rsidRPr="00A519D0" w:rsidRDefault="001F5A66" w:rsidP="009C2E7F">
      <w:pPr>
        <w:spacing w:line="276" w:lineRule="auto"/>
        <w:rPr>
          <w:lang w:val="en-US"/>
        </w:rPr>
      </w:pPr>
      <w:r>
        <w:rPr>
          <w:lang w:val="en-US"/>
        </w:rPr>
        <w:t>An i</w:t>
      </w:r>
      <w:r w:rsidR="00AA0B67" w:rsidRPr="00A519D0">
        <w:rPr>
          <w:lang w:val="en-US"/>
        </w:rPr>
        <w:t>mportant activity of the OMLP and Legal Affairs Division is the preparation of</w:t>
      </w:r>
      <w:r w:rsidR="001D7E25" w:rsidRPr="00A519D0">
        <w:rPr>
          <w:lang w:val="en-US"/>
        </w:rPr>
        <w:t xml:space="preserve"> proposals of legal acts related to </w:t>
      </w:r>
      <w:r>
        <w:rPr>
          <w:lang w:val="en-US"/>
        </w:rPr>
        <w:t xml:space="preserve">the </w:t>
      </w:r>
      <w:r w:rsidR="001D7E25" w:rsidRPr="00A519D0">
        <w:rPr>
          <w:lang w:val="en-US"/>
        </w:rPr>
        <w:t>preve</w:t>
      </w:r>
      <w:r w:rsidR="00C05BD5" w:rsidRPr="00A519D0">
        <w:rPr>
          <w:lang w:val="en-US"/>
        </w:rPr>
        <w:t>n</w:t>
      </w:r>
      <w:r w:rsidR="001D7E25" w:rsidRPr="00A519D0">
        <w:rPr>
          <w:lang w:val="en-US"/>
        </w:rPr>
        <w:t xml:space="preserve">tion of money laundering and terrorist financing. It is important to emphasize that </w:t>
      </w:r>
      <w:r>
        <w:rPr>
          <w:lang w:val="en-US"/>
        </w:rPr>
        <w:t>on</w:t>
      </w:r>
      <w:r w:rsidRPr="00A519D0">
        <w:rPr>
          <w:lang w:val="en-US"/>
        </w:rPr>
        <w:t xml:space="preserve"> </w:t>
      </w:r>
      <w:r w:rsidR="009C2E7F" w:rsidRPr="00A519D0">
        <w:rPr>
          <w:lang w:val="en-US"/>
        </w:rPr>
        <w:t>one</w:t>
      </w:r>
      <w:r w:rsidR="001D7E25" w:rsidRPr="00A519D0">
        <w:rPr>
          <w:lang w:val="en-US"/>
        </w:rPr>
        <w:t xml:space="preserve"> side </w:t>
      </w:r>
      <w:r w:rsidR="00A60B83" w:rsidRPr="00A519D0">
        <w:rPr>
          <w:lang w:val="en-US"/>
        </w:rPr>
        <w:t>the OMLP is</w:t>
      </w:r>
      <w:r w:rsidR="001D7E25" w:rsidRPr="00A519D0">
        <w:rPr>
          <w:lang w:val="en-US"/>
        </w:rPr>
        <w:t xml:space="preserve"> dealing with the transposition of European Directives, where the </w:t>
      </w:r>
      <w:r>
        <w:rPr>
          <w:lang w:val="en-US"/>
        </w:rPr>
        <w:t>principle</w:t>
      </w:r>
      <w:r w:rsidRPr="00A519D0">
        <w:rPr>
          <w:lang w:val="en-US"/>
        </w:rPr>
        <w:t xml:space="preserve"> </w:t>
      </w:r>
      <w:r w:rsidR="001D7E25" w:rsidRPr="00A519D0">
        <w:rPr>
          <w:lang w:val="en-US"/>
        </w:rPr>
        <w:t xml:space="preserve">of minimal </w:t>
      </w:r>
      <w:r w:rsidR="00650A7E" w:rsidRPr="00A519D0">
        <w:rPr>
          <w:lang w:val="en-US"/>
        </w:rPr>
        <w:t>harmoni</w:t>
      </w:r>
      <w:r w:rsidR="00A519D0">
        <w:rPr>
          <w:lang w:val="en-US"/>
        </w:rPr>
        <w:t>z</w:t>
      </w:r>
      <w:r w:rsidR="00650A7E" w:rsidRPr="00A519D0">
        <w:rPr>
          <w:lang w:val="en-US"/>
        </w:rPr>
        <w:t>ation</w:t>
      </w:r>
      <w:r w:rsidR="001D7E25" w:rsidRPr="00A519D0">
        <w:rPr>
          <w:lang w:val="en-US"/>
        </w:rPr>
        <w:t xml:space="preserve"> and compliance with international standards (FATF </w:t>
      </w:r>
      <w:r w:rsidR="00650A7E" w:rsidRPr="00A519D0">
        <w:rPr>
          <w:lang w:val="en-US"/>
        </w:rPr>
        <w:t>recommendations</w:t>
      </w:r>
      <w:r w:rsidR="001D7E25" w:rsidRPr="00A519D0">
        <w:rPr>
          <w:lang w:val="en-US"/>
        </w:rPr>
        <w:t xml:space="preserve">) applies and on the other </w:t>
      </w:r>
      <w:r w:rsidR="009C2E7F" w:rsidRPr="00A519D0">
        <w:rPr>
          <w:lang w:val="en-US"/>
        </w:rPr>
        <w:t>hand</w:t>
      </w:r>
      <w:r w:rsidR="001D7E25" w:rsidRPr="00A519D0">
        <w:rPr>
          <w:lang w:val="en-US"/>
        </w:rPr>
        <w:t xml:space="preserve"> the area </w:t>
      </w:r>
      <w:r w:rsidR="00A60B83" w:rsidRPr="00A519D0">
        <w:rPr>
          <w:lang w:val="en-US"/>
        </w:rPr>
        <w:t>o</w:t>
      </w:r>
      <w:r w:rsidR="001D7E25" w:rsidRPr="00A519D0">
        <w:rPr>
          <w:lang w:val="en-US"/>
        </w:rPr>
        <w:t xml:space="preserve">f ML/TF is becoming </w:t>
      </w:r>
      <w:r w:rsidR="00A60B83" w:rsidRPr="00A519D0">
        <w:rPr>
          <w:lang w:val="en-US"/>
        </w:rPr>
        <w:t xml:space="preserve">very wide, expanding from initial financial investigation units to several sectors of obliged entities and their supervisors. </w:t>
      </w:r>
      <w:r w:rsidR="00AF59B5" w:rsidRPr="00A519D0">
        <w:rPr>
          <w:lang w:val="en-US"/>
        </w:rPr>
        <w:t xml:space="preserve">This requires often </w:t>
      </w:r>
      <w:r w:rsidRPr="00A519D0">
        <w:rPr>
          <w:lang w:val="en-US"/>
        </w:rPr>
        <w:t>time</w:t>
      </w:r>
      <w:r>
        <w:rPr>
          <w:lang w:val="en-US"/>
        </w:rPr>
        <w:t>-</w:t>
      </w:r>
      <w:r w:rsidR="00AF59B5" w:rsidRPr="00A519D0">
        <w:rPr>
          <w:lang w:val="en-US"/>
        </w:rPr>
        <w:t>consuming coordination of provisions of APMLFT-1 with provisions from regulation in other areas (banking rector, notary, etc.)</w:t>
      </w:r>
      <w:r w:rsidR="00EA6CB1" w:rsidRPr="00A519D0">
        <w:rPr>
          <w:lang w:val="en-US"/>
        </w:rPr>
        <w:t xml:space="preserve"> covering various jurisdictions of supervisory authorities (</w:t>
      </w:r>
      <w:r w:rsidR="00650A7E" w:rsidRPr="00A519D0">
        <w:rPr>
          <w:lang w:val="en-US"/>
        </w:rPr>
        <w:t>operating</w:t>
      </w:r>
      <w:r w:rsidR="00EA6CB1" w:rsidRPr="00A519D0">
        <w:rPr>
          <w:lang w:val="en-US"/>
        </w:rPr>
        <w:t xml:space="preserve"> under different procedural laws) or other areas, that are closely related to the activities of </w:t>
      </w:r>
      <w:r w:rsidR="00D55CF6">
        <w:rPr>
          <w:lang w:val="en-US"/>
        </w:rPr>
        <w:t xml:space="preserve">the </w:t>
      </w:r>
      <w:r w:rsidR="00EA6CB1" w:rsidRPr="00A519D0">
        <w:rPr>
          <w:lang w:val="en-US"/>
        </w:rPr>
        <w:t>OMLP (area of classified information, protection of personal data).</w:t>
      </w:r>
      <w:r w:rsidR="00B65A09" w:rsidRPr="00A519D0">
        <w:rPr>
          <w:lang w:val="en-US"/>
        </w:rPr>
        <w:t xml:space="preserve"> </w:t>
      </w:r>
      <w:r w:rsidR="00294BDD" w:rsidRPr="00A519D0">
        <w:rPr>
          <w:lang w:val="en-US"/>
        </w:rPr>
        <w:t xml:space="preserve">Also, the dynamics of adoption of regulations at the EU level in the last years caused rushing in preparation of proposals (before expiration of the deadline for implementation of AMLD4 the AMLD5), as due to potential different understanding of provisions of </w:t>
      </w:r>
      <w:r w:rsidR="00294BDD" w:rsidRPr="00A519D0">
        <w:rPr>
          <w:lang w:val="en-US"/>
        </w:rPr>
        <w:lastRenderedPageBreak/>
        <w:t xml:space="preserve">directives and the minimal harmonization principal there are also subsequently official infringements sent by the European Commission.  </w:t>
      </w:r>
    </w:p>
    <w:p w14:paraId="0EBCB1B1" w14:textId="7D7E4330" w:rsidR="00B65A09" w:rsidRPr="00A519D0" w:rsidRDefault="003D5A12" w:rsidP="009C2E7F">
      <w:pPr>
        <w:spacing w:line="276" w:lineRule="auto"/>
        <w:rPr>
          <w:lang w:val="en-US"/>
        </w:rPr>
      </w:pPr>
      <w:r w:rsidRPr="00A519D0">
        <w:rPr>
          <w:lang w:val="en-US"/>
        </w:rPr>
        <w:t>In the area of legislation there were several activities</w:t>
      </w:r>
      <w:r w:rsidR="00294BDD" w:rsidRPr="00A519D0">
        <w:rPr>
          <w:lang w:val="en-US"/>
        </w:rPr>
        <w:t xml:space="preserve"> in the year 2021</w:t>
      </w:r>
      <w:r w:rsidRPr="00A519D0">
        <w:rPr>
          <w:lang w:val="en-US"/>
        </w:rPr>
        <w:t xml:space="preserve">. </w:t>
      </w:r>
      <w:r w:rsidR="00294BDD" w:rsidRPr="00A519D0">
        <w:rPr>
          <w:lang w:val="en-US"/>
        </w:rPr>
        <w:t>The n</w:t>
      </w:r>
      <w:r w:rsidRPr="00A519D0">
        <w:rPr>
          <w:lang w:val="en-US"/>
        </w:rPr>
        <w:t>ew proposal for APMLFT-2 and three proposals of by-law</w:t>
      </w:r>
      <w:r w:rsidR="00A8586E" w:rsidRPr="00A519D0">
        <w:rPr>
          <w:lang w:val="en-US"/>
        </w:rPr>
        <w:t>s were prepared.</w:t>
      </w:r>
    </w:p>
    <w:p w14:paraId="46CAE9DC" w14:textId="77777777" w:rsidR="0087346C" w:rsidRPr="00A519D0" w:rsidRDefault="0087346C" w:rsidP="00E943E8">
      <w:pPr>
        <w:rPr>
          <w:lang w:val="en-US"/>
        </w:rPr>
      </w:pPr>
    </w:p>
    <w:p w14:paraId="5C518864" w14:textId="1369B330" w:rsidR="00B65A09" w:rsidRPr="00A519D0" w:rsidRDefault="003D5A12" w:rsidP="00B65A09">
      <w:pPr>
        <w:pStyle w:val="Naslov3"/>
        <w:rPr>
          <w:lang w:val="en-US"/>
        </w:rPr>
      </w:pPr>
      <w:bookmarkStart w:id="20" w:name="_Toc119581717"/>
      <w:r w:rsidRPr="00A519D0">
        <w:rPr>
          <w:lang w:val="en-US"/>
        </w:rPr>
        <w:t>Written opinions and views referring to implementation of AMLFT-1</w:t>
      </w:r>
      <w:bookmarkEnd w:id="20"/>
    </w:p>
    <w:p w14:paraId="38A989E3" w14:textId="77777777" w:rsidR="003D5A12" w:rsidRPr="00A519D0" w:rsidRDefault="003D5A12" w:rsidP="00E943E8">
      <w:pPr>
        <w:rPr>
          <w:lang w:val="en-US"/>
        </w:rPr>
      </w:pPr>
    </w:p>
    <w:p w14:paraId="7FBBC1D5" w14:textId="6FE48FE8" w:rsidR="00E943E8" w:rsidRPr="00A519D0" w:rsidRDefault="003D5A12" w:rsidP="00A8586E">
      <w:pPr>
        <w:spacing w:line="276" w:lineRule="auto"/>
        <w:rPr>
          <w:lang w:val="en-US"/>
        </w:rPr>
      </w:pPr>
      <w:r w:rsidRPr="00A519D0">
        <w:rPr>
          <w:lang w:val="en-US"/>
        </w:rPr>
        <w:t xml:space="preserve">In 2021, the OMLP gave 82 written opinions/points of view </w:t>
      </w:r>
      <w:proofErr w:type="gramStart"/>
      <w:r w:rsidRPr="00A519D0">
        <w:rPr>
          <w:lang w:val="en-US"/>
        </w:rPr>
        <w:t>with regard to</w:t>
      </w:r>
      <w:proofErr w:type="gramEnd"/>
      <w:r w:rsidRPr="00A519D0">
        <w:rPr>
          <w:lang w:val="en-US"/>
        </w:rPr>
        <w:t xml:space="preserve"> the implementation of APMLFT-1</w:t>
      </w:r>
      <w:r w:rsidR="00A8586E" w:rsidRPr="00A519D0">
        <w:rPr>
          <w:lang w:val="en-US"/>
        </w:rPr>
        <w:t>.</w:t>
      </w:r>
    </w:p>
    <w:p w14:paraId="637C46F6" w14:textId="0A6B2EC1" w:rsidR="00E943E8" w:rsidRPr="00A519D0" w:rsidRDefault="003D5A12" w:rsidP="00A8586E">
      <w:pPr>
        <w:spacing w:line="276" w:lineRule="auto"/>
        <w:rPr>
          <w:lang w:val="en-US"/>
        </w:rPr>
      </w:pPr>
      <w:r w:rsidRPr="00A519D0">
        <w:rPr>
          <w:lang w:val="en-US"/>
        </w:rPr>
        <w:t xml:space="preserve">In some </w:t>
      </w:r>
      <w:r w:rsidR="00650A7E" w:rsidRPr="00A519D0">
        <w:rPr>
          <w:lang w:val="en-US"/>
        </w:rPr>
        <w:t>cases,</w:t>
      </w:r>
      <w:r w:rsidRPr="00A519D0">
        <w:rPr>
          <w:lang w:val="en-US"/>
        </w:rPr>
        <w:t xml:space="preserve"> there was a need to coordinate the opinions regarding the implementation of the act with other supervisors. In general</w:t>
      </w:r>
      <w:r w:rsidR="00D55CF6">
        <w:rPr>
          <w:lang w:val="en-US"/>
        </w:rPr>
        <w:t>,</w:t>
      </w:r>
      <w:r w:rsidRPr="00A519D0">
        <w:rPr>
          <w:lang w:val="en-US"/>
        </w:rPr>
        <w:t xml:space="preserve"> it was </w:t>
      </w:r>
      <w:r w:rsidR="00650A7E" w:rsidRPr="00A519D0">
        <w:rPr>
          <w:lang w:val="en-US"/>
        </w:rPr>
        <w:t>acknowledged</w:t>
      </w:r>
      <w:r w:rsidRPr="00A519D0">
        <w:rPr>
          <w:lang w:val="en-US"/>
        </w:rPr>
        <w:t xml:space="preserve"> that </w:t>
      </w:r>
      <w:r w:rsidR="00C05BD5" w:rsidRPr="00A519D0">
        <w:rPr>
          <w:lang w:val="en-US"/>
        </w:rPr>
        <w:t xml:space="preserve">the </w:t>
      </w:r>
      <w:r w:rsidR="00650A7E" w:rsidRPr="00A519D0">
        <w:rPr>
          <w:lang w:val="en-US"/>
        </w:rPr>
        <w:t>questions</w:t>
      </w:r>
      <w:r w:rsidR="00C05BD5" w:rsidRPr="00A519D0">
        <w:rPr>
          <w:lang w:val="en-US"/>
        </w:rPr>
        <w:t xml:space="preserve"> or requests for opinion regarding the interpretation of implementation of legal provisions </w:t>
      </w:r>
      <w:r w:rsidR="00A8586E" w:rsidRPr="00A519D0">
        <w:rPr>
          <w:lang w:val="en-US"/>
        </w:rPr>
        <w:t>became</w:t>
      </w:r>
      <w:r w:rsidR="00C05BD5" w:rsidRPr="00A519D0">
        <w:rPr>
          <w:lang w:val="en-US"/>
        </w:rPr>
        <w:t xml:space="preserve"> more demanding and complex, which </w:t>
      </w:r>
      <w:r w:rsidR="00A8586E" w:rsidRPr="00A519D0">
        <w:rPr>
          <w:lang w:val="en-US"/>
        </w:rPr>
        <w:t>required</w:t>
      </w:r>
      <w:r w:rsidR="00C05BD5" w:rsidRPr="00A519D0">
        <w:rPr>
          <w:lang w:val="en-US"/>
        </w:rPr>
        <w:t xml:space="preserve"> more resources of the OMLP</w:t>
      </w:r>
      <w:r w:rsidR="00A8586E" w:rsidRPr="00A519D0">
        <w:rPr>
          <w:lang w:val="en-US"/>
        </w:rPr>
        <w:t>. O</w:t>
      </w:r>
      <w:r w:rsidR="00C05BD5" w:rsidRPr="00A519D0">
        <w:rPr>
          <w:lang w:val="en-US"/>
        </w:rPr>
        <w:t xml:space="preserve">n the other </w:t>
      </w:r>
      <w:r w:rsidR="00A8586E" w:rsidRPr="00A519D0">
        <w:rPr>
          <w:lang w:val="en-US"/>
        </w:rPr>
        <w:t>hand, an</w:t>
      </w:r>
      <w:r w:rsidR="00C05BD5" w:rsidRPr="00A519D0">
        <w:rPr>
          <w:lang w:val="en-US"/>
        </w:rPr>
        <w:t xml:space="preserve"> improvement of quality in work of certain types of obliged entities at implementation of measures to prevent money laundering </w:t>
      </w:r>
      <w:r w:rsidR="00650A7E" w:rsidRPr="00A519D0">
        <w:rPr>
          <w:lang w:val="en-US"/>
        </w:rPr>
        <w:t>and</w:t>
      </w:r>
      <w:r w:rsidR="00C05BD5" w:rsidRPr="00A519D0">
        <w:rPr>
          <w:lang w:val="en-US"/>
        </w:rPr>
        <w:t xml:space="preserve"> terrorist financing i</w:t>
      </w:r>
      <w:r w:rsidR="00650A7E" w:rsidRPr="00A519D0">
        <w:rPr>
          <w:lang w:val="en-US"/>
        </w:rPr>
        <w:t>n</w:t>
      </w:r>
      <w:r w:rsidR="00C05BD5" w:rsidRPr="00A519D0">
        <w:rPr>
          <w:lang w:val="en-US"/>
        </w:rPr>
        <w:t xml:space="preserve"> the framework of their business activity</w:t>
      </w:r>
      <w:r w:rsidR="00A8586E" w:rsidRPr="00A519D0">
        <w:rPr>
          <w:lang w:val="en-US"/>
        </w:rPr>
        <w:t xml:space="preserve"> was recorded.</w:t>
      </w:r>
      <w:r w:rsidR="00C05BD5" w:rsidRPr="00A519D0">
        <w:rPr>
          <w:lang w:val="en-US"/>
        </w:rPr>
        <w:t xml:space="preserve"> </w:t>
      </w:r>
    </w:p>
    <w:p w14:paraId="452794A6" w14:textId="46BE762A" w:rsidR="002843F2" w:rsidRPr="00A519D0" w:rsidRDefault="002843F2" w:rsidP="00A8586E">
      <w:pPr>
        <w:spacing w:line="276" w:lineRule="auto"/>
        <w:rPr>
          <w:lang w:val="en-US"/>
        </w:rPr>
      </w:pPr>
      <w:r w:rsidRPr="00A519D0">
        <w:rPr>
          <w:lang w:val="en-US"/>
        </w:rPr>
        <w:t xml:space="preserve">The OMLP gave opinions/points of view mainly </w:t>
      </w:r>
      <w:proofErr w:type="gramStart"/>
      <w:r w:rsidRPr="00A519D0">
        <w:rPr>
          <w:lang w:val="en-US"/>
        </w:rPr>
        <w:t>with regard to</w:t>
      </w:r>
      <w:proofErr w:type="gramEnd"/>
      <w:r w:rsidRPr="00A519D0">
        <w:rPr>
          <w:lang w:val="en-US"/>
        </w:rPr>
        <w:t xml:space="preserve"> the following contents areas related to implementation of APMLTF-1:</w:t>
      </w:r>
    </w:p>
    <w:p w14:paraId="76A5B05C" w14:textId="39EDE33E" w:rsidR="00E943E8" w:rsidRPr="00A519D0" w:rsidRDefault="004A103E" w:rsidP="00A8586E">
      <w:pPr>
        <w:pStyle w:val="Odstavekseznama"/>
        <w:spacing w:line="276" w:lineRule="auto"/>
        <w:ind w:left="851" w:hanging="284"/>
        <w:rPr>
          <w:lang w:val="en-US"/>
        </w:rPr>
      </w:pPr>
      <w:r w:rsidRPr="00A519D0">
        <w:rPr>
          <w:lang w:val="en-US"/>
        </w:rPr>
        <w:t>de</w:t>
      </w:r>
      <w:r w:rsidR="008556CA" w:rsidRPr="00A519D0">
        <w:rPr>
          <w:lang w:val="en-US"/>
        </w:rPr>
        <w:t xml:space="preserve">termination of the beneficial </w:t>
      </w:r>
      <w:proofErr w:type="gramStart"/>
      <w:r w:rsidR="008556CA" w:rsidRPr="00A519D0">
        <w:rPr>
          <w:lang w:val="en-US"/>
        </w:rPr>
        <w:t>owner</w:t>
      </w:r>
      <w:r w:rsidR="00E943E8" w:rsidRPr="00A519D0">
        <w:rPr>
          <w:lang w:val="en-US"/>
        </w:rPr>
        <w:t>;</w:t>
      </w:r>
      <w:proofErr w:type="gramEnd"/>
    </w:p>
    <w:p w14:paraId="4D6BA46B" w14:textId="23CCEAD7" w:rsidR="00E943E8" w:rsidRPr="00A519D0" w:rsidRDefault="008556CA" w:rsidP="00A8586E">
      <w:pPr>
        <w:pStyle w:val="Odstavekseznama"/>
        <w:spacing w:line="276" w:lineRule="auto"/>
        <w:ind w:left="851" w:hanging="284"/>
        <w:rPr>
          <w:lang w:val="en-US"/>
        </w:rPr>
      </w:pPr>
      <w:r w:rsidRPr="00A519D0">
        <w:rPr>
          <w:lang w:val="en-US"/>
        </w:rPr>
        <w:t xml:space="preserve">performing </w:t>
      </w:r>
      <w:proofErr w:type="gramStart"/>
      <w:r w:rsidRPr="00A519D0">
        <w:rPr>
          <w:lang w:val="en-US"/>
        </w:rPr>
        <w:t>CDD</w:t>
      </w:r>
      <w:r w:rsidR="00E943E8" w:rsidRPr="00A519D0">
        <w:rPr>
          <w:lang w:val="en-US"/>
        </w:rPr>
        <w:t>;</w:t>
      </w:r>
      <w:proofErr w:type="gramEnd"/>
    </w:p>
    <w:p w14:paraId="7A51B5BD" w14:textId="5DD427CE" w:rsidR="008556CA" w:rsidRPr="00A519D0" w:rsidRDefault="008556CA" w:rsidP="00A8586E">
      <w:pPr>
        <w:pStyle w:val="Odstavekseznama"/>
        <w:spacing w:line="276" w:lineRule="auto"/>
        <w:ind w:left="851" w:hanging="284"/>
        <w:rPr>
          <w:lang w:val="en-US"/>
        </w:rPr>
      </w:pPr>
      <w:r w:rsidRPr="00A519D0">
        <w:rPr>
          <w:lang w:val="en-US"/>
        </w:rPr>
        <w:t xml:space="preserve">CDD via third </w:t>
      </w:r>
      <w:proofErr w:type="gramStart"/>
      <w:r w:rsidRPr="00A519D0">
        <w:rPr>
          <w:lang w:val="en-US"/>
        </w:rPr>
        <w:t>person;</w:t>
      </w:r>
      <w:proofErr w:type="gramEnd"/>
    </w:p>
    <w:p w14:paraId="7F3B0DFB" w14:textId="77777777" w:rsidR="008556CA" w:rsidRPr="00A519D0" w:rsidRDefault="008556CA" w:rsidP="00A8586E">
      <w:pPr>
        <w:pStyle w:val="Odstavekseznama"/>
        <w:spacing w:line="276" w:lineRule="auto"/>
        <w:ind w:left="851" w:hanging="284"/>
        <w:rPr>
          <w:lang w:val="en-US"/>
        </w:rPr>
      </w:pPr>
      <w:r w:rsidRPr="00A519D0">
        <w:rPr>
          <w:lang w:val="en-US"/>
        </w:rPr>
        <w:t xml:space="preserve">performing CDD via video-electronic </w:t>
      </w:r>
      <w:proofErr w:type="gramStart"/>
      <w:r w:rsidRPr="00A519D0">
        <w:rPr>
          <w:lang w:val="en-US"/>
        </w:rPr>
        <w:t>identification;</w:t>
      </w:r>
      <w:proofErr w:type="gramEnd"/>
    </w:p>
    <w:p w14:paraId="5D2824E5" w14:textId="06001C88" w:rsidR="00E943E8" w:rsidRPr="00A519D0" w:rsidRDefault="008556CA" w:rsidP="00A8586E">
      <w:pPr>
        <w:pStyle w:val="Odstavekseznama"/>
        <w:spacing w:line="276" w:lineRule="auto"/>
        <w:ind w:left="851" w:hanging="284"/>
        <w:rPr>
          <w:lang w:val="en-US"/>
        </w:rPr>
      </w:pPr>
      <w:r w:rsidRPr="00A519D0">
        <w:rPr>
          <w:lang w:val="en-US"/>
        </w:rPr>
        <w:t xml:space="preserve">entering data in beneficial ownership </w:t>
      </w:r>
      <w:proofErr w:type="gramStart"/>
      <w:r w:rsidRPr="00A519D0">
        <w:rPr>
          <w:lang w:val="en-US"/>
        </w:rPr>
        <w:t>register</w:t>
      </w:r>
      <w:r w:rsidR="00E943E8" w:rsidRPr="00A519D0">
        <w:rPr>
          <w:lang w:val="en-US"/>
        </w:rPr>
        <w:t>;</w:t>
      </w:r>
      <w:proofErr w:type="gramEnd"/>
    </w:p>
    <w:p w14:paraId="681C579B" w14:textId="07E66E11" w:rsidR="00E943E8" w:rsidRPr="00A519D0" w:rsidRDefault="008556CA" w:rsidP="00A8586E">
      <w:pPr>
        <w:pStyle w:val="Odstavekseznama"/>
        <w:spacing w:line="276" w:lineRule="auto"/>
        <w:ind w:left="851" w:hanging="284"/>
        <w:rPr>
          <w:lang w:val="en-US"/>
        </w:rPr>
      </w:pPr>
      <w:r w:rsidRPr="00A519D0">
        <w:rPr>
          <w:lang w:val="en-US"/>
        </w:rPr>
        <w:t xml:space="preserve">obligation of registration of providers of exchange services between virtual and fiat currencies and custodian wallet providers and the </w:t>
      </w:r>
      <w:r w:rsidR="00650A7E" w:rsidRPr="00A519D0">
        <w:rPr>
          <w:lang w:val="en-US"/>
        </w:rPr>
        <w:t>process</w:t>
      </w:r>
      <w:r w:rsidRPr="00A519D0">
        <w:rPr>
          <w:lang w:val="en-US"/>
        </w:rPr>
        <w:t xml:space="preserve"> of entering the data into </w:t>
      </w:r>
      <w:proofErr w:type="gramStart"/>
      <w:r w:rsidRPr="00A519D0">
        <w:rPr>
          <w:lang w:val="en-US"/>
        </w:rPr>
        <w:t>register</w:t>
      </w:r>
      <w:r w:rsidR="00E943E8" w:rsidRPr="00A519D0">
        <w:rPr>
          <w:lang w:val="en-US"/>
        </w:rPr>
        <w:t>;</w:t>
      </w:r>
      <w:proofErr w:type="gramEnd"/>
    </w:p>
    <w:p w14:paraId="2259BD29" w14:textId="2E658685" w:rsidR="00E943E8" w:rsidRPr="00A519D0" w:rsidRDefault="004A103E" w:rsidP="00A8586E">
      <w:pPr>
        <w:pStyle w:val="Odstavekseznama"/>
        <w:spacing w:line="276" w:lineRule="auto"/>
        <w:ind w:left="851" w:hanging="284"/>
        <w:rPr>
          <w:lang w:val="en-US"/>
        </w:rPr>
      </w:pPr>
      <w:r w:rsidRPr="00A519D0">
        <w:rPr>
          <w:lang w:val="en-US"/>
        </w:rPr>
        <w:t xml:space="preserve">regulation of virtual </w:t>
      </w:r>
      <w:r w:rsidR="00650A7E" w:rsidRPr="00A519D0">
        <w:rPr>
          <w:lang w:val="en-US"/>
        </w:rPr>
        <w:t>currencies</w:t>
      </w:r>
      <w:r w:rsidRPr="00A519D0">
        <w:rPr>
          <w:lang w:val="en-US"/>
        </w:rPr>
        <w:t xml:space="preserve"> in </w:t>
      </w:r>
      <w:proofErr w:type="gramStart"/>
      <w:r w:rsidRPr="00A519D0">
        <w:rPr>
          <w:lang w:val="en-US"/>
        </w:rPr>
        <w:t>Slovenia</w:t>
      </w:r>
      <w:r w:rsidR="00E943E8" w:rsidRPr="00A519D0">
        <w:rPr>
          <w:lang w:val="en-US"/>
        </w:rPr>
        <w:t>;</w:t>
      </w:r>
      <w:proofErr w:type="gramEnd"/>
    </w:p>
    <w:p w14:paraId="67BA9E4A" w14:textId="33DBB2DA" w:rsidR="00E943E8" w:rsidRPr="00A519D0" w:rsidRDefault="00672CDB" w:rsidP="00A8586E">
      <w:pPr>
        <w:pStyle w:val="Odstavekseznama"/>
        <w:spacing w:line="276" w:lineRule="auto"/>
        <w:ind w:left="851" w:hanging="284"/>
        <w:rPr>
          <w:lang w:val="en-US"/>
        </w:rPr>
      </w:pPr>
      <w:r w:rsidRPr="00A519D0">
        <w:rPr>
          <w:lang w:val="en-US"/>
        </w:rPr>
        <w:t xml:space="preserve">obliged entities that </w:t>
      </w:r>
      <w:r w:rsidR="004A103E" w:rsidRPr="00A519D0">
        <w:rPr>
          <w:lang w:val="en-US"/>
        </w:rPr>
        <w:t xml:space="preserve">perform activities related to virtual </w:t>
      </w:r>
      <w:proofErr w:type="gramStart"/>
      <w:r w:rsidR="004A103E" w:rsidRPr="00A519D0">
        <w:rPr>
          <w:lang w:val="en-US"/>
        </w:rPr>
        <w:t>currencies;</w:t>
      </w:r>
      <w:proofErr w:type="gramEnd"/>
    </w:p>
    <w:p w14:paraId="7D577943" w14:textId="2F95F967" w:rsidR="00E943E8" w:rsidRPr="00A519D0" w:rsidRDefault="004A103E" w:rsidP="00A8586E">
      <w:pPr>
        <w:pStyle w:val="Odstavekseznama"/>
        <w:spacing w:line="276" w:lineRule="auto"/>
        <w:ind w:left="851" w:hanging="284"/>
        <w:rPr>
          <w:lang w:val="en-US"/>
        </w:rPr>
      </w:pPr>
      <w:r w:rsidRPr="00A519D0">
        <w:rPr>
          <w:lang w:val="en-US"/>
        </w:rPr>
        <w:t xml:space="preserve">determination of political </w:t>
      </w:r>
      <w:proofErr w:type="gramStart"/>
      <w:r w:rsidRPr="00A519D0">
        <w:rPr>
          <w:lang w:val="en-US"/>
        </w:rPr>
        <w:t>exposure</w:t>
      </w:r>
      <w:r w:rsidR="00E943E8" w:rsidRPr="00A519D0">
        <w:rPr>
          <w:lang w:val="en-US"/>
        </w:rPr>
        <w:t>;</w:t>
      </w:r>
      <w:proofErr w:type="gramEnd"/>
    </w:p>
    <w:p w14:paraId="1FD3ED43" w14:textId="19262E17" w:rsidR="00E943E8" w:rsidRPr="00A519D0" w:rsidRDefault="00672CDB" w:rsidP="00A8586E">
      <w:pPr>
        <w:pStyle w:val="Odstavekseznama"/>
        <w:spacing w:line="276" w:lineRule="auto"/>
        <w:ind w:left="851" w:hanging="284"/>
        <w:rPr>
          <w:lang w:val="en-US"/>
        </w:rPr>
      </w:pPr>
      <w:r w:rsidRPr="00A519D0">
        <w:rPr>
          <w:lang w:val="en-US"/>
        </w:rPr>
        <w:t xml:space="preserve">performing measures </w:t>
      </w:r>
      <w:r w:rsidR="00650A7E" w:rsidRPr="00A519D0">
        <w:rPr>
          <w:lang w:val="en-US"/>
        </w:rPr>
        <w:t>according</w:t>
      </w:r>
      <w:r w:rsidRPr="00A519D0">
        <w:rPr>
          <w:lang w:val="en-US"/>
        </w:rPr>
        <w:t xml:space="preserve"> to the APMLFT-</w:t>
      </w:r>
      <w:proofErr w:type="gramStart"/>
      <w:r w:rsidRPr="00A519D0">
        <w:rPr>
          <w:lang w:val="en-US"/>
        </w:rPr>
        <w:t>1</w:t>
      </w:r>
      <w:r w:rsidR="00E943E8" w:rsidRPr="00A519D0">
        <w:rPr>
          <w:lang w:val="en-US"/>
        </w:rPr>
        <w:t>;</w:t>
      </w:r>
      <w:proofErr w:type="gramEnd"/>
    </w:p>
    <w:p w14:paraId="1B8CC290" w14:textId="219A923A" w:rsidR="00E943E8" w:rsidRPr="00A519D0" w:rsidRDefault="004A103E" w:rsidP="00A8586E">
      <w:pPr>
        <w:pStyle w:val="Odstavekseznama"/>
        <w:spacing w:line="276" w:lineRule="auto"/>
        <w:ind w:left="851" w:hanging="284"/>
        <w:rPr>
          <w:lang w:val="en-US"/>
        </w:rPr>
      </w:pPr>
      <w:r w:rsidRPr="00A519D0">
        <w:rPr>
          <w:lang w:val="en-US"/>
        </w:rPr>
        <w:t xml:space="preserve">CDD via external </w:t>
      </w:r>
      <w:proofErr w:type="gramStart"/>
      <w:r w:rsidRPr="00A519D0">
        <w:rPr>
          <w:lang w:val="en-US"/>
        </w:rPr>
        <w:t>contractor</w:t>
      </w:r>
      <w:r w:rsidR="00E943E8" w:rsidRPr="00A519D0">
        <w:rPr>
          <w:lang w:val="en-US"/>
        </w:rPr>
        <w:t>;</w:t>
      </w:r>
      <w:proofErr w:type="gramEnd"/>
    </w:p>
    <w:p w14:paraId="0210C9BC" w14:textId="4897C570" w:rsidR="00E943E8" w:rsidRPr="00A519D0" w:rsidRDefault="004A103E" w:rsidP="00A8586E">
      <w:pPr>
        <w:pStyle w:val="Odstavekseznama"/>
        <w:spacing w:line="276" w:lineRule="auto"/>
        <w:ind w:left="851" w:hanging="284"/>
        <w:rPr>
          <w:lang w:val="en-US"/>
        </w:rPr>
      </w:pPr>
      <w:r w:rsidRPr="00A519D0">
        <w:rPr>
          <w:lang w:val="en-US"/>
        </w:rPr>
        <w:t xml:space="preserve">interpretation of term company in which the state is the major </w:t>
      </w:r>
      <w:proofErr w:type="gramStart"/>
      <w:r w:rsidRPr="00A519D0">
        <w:rPr>
          <w:lang w:val="en-US"/>
        </w:rPr>
        <w:t>owner</w:t>
      </w:r>
      <w:r w:rsidR="00E943E8" w:rsidRPr="00A519D0">
        <w:rPr>
          <w:lang w:val="en-US"/>
        </w:rPr>
        <w:t>;</w:t>
      </w:r>
      <w:proofErr w:type="gramEnd"/>
    </w:p>
    <w:p w14:paraId="5917E658" w14:textId="0AEBB9DD" w:rsidR="00E943E8" w:rsidRPr="00A519D0" w:rsidRDefault="004A103E" w:rsidP="00A8586E">
      <w:pPr>
        <w:pStyle w:val="Odstavekseznama"/>
        <w:spacing w:line="276" w:lineRule="auto"/>
        <w:ind w:left="851" w:hanging="284"/>
        <w:rPr>
          <w:lang w:val="en-US"/>
        </w:rPr>
      </w:pPr>
      <w:r w:rsidRPr="00A519D0">
        <w:rPr>
          <w:lang w:val="en-US"/>
        </w:rPr>
        <w:t xml:space="preserve">appointment of representative and deputy </w:t>
      </w:r>
      <w:proofErr w:type="gramStart"/>
      <w:r w:rsidRPr="00A519D0">
        <w:rPr>
          <w:lang w:val="en-US"/>
        </w:rPr>
        <w:t>representative</w:t>
      </w:r>
      <w:r w:rsidR="00E943E8" w:rsidRPr="00A519D0">
        <w:rPr>
          <w:lang w:val="en-US"/>
        </w:rPr>
        <w:t>;</w:t>
      </w:r>
      <w:proofErr w:type="gramEnd"/>
    </w:p>
    <w:p w14:paraId="06FE210C" w14:textId="64825D87" w:rsidR="00E943E8" w:rsidRPr="00A519D0" w:rsidRDefault="00672CDB" w:rsidP="00A8586E">
      <w:pPr>
        <w:pStyle w:val="Odstavekseznama"/>
        <w:spacing w:line="276" w:lineRule="auto"/>
        <w:ind w:left="851" w:hanging="284"/>
        <w:rPr>
          <w:lang w:val="en-US"/>
        </w:rPr>
      </w:pPr>
      <w:r w:rsidRPr="00A519D0">
        <w:rPr>
          <w:lang w:val="en-US"/>
        </w:rPr>
        <w:t xml:space="preserve">reasons for suspicion of money laundering and terrorist </w:t>
      </w:r>
      <w:proofErr w:type="gramStart"/>
      <w:r w:rsidRPr="00A519D0">
        <w:rPr>
          <w:lang w:val="en-US"/>
        </w:rPr>
        <w:t>financing</w:t>
      </w:r>
      <w:r w:rsidR="00E943E8" w:rsidRPr="00A519D0">
        <w:rPr>
          <w:lang w:val="en-US"/>
        </w:rPr>
        <w:t>;</w:t>
      </w:r>
      <w:proofErr w:type="gramEnd"/>
    </w:p>
    <w:p w14:paraId="5E467005" w14:textId="0450CADA" w:rsidR="00E943E8" w:rsidRPr="00A519D0" w:rsidRDefault="00672CDB" w:rsidP="00A8586E">
      <w:pPr>
        <w:pStyle w:val="Odstavekseznama"/>
        <w:spacing w:line="276" w:lineRule="auto"/>
        <w:ind w:left="851" w:hanging="284"/>
        <w:rPr>
          <w:lang w:val="en-US"/>
        </w:rPr>
      </w:pPr>
      <w:r w:rsidRPr="00A519D0">
        <w:rPr>
          <w:lang w:val="en-US"/>
        </w:rPr>
        <w:t xml:space="preserve">issue of opening and closing bank </w:t>
      </w:r>
      <w:proofErr w:type="gramStart"/>
      <w:r w:rsidRPr="00A519D0">
        <w:rPr>
          <w:lang w:val="en-US"/>
        </w:rPr>
        <w:t>accounts</w:t>
      </w:r>
      <w:r w:rsidR="00E943E8" w:rsidRPr="00A519D0">
        <w:rPr>
          <w:lang w:val="en-US"/>
        </w:rPr>
        <w:t>;</w:t>
      </w:r>
      <w:proofErr w:type="gramEnd"/>
    </w:p>
    <w:p w14:paraId="4F446587" w14:textId="7EF89F19" w:rsidR="00E943E8" w:rsidRPr="00A519D0" w:rsidRDefault="00672CDB" w:rsidP="00A8586E">
      <w:pPr>
        <w:pStyle w:val="Odstavekseznama"/>
        <w:spacing w:line="276" w:lineRule="auto"/>
        <w:ind w:left="851" w:hanging="284"/>
        <w:rPr>
          <w:lang w:val="en-US"/>
        </w:rPr>
      </w:pPr>
      <w:r w:rsidRPr="00A519D0">
        <w:rPr>
          <w:lang w:val="en-US"/>
        </w:rPr>
        <w:t xml:space="preserve">transfers to risk </w:t>
      </w:r>
      <w:proofErr w:type="gramStart"/>
      <w:r w:rsidRPr="00A519D0">
        <w:rPr>
          <w:lang w:val="en-US"/>
        </w:rPr>
        <w:t>countries</w:t>
      </w:r>
      <w:r w:rsidR="00E943E8" w:rsidRPr="00A519D0">
        <w:rPr>
          <w:lang w:val="en-US"/>
        </w:rPr>
        <w:t>;</w:t>
      </w:r>
      <w:proofErr w:type="gramEnd"/>
    </w:p>
    <w:p w14:paraId="0DF7D399" w14:textId="1CA6EE20" w:rsidR="00E943E8" w:rsidRPr="00A519D0" w:rsidRDefault="00C05BD5" w:rsidP="00A8586E">
      <w:pPr>
        <w:pStyle w:val="Odstavekseznama"/>
        <w:spacing w:line="276" w:lineRule="auto"/>
        <w:ind w:left="851" w:hanging="284"/>
        <w:rPr>
          <w:lang w:val="en-US"/>
        </w:rPr>
      </w:pPr>
      <w:r w:rsidRPr="00A519D0">
        <w:rPr>
          <w:lang w:val="en-US"/>
        </w:rPr>
        <w:t xml:space="preserve">limitation of cash </w:t>
      </w:r>
      <w:proofErr w:type="gramStart"/>
      <w:r w:rsidRPr="00A519D0">
        <w:rPr>
          <w:lang w:val="en-US"/>
        </w:rPr>
        <w:t>activities</w:t>
      </w:r>
      <w:r w:rsidR="00E943E8" w:rsidRPr="00A519D0">
        <w:rPr>
          <w:lang w:val="en-US"/>
        </w:rPr>
        <w:t>;</w:t>
      </w:r>
      <w:proofErr w:type="gramEnd"/>
    </w:p>
    <w:p w14:paraId="777D491B" w14:textId="3EE94CA4" w:rsidR="00E943E8" w:rsidRPr="00A519D0" w:rsidRDefault="00C05BD5" w:rsidP="00CB3F55">
      <w:pPr>
        <w:pStyle w:val="Odstavekseznama"/>
        <w:ind w:left="851" w:hanging="284"/>
        <w:rPr>
          <w:lang w:val="en-US"/>
        </w:rPr>
      </w:pPr>
      <w:r w:rsidRPr="00A519D0">
        <w:rPr>
          <w:lang w:val="en-US"/>
        </w:rPr>
        <w:t>bearer shares and</w:t>
      </w:r>
    </w:p>
    <w:p w14:paraId="73CD1E1C" w14:textId="09D0ADFB" w:rsidR="00FC7122" w:rsidRDefault="00C05BD5" w:rsidP="00CB3F55">
      <w:pPr>
        <w:pStyle w:val="Odstavekseznama"/>
        <w:ind w:left="851" w:hanging="284"/>
        <w:rPr>
          <w:lang w:val="en-US"/>
        </w:rPr>
      </w:pPr>
      <w:r w:rsidRPr="00A519D0">
        <w:rPr>
          <w:lang w:val="en-US"/>
        </w:rPr>
        <w:t>retention of data and documentation</w:t>
      </w:r>
      <w:r w:rsidR="00E943E8" w:rsidRPr="00A519D0">
        <w:rPr>
          <w:lang w:val="en-US"/>
        </w:rPr>
        <w:t>.</w:t>
      </w:r>
    </w:p>
    <w:p w14:paraId="25AF344D" w14:textId="77777777" w:rsidR="00D1556D" w:rsidRPr="00A519D0" w:rsidRDefault="00D1556D" w:rsidP="00D1556D">
      <w:pPr>
        <w:pStyle w:val="Odstavekseznama"/>
        <w:numPr>
          <w:ilvl w:val="0"/>
          <w:numId w:val="0"/>
        </w:numPr>
        <w:ind w:left="851"/>
        <w:rPr>
          <w:lang w:val="en-US"/>
        </w:rPr>
      </w:pPr>
    </w:p>
    <w:p w14:paraId="3BFC5C93" w14:textId="7FC76B6B" w:rsidR="00FC7122" w:rsidRPr="00A519D0" w:rsidRDefault="004A103E" w:rsidP="00FC7122">
      <w:pPr>
        <w:pStyle w:val="Naslov3"/>
        <w:rPr>
          <w:lang w:val="en-US"/>
        </w:rPr>
      </w:pPr>
      <w:bookmarkStart w:id="21" w:name="_Toc104797182"/>
      <w:bookmarkStart w:id="22" w:name="_Toc119581718"/>
      <w:r w:rsidRPr="00A519D0">
        <w:rPr>
          <w:lang w:val="en-US"/>
        </w:rPr>
        <w:lastRenderedPageBreak/>
        <w:t>Register of virtual currency</w:t>
      </w:r>
      <w:r w:rsidR="00E37E96" w:rsidRPr="00A519D0">
        <w:rPr>
          <w:lang w:val="en-US"/>
        </w:rPr>
        <w:t xml:space="preserve"> service providers and an overview of situation </w:t>
      </w:r>
      <w:proofErr w:type="gramStart"/>
      <w:r w:rsidR="00E37E96" w:rsidRPr="00A519D0">
        <w:rPr>
          <w:lang w:val="en-US"/>
        </w:rPr>
        <w:t>in the area of</w:t>
      </w:r>
      <w:proofErr w:type="gramEnd"/>
      <w:r w:rsidR="00E37E96" w:rsidRPr="00A519D0">
        <w:rPr>
          <w:lang w:val="en-US"/>
        </w:rPr>
        <w:t xml:space="preserve"> virtual currencies</w:t>
      </w:r>
      <w:bookmarkEnd w:id="21"/>
      <w:bookmarkEnd w:id="22"/>
      <w:r w:rsidR="00FC7122" w:rsidRPr="00A519D0">
        <w:rPr>
          <w:lang w:val="en-US"/>
        </w:rPr>
        <w:t xml:space="preserve"> </w:t>
      </w:r>
    </w:p>
    <w:p w14:paraId="30ABC628" w14:textId="48DDC638" w:rsidR="00FC7122" w:rsidRPr="00A519D0" w:rsidRDefault="00FC7122" w:rsidP="00756FA6">
      <w:pPr>
        <w:spacing w:line="276" w:lineRule="auto"/>
        <w:rPr>
          <w:lang w:val="en-US"/>
        </w:rPr>
      </w:pPr>
    </w:p>
    <w:p w14:paraId="0377DEBA" w14:textId="7A1F6634" w:rsidR="00E37E96" w:rsidRPr="00A519D0" w:rsidRDefault="00E37E96" w:rsidP="00756FA6">
      <w:pPr>
        <w:tabs>
          <w:tab w:val="left" w:pos="4536"/>
        </w:tabs>
        <w:spacing w:line="276" w:lineRule="auto"/>
        <w:rPr>
          <w:lang w:val="en-US"/>
        </w:rPr>
      </w:pPr>
      <w:r w:rsidRPr="00A519D0">
        <w:rPr>
          <w:rFonts w:cs="Arial"/>
          <w:szCs w:val="20"/>
          <w:lang w:val="en-US"/>
        </w:rPr>
        <w:t xml:space="preserve">According to </w:t>
      </w:r>
      <w:r w:rsidRPr="00A519D0">
        <w:rPr>
          <w:lang w:val="en-US"/>
        </w:rPr>
        <w:t>Rules on the register of providers of exchange services between virtual and fiat currencies and custodian wallet providers (Official Gazette of the Republic of Slovenia No.: 41/21) the register of providers of exchange services between virtual and fiat currencies and custodian wallet providers</w:t>
      </w:r>
      <w:r w:rsidR="00C765E8" w:rsidRPr="00A519D0">
        <w:rPr>
          <w:lang w:val="en-US"/>
        </w:rPr>
        <w:t xml:space="preserve"> was established on </w:t>
      </w:r>
      <w:r w:rsidR="00C765E8" w:rsidRPr="00A519D0">
        <w:rPr>
          <w:rFonts w:cs="Arial"/>
          <w:szCs w:val="20"/>
          <w:lang w:val="en-US"/>
        </w:rPr>
        <w:t xml:space="preserve">20. 3. 2021 at the OMLP. On its </w:t>
      </w:r>
      <w:r w:rsidR="00756FA6" w:rsidRPr="00A519D0">
        <w:rPr>
          <w:rFonts w:cs="Arial"/>
          <w:szCs w:val="20"/>
          <w:lang w:val="en-US"/>
        </w:rPr>
        <w:t>web</w:t>
      </w:r>
      <w:r w:rsidR="00C765E8" w:rsidRPr="00A519D0">
        <w:rPr>
          <w:rFonts w:cs="Arial"/>
          <w:szCs w:val="20"/>
          <w:lang w:val="en-US"/>
        </w:rPr>
        <w:t xml:space="preserve">site the OMLP </w:t>
      </w:r>
      <w:proofErr w:type="gramStart"/>
      <w:r w:rsidR="00C765E8" w:rsidRPr="00A519D0">
        <w:rPr>
          <w:rFonts w:cs="Arial"/>
          <w:szCs w:val="20"/>
          <w:lang w:val="en-US"/>
        </w:rPr>
        <w:t>published also</w:t>
      </w:r>
      <w:proofErr w:type="gramEnd"/>
      <w:r w:rsidR="00C765E8" w:rsidRPr="00A519D0">
        <w:rPr>
          <w:rFonts w:cs="Arial"/>
          <w:szCs w:val="20"/>
          <w:lang w:val="en-US"/>
        </w:rPr>
        <w:t xml:space="preserve"> the </w:t>
      </w:r>
      <w:r w:rsidR="00756FA6" w:rsidRPr="00A519D0">
        <w:rPr>
          <w:rFonts w:cs="Arial"/>
          <w:szCs w:val="20"/>
          <w:lang w:val="en-US"/>
        </w:rPr>
        <w:t>request form for</w:t>
      </w:r>
      <w:r w:rsidR="00C765E8" w:rsidRPr="00A519D0">
        <w:rPr>
          <w:rFonts w:cs="Arial"/>
          <w:szCs w:val="20"/>
          <w:lang w:val="en-US"/>
        </w:rPr>
        <w:t xml:space="preserve"> </w:t>
      </w:r>
      <w:r w:rsidR="00650A7E" w:rsidRPr="00A519D0">
        <w:rPr>
          <w:rFonts w:cs="Arial"/>
          <w:szCs w:val="20"/>
          <w:lang w:val="en-US"/>
        </w:rPr>
        <w:t>enrolment</w:t>
      </w:r>
      <w:r w:rsidR="00C765E8" w:rsidRPr="00A519D0">
        <w:rPr>
          <w:rFonts w:cs="Arial"/>
          <w:szCs w:val="20"/>
          <w:lang w:val="en-US"/>
        </w:rPr>
        <w:t xml:space="preserve"> into register. </w:t>
      </w:r>
    </w:p>
    <w:p w14:paraId="4C082018" w14:textId="5384D7D4" w:rsidR="00D73A37" w:rsidRPr="00A519D0" w:rsidRDefault="00D73A37" w:rsidP="00756FA6">
      <w:pPr>
        <w:spacing w:after="0" w:line="276" w:lineRule="auto"/>
        <w:rPr>
          <w:rFonts w:cs="Arial"/>
          <w:szCs w:val="20"/>
          <w:lang w:val="en-US"/>
        </w:rPr>
      </w:pPr>
      <w:r w:rsidRPr="00A519D0">
        <w:rPr>
          <w:rFonts w:cs="Arial"/>
          <w:szCs w:val="20"/>
          <w:lang w:val="en-US"/>
        </w:rPr>
        <w:t>In 2021</w:t>
      </w:r>
      <w:r w:rsidR="00756FA6" w:rsidRPr="00A519D0">
        <w:rPr>
          <w:rFonts w:cs="Arial"/>
          <w:szCs w:val="20"/>
          <w:lang w:val="en-US"/>
        </w:rPr>
        <w:t>,</w:t>
      </w:r>
      <w:r w:rsidRPr="00A519D0">
        <w:rPr>
          <w:rFonts w:cs="Arial"/>
          <w:szCs w:val="20"/>
          <w:lang w:val="en-US"/>
        </w:rPr>
        <w:t xml:space="preserve"> the OMLP received eight requests for </w:t>
      </w:r>
      <w:r w:rsidR="00650A7E" w:rsidRPr="00A519D0">
        <w:rPr>
          <w:rFonts w:cs="Arial"/>
          <w:szCs w:val="20"/>
          <w:lang w:val="en-US"/>
        </w:rPr>
        <w:t>enrolment</w:t>
      </w:r>
      <w:r w:rsidRPr="00A519D0">
        <w:rPr>
          <w:rFonts w:cs="Arial"/>
          <w:szCs w:val="20"/>
          <w:lang w:val="en-US"/>
        </w:rPr>
        <w:t xml:space="preserve"> into the register, based on which the OMLP issued </w:t>
      </w:r>
      <w:r w:rsidR="00650A7E" w:rsidRPr="00A519D0">
        <w:rPr>
          <w:rFonts w:cs="Arial"/>
          <w:szCs w:val="20"/>
          <w:lang w:val="en-US"/>
        </w:rPr>
        <w:t>decisions</w:t>
      </w:r>
      <w:r w:rsidRPr="00A519D0">
        <w:rPr>
          <w:rFonts w:cs="Arial"/>
          <w:szCs w:val="20"/>
          <w:lang w:val="en-US"/>
        </w:rPr>
        <w:t xml:space="preserve"> on entry into register. The same year the OMLP received</w:t>
      </w:r>
      <w:r w:rsidR="00275F52" w:rsidRPr="00A519D0">
        <w:rPr>
          <w:rFonts w:cs="Arial"/>
          <w:szCs w:val="20"/>
          <w:lang w:val="en-US"/>
        </w:rPr>
        <w:t xml:space="preserve"> </w:t>
      </w:r>
      <w:r w:rsidRPr="00A519D0">
        <w:rPr>
          <w:rFonts w:cs="Arial"/>
          <w:szCs w:val="20"/>
          <w:lang w:val="en-US"/>
        </w:rPr>
        <w:t xml:space="preserve">the information, from one of the </w:t>
      </w:r>
      <w:r w:rsidRPr="00A519D0">
        <w:rPr>
          <w:lang w:val="en-US"/>
        </w:rPr>
        <w:t xml:space="preserve">providers of exchange services between virtual and fiat currencies and custodian wallet providers, on </w:t>
      </w:r>
      <w:r w:rsidRPr="00A519D0">
        <w:rPr>
          <w:rFonts w:cs="Arial"/>
          <w:szCs w:val="20"/>
          <w:lang w:val="en-US"/>
        </w:rPr>
        <w:t>suspension of activities</w:t>
      </w:r>
      <w:r w:rsidRPr="00A519D0">
        <w:rPr>
          <w:lang w:val="en-US"/>
        </w:rPr>
        <w:t xml:space="preserve"> of exchange services between virtual and fiat currencies and custodian wallet providers.</w:t>
      </w:r>
      <w:r w:rsidRPr="00A519D0">
        <w:rPr>
          <w:rFonts w:cs="Arial"/>
          <w:szCs w:val="20"/>
          <w:lang w:val="en-US"/>
        </w:rPr>
        <w:t xml:space="preserve"> Based on its request the provider was </w:t>
      </w:r>
      <w:r w:rsidR="00756FA6" w:rsidRPr="00A519D0">
        <w:rPr>
          <w:rFonts w:cs="Arial"/>
          <w:szCs w:val="20"/>
          <w:lang w:val="en-US"/>
        </w:rPr>
        <w:t xml:space="preserve">- </w:t>
      </w:r>
      <w:r w:rsidRPr="00A519D0">
        <w:rPr>
          <w:rFonts w:cs="Arial"/>
          <w:szCs w:val="20"/>
          <w:lang w:val="en-US"/>
        </w:rPr>
        <w:t>according to point 2 of Article 4b of APMLFT-1</w:t>
      </w:r>
      <w:r w:rsidR="00756FA6" w:rsidRPr="00A519D0">
        <w:rPr>
          <w:rFonts w:cs="Arial"/>
          <w:szCs w:val="20"/>
          <w:lang w:val="en-US"/>
        </w:rPr>
        <w:t xml:space="preserve"> -</w:t>
      </w:r>
      <w:r w:rsidRPr="00A519D0">
        <w:rPr>
          <w:rFonts w:cs="Arial"/>
          <w:szCs w:val="20"/>
          <w:lang w:val="en-US"/>
        </w:rPr>
        <w:t xml:space="preserve"> deleted from the register. </w:t>
      </w:r>
    </w:p>
    <w:p w14:paraId="0BE7D48F" w14:textId="77777777" w:rsidR="00275F52" w:rsidRPr="00A519D0" w:rsidRDefault="00275F52" w:rsidP="00756FA6">
      <w:pPr>
        <w:spacing w:after="0" w:line="276" w:lineRule="auto"/>
        <w:rPr>
          <w:rFonts w:cs="Arial"/>
          <w:szCs w:val="20"/>
          <w:lang w:val="en-US"/>
        </w:rPr>
      </w:pPr>
    </w:p>
    <w:p w14:paraId="2AE5B37E" w14:textId="2C00D426" w:rsidR="00D62FFA" w:rsidRPr="00A519D0" w:rsidRDefault="00D73A37" w:rsidP="00756FA6">
      <w:pPr>
        <w:spacing w:after="0" w:line="276" w:lineRule="auto"/>
        <w:rPr>
          <w:rFonts w:cs="Arial"/>
          <w:szCs w:val="20"/>
          <w:lang w:val="en-US"/>
        </w:rPr>
      </w:pPr>
      <w:r w:rsidRPr="00A519D0">
        <w:rPr>
          <w:rFonts w:cs="Arial"/>
          <w:szCs w:val="20"/>
          <w:lang w:val="en-US"/>
        </w:rPr>
        <w:t>In September 2021</w:t>
      </w:r>
      <w:r w:rsidR="00756FA6" w:rsidRPr="00A519D0">
        <w:rPr>
          <w:rFonts w:cs="Arial"/>
          <w:szCs w:val="20"/>
          <w:lang w:val="en-US"/>
        </w:rPr>
        <w:t xml:space="preserve">, </w:t>
      </w:r>
      <w:r w:rsidRPr="00A519D0">
        <w:rPr>
          <w:rFonts w:cs="Arial"/>
          <w:szCs w:val="20"/>
          <w:lang w:val="en-US"/>
        </w:rPr>
        <w:t xml:space="preserve">the OMLP prepared the overview and the preliminary analysis of threats </w:t>
      </w:r>
      <w:proofErr w:type="gramStart"/>
      <w:r w:rsidRPr="00A519D0">
        <w:rPr>
          <w:rFonts w:cs="Arial"/>
          <w:szCs w:val="20"/>
          <w:lang w:val="en-US"/>
        </w:rPr>
        <w:t>in the area of</w:t>
      </w:r>
      <w:proofErr w:type="gramEnd"/>
      <w:r w:rsidRPr="00A519D0">
        <w:rPr>
          <w:rFonts w:cs="Arial"/>
          <w:szCs w:val="20"/>
          <w:lang w:val="en-US"/>
        </w:rPr>
        <w:t xml:space="preserve"> virtual currencies and money </w:t>
      </w:r>
      <w:r w:rsidR="00650A7E" w:rsidRPr="00A519D0">
        <w:rPr>
          <w:rFonts w:cs="Arial"/>
          <w:szCs w:val="20"/>
          <w:lang w:val="en-US"/>
        </w:rPr>
        <w:t>laundering</w:t>
      </w:r>
      <w:r w:rsidRPr="00A519D0">
        <w:rPr>
          <w:rFonts w:cs="Arial"/>
          <w:szCs w:val="20"/>
          <w:lang w:val="en-US"/>
        </w:rPr>
        <w:t xml:space="preserve"> and terrorist financing. </w:t>
      </w:r>
      <w:r w:rsidR="004202BB" w:rsidRPr="00A519D0">
        <w:rPr>
          <w:rFonts w:cs="Arial"/>
          <w:szCs w:val="20"/>
          <w:lang w:val="en-US"/>
        </w:rPr>
        <w:t>The analysis represent</w:t>
      </w:r>
      <w:r w:rsidR="00756FA6" w:rsidRPr="00A519D0">
        <w:rPr>
          <w:rFonts w:cs="Arial"/>
          <w:szCs w:val="20"/>
          <w:lang w:val="en-US"/>
        </w:rPr>
        <w:t>ed</w:t>
      </w:r>
      <w:r w:rsidR="004202BB" w:rsidRPr="00A519D0">
        <w:rPr>
          <w:rFonts w:cs="Arial"/>
          <w:szCs w:val="20"/>
          <w:lang w:val="en-US"/>
        </w:rPr>
        <w:t xml:space="preserve"> a </w:t>
      </w:r>
      <w:r w:rsidR="00650A7E" w:rsidRPr="00A519D0">
        <w:rPr>
          <w:rFonts w:cs="Arial"/>
          <w:szCs w:val="20"/>
          <w:lang w:val="en-US"/>
        </w:rPr>
        <w:t>comprehensive</w:t>
      </w:r>
      <w:r w:rsidR="004202BB" w:rsidRPr="00A519D0">
        <w:rPr>
          <w:rFonts w:cs="Arial"/>
          <w:szCs w:val="20"/>
          <w:lang w:val="en-US"/>
        </w:rPr>
        <w:t xml:space="preserve"> overview on the situation in the field of virtual currencies, legislative and supervision </w:t>
      </w:r>
      <w:proofErr w:type="gramStart"/>
      <w:r w:rsidR="004202BB" w:rsidRPr="00A519D0">
        <w:rPr>
          <w:rFonts w:cs="Arial"/>
          <w:szCs w:val="20"/>
          <w:lang w:val="en-US"/>
        </w:rPr>
        <w:t>mechanisms</w:t>
      </w:r>
      <w:proofErr w:type="gramEnd"/>
      <w:r w:rsidR="004202BB" w:rsidRPr="00A519D0">
        <w:rPr>
          <w:rFonts w:cs="Arial"/>
          <w:szCs w:val="20"/>
          <w:lang w:val="en-US"/>
        </w:rPr>
        <w:t xml:space="preserve"> and the </w:t>
      </w:r>
      <w:r w:rsidR="00650A7E" w:rsidRPr="00A519D0">
        <w:rPr>
          <w:rFonts w:cs="Arial"/>
          <w:szCs w:val="20"/>
          <w:lang w:val="en-US"/>
        </w:rPr>
        <w:t>assessment</w:t>
      </w:r>
      <w:r w:rsidR="004202BB" w:rsidRPr="00A519D0">
        <w:rPr>
          <w:rFonts w:cs="Arial"/>
          <w:szCs w:val="20"/>
          <w:lang w:val="en-US"/>
        </w:rPr>
        <w:t xml:space="preserve"> of threats fr</w:t>
      </w:r>
      <w:r w:rsidR="00756FA6" w:rsidRPr="00A519D0">
        <w:rPr>
          <w:rFonts w:cs="Arial"/>
          <w:szCs w:val="20"/>
          <w:lang w:val="en-US"/>
        </w:rPr>
        <w:t>o</w:t>
      </w:r>
      <w:r w:rsidR="004202BB" w:rsidRPr="00A519D0">
        <w:rPr>
          <w:rFonts w:cs="Arial"/>
          <w:szCs w:val="20"/>
          <w:lang w:val="en-US"/>
        </w:rPr>
        <w:t xml:space="preserve">m money laundering and terrorist </w:t>
      </w:r>
      <w:r w:rsidR="00650A7E" w:rsidRPr="00A519D0">
        <w:rPr>
          <w:rFonts w:cs="Arial"/>
          <w:szCs w:val="20"/>
          <w:lang w:val="en-US"/>
        </w:rPr>
        <w:t>financing</w:t>
      </w:r>
      <w:r w:rsidR="004202BB" w:rsidRPr="00A519D0">
        <w:rPr>
          <w:rFonts w:cs="Arial"/>
          <w:szCs w:val="20"/>
          <w:lang w:val="en-US"/>
        </w:rPr>
        <w:t xml:space="preserve"> in the Republic of Slovenia. </w:t>
      </w:r>
      <w:r w:rsidR="00F43DC5" w:rsidRPr="00A519D0">
        <w:rPr>
          <w:rFonts w:cs="Arial"/>
          <w:szCs w:val="20"/>
          <w:lang w:val="en-US"/>
        </w:rPr>
        <w:t xml:space="preserve"> With the mentioned analysis and its findings </w:t>
      </w:r>
      <w:r w:rsidR="00650A7E" w:rsidRPr="00A519D0">
        <w:rPr>
          <w:rFonts w:cs="Arial"/>
          <w:szCs w:val="20"/>
          <w:lang w:val="en-US"/>
        </w:rPr>
        <w:t>certain</w:t>
      </w:r>
      <w:r w:rsidR="00F43DC5" w:rsidRPr="00A519D0">
        <w:rPr>
          <w:rFonts w:cs="Arial"/>
          <w:szCs w:val="20"/>
          <w:lang w:val="en-US"/>
        </w:rPr>
        <w:t xml:space="preserve"> </w:t>
      </w:r>
      <w:r w:rsidR="00650A7E" w:rsidRPr="00A519D0">
        <w:rPr>
          <w:rFonts w:cs="Arial"/>
          <w:szCs w:val="20"/>
          <w:lang w:val="en-US"/>
        </w:rPr>
        <w:t>deficiencies</w:t>
      </w:r>
      <w:r w:rsidR="00F43DC5" w:rsidRPr="00A519D0">
        <w:rPr>
          <w:rFonts w:cs="Arial"/>
          <w:szCs w:val="20"/>
          <w:lang w:val="en-US"/>
        </w:rPr>
        <w:t xml:space="preserve"> were </w:t>
      </w:r>
      <w:r w:rsidR="00650A7E" w:rsidRPr="00A519D0">
        <w:rPr>
          <w:rFonts w:cs="Arial"/>
          <w:szCs w:val="20"/>
          <w:lang w:val="en-US"/>
        </w:rPr>
        <w:t>addressed</w:t>
      </w:r>
      <w:r w:rsidR="00F43DC5" w:rsidRPr="00A519D0">
        <w:rPr>
          <w:rFonts w:cs="Arial"/>
          <w:szCs w:val="20"/>
          <w:lang w:val="en-US"/>
        </w:rPr>
        <w:t xml:space="preserve"> regarding the FATF</w:t>
      </w:r>
      <w:r w:rsidR="00756FA6" w:rsidRPr="00A519D0">
        <w:rPr>
          <w:rFonts w:cs="Arial"/>
          <w:szCs w:val="20"/>
          <w:lang w:val="en-US"/>
        </w:rPr>
        <w:t xml:space="preserve"> R</w:t>
      </w:r>
      <w:r w:rsidR="00650A7E" w:rsidRPr="00A519D0">
        <w:rPr>
          <w:rFonts w:cs="Arial"/>
          <w:szCs w:val="20"/>
          <w:lang w:val="en-US"/>
        </w:rPr>
        <w:t>ecommendation</w:t>
      </w:r>
      <w:r w:rsidR="00F43DC5" w:rsidRPr="00A519D0">
        <w:rPr>
          <w:rFonts w:cs="Arial"/>
          <w:szCs w:val="20"/>
          <w:lang w:val="en-US"/>
        </w:rPr>
        <w:t xml:space="preserve"> 1 in relation to </w:t>
      </w:r>
      <w:r w:rsidR="00756FA6" w:rsidRPr="00A519D0">
        <w:rPr>
          <w:rFonts w:cs="Arial"/>
          <w:szCs w:val="20"/>
          <w:lang w:val="en-US"/>
        </w:rPr>
        <w:t>R</w:t>
      </w:r>
      <w:r w:rsidR="00650A7E" w:rsidRPr="00A519D0">
        <w:rPr>
          <w:rFonts w:cs="Arial"/>
          <w:szCs w:val="20"/>
          <w:lang w:val="en-US"/>
        </w:rPr>
        <w:t>ecommendation</w:t>
      </w:r>
      <w:r w:rsidR="00F43DC5" w:rsidRPr="00A519D0">
        <w:rPr>
          <w:rFonts w:cs="Arial"/>
          <w:szCs w:val="20"/>
          <w:lang w:val="en-US"/>
        </w:rPr>
        <w:t xml:space="preserve"> 15. Based on the collected data and taking into </w:t>
      </w:r>
      <w:r w:rsidR="00650A7E" w:rsidRPr="00A519D0">
        <w:rPr>
          <w:rFonts w:cs="Arial"/>
          <w:szCs w:val="20"/>
          <w:lang w:val="en-US"/>
        </w:rPr>
        <w:t>consideration</w:t>
      </w:r>
      <w:r w:rsidR="00F43DC5" w:rsidRPr="00A519D0">
        <w:rPr>
          <w:rFonts w:cs="Arial"/>
          <w:szCs w:val="20"/>
          <w:lang w:val="en-US"/>
        </w:rPr>
        <w:t xml:space="preserve"> the parameters prepared with methodological tools by the World Bank for the National Risk </w:t>
      </w:r>
      <w:r w:rsidR="00650A7E" w:rsidRPr="00A519D0">
        <w:rPr>
          <w:rFonts w:cs="Arial"/>
          <w:szCs w:val="20"/>
          <w:lang w:val="en-US"/>
        </w:rPr>
        <w:t>Assessment</w:t>
      </w:r>
      <w:r w:rsidR="00756FA6" w:rsidRPr="00A519D0">
        <w:rPr>
          <w:rFonts w:cs="Arial"/>
          <w:szCs w:val="20"/>
          <w:lang w:val="en-US"/>
        </w:rPr>
        <w:t>,</w:t>
      </w:r>
      <w:r w:rsidR="00F43DC5" w:rsidRPr="00A519D0">
        <w:rPr>
          <w:rFonts w:cs="Arial"/>
          <w:szCs w:val="20"/>
          <w:lang w:val="en-US"/>
        </w:rPr>
        <w:t xml:space="preserve"> the OMLP </w:t>
      </w:r>
      <w:r w:rsidR="00650A7E" w:rsidRPr="00A519D0">
        <w:rPr>
          <w:rFonts w:cs="Arial"/>
          <w:szCs w:val="20"/>
          <w:lang w:val="en-US"/>
        </w:rPr>
        <w:t>assessed</w:t>
      </w:r>
      <w:r w:rsidR="00F43DC5" w:rsidRPr="00A519D0">
        <w:rPr>
          <w:rFonts w:cs="Arial"/>
          <w:szCs w:val="20"/>
          <w:lang w:val="en-US"/>
        </w:rPr>
        <w:t xml:space="preserve"> that the </w:t>
      </w:r>
      <w:r w:rsidR="00650A7E" w:rsidRPr="00A519D0">
        <w:rPr>
          <w:rFonts w:cs="Arial"/>
          <w:szCs w:val="20"/>
          <w:lang w:val="en-US"/>
        </w:rPr>
        <w:t>vulnerability</w:t>
      </w:r>
      <w:r w:rsidR="00F43DC5" w:rsidRPr="00A519D0">
        <w:rPr>
          <w:rFonts w:cs="Arial"/>
          <w:szCs w:val="20"/>
          <w:lang w:val="en-US"/>
        </w:rPr>
        <w:t xml:space="preserve"> of the virtual assets service providers for</w:t>
      </w:r>
      <w:r w:rsidR="00650A7E" w:rsidRPr="00A519D0">
        <w:rPr>
          <w:rFonts w:cs="Arial"/>
          <w:szCs w:val="20"/>
          <w:lang w:val="en-US"/>
        </w:rPr>
        <w:t xml:space="preserve"> </w:t>
      </w:r>
      <w:r w:rsidR="00F43DC5" w:rsidRPr="00A519D0">
        <w:rPr>
          <w:rFonts w:cs="Arial"/>
          <w:szCs w:val="20"/>
          <w:lang w:val="en-US"/>
        </w:rPr>
        <w:t xml:space="preserve">the money </w:t>
      </w:r>
      <w:r w:rsidR="00650A7E" w:rsidRPr="00A519D0">
        <w:rPr>
          <w:rFonts w:cs="Arial"/>
          <w:szCs w:val="20"/>
          <w:lang w:val="en-US"/>
        </w:rPr>
        <w:t>laundering</w:t>
      </w:r>
      <w:r w:rsidR="00F43DC5" w:rsidRPr="00A519D0">
        <w:rPr>
          <w:rFonts w:cs="Arial"/>
          <w:szCs w:val="20"/>
          <w:lang w:val="en-US"/>
        </w:rPr>
        <w:t xml:space="preserve"> is medium high. </w:t>
      </w:r>
    </w:p>
    <w:p w14:paraId="6B4454A5" w14:textId="77777777" w:rsidR="00B65A09" w:rsidRPr="00A519D0" w:rsidRDefault="00B65A09" w:rsidP="00B65A09">
      <w:pPr>
        <w:rPr>
          <w:lang w:val="en-US"/>
        </w:rPr>
      </w:pPr>
    </w:p>
    <w:p w14:paraId="1A9F9F86" w14:textId="4C4746BB" w:rsidR="00D62FFA" w:rsidRPr="00A519D0" w:rsidRDefault="003047F1" w:rsidP="00D62FFA">
      <w:pPr>
        <w:pStyle w:val="Naslov1"/>
        <w:rPr>
          <w:lang w:val="en-US"/>
        </w:rPr>
      </w:pPr>
      <w:r w:rsidRPr="00A519D0">
        <w:rPr>
          <w:lang w:val="en-US"/>
        </w:rPr>
        <w:t>SUPERVISION</w:t>
      </w:r>
    </w:p>
    <w:p w14:paraId="591F80F2" w14:textId="77777777" w:rsidR="00D62FFA" w:rsidRPr="00A519D0" w:rsidRDefault="00D62FFA" w:rsidP="00D62FFA">
      <w:pPr>
        <w:rPr>
          <w:lang w:val="en-US"/>
        </w:rPr>
      </w:pPr>
    </w:p>
    <w:p w14:paraId="3093AAA3" w14:textId="2992491B" w:rsidR="00B65A09" w:rsidRPr="00A519D0" w:rsidRDefault="0056542B" w:rsidP="00D62FFA">
      <w:pPr>
        <w:pStyle w:val="Naslov2"/>
        <w:rPr>
          <w:lang w:val="en-US"/>
        </w:rPr>
      </w:pPr>
      <w:r w:rsidRPr="00A519D0">
        <w:rPr>
          <w:lang w:val="en-US"/>
        </w:rPr>
        <w:t>SUPERVISION PROCEDURES</w:t>
      </w:r>
    </w:p>
    <w:p w14:paraId="4345FC99" w14:textId="5D117503" w:rsidR="00B65A09" w:rsidRPr="00A519D0" w:rsidRDefault="00B65A09" w:rsidP="00756FA6">
      <w:pPr>
        <w:spacing w:line="276" w:lineRule="auto"/>
        <w:rPr>
          <w:lang w:val="en-US"/>
        </w:rPr>
      </w:pPr>
    </w:p>
    <w:p w14:paraId="514F21B9" w14:textId="36D79052" w:rsidR="00DE5D2B" w:rsidRPr="00A519D0" w:rsidRDefault="00756FA6" w:rsidP="00756FA6">
      <w:pPr>
        <w:spacing w:line="276" w:lineRule="auto"/>
        <w:rPr>
          <w:lang w:val="en-US"/>
        </w:rPr>
      </w:pPr>
      <w:r w:rsidRPr="00A519D0">
        <w:rPr>
          <w:lang w:val="en-US"/>
        </w:rPr>
        <w:t>T</w:t>
      </w:r>
      <w:r w:rsidR="0056542B" w:rsidRPr="00A519D0">
        <w:rPr>
          <w:lang w:val="en-US"/>
        </w:rPr>
        <w:t>here was a reorgani</w:t>
      </w:r>
      <w:r w:rsidR="00A519D0">
        <w:rPr>
          <w:lang w:val="en-US"/>
        </w:rPr>
        <w:t>z</w:t>
      </w:r>
      <w:r w:rsidR="0056542B" w:rsidRPr="00A519D0">
        <w:rPr>
          <w:lang w:val="en-US"/>
        </w:rPr>
        <w:t>ation</w:t>
      </w:r>
      <w:r w:rsidRPr="00A519D0">
        <w:rPr>
          <w:lang w:val="en-US"/>
        </w:rPr>
        <w:t xml:space="preserve"> in the field of supervision,</w:t>
      </w:r>
      <w:r w:rsidR="0056542B" w:rsidRPr="00A519D0">
        <w:rPr>
          <w:lang w:val="en-US"/>
        </w:rPr>
        <w:t xml:space="preserve"> that took place at the OMLP in 2021, wit</w:t>
      </w:r>
      <w:r w:rsidRPr="00A519D0">
        <w:rPr>
          <w:lang w:val="en-US"/>
        </w:rPr>
        <w:t>h</w:t>
      </w:r>
      <w:r w:rsidR="0056542B" w:rsidRPr="00A519D0">
        <w:rPr>
          <w:lang w:val="en-US"/>
        </w:rPr>
        <w:t xml:space="preserve"> </w:t>
      </w:r>
      <w:proofErr w:type="spellStart"/>
      <w:r w:rsidR="00D55CF6">
        <w:rPr>
          <w:lang w:val="en-US"/>
        </w:rPr>
        <w:t>thr</w:t>
      </w:r>
      <w:proofErr w:type="spellEnd"/>
      <w:r w:rsidR="00D55CF6">
        <w:rPr>
          <w:lang w:val="en-US"/>
        </w:rPr>
        <w:t xml:space="preserve"> </w:t>
      </w:r>
      <w:r w:rsidR="0056542B" w:rsidRPr="00A519D0">
        <w:rPr>
          <w:lang w:val="en-US"/>
        </w:rPr>
        <w:t xml:space="preserve">creation of </w:t>
      </w:r>
      <w:r w:rsidRPr="00A519D0">
        <w:rPr>
          <w:lang w:val="en-US"/>
        </w:rPr>
        <w:t xml:space="preserve">a </w:t>
      </w:r>
      <w:r w:rsidR="0056542B" w:rsidRPr="00A519D0">
        <w:rPr>
          <w:lang w:val="en-US"/>
        </w:rPr>
        <w:t xml:space="preserve">new </w:t>
      </w:r>
      <w:r w:rsidR="00650A7E" w:rsidRPr="00A519D0">
        <w:rPr>
          <w:lang w:val="en-US"/>
        </w:rPr>
        <w:t>independent</w:t>
      </w:r>
      <w:r w:rsidR="0056542B" w:rsidRPr="00A519D0">
        <w:rPr>
          <w:lang w:val="en-US"/>
        </w:rPr>
        <w:t xml:space="preserve"> Supervision sector</w:t>
      </w:r>
      <w:r w:rsidRPr="00A519D0">
        <w:rPr>
          <w:lang w:val="en-US"/>
        </w:rPr>
        <w:t>. I</w:t>
      </w:r>
      <w:r w:rsidR="0056542B" w:rsidRPr="00A519D0">
        <w:rPr>
          <w:lang w:val="en-US"/>
        </w:rPr>
        <w:t xml:space="preserve">ts primary activity </w:t>
      </w:r>
      <w:r w:rsidRPr="00A519D0">
        <w:rPr>
          <w:lang w:val="en-US"/>
        </w:rPr>
        <w:t>wa</w:t>
      </w:r>
      <w:r w:rsidR="0056542B" w:rsidRPr="00A519D0">
        <w:rPr>
          <w:lang w:val="en-US"/>
        </w:rPr>
        <w:t xml:space="preserve">s the supervision </w:t>
      </w:r>
      <w:r w:rsidRPr="00A519D0">
        <w:rPr>
          <w:lang w:val="en-US"/>
        </w:rPr>
        <w:t>and</w:t>
      </w:r>
      <w:r w:rsidR="0056542B" w:rsidRPr="00A519D0">
        <w:rPr>
          <w:lang w:val="en-US"/>
        </w:rPr>
        <w:t xml:space="preserve"> cooperation with other supervis</w:t>
      </w:r>
      <w:r w:rsidRPr="00A519D0">
        <w:rPr>
          <w:lang w:val="en-US"/>
        </w:rPr>
        <w:t>ory</w:t>
      </w:r>
      <w:r w:rsidR="0056542B" w:rsidRPr="00A519D0">
        <w:rPr>
          <w:lang w:val="en-US"/>
        </w:rPr>
        <w:t xml:space="preserve"> authorities </w:t>
      </w:r>
      <w:r w:rsidR="00650A7E" w:rsidRPr="00A519D0">
        <w:rPr>
          <w:lang w:val="en-US"/>
        </w:rPr>
        <w:t>responsible</w:t>
      </w:r>
      <w:r w:rsidR="0056542B" w:rsidRPr="00A519D0">
        <w:rPr>
          <w:lang w:val="en-US"/>
        </w:rPr>
        <w:t xml:space="preserve"> to control the implementation of APMLFT-1 (Bank of Slovenia, The Securities </w:t>
      </w:r>
      <w:r w:rsidR="00E44525" w:rsidRPr="00A519D0">
        <w:rPr>
          <w:lang w:val="en-US"/>
        </w:rPr>
        <w:t>M</w:t>
      </w:r>
      <w:r w:rsidR="0056542B" w:rsidRPr="00A519D0">
        <w:rPr>
          <w:lang w:val="en-US"/>
        </w:rPr>
        <w:t>ar</w:t>
      </w:r>
      <w:r w:rsidR="00E44525" w:rsidRPr="00A519D0">
        <w:rPr>
          <w:lang w:val="en-US"/>
        </w:rPr>
        <w:t>ket Agency</w:t>
      </w:r>
      <w:r w:rsidR="00DE5D2B" w:rsidRPr="00A519D0">
        <w:rPr>
          <w:lang w:val="en-US"/>
        </w:rPr>
        <w:t xml:space="preserve">, </w:t>
      </w:r>
      <w:r w:rsidR="0056542B" w:rsidRPr="00A519D0">
        <w:rPr>
          <w:lang w:val="en-US"/>
        </w:rPr>
        <w:t xml:space="preserve">Insurance </w:t>
      </w:r>
      <w:r w:rsidR="00650A7E" w:rsidRPr="00A519D0">
        <w:rPr>
          <w:lang w:val="en-US"/>
        </w:rPr>
        <w:t>supervision</w:t>
      </w:r>
      <w:r w:rsidR="0056542B" w:rsidRPr="00A519D0">
        <w:rPr>
          <w:lang w:val="en-US"/>
        </w:rPr>
        <w:t xml:space="preserve"> Agency</w:t>
      </w:r>
      <w:r w:rsidR="00DE5D2B" w:rsidRPr="00A519D0">
        <w:rPr>
          <w:lang w:val="en-US"/>
        </w:rPr>
        <w:t xml:space="preserve">, </w:t>
      </w:r>
      <w:r w:rsidR="0056542B" w:rsidRPr="00A519D0">
        <w:rPr>
          <w:lang w:val="en-US"/>
        </w:rPr>
        <w:t>Financial Administration, Market Inspectorate</w:t>
      </w:r>
      <w:r w:rsidR="00DE5D2B" w:rsidRPr="00A519D0">
        <w:rPr>
          <w:lang w:val="en-US"/>
        </w:rPr>
        <w:t xml:space="preserve">, </w:t>
      </w:r>
      <w:r w:rsidR="009B4BA9" w:rsidRPr="00A519D0">
        <w:rPr>
          <w:lang w:val="en-US"/>
        </w:rPr>
        <w:t>The Agency for Public Oversight of Auditing,</w:t>
      </w:r>
      <w:r w:rsidR="00DE5D2B" w:rsidRPr="00A519D0">
        <w:rPr>
          <w:lang w:val="en-US"/>
        </w:rPr>
        <w:t xml:space="preserve"> </w:t>
      </w:r>
      <w:r w:rsidR="009B4BA9" w:rsidRPr="00A519D0">
        <w:rPr>
          <w:lang w:val="en-US"/>
        </w:rPr>
        <w:t xml:space="preserve">Slovenian Bar </w:t>
      </w:r>
      <w:r w:rsidR="00650A7E" w:rsidRPr="00A519D0">
        <w:rPr>
          <w:lang w:val="en-US"/>
        </w:rPr>
        <w:t>Association</w:t>
      </w:r>
      <w:r w:rsidR="009B4BA9" w:rsidRPr="00A519D0">
        <w:rPr>
          <w:lang w:val="en-US"/>
        </w:rPr>
        <w:t xml:space="preserve"> and Chamber of Notaries of Slovenia</w:t>
      </w:r>
      <w:r w:rsidR="00DE5D2B" w:rsidRPr="00A519D0">
        <w:rPr>
          <w:lang w:val="en-US"/>
        </w:rPr>
        <w:t xml:space="preserve">). </w:t>
      </w:r>
      <w:r w:rsidR="009B4BA9" w:rsidRPr="00A519D0">
        <w:rPr>
          <w:lang w:val="en-US"/>
        </w:rPr>
        <w:t>The O</w:t>
      </w:r>
      <w:r w:rsidRPr="00A519D0">
        <w:rPr>
          <w:lang w:val="en-US"/>
        </w:rPr>
        <w:t>MLP</w:t>
      </w:r>
      <w:r w:rsidR="009B4BA9" w:rsidRPr="00A519D0">
        <w:rPr>
          <w:lang w:val="en-US"/>
        </w:rPr>
        <w:t xml:space="preserve"> is the central national </w:t>
      </w:r>
      <w:r w:rsidR="00650A7E" w:rsidRPr="00A519D0">
        <w:rPr>
          <w:lang w:val="en-US"/>
        </w:rPr>
        <w:t>authority</w:t>
      </w:r>
      <w:r w:rsidR="009B4BA9" w:rsidRPr="00A519D0">
        <w:rPr>
          <w:lang w:val="en-US"/>
        </w:rPr>
        <w:t xml:space="preserve"> for prevention of money laundering and terrorist </w:t>
      </w:r>
      <w:r w:rsidR="00650A7E" w:rsidRPr="00A519D0">
        <w:rPr>
          <w:lang w:val="en-US"/>
        </w:rPr>
        <w:t>financing</w:t>
      </w:r>
      <w:r w:rsidR="009B4BA9" w:rsidRPr="00A519D0">
        <w:rPr>
          <w:lang w:val="en-US"/>
        </w:rPr>
        <w:t xml:space="preserve"> and has supervision </w:t>
      </w:r>
      <w:r w:rsidR="00650A7E" w:rsidRPr="00A519D0">
        <w:rPr>
          <w:lang w:val="en-US"/>
        </w:rPr>
        <w:t>powers</w:t>
      </w:r>
      <w:r w:rsidR="009B4BA9" w:rsidRPr="00A519D0">
        <w:rPr>
          <w:lang w:val="en-US"/>
        </w:rPr>
        <w:t xml:space="preserve"> over all obliged entities from Article 4 of APMLFT-1</w:t>
      </w:r>
      <w:r w:rsidR="00DE5D2B" w:rsidRPr="00A519D0">
        <w:rPr>
          <w:lang w:val="en-US"/>
        </w:rPr>
        <w:t xml:space="preserve">, </w:t>
      </w:r>
      <w:r w:rsidRPr="00A519D0">
        <w:rPr>
          <w:lang w:val="en-US"/>
        </w:rPr>
        <w:t xml:space="preserve">as </w:t>
      </w:r>
      <w:r w:rsidR="00B90219" w:rsidRPr="00A519D0">
        <w:rPr>
          <w:lang w:val="en-US"/>
        </w:rPr>
        <w:t xml:space="preserve">for single obliged entities other </w:t>
      </w:r>
      <w:r w:rsidR="00650A7E" w:rsidRPr="00A519D0">
        <w:rPr>
          <w:lang w:val="en-US"/>
        </w:rPr>
        <w:t>inspection</w:t>
      </w:r>
      <w:r w:rsidR="00B90219" w:rsidRPr="00A519D0">
        <w:rPr>
          <w:lang w:val="en-US"/>
        </w:rPr>
        <w:t xml:space="preserve"> authorities</w:t>
      </w:r>
      <w:r w:rsidRPr="00A519D0">
        <w:rPr>
          <w:lang w:val="en-US"/>
        </w:rPr>
        <w:t xml:space="preserve"> are also competent</w:t>
      </w:r>
      <w:r w:rsidR="00B90219" w:rsidRPr="00A519D0">
        <w:rPr>
          <w:lang w:val="en-US"/>
        </w:rPr>
        <w:t>. In 2021</w:t>
      </w:r>
      <w:r w:rsidRPr="00A519D0">
        <w:rPr>
          <w:lang w:val="en-US"/>
        </w:rPr>
        <w:t>, the</w:t>
      </w:r>
      <w:r w:rsidR="00B90219" w:rsidRPr="00A519D0">
        <w:rPr>
          <w:lang w:val="en-US"/>
        </w:rPr>
        <w:t xml:space="preserve"> supervisions were dedicated mainly to obliged entities for which the OMLP is the </w:t>
      </w:r>
      <w:r w:rsidRPr="00A519D0">
        <w:rPr>
          <w:lang w:val="en-US"/>
        </w:rPr>
        <w:t xml:space="preserve">primary </w:t>
      </w:r>
      <w:r w:rsidR="00B90219" w:rsidRPr="00A519D0">
        <w:rPr>
          <w:lang w:val="en-US"/>
        </w:rPr>
        <w:t>supervisor and were listed in Strategic Orientations and Priorities o</w:t>
      </w:r>
      <w:r w:rsidR="00C105E5" w:rsidRPr="00A519D0">
        <w:rPr>
          <w:lang w:val="en-US"/>
        </w:rPr>
        <w:t>f</w:t>
      </w:r>
      <w:r w:rsidR="00B90219" w:rsidRPr="00A519D0">
        <w:rPr>
          <w:lang w:val="en-US"/>
        </w:rPr>
        <w:t xml:space="preserve"> the Supervision.  </w:t>
      </w:r>
    </w:p>
    <w:p w14:paraId="56D1ACB1" w14:textId="06C85D74" w:rsidR="003B7244" w:rsidRPr="00A519D0" w:rsidRDefault="002959F0" w:rsidP="00756FA6">
      <w:pPr>
        <w:spacing w:line="276" w:lineRule="auto"/>
        <w:rPr>
          <w:lang w:val="en-US"/>
        </w:rPr>
      </w:pPr>
      <w:r w:rsidRPr="00A519D0">
        <w:rPr>
          <w:lang w:val="en-US"/>
        </w:rPr>
        <w:t xml:space="preserve">According to APMLFT-1 the obliged entities from </w:t>
      </w:r>
      <w:r w:rsidR="00650A7E" w:rsidRPr="00A519D0">
        <w:rPr>
          <w:lang w:val="en-US"/>
        </w:rPr>
        <w:t>financial</w:t>
      </w:r>
      <w:r w:rsidRPr="00A519D0">
        <w:rPr>
          <w:lang w:val="en-US"/>
        </w:rPr>
        <w:t xml:space="preserve"> and non-financial sector </w:t>
      </w:r>
      <w:r w:rsidR="00D55CF6">
        <w:rPr>
          <w:lang w:val="en-US"/>
        </w:rPr>
        <w:t xml:space="preserve">must carry out </w:t>
      </w:r>
      <w:proofErr w:type="gramStart"/>
      <w:r w:rsidRPr="00A519D0">
        <w:rPr>
          <w:lang w:val="en-US"/>
        </w:rPr>
        <w:t>particular task</w:t>
      </w:r>
      <w:r w:rsidR="00D55CF6">
        <w:rPr>
          <w:lang w:val="en-US"/>
        </w:rPr>
        <w:t>s</w:t>
      </w:r>
      <w:proofErr w:type="gramEnd"/>
      <w:r w:rsidRPr="00A519D0">
        <w:rPr>
          <w:lang w:val="en-US"/>
        </w:rPr>
        <w:t xml:space="preserve"> in detecting and preventing money laundering. They are obliged to integrate the prescribed preventive measures to </w:t>
      </w:r>
      <w:r w:rsidR="00650A7E" w:rsidRPr="00A519D0">
        <w:rPr>
          <w:lang w:val="en-US"/>
        </w:rPr>
        <w:t>diminish</w:t>
      </w:r>
      <w:r w:rsidRPr="00A519D0">
        <w:rPr>
          <w:lang w:val="en-US"/>
        </w:rPr>
        <w:t xml:space="preserve"> the potential threat of money laundering and terrorist </w:t>
      </w:r>
      <w:r w:rsidR="00650A7E" w:rsidRPr="00A519D0">
        <w:rPr>
          <w:lang w:val="en-US"/>
        </w:rPr>
        <w:t>financing</w:t>
      </w:r>
      <w:r w:rsidR="00756FA6" w:rsidRPr="00A519D0">
        <w:rPr>
          <w:lang w:val="en-US"/>
        </w:rPr>
        <w:t xml:space="preserve"> in their working processes</w:t>
      </w:r>
      <w:r w:rsidRPr="00A519D0">
        <w:rPr>
          <w:lang w:val="en-US"/>
        </w:rPr>
        <w:t xml:space="preserve">. Mandatory tasks that obliged </w:t>
      </w:r>
      <w:r w:rsidR="00650A7E" w:rsidRPr="00A519D0">
        <w:rPr>
          <w:lang w:val="en-US"/>
        </w:rPr>
        <w:t>entities</w:t>
      </w:r>
      <w:r w:rsidRPr="00A519D0">
        <w:rPr>
          <w:lang w:val="en-US"/>
        </w:rPr>
        <w:t xml:space="preserve"> </w:t>
      </w:r>
      <w:r w:rsidR="003B7244" w:rsidRPr="00A519D0">
        <w:rPr>
          <w:lang w:val="en-US"/>
        </w:rPr>
        <w:t xml:space="preserve">must execute to prevent money laundering and terrorist financing are as follows: </w:t>
      </w:r>
    </w:p>
    <w:p w14:paraId="11DC2220" w14:textId="67E03474" w:rsidR="00DE5D2B" w:rsidRPr="00A519D0" w:rsidRDefault="003B7244" w:rsidP="003B7244">
      <w:pPr>
        <w:pStyle w:val="Odstavekseznama"/>
        <w:ind w:left="851" w:hanging="284"/>
        <w:rPr>
          <w:lang w:val="en-US"/>
        </w:rPr>
      </w:pPr>
      <w:r w:rsidRPr="00A519D0">
        <w:rPr>
          <w:lang w:val="en-US"/>
        </w:rPr>
        <w:t xml:space="preserve">carry out the risk </w:t>
      </w:r>
      <w:r w:rsidR="001265D7" w:rsidRPr="00A519D0">
        <w:rPr>
          <w:lang w:val="en-US"/>
        </w:rPr>
        <w:t>assessment</w:t>
      </w:r>
      <w:r w:rsidRPr="00A519D0">
        <w:rPr>
          <w:lang w:val="en-US"/>
        </w:rPr>
        <w:t xml:space="preserve"> for money laundering and terrorist financing</w:t>
      </w:r>
      <w:r w:rsidR="007A53D5" w:rsidRPr="00A519D0">
        <w:rPr>
          <w:lang w:val="en-US"/>
        </w:rPr>
        <w:t>,</w:t>
      </w:r>
    </w:p>
    <w:p w14:paraId="1A9A9D4A" w14:textId="3D0E5DE0" w:rsidR="003B4B15" w:rsidRPr="00A519D0" w:rsidRDefault="003B4B15" w:rsidP="003B4B15">
      <w:pPr>
        <w:pStyle w:val="Odstavekseznama"/>
        <w:ind w:left="851" w:hanging="284"/>
        <w:rPr>
          <w:lang w:val="en-US"/>
        </w:rPr>
      </w:pPr>
      <w:r w:rsidRPr="00A519D0">
        <w:rPr>
          <w:lang w:val="en-US"/>
        </w:rPr>
        <w:t>creating policies and setting up controls and procedures to effectively mitigate and manage the risks of money laundering and terrorist financing,</w:t>
      </w:r>
    </w:p>
    <w:p w14:paraId="6B3421A1" w14:textId="75428F0B" w:rsidR="003B4B15" w:rsidRPr="00A519D0" w:rsidRDefault="003B4B15" w:rsidP="003B4B15">
      <w:pPr>
        <w:pStyle w:val="Odstavekseznama"/>
        <w:ind w:left="851" w:hanging="284"/>
        <w:rPr>
          <w:lang w:val="en-US"/>
        </w:rPr>
      </w:pPr>
      <w:r w:rsidRPr="00A519D0">
        <w:rPr>
          <w:lang w:val="en-US"/>
        </w:rPr>
        <w:lastRenderedPageBreak/>
        <w:t>implementing measures to acquire knowledge about the customer (hereinafter: customer due diligence),</w:t>
      </w:r>
    </w:p>
    <w:p w14:paraId="1576892B" w14:textId="4FB5DF71" w:rsidR="003B4B15" w:rsidRPr="00A519D0" w:rsidRDefault="003B4B15" w:rsidP="003B4B15">
      <w:pPr>
        <w:pStyle w:val="Odstavekseznama"/>
        <w:ind w:left="851" w:hanging="284"/>
        <w:rPr>
          <w:lang w:val="en-US"/>
        </w:rPr>
      </w:pPr>
      <w:r w:rsidRPr="00A519D0">
        <w:rPr>
          <w:lang w:val="en-US"/>
        </w:rPr>
        <w:t>reporting the required and requested information and submitting documents</w:t>
      </w:r>
      <w:r w:rsidR="00FA26F5" w:rsidRPr="00A519D0">
        <w:rPr>
          <w:lang w:val="en-US"/>
        </w:rPr>
        <w:t xml:space="preserve"> to the OMLP</w:t>
      </w:r>
      <w:r w:rsidRPr="00A519D0">
        <w:rPr>
          <w:lang w:val="en-US"/>
        </w:rPr>
        <w:t>,</w:t>
      </w:r>
    </w:p>
    <w:p w14:paraId="0226A303" w14:textId="0F49C3A7" w:rsidR="00DE5D2B" w:rsidRPr="00A519D0" w:rsidRDefault="003B4B15" w:rsidP="00CB3F55">
      <w:pPr>
        <w:pStyle w:val="Odstavekseznama"/>
        <w:ind w:left="851" w:hanging="284"/>
        <w:rPr>
          <w:lang w:val="en-US"/>
        </w:rPr>
      </w:pPr>
      <w:r w:rsidRPr="00A519D0">
        <w:rPr>
          <w:lang w:val="en-US"/>
        </w:rPr>
        <w:t>appointing an authori</w:t>
      </w:r>
      <w:r w:rsidR="00A519D0">
        <w:rPr>
          <w:lang w:val="en-US"/>
        </w:rPr>
        <w:t>z</w:t>
      </w:r>
      <w:r w:rsidRPr="00A519D0">
        <w:rPr>
          <w:lang w:val="en-US"/>
        </w:rPr>
        <w:t xml:space="preserve">ed person </w:t>
      </w:r>
      <w:r w:rsidR="00FA26F5" w:rsidRPr="00A519D0">
        <w:rPr>
          <w:lang w:val="en-US"/>
        </w:rPr>
        <w:t xml:space="preserve">(compliance officer) </w:t>
      </w:r>
      <w:r w:rsidRPr="00A519D0">
        <w:rPr>
          <w:lang w:val="en-US"/>
        </w:rPr>
        <w:t>and its deput</w:t>
      </w:r>
      <w:r w:rsidR="00B31BF5">
        <w:rPr>
          <w:lang w:val="en-US"/>
        </w:rPr>
        <w:t>ies</w:t>
      </w:r>
      <w:r w:rsidRPr="00A519D0">
        <w:rPr>
          <w:lang w:val="en-US"/>
        </w:rPr>
        <w:t xml:space="preserve"> and ensuring conditions for their work</w:t>
      </w:r>
      <w:r w:rsidR="007A53D5" w:rsidRPr="00A519D0">
        <w:rPr>
          <w:lang w:val="en-US"/>
        </w:rPr>
        <w:t>,</w:t>
      </w:r>
    </w:p>
    <w:p w14:paraId="1F484FB5" w14:textId="011857C5" w:rsidR="00DE5D2B" w:rsidRPr="00A519D0" w:rsidRDefault="003B4B15" w:rsidP="00CB3F55">
      <w:pPr>
        <w:pStyle w:val="Odstavekseznama"/>
        <w:ind w:left="851" w:hanging="284"/>
        <w:rPr>
          <w:lang w:val="en-US"/>
        </w:rPr>
      </w:pPr>
      <w:r w:rsidRPr="00A519D0">
        <w:rPr>
          <w:lang w:val="en-US"/>
        </w:rPr>
        <w:t>providing regular professional training for employees, and ensuring regular internal control over the performance of duties</w:t>
      </w:r>
      <w:r w:rsidR="007A53D5" w:rsidRPr="00A519D0">
        <w:rPr>
          <w:lang w:val="en-US"/>
        </w:rPr>
        <w:t>,</w:t>
      </w:r>
    </w:p>
    <w:p w14:paraId="0FF0B46C" w14:textId="02E9A144" w:rsidR="003B4B15" w:rsidRPr="00A519D0" w:rsidRDefault="003B4B15" w:rsidP="00CB3F55">
      <w:pPr>
        <w:pStyle w:val="Odstavekseznama"/>
        <w:ind w:left="851" w:hanging="284"/>
        <w:rPr>
          <w:lang w:val="en-US"/>
        </w:rPr>
      </w:pPr>
      <w:r w:rsidRPr="00A519D0">
        <w:rPr>
          <w:lang w:val="en-US"/>
        </w:rPr>
        <w:t>drawing up a list of indicators for the identifying clients and transactions, in respect of which reasonable grounds to suspect money laundering or terrorist financing exist,</w:t>
      </w:r>
    </w:p>
    <w:p w14:paraId="21A98075" w14:textId="57DC533E" w:rsidR="003B4B15" w:rsidRPr="00A519D0" w:rsidRDefault="003B4B15" w:rsidP="00CB3F55">
      <w:pPr>
        <w:pStyle w:val="Odstavekseznama"/>
        <w:ind w:left="851" w:hanging="284"/>
        <w:rPr>
          <w:lang w:val="en-US"/>
        </w:rPr>
      </w:pPr>
      <w:r w:rsidRPr="00A519D0">
        <w:rPr>
          <w:lang w:val="en-US"/>
        </w:rPr>
        <w:t>ensuring protection and retention of data and management of records,</w:t>
      </w:r>
    </w:p>
    <w:p w14:paraId="2450FBB2" w14:textId="513DB520" w:rsidR="003B4B15" w:rsidRPr="00A519D0" w:rsidRDefault="003B4B15" w:rsidP="00CB3F55">
      <w:pPr>
        <w:pStyle w:val="Odstavekseznama"/>
        <w:ind w:left="851" w:hanging="284"/>
        <w:rPr>
          <w:lang w:val="en-US"/>
        </w:rPr>
      </w:pPr>
      <w:r w:rsidRPr="00A519D0">
        <w:rPr>
          <w:lang w:val="en-US"/>
        </w:rPr>
        <w:t>implementation of group policies and procedures and measures to detect and prevent money laundering and terrorist financing in own branches and majority-owned subsidiaries in third countries.</w:t>
      </w:r>
    </w:p>
    <w:p w14:paraId="558DDECD" w14:textId="1C09E0C0" w:rsidR="00DE5D2B" w:rsidRPr="00A519D0" w:rsidRDefault="009876E6" w:rsidP="00FA26F5">
      <w:pPr>
        <w:spacing w:line="276" w:lineRule="auto"/>
        <w:rPr>
          <w:lang w:val="en-US"/>
        </w:rPr>
      </w:pPr>
      <w:r w:rsidRPr="00A519D0">
        <w:rPr>
          <w:lang w:val="en-US"/>
        </w:rPr>
        <w:t>According to the adopted strategic orientation and priorities in 2021, the OMLP e</w:t>
      </w:r>
      <w:r w:rsidR="008D1E32" w:rsidRPr="00A519D0">
        <w:rPr>
          <w:lang w:val="en-US"/>
        </w:rPr>
        <w:t>x</w:t>
      </w:r>
      <w:r w:rsidRPr="00A519D0">
        <w:rPr>
          <w:lang w:val="en-US"/>
        </w:rPr>
        <w:t xml:space="preserve">ecuted independent inspection supervisions mostly at the obliged entities with no primary supervisor – among them also legal/natural persons performing accounting services, tax advisors and fiduciary services. </w:t>
      </w:r>
      <w:r w:rsidR="005F125C" w:rsidRPr="00A519D0">
        <w:rPr>
          <w:lang w:val="en-US"/>
        </w:rPr>
        <w:t xml:space="preserve">This </w:t>
      </w:r>
      <w:r w:rsidR="001265D7" w:rsidRPr="00A519D0">
        <w:rPr>
          <w:lang w:val="en-US"/>
        </w:rPr>
        <w:t>group</w:t>
      </w:r>
      <w:r w:rsidR="005F125C" w:rsidRPr="00A519D0">
        <w:rPr>
          <w:lang w:val="en-US"/>
        </w:rPr>
        <w:t xml:space="preserve"> of professions have been obliged entities since the beginning of </w:t>
      </w:r>
      <w:r w:rsidR="001265D7" w:rsidRPr="00A519D0">
        <w:rPr>
          <w:lang w:val="en-US"/>
        </w:rPr>
        <w:t>creation</w:t>
      </w:r>
      <w:r w:rsidR="005F125C" w:rsidRPr="00A519D0">
        <w:rPr>
          <w:lang w:val="en-US"/>
        </w:rPr>
        <w:t xml:space="preserve"> of the s</w:t>
      </w:r>
      <w:r w:rsidR="00FB5DCE" w:rsidRPr="00A519D0">
        <w:rPr>
          <w:lang w:val="en-US"/>
        </w:rPr>
        <w:t>y</w:t>
      </w:r>
      <w:r w:rsidR="005F125C" w:rsidRPr="00A519D0">
        <w:rPr>
          <w:lang w:val="en-US"/>
        </w:rPr>
        <w:t xml:space="preserve">stem of prevention of money laundering and terrorist financing, but the inspection </w:t>
      </w:r>
      <w:r w:rsidR="001265D7" w:rsidRPr="00A519D0">
        <w:rPr>
          <w:lang w:val="en-US"/>
        </w:rPr>
        <w:t>competence</w:t>
      </w:r>
      <w:r w:rsidR="005F125C" w:rsidRPr="00A519D0">
        <w:rPr>
          <w:lang w:val="en-US"/>
        </w:rPr>
        <w:t xml:space="preserve"> was not set from the beginning for</w:t>
      </w:r>
      <w:r w:rsidR="00FB5DCE" w:rsidRPr="00A519D0">
        <w:rPr>
          <w:lang w:val="en-US"/>
        </w:rPr>
        <w:t xml:space="preserve"> </w:t>
      </w:r>
      <w:r w:rsidR="005F125C" w:rsidRPr="00A519D0">
        <w:rPr>
          <w:lang w:val="en-US"/>
        </w:rPr>
        <w:t xml:space="preserve">this group, </w:t>
      </w:r>
      <w:r w:rsidR="001265D7" w:rsidRPr="00A519D0">
        <w:rPr>
          <w:lang w:val="en-US"/>
        </w:rPr>
        <w:t>therefore</w:t>
      </w:r>
      <w:r w:rsidR="005F125C" w:rsidRPr="00A519D0">
        <w:rPr>
          <w:lang w:val="en-US"/>
        </w:rPr>
        <w:t xml:space="preserve"> the performed inspections were not proportional and sufficient. This group of obliged entities </w:t>
      </w:r>
      <w:r w:rsidR="008D1E32" w:rsidRPr="00A519D0">
        <w:rPr>
          <w:lang w:val="en-US"/>
        </w:rPr>
        <w:t>ha</w:t>
      </w:r>
      <w:r w:rsidR="00FB5DCE" w:rsidRPr="00A519D0">
        <w:rPr>
          <w:lang w:val="en-US"/>
        </w:rPr>
        <w:t>s</w:t>
      </w:r>
      <w:r w:rsidR="008D1E32" w:rsidRPr="00A519D0">
        <w:rPr>
          <w:lang w:val="en-US"/>
        </w:rPr>
        <w:t xml:space="preserve"> detailed insight into business activities of </w:t>
      </w:r>
      <w:r w:rsidR="00FA26F5" w:rsidRPr="00A519D0">
        <w:rPr>
          <w:lang w:val="en-US"/>
        </w:rPr>
        <w:t>their clients</w:t>
      </w:r>
      <w:r w:rsidR="00FB5DCE" w:rsidRPr="00A519D0">
        <w:rPr>
          <w:lang w:val="en-US"/>
        </w:rPr>
        <w:t>,</w:t>
      </w:r>
      <w:r w:rsidR="008D1E32" w:rsidRPr="00A519D0">
        <w:rPr>
          <w:lang w:val="en-US"/>
        </w:rPr>
        <w:t xml:space="preserve"> and therefore holds an important role in detecting and </w:t>
      </w:r>
      <w:r w:rsidR="001265D7" w:rsidRPr="00A519D0">
        <w:rPr>
          <w:lang w:val="en-US"/>
        </w:rPr>
        <w:t>preventing</w:t>
      </w:r>
      <w:r w:rsidR="008D1E32" w:rsidRPr="00A519D0">
        <w:rPr>
          <w:lang w:val="en-US"/>
        </w:rPr>
        <w:t xml:space="preserve"> money laundering and terrorist </w:t>
      </w:r>
      <w:proofErr w:type="gramStart"/>
      <w:r w:rsidR="008D1E32" w:rsidRPr="00A519D0">
        <w:rPr>
          <w:lang w:val="en-US"/>
        </w:rPr>
        <w:t>financing, but</w:t>
      </w:r>
      <w:proofErr w:type="gramEnd"/>
      <w:r w:rsidR="008D1E32" w:rsidRPr="00A519D0">
        <w:rPr>
          <w:lang w:val="en-US"/>
        </w:rPr>
        <w:t xml:space="preserve"> </w:t>
      </w:r>
      <w:r w:rsidR="00FA26F5" w:rsidRPr="00A519D0">
        <w:rPr>
          <w:lang w:val="en-US"/>
        </w:rPr>
        <w:t>is</w:t>
      </w:r>
      <w:r w:rsidR="008D1E32" w:rsidRPr="00A519D0">
        <w:rPr>
          <w:lang w:val="en-US"/>
        </w:rPr>
        <w:t xml:space="preserve"> often</w:t>
      </w:r>
      <w:r w:rsidR="00FA26F5" w:rsidRPr="00A519D0">
        <w:rPr>
          <w:lang w:val="en-US"/>
        </w:rPr>
        <w:t xml:space="preserve"> -</w:t>
      </w:r>
      <w:r w:rsidR="008D1E32" w:rsidRPr="00A519D0">
        <w:rPr>
          <w:lang w:val="en-US"/>
        </w:rPr>
        <w:t xml:space="preserve"> due to lack of information </w:t>
      </w:r>
      <w:r w:rsidR="00B31BF5" w:rsidRPr="00A519D0">
        <w:rPr>
          <w:lang w:val="en-US"/>
        </w:rPr>
        <w:t>-</w:t>
      </w:r>
      <w:r w:rsidR="00B31BF5">
        <w:rPr>
          <w:lang w:val="en-US"/>
        </w:rPr>
        <w:t xml:space="preserve"> </w:t>
      </w:r>
      <w:r w:rsidR="001265D7" w:rsidRPr="00A519D0">
        <w:rPr>
          <w:lang w:val="en-US"/>
        </w:rPr>
        <w:t>unaware</w:t>
      </w:r>
      <w:r w:rsidR="008D1E32" w:rsidRPr="00A519D0">
        <w:rPr>
          <w:lang w:val="en-US"/>
        </w:rPr>
        <w:t xml:space="preserve"> of this important role.</w:t>
      </w:r>
    </w:p>
    <w:p w14:paraId="0B4782D6" w14:textId="604D2447" w:rsidR="00FB5DCE" w:rsidRPr="00A519D0" w:rsidRDefault="00FB5DCE" w:rsidP="00FA26F5">
      <w:pPr>
        <w:spacing w:line="276" w:lineRule="auto"/>
        <w:rPr>
          <w:b/>
          <w:bCs/>
          <w:lang w:val="en-US"/>
        </w:rPr>
      </w:pPr>
      <w:r w:rsidRPr="00A519D0">
        <w:rPr>
          <w:lang w:val="en-US"/>
        </w:rPr>
        <w:t>In 2021</w:t>
      </w:r>
      <w:r w:rsidR="00FA26F5" w:rsidRPr="00A519D0">
        <w:rPr>
          <w:lang w:val="en-US"/>
        </w:rPr>
        <w:t>,</w:t>
      </w:r>
      <w:r w:rsidRPr="00A519D0">
        <w:rPr>
          <w:lang w:val="en-US"/>
        </w:rPr>
        <w:t xml:space="preserve"> the </w:t>
      </w:r>
      <w:r w:rsidR="00FA26F5" w:rsidRPr="00A519D0">
        <w:rPr>
          <w:lang w:val="en-US"/>
        </w:rPr>
        <w:t>OMLP</w:t>
      </w:r>
      <w:r w:rsidRPr="00A519D0">
        <w:rPr>
          <w:lang w:val="en-US"/>
        </w:rPr>
        <w:t xml:space="preserve"> performed 133 </w:t>
      </w:r>
      <w:r w:rsidR="001265D7" w:rsidRPr="00A519D0">
        <w:rPr>
          <w:lang w:val="en-US"/>
        </w:rPr>
        <w:t>independent</w:t>
      </w:r>
      <w:r w:rsidRPr="00A519D0">
        <w:rPr>
          <w:lang w:val="en-US"/>
        </w:rPr>
        <w:t xml:space="preserve"> inspections</w:t>
      </w:r>
      <w:r w:rsidR="00FA26F5" w:rsidRPr="00A519D0">
        <w:rPr>
          <w:lang w:val="en-US"/>
        </w:rPr>
        <w:t>, out of them</w:t>
      </w:r>
      <w:r w:rsidRPr="00A519D0">
        <w:rPr>
          <w:lang w:val="en-US"/>
        </w:rPr>
        <w:t xml:space="preserve"> 71 direct inspections, 34 onsite inspections, mostly at afore mentioned obliged entities. Two systemic inspections were also </w:t>
      </w:r>
      <w:r w:rsidR="00CD0F97" w:rsidRPr="00A519D0">
        <w:rPr>
          <w:lang w:val="en-US"/>
        </w:rPr>
        <w:t>performed</w:t>
      </w:r>
      <w:r w:rsidRPr="00A519D0">
        <w:rPr>
          <w:lang w:val="en-US"/>
        </w:rPr>
        <w:t xml:space="preserve"> at </w:t>
      </w:r>
      <w:r w:rsidR="00CD0F97" w:rsidRPr="00A519D0">
        <w:rPr>
          <w:lang w:val="en-US"/>
        </w:rPr>
        <w:t>organi</w:t>
      </w:r>
      <w:r w:rsidR="00A519D0">
        <w:rPr>
          <w:lang w:val="en-US"/>
        </w:rPr>
        <w:t>z</w:t>
      </w:r>
      <w:r w:rsidR="00CD0F97" w:rsidRPr="00A519D0">
        <w:rPr>
          <w:lang w:val="en-US"/>
        </w:rPr>
        <w:t xml:space="preserve">ers of games of chance and one in the financial sector. </w:t>
      </w:r>
    </w:p>
    <w:p w14:paraId="6F940F20" w14:textId="75CF35C7" w:rsidR="00DE5D2B" w:rsidRPr="00A519D0" w:rsidRDefault="00CD0F97" w:rsidP="00FA26F5">
      <w:pPr>
        <w:spacing w:line="276" w:lineRule="auto"/>
        <w:rPr>
          <w:lang w:val="en-US"/>
        </w:rPr>
      </w:pPr>
      <w:r w:rsidRPr="00A519D0">
        <w:rPr>
          <w:lang w:val="en-US"/>
        </w:rPr>
        <w:t>In 2021</w:t>
      </w:r>
      <w:r w:rsidR="00FA26F5" w:rsidRPr="00A519D0">
        <w:rPr>
          <w:lang w:val="en-US"/>
        </w:rPr>
        <w:t>,</w:t>
      </w:r>
      <w:r w:rsidRPr="00A519D0">
        <w:rPr>
          <w:lang w:val="en-US"/>
        </w:rPr>
        <w:t xml:space="preserve"> the </w:t>
      </w:r>
      <w:r w:rsidR="001265D7" w:rsidRPr="00A519D0">
        <w:rPr>
          <w:lang w:val="en-US"/>
        </w:rPr>
        <w:t>inspectors</w:t>
      </w:r>
      <w:r w:rsidRPr="00A519D0">
        <w:rPr>
          <w:lang w:val="en-US"/>
        </w:rPr>
        <w:t xml:space="preserve"> of the </w:t>
      </w:r>
      <w:r w:rsidR="00FA26F5" w:rsidRPr="00A519D0">
        <w:rPr>
          <w:lang w:val="en-US"/>
        </w:rPr>
        <w:t>OMLP</w:t>
      </w:r>
      <w:r w:rsidRPr="00A519D0">
        <w:rPr>
          <w:lang w:val="en-US"/>
        </w:rPr>
        <w:t xml:space="preserve"> performed also 144</w:t>
      </w:r>
      <w:r w:rsidR="00DE5D2B" w:rsidRPr="00A519D0">
        <w:rPr>
          <w:b/>
          <w:bCs/>
          <w:lang w:val="en-US"/>
        </w:rPr>
        <w:t xml:space="preserve"> COVID </w:t>
      </w:r>
      <w:r w:rsidRPr="00A519D0">
        <w:rPr>
          <w:b/>
          <w:bCs/>
          <w:lang w:val="en-US"/>
        </w:rPr>
        <w:t>inspections</w:t>
      </w:r>
      <w:r w:rsidR="00DE5D2B" w:rsidRPr="00A519D0">
        <w:rPr>
          <w:lang w:val="en-US"/>
        </w:rPr>
        <w:t xml:space="preserve"> </w:t>
      </w:r>
      <w:r w:rsidRPr="00A519D0">
        <w:rPr>
          <w:lang w:val="en-US"/>
        </w:rPr>
        <w:t>in line with general provisions of Communicable Disease Act</w:t>
      </w:r>
      <w:r w:rsidR="00DE5D2B" w:rsidRPr="00A519D0">
        <w:rPr>
          <w:lang w:val="en-US"/>
        </w:rPr>
        <w:t xml:space="preserve"> (</w:t>
      </w:r>
      <w:r w:rsidRPr="00A519D0">
        <w:rPr>
          <w:lang w:val="en-US"/>
        </w:rPr>
        <w:t>Official Gazette of the Republic of Slovenia No.:</w:t>
      </w:r>
      <w:r w:rsidR="00DE5D2B" w:rsidRPr="00A519D0">
        <w:rPr>
          <w:lang w:val="en-US"/>
        </w:rPr>
        <w:t xml:space="preserve"> 33/06 –</w:t>
      </w:r>
      <w:r w:rsidR="00FA26F5" w:rsidRPr="00A519D0">
        <w:rPr>
          <w:lang w:val="en-US"/>
        </w:rPr>
        <w:t>O</w:t>
      </w:r>
      <w:r w:rsidR="001265D7" w:rsidRPr="00A519D0">
        <w:rPr>
          <w:lang w:val="en-US"/>
        </w:rPr>
        <w:t>fficial</w:t>
      </w:r>
      <w:r w:rsidRPr="00A519D0">
        <w:rPr>
          <w:lang w:val="en-US"/>
        </w:rPr>
        <w:t xml:space="preserve"> </w:t>
      </w:r>
      <w:r w:rsidR="001265D7" w:rsidRPr="00A519D0">
        <w:rPr>
          <w:lang w:val="en-US"/>
        </w:rPr>
        <w:t>consolidated</w:t>
      </w:r>
      <w:r w:rsidRPr="00A519D0">
        <w:rPr>
          <w:lang w:val="en-US"/>
        </w:rPr>
        <w:t xml:space="preserve"> text</w:t>
      </w:r>
      <w:r w:rsidR="00DE5D2B" w:rsidRPr="00A519D0">
        <w:rPr>
          <w:lang w:val="en-US"/>
        </w:rPr>
        <w:t>, 49/20 – ZIUZEOP, 142/20 in 175/20 – ZIUOPDVE)</w:t>
      </w:r>
      <w:r w:rsidR="00FA26F5" w:rsidRPr="00A519D0">
        <w:rPr>
          <w:lang w:val="en-US"/>
        </w:rPr>
        <w:t xml:space="preserve"> </w:t>
      </w:r>
      <w:r w:rsidRPr="00A519D0">
        <w:rPr>
          <w:lang w:val="en-US"/>
        </w:rPr>
        <w:t xml:space="preserve">at obliged </w:t>
      </w:r>
      <w:r w:rsidR="001265D7" w:rsidRPr="00A519D0">
        <w:rPr>
          <w:lang w:val="en-US"/>
        </w:rPr>
        <w:t>entities</w:t>
      </w:r>
      <w:r w:rsidRPr="00A519D0">
        <w:rPr>
          <w:lang w:val="en-US"/>
        </w:rPr>
        <w:t xml:space="preserve"> </w:t>
      </w:r>
      <w:r w:rsidR="00FA26F5" w:rsidRPr="00A519D0">
        <w:rPr>
          <w:lang w:val="en-US"/>
        </w:rPr>
        <w:t xml:space="preserve">stipulated by </w:t>
      </w:r>
      <w:r w:rsidRPr="00A519D0">
        <w:rPr>
          <w:lang w:val="en-US"/>
        </w:rPr>
        <w:t>AMPLFT-1.</w:t>
      </w:r>
    </w:p>
    <w:p w14:paraId="653FC158" w14:textId="77777777" w:rsidR="00C65DDD" w:rsidRPr="00A519D0" w:rsidRDefault="00C65DDD" w:rsidP="00DE5D2B">
      <w:pPr>
        <w:rPr>
          <w:lang w:val="en-US"/>
        </w:rPr>
      </w:pPr>
    </w:p>
    <w:p w14:paraId="78F39FB2" w14:textId="645C1B52" w:rsidR="00B65A09" w:rsidRPr="00A519D0" w:rsidRDefault="000A24CF" w:rsidP="00D62FFA">
      <w:pPr>
        <w:pStyle w:val="Naslov2"/>
        <w:rPr>
          <w:lang w:val="en-US"/>
        </w:rPr>
      </w:pPr>
      <w:bookmarkStart w:id="23" w:name="_Toc119581723"/>
      <w:r w:rsidRPr="00A519D0">
        <w:rPr>
          <w:lang w:val="en-US"/>
        </w:rPr>
        <w:t>THE O</w:t>
      </w:r>
      <w:r w:rsidR="00FA26F5" w:rsidRPr="00A519D0">
        <w:rPr>
          <w:lang w:val="en-US"/>
        </w:rPr>
        <w:t>MLP</w:t>
      </w:r>
      <w:r w:rsidRPr="00A519D0">
        <w:rPr>
          <w:lang w:val="en-US"/>
        </w:rPr>
        <w:t xml:space="preserve"> AS </w:t>
      </w:r>
      <w:r w:rsidR="00AC2C05" w:rsidRPr="00A519D0">
        <w:rPr>
          <w:lang w:val="en-US"/>
        </w:rPr>
        <w:t>MINOR OFFENCES</w:t>
      </w:r>
      <w:r w:rsidRPr="00A519D0">
        <w:rPr>
          <w:lang w:val="en-US"/>
        </w:rPr>
        <w:t xml:space="preserve"> AUTHORITY</w:t>
      </w:r>
      <w:bookmarkEnd w:id="23"/>
    </w:p>
    <w:p w14:paraId="354272DD" w14:textId="77777777" w:rsidR="00B65A09" w:rsidRPr="00A519D0" w:rsidRDefault="00B65A09" w:rsidP="00B65A09">
      <w:pPr>
        <w:rPr>
          <w:lang w:val="en-US"/>
        </w:rPr>
      </w:pPr>
    </w:p>
    <w:p w14:paraId="06786B68" w14:textId="5ED9A27A" w:rsidR="00DE5D2B" w:rsidRPr="00A519D0" w:rsidRDefault="0039741E" w:rsidP="00DE5D2B">
      <w:pPr>
        <w:rPr>
          <w:lang w:val="en-US"/>
        </w:rPr>
      </w:pPr>
      <w:bookmarkStart w:id="24" w:name="_Hlk146874157"/>
      <w:r w:rsidRPr="00A519D0">
        <w:rPr>
          <w:lang w:val="en-US"/>
        </w:rPr>
        <w:t>The APMLFT-1 contains detailed sanctions f</w:t>
      </w:r>
      <w:r w:rsidR="00EC1C1B" w:rsidRPr="00A519D0">
        <w:rPr>
          <w:lang w:val="en-US"/>
        </w:rPr>
        <w:t>or</w:t>
      </w:r>
      <w:r w:rsidRPr="00A519D0">
        <w:rPr>
          <w:lang w:val="en-US"/>
        </w:rPr>
        <w:t xml:space="preserve"> violations of </w:t>
      </w:r>
      <w:r w:rsidR="00B31BF5">
        <w:rPr>
          <w:lang w:val="en-US"/>
        </w:rPr>
        <w:t xml:space="preserve">its </w:t>
      </w:r>
      <w:r w:rsidRPr="00A519D0">
        <w:rPr>
          <w:lang w:val="en-US"/>
        </w:rPr>
        <w:t xml:space="preserve">provisions. </w:t>
      </w:r>
      <w:r w:rsidR="00EC1C1B" w:rsidRPr="00A519D0">
        <w:rPr>
          <w:lang w:val="en-US"/>
        </w:rPr>
        <w:t>Violations of provisions of th</w:t>
      </w:r>
      <w:r w:rsidR="00FA26F5" w:rsidRPr="00A519D0">
        <w:rPr>
          <w:lang w:val="en-US"/>
        </w:rPr>
        <w:t>is</w:t>
      </w:r>
      <w:r w:rsidR="00EC1C1B" w:rsidRPr="00A519D0">
        <w:rPr>
          <w:lang w:val="en-US"/>
        </w:rPr>
        <w:t xml:space="preserve"> act are precisely defined according to </w:t>
      </w:r>
      <w:r w:rsidR="00FA26F5" w:rsidRPr="00A519D0">
        <w:rPr>
          <w:lang w:val="en-US"/>
        </w:rPr>
        <w:t xml:space="preserve">the </w:t>
      </w:r>
      <w:r w:rsidR="00EC1C1B" w:rsidRPr="00A519D0">
        <w:rPr>
          <w:lang w:val="en-US"/>
        </w:rPr>
        <w:t>subjects (</w:t>
      </w:r>
      <w:r w:rsidR="00AC2C05" w:rsidRPr="00A519D0">
        <w:rPr>
          <w:lang w:val="en-US"/>
        </w:rPr>
        <w:t>offences</w:t>
      </w:r>
      <w:r w:rsidR="00EC1C1B" w:rsidRPr="00A519D0">
        <w:rPr>
          <w:lang w:val="en-US"/>
        </w:rPr>
        <w:t xml:space="preserve"> of obliged entities, </w:t>
      </w:r>
      <w:r w:rsidR="00AC2C05" w:rsidRPr="00A519D0">
        <w:rPr>
          <w:lang w:val="en-US"/>
        </w:rPr>
        <w:t>offences</w:t>
      </w:r>
      <w:r w:rsidR="00EC1C1B" w:rsidRPr="00A519D0">
        <w:rPr>
          <w:lang w:val="en-US"/>
        </w:rPr>
        <w:t xml:space="preserve"> of business entities relating to beneficial </w:t>
      </w:r>
      <w:r w:rsidR="0082183E" w:rsidRPr="00A519D0">
        <w:rPr>
          <w:lang w:val="en-US"/>
        </w:rPr>
        <w:t>ownership, specific</w:t>
      </w:r>
      <w:r w:rsidR="00AC2C05" w:rsidRPr="00A519D0">
        <w:rPr>
          <w:lang w:val="en-US"/>
        </w:rPr>
        <w:t xml:space="preserve"> offences by auditing firms, legal entities and natural persons performing accounting or tax advisory services, offences by lawyers, law firms and notaries, offences by virtual currency service providers, etc.)</w:t>
      </w:r>
      <w:r w:rsidR="00DE5D2B" w:rsidRPr="00A519D0">
        <w:rPr>
          <w:lang w:val="en-US"/>
        </w:rPr>
        <w:t xml:space="preserve"> </w:t>
      </w:r>
    </w:p>
    <w:p w14:paraId="54BD35AB" w14:textId="75AB61D7" w:rsidR="00DE5D2B" w:rsidRPr="00A519D0" w:rsidRDefault="00AC2C05" w:rsidP="00DE5D2B">
      <w:pPr>
        <w:rPr>
          <w:lang w:val="en-US"/>
        </w:rPr>
      </w:pPr>
      <w:r w:rsidRPr="00A519D0">
        <w:rPr>
          <w:lang w:val="en-US"/>
        </w:rPr>
        <w:t>In APMLFT-1</w:t>
      </w:r>
      <w:r w:rsidR="00FA26F5" w:rsidRPr="00A519D0">
        <w:rPr>
          <w:lang w:val="en-US"/>
        </w:rPr>
        <w:t>, the offences</w:t>
      </w:r>
      <w:r w:rsidRPr="00A519D0">
        <w:rPr>
          <w:lang w:val="en-US"/>
        </w:rPr>
        <w:t xml:space="preserve"> are </w:t>
      </w:r>
      <w:r w:rsidR="001265D7" w:rsidRPr="00A519D0">
        <w:rPr>
          <w:lang w:val="en-US"/>
        </w:rPr>
        <w:t>divided</w:t>
      </w:r>
      <w:r w:rsidRPr="00A519D0">
        <w:rPr>
          <w:lang w:val="en-US"/>
        </w:rPr>
        <w:t xml:space="preserve"> by the</w:t>
      </w:r>
      <w:r w:rsidR="00FA26F5" w:rsidRPr="00A519D0">
        <w:rPr>
          <w:lang w:val="en-US"/>
        </w:rPr>
        <w:t>ir</w:t>
      </w:r>
      <w:r w:rsidRPr="00A519D0">
        <w:rPr>
          <w:lang w:val="en-US"/>
        </w:rPr>
        <w:t xml:space="preserve"> gravity</w:t>
      </w:r>
      <w:r w:rsidR="00FA26F5" w:rsidRPr="00A519D0">
        <w:rPr>
          <w:lang w:val="en-US"/>
        </w:rPr>
        <w:t>.</w:t>
      </w:r>
    </w:p>
    <w:p w14:paraId="79C0C67F" w14:textId="5003D095" w:rsidR="00DE5D2B" w:rsidRPr="00A519D0" w:rsidRDefault="008F28D9" w:rsidP="00C65DDD">
      <w:pPr>
        <w:pStyle w:val="Odstavekseznama"/>
        <w:ind w:left="851" w:hanging="284"/>
        <w:rPr>
          <w:lang w:val="en-US"/>
        </w:rPr>
      </w:pPr>
      <w:r w:rsidRPr="00A519D0">
        <w:rPr>
          <w:lang w:val="en-US"/>
        </w:rPr>
        <w:t xml:space="preserve">most serious offence </w:t>
      </w:r>
      <w:r w:rsidR="00DE5D2B" w:rsidRPr="00A519D0">
        <w:rPr>
          <w:lang w:val="en-US"/>
        </w:rPr>
        <w:t>(</w:t>
      </w:r>
      <w:r w:rsidRPr="00A519D0">
        <w:rPr>
          <w:lang w:val="en-US"/>
        </w:rPr>
        <w:t xml:space="preserve">imposed fine for legal entity is from </w:t>
      </w:r>
      <w:r w:rsidR="00DE5D2B" w:rsidRPr="00A519D0">
        <w:rPr>
          <w:lang w:val="en-US"/>
        </w:rPr>
        <w:t xml:space="preserve">12.000 </w:t>
      </w:r>
      <w:r w:rsidRPr="00A519D0">
        <w:rPr>
          <w:lang w:val="en-US"/>
        </w:rPr>
        <w:t>to</w:t>
      </w:r>
      <w:r w:rsidR="00DE5D2B" w:rsidRPr="00A519D0">
        <w:rPr>
          <w:lang w:val="en-US"/>
        </w:rPr>
        <w:t xml:space="preserve"> 120.000 EUR, </w:t>
      </w:r>
      <w:r w:rsidRPr="00A519D0">
        <w:rPr>
          <w:lang w:val="en-US"/>
        </w:rPr>
        <w:t>for responsible person of the legal entity from</w:t>
      </w:r>
      <w:r w:rsidR="00DE5D2B" w:rsidRPr="00A519D0">
        <w:rPr>
          <w:lang w:val="en-US"/>
        </w:rPr>
        <w:t xml:space="preserve"> 800 </w:t>
      </w:r>
      <w:r w:rsidRPr="00A519D0">
        <w:rPr>
          <w:lang w:val="en-US"/>
        </w:rPr>
        <w:t>to</w:t>
      </w:r>
      <w:r w:rsidR="00DE5D2B" w:rsidRPr="00A519D0">
        <w:rPr>
          <w:lang w:val="en-US"/>
        </w:rPr>
        <w:t xml:space="preserve"> 4.000 EUR</w:t>
      </w:r>
      <w:r w:rsidR="000806DB" w:rsidRPr="00A519D0">
        <w:rPr>
          <w:lang w:val="en-US"/>
        </w:rPr>
        <w:t xml:space="preserve"> and</w:t>
      </w:r>
      <w:r w:rsidR="00DE5D2B" w:rsidRPr="00A519D0">
        <w:rPr>
          <w:lang w:val="en-US"/>
        </w:rPr>
        <w:t xml:space="preserve"> </w:t>
      </w:r>
      <w:r w:rsidRPr="00A519D0">
        <w:rPr>
          <w:lang w:val="en-US"/>
        </w:rPr>
        <w:t xml:space="preserve">for a sole trader or a self-employed </w:t>
      </w:r>
      <w:r w:rsidR="000806DB" w:rsidRPr="00A519D0">
        <w:rPr>
          <w:lang w:val="en-US"/>
        </w:rPr>
        <w:t>person from</w:t>
      </w:r>
      <w:r w:rsidR="00DE5D2B" w:rsidRPr="00A519D0">
        <w:rPr>
          <w:lang w:val="en-US"/>
        </w:rPr>
        <w:t xml:space="preserve"> 4.000 </w:t>
      </w:r>
      <w:r w:rsidR="000806DB" w:rsidRPr="00A519D0">
        <w:rPr>
          <w:lang w:val="en-US"/>
        </w:rPr>
        <w:t>to</w:t>
      </w:r>
      <w:r w:rsidR="00DE5D2B" w:rsidRPr="00A519D0">
        <w:rPr>
          <w:lang w:val="en-US"/>
        </w:rPr>
        <w:t xml:space="preserve"> 40.000 EUR), </w:t>
      </w:r>
    </w:p>
    <w:p w14:paraId="738BED1F" w14:textId="34390AF1" w:rsidR="00DE5D2B" w:rsidRPr="00A519D0" w:rsidRDefault="008F28D9" w:rsidP="00C65DDD">
      <w:pPr>
        <w:pStyle w:val="Odstavekseznama"/>
        <w:ind w:left="851" w:hanging="284"/>
        <w:rPr>
          <w:lang w:val="en-US"/>
        </w:rPr>
      </w:pPr>
      <w:r w:rsidRPr="00A519D0">
        <w:rPr>
          <w:lang w:val="en-US"/>
        </w:rPr>
        <w:t>serious offence</w:t>
      </w:r>
      <w:r w:rsidR="00DE5D2B" w:rsidRPr="00A519D0">
        <w:rPr>
          <w:lang w:val="en-US"/>
        </w:rPr>
        <w:t xml:space="preserve"> (</w:t>
      </w:r>
      <w:r w:rsidR="000806DB" w:rsidRPr="00A519D0">
        <w:rPr>
          <w:lang w:val="en-US"/>
        </w:rPr>
        <w:t xml:space="preserve">imposed fine for legal entity is from </w:t>
      </w:r>
      <w:r w:rsidR="00DE5D2B" w:rsidRPr="00A519D0">
        <w:rPr>
          <w:lang w:val="en-US"/>
        </w:rPr>
        <w:t xml:space="preserve">6.000 </w:t>
      </w:r>
      <w:r w:rsidR="000806DB" w:rsidRPr="00A519D0">
        <w:rPr>
          <w:lang w:val="en-US"/>
        </w:rPr>
        <w:t>to</w:t>
      </w:r>
      <w:r w:rsidR="00DE5D2B" w:rsidRPr="00A519D0">
        <w:rPr>
          <w:lang w:val="en-US"/>
        </w:rPr>
        <w:t xml:space="preserve"> 60.000 EUR, </w:t>
      </w:r>
      <w:r w:rsidR="000806DB" w:rsidRPr="00A519D0">
        <w:rPr>
          <w:lang w:val="en-US"/>
        </w:rPr>
        <w:t xml:space="preserve">for responsible person of the legal entity from </w:t>
      </w:r>
      <w:r w:rsidR="00DE5D2B" w:rsidRPr="00A519D0">
        <w:rPr>
          <w:lang w:val="en-US"/>
        </w:rPr>
        <w:t xml:space="preserve">400 </w:t>
      </w:r>
      <w:r w:rsidR="000806DB" w:rsidRPr="00A519D0">
        <w:rPr>
          <w:lang w:val="en-US"/>
        </w:rPr>
        <w:t>to</w:t>
      </w:r>
      <w:r w:rsidR="00DE5D2B" w:rsidRPr="00A519D0">
        <w:rPr>
          <w:lang w:val="en-US"/>
        </w:rPr>
        <w:t xml:space="preserve"> 2.000 EUR</w:t>
      </w:r>
      <w:r w:rsidR="000806DB" w:rsidRPr="00A519D0">
        <w:rPr>
          <w:lang w:val="en-US"/>
        </w:rPr>
        <w:t xml:space="preserve"> and for a sole trader or a self-employed person from</w:t>
      </w:r>
      <w:r w:rsidR="00DE5D2B" w:rsidRPr="00A519D0">
        <w:rPr>
          <w:lang w:val="en-US"/>
        </w:rPr>
        <w:t xml:space="preserve"> 2.000 </w:t>
      </w:r>
      <w:r w:rsidR="001265D7" w:rsidRPr="00A519D0">
        <w:rPr>
          <w:lang w:val="en-US"/>
        </w:rPr>
        <w:t>to</w:t>
      </w:r>
      <w:r w:rsidR="00DE5D2B" w:rsidRPr="00A519D0">
        <w:rPr>
          <w:lang w:val="en-US"/>
        </w:rPr>
        <w:t xml:space="preserve"> 20.000 EUR), </w:t>
      </w:r>
      <w:r w:rsidR="00FA26F5" w:rsidRPr="00A519D0">
        <w:rPr>
          <w:lang w:val="en-US"/>
        </w:rPr>
        <w:t>and</w:t>
      </w:r>
    </w:p>
    <w:p w14:paraId="5A14A92F" w14:textId="77DA8AE7" w:rsidR="00DE5D2B" w:rsidRPr="00A519D0" w:rsidRDefault="00FA26F5" w:rsidP="00FA26F5">
      <w:pPr>
        <w:pStyle w:val="Odstavekseznama"/>
        <w:numPr>
          <w:ilvl w:val="0"/>
          <w:numId w:val="7"/>
        </w:numPr>
        <w:rPr>
          <w:lang w:val="en-US"/>
        </w:rPr>
      </w:pPr>
      <w:r w:rsidRPr="00A519D0">
        <w:rPr>
          <w:lang w:val="en-US"/>
        </w:rPr>
        <w:t xml:space="preserve">  </w:t>
      </w:r>
      <w:r w:rsidR="008F28D9" w:rsidRPr="00A519D0">
        <w:rPr>
          <w:lang w:val="en-US"/>
        </w:rPr>
        <w:t>minor offence</w:t>
      </w:r>
      <w:r w:rsidR="00DE5D2B" w:rsidRPr="00A519D0">
        <w:rPr>
          <w:lang w:val="en-US"/>
        </w:rPr>
        <w:t xml:space="preserve"> (</w:t>
      </w:r>
      <w:r w:rsidR="000806DB" w:rsidRPr="00A519D0">
        <w:rPr>
          <w:lang w:val="en-US"/>
        </w:rPr>
        <w:t xml:space="preserve">imposed fine for legal entity is from </w:t>
      </w:r>
      <w:r w:rsidR="00DE5D2B" w:rsidRPr="00A519D0">
        <w:rPr>
          <w:lang w:val="en-US"/>
        </w:rPr>
        <w:t xml:space="preserve">3.000 </w:t>
      </w:r>
      <w:r w:rsidR="000806DB" w:rsidRPr="00A519D0">
        <w:rPr>
          <w:lang w:val="en-US"/>
        </w:rPr>
        <w:t>to</w:t>
      </w:r>
      <w:r w:rsidR="00DE5D2B" w:rsidRPr="00A519D0">
        <w:rPr>
          <w:lang w:val="en-US"/>
        </w:rPr>
        <w:t xml:space="preserve"> 30.000 EUR, </w:t>
      </w:r>
      <w:r w:rsidR="000806DB" w:rsidRPr="00A519D0">
        <w:rPr>
          <w:lang w:val="en-US"/>
        </w:rPr>
        <w:t xml:space="preserve">for responsible person </w:t>
      </w:r>
      <w:r w:rsidRPr="00A519D0">
        <w:rPr>
          <w:lang w:val="en-US"/>
        </w:rPr>
        <w:t xml:space="preserve">   </w:t>
      </w:r>
      <w:r w:rsidR="000806DB" w:rsidRPr="00A519D0">
        <w:rPr>
          <w:lang w:val="en-US"/>
        </w:rPr>
        <w:t xml:space="preserve">of the legal entity from </w:t>
      </w:r>
      <w:r w:rsidR="00DE5D2B" w:rsidRPr="00A519D0">
        <w:rPr>
          <w:lang w:val="en-US"/>
        </w:rPr>
        <w:t xml:space="preserve">200 </w:t>
      </w:r>
      <w:r w:rsidR="000806DB" w:rsidRPr="00A519D0">
        <w:rPr>
          <w:lang w:val="en-US"/>
        </w:rPr>
        <w:t>to</w:t>
      </w:r>
      <w:r w:rsidR="00DE5D2B" w:rsidRPr="00A519D0">
        <w:rPr>
          <w:lang w:val="en-US"/>
        </w:rPr>
        <w:t xml:space="preserve"> 1.000 EUR, </w:t>
      </w:r>
      <w:r w:rsidR="000806DB" w:rsidRPr="00A519D0">
        <w:rPr>
          <w:lang w:val="en-US"/>
        </w:rPr>
        <w:t xml:space="preserve">and for a sole trader or a self-employed person from </w:t>
      </w:r>
      <w:r w:rsidR="00DE5D2B" w:rsidRPr="00A519D0">
        <w:rPr>
          <w:lang w:val="en-US"/>
        </w:rPr>
        <w:t xml:space="preserve">1.000 </w:t>
      </w:r>
      <w:r w:rsidR="000806DB" w:rsidRPr="00A519D0">
        <w:rPr>
          <w:lang w:val="en-US"/>
        </w:rPr>
        <w:t>to</w:t>
      </w:r>
      <w:r w:rsidR="00DE5D2B" w:rsidRPr="00A519D0">
        <w:rPr>
          <w:lang w:val="en-US"/>
        </w:rPr>
        <w:t xml:space="preserve"> 10.000 EUR).</w:t>
      </w:r>
    </w:p>
    <w:bookmarkEnd w:id="24"/>
    <w:p w14:paraId="476D5557" w14:textId="675BFB0F" w:rsidR="00B65A09" w:rsidRPr="00A519D0" w:rsidRDefault="000806DB" w:rsidP="00D62FFA">
      <w:pPr>
        <w:pStyle w:val="Naslov3"/>
        <w:rPr>
          <w:lang w:val="en-US"/>
        </w:rPr>
      </w:pPr>
      <w:r w:rsidRPr="00A519D0">
        <w:rPr>
          <w:lang w:val="en-US"/>
        </w:rPr>
        <w:lastRenderedPageBreak/>
        <w:t xml:space="preserve">Recorded </w:t>
      </w:r>
      <w:proofErr w:type="gramStart"/>
      <w:r w:rsidR="001265D7" w:rsidRPr="00A519D0">
        <w:rPr>
          <w:lang w:val="en-US"/>
        </w:rPr>
        <w:t>violations</w:t>
      </w:r>
      <w:proofErr w:type="gramEnd"/>
    </w:p>
    <w:p w14:paraId="486FD35B" w14:textId="6938966B" w:rsidR="00B65A09" w:rsidRPr="00A519D0" w:rsidRDefault="00B65A09" w:rsidP="00B65A09">
      <w:pPr>
        <w:rPr>
          <w:lang w:val="en-US"/>
        </w:rPr>
      </w:pPr>
    </w:p>
    <w:p w14:paraId="6F4FF443" w14:textId="5AFDF81B" w:rsidR="00D64E07" w:rsidRPr="00A519D0" w:rsidRDefault="000806DB" w:rsidP="00B65A09">
      <w:pPr>
        <w:rPr>
          <w:lang w:val="en-US"/>
        </w:rPr>
      </w:pPr>
      <w:bookmarkStart w:id="25" w:name="_Hlk146875094"/>
      <w:r w:rsidRPr="00A519D0">
        <w:rPr>
          <w:lang w:val="en-US"/>
        </w:rPr>
        <w:t>The O</w:t>
      </w:r>
      <w:r w:rsidR="004C0938" w:rsidRPr="00A519D0">
        <w:rPr>
          <w:lang w:val="en-US"/>
        </w:rPr>
        <w:t>MLP</w:t>
      </w:r>
      <w:r w:rsidRPr="00A519D0">
        <w:rPr>
          <w:lang w:val="en-US"/>
        </w:rPr>
        <w:t xml:space="preserve"> is competent </w:t>
      </w:r>
      <w:r w:rsidR="00D24CDB" w:rsidRPr="00A519D0">
        <w:rPr>
          <w:lang w:val="en-US"/>
        </w:rPr>
        <w:t xml:space="preserve">also for supervising the </w:t>
      </w:r>
      <w:r w:rsidR="001265D7" w:rsidRPr="00A519D0">
        <w:rPr>
          <w:lang w:val="en-US"/>
        </w:rPr>
        <w:t>entry</w:t>
      </w:r>
      <w:r w:rsidR="00D24CDB" w:rsidRPr="00A519D0">
        <w:rPr>
          <w:lang w:val="en-US"/>
        </w:rPr>
        <w:t xml:space="preserve"> of beneficial owners </w:t>
      </w:r>
      <w:r w:rsidR="004C0938" w:rsidRPr="00A519D0">
        <w:rPr>
          <w:lang w:val="en-US"/>
        </w:rPr>
        <w:t>to</w:t>
      </w:r>
      <w:r w:rsidR="00D24CDB" w:rsidRPr="00A519D0">
        <w:rPr>
          <w:lang w:val="en-US"/>
        </w:rPr>
        <w:t xml:space="preserve"> beneficial </w:t>
      </w:r>
      <w:r w:rsidR="001265D7" w:rsidRPr="00A519D0">
        <w:rPr>
          <w:lang w:val="en-US"/>
        </w:rPr>
        <w:t>ownership</w:t>
      </w:r>
      <w:r w:rsidR="00D24CDB" w:rsidRPr="00A519D0">
        <w:rPr>
          <w:lang w:val="en-US"/>
        </w:rPr>
        <w:t xml:space="preserve"> register. Criminals often use</w:t>
      </w:r>
      <w:r w:rsidR="00E83D3D" w:rsidRPr="00A519D0">
        <w:rPr>
          <w:lang w:val="en-US"/>
        </w:rPr>
        <w:t xml:space="preserve"> mailbox companies</w:t>
      </w:r>
      <w:r w:rsidR="00D24CDB" w:rsidRPr="00A519D0">
        <w:rPr>
          <w:lang w:val="en-US"/>
        </w:rPr>
        <w:t xml:space="preserve"> and straw companies </w:t>
      </w:r>
      <w:r w:rsidR="00E83D3D" w:rsidRPr="00A519D0">
        <w:rPr>
          <w:lang w:val="en-US"/>
        </w:rPr>
        <w:t xml:space="preserve">to conceal the assets gained with criminal offences and the </w:t>
      </w:r>
      <w:r w:rsidR="001265D7" w:rsidRPr="00A519D0">
        <w:rPr>
          <w:lang w:val="en-US"/>
        </w:rPr>
        <w:t>beneficial</w:t>
      </w:r>
      <w:r w:rsidR="00E83D3D" w:rsidRPr="00A519D0">
        <w:rPr>
          <w:lang w:val="en-US"/>
        </w:rPr>
        <w:t xml:space="preserve"> owner of th</w:t>
      </w:r>
      <w:r w:rsidR="004C0938" w:rsidRPr="00A519D0">
        <w:rPr>
          <w:lang w:val="en-US"/>
        </w:rPr>
        <w:t>o</w:t>
      </w:r>
      <w:r w:rsidR="00E83D3D" w:rsidRPr="00A519D0">
        <w:rPr>
          <w:lang w:val="en-US"/>
        </w:rPr>
        <w:t>se assets.  To avoid this kind of practices it was establi</w:t>
      </w:r>
      <w:r w:rsidR="001265D7" w:rsidRPr="00A519D0">
        <w:rPr>
          <w:lang w:val="en-US"/>
        </w:rPr>
        <w:t>sh</w:t>
      </w:r>
      <w:r w:rsidR="00C34878" w:rsidRPr="00A519D0">
        <w:rPr>
          <w:lang w:val="en-US"/>
        </w:rPr>
        <w:t>ed</w:t>
      </w:r>
      <w:r w:rsidR="00E83D3D" w:rsidRPr="00A519D0">
        <w:rPr>
          <w:lang w:val="en-US"/>
        </w:rPr>
        <w:t xml:space="preserve"> the mandatory entry of beneficial owners into register of beneficial owners and the procedures to check th</w:t>
      </w:r>
      <w:r w:rsidR="004C0938" w:rsidRPr="00A519D0">
        <w:rPr>
          <w:lang w:val="en-US"/>
        </w:rPr>
        <w:t>os</w:t>
      </w:r>
      <w:r w:rsidR="00E83D3D" w:rsidRPr="00A519D0">
        <w:rPr>
          <w:lang w:val="en-US"/>
        </w:rPr>
        <w:t>e data</w:t>
      </w:r>
      <w:r w:rsidR="001265D7" w:rsidRPr="00A519D0">
        <w:rPr>
          <w:lang w:val="en-US"/>
        </w:rPr>
        <w:t>.</w:t>
      </w:r>
    </w:p>
    <w:p w14:paraId="6E473912" w14:textId="36ECFC46" w:rsidR="00D64E07" w:rsidRPr="00A519D0" w:rsidRDefault="00C34878" w:rsidP="00B65A09">
      <w:pPr>
        <w:rPr>
          <w:lang w:val="en-US"/>
        </w:rPr>
      </w:pPr>
      <w:r w:rsidRPr="00A519D0">
        <w:rPr>
          <w:lang w:val="en-US"/>
        </w:rPr>
        <w:t>In 2021</w:t>
      </w:r>
      <w:r w:rsidR="004C0938" w:rsidRPr="00A519D0">
        <w:rPr>
          <w:lang w:val="en-US"/>
        </w:rPr>
        <w:t>,</w:t>
      </w:r>
      <w:r w:rsidRPr="00A519D0">
        <w:rPr>
          <w:lang w:val="en-US"/>
        </w:rPr>
        <w:t xml:space="preserve"> the O</w:t>
      </w:r>
      <w:r w:rsidR="004C0938" w:rsidRPr="00A519D0">
        <w:rPr>
          <w:lang w:val="en-US"/>
        </w:rPr>
        <w:t>MLP</w:t>
      </w:r>
      <w:r w:rsidRPr="00A519D0">
        <w:rPr>
          <w:lang w:val="en-US"/>
        </w:rPr>
        <w:t xml:space="preserve"> performed 25 supervisions related to beneficial ownership register and detected 16 violations. In 13 cases warnings were issued in accordance </w:t>
      </w:r>
      <w:r w:rsidR="00B31BF5" w:rsidRPr="00A519D0">
        <w:rPr>
          <w:lang w:val="en-US"/>
        </w:rPr>
        <w:t>with</w:t>
      </w:r>
      <w:r w:rsidRPr="00A519D0">
        <w:rPr>
          <w:lang w:val="en-US"/>
        </w:rPr>
        <w:t xml:space="preserve"> </w:t>
      </w:r>
      <w:r w:rsidR="004C0938" w:rsidRPr="00A519D0">
        <w:rPr>
          <w:lang w:val="en-US"/>
        </w:rPr>
        <w:t xml:space="preserve">the </w:t>
      </w:r>
      <w:r w:rsidRPr="00A519D0">
        <w:rPr>
          <w:lang w:val="en-US"/>
        </w:rPr>
        <w:t xml:space="preserve">Minor </w:t>
      </w:r>
      <w:r w:rsidR="001265D7" w:rsidRPr="00A519D0">
        <w:rPr>
          <w:lang w:val="en-US"/>
        </w:rPr>
        <w:t>Offences</w:t>
      </w:r>
      <w:r w:rsidRPr="00A519D0">
        <w:rPr>
          <w:lang w:val="en-US"/>
        </w:rPr>
        <w:t xml:space="preserve"> Act, and other sanctions in 3 cases. </w:t>
      </w:r>
    </w:p>
    <w:p w14:paraId="653B6392" w14:textId="77777777" w:rsidR="00B65A09" w:rsidRPr="00A519D0" w:rsidRDefault="00B65A09" w:rsidP="00B65A09">
      <w:pPr>
        <w:rPr>
          <w:lang w:val="en-US"/>
        </w:rPr>
      </w:pPr>
      <w:bookmarkStart w:id="26" w:name="_Hlk105396420"/>
      <w:bookmarkEnd w:id="25"/>
    </w:p>
    <w:p w14:paraId="0F842097" w14:textId="0DCF4B32" w:rsidR="00B65A09" w:rsidRPr="00A519D0" w:rsidRDefault="00093162" w:rsidP="00E02BEB">
      <w:pPr>
        <w:pStyle w:val="Naslov1"/>
        <w:rPr>
          <w:lang w:val="en-US"/>
        </w:rPr>
      </w:pPr>
      <w:bookmarkStart w:id="27" w:name="_Toc119581726"/>
      <w:r w:rsidRPr="00A519D0">
        <w:rPr>
          <w:lang w:val="en-US"/>
        </w:rPr>
        <w:t>INTERNATIONAL COOPERATION</w:t>
      </w:r>
      <w:bookmarkEnd w:id="27"/>
    </w:p>
    <w:p w14:paraId="205B3C6E" w14:textId="77777777" w:rsidR="004C0938" w:rsidRPr="00A519D0" w:rsidRDefault="004C0938" w:rsidP="00D555D3">
      <w:pPr>
        <w:rPr>
          <w:lang w:val="en-US"/>
        </w:rPr>
      </w:pPr>
    </w:p>
    <w:p w14:paraId="45D55F13" w14:textId="7755681E" w:rsidR="00D555D3" w:rsidRPr="00A519D0" w:rsidRDefault="00D555D3" w:rsidP="004C0938">
      <w:pPr>
        <w:spacing w:line="276" w:lineRule="auto"/>
        <w:rPr>
          <w:lang w:val="en-US"/>
        </w:rPr>
      </w:pPr>
      <w:r w:rsidRPr="00A519D0">
        <w:rPr>
          <w:lang w:val="en-US"/>
        </w:rPr>
        <w:t xml:space="preserve">The legal basis for the international activities of the OMLP is determined by Articles 105, 106 and 108 of APMLFT-1, authorizing the OMLP to exchange the information with foreign counterparts competent for the prevention of money laundering and terrorist financing. The chapter of the APMLTF-1 referring to the international cooperation also determines conditions under which the OMLP can temporarily postpone a transaction </w:t>
      </w:r>
      <w:proofErr w:type="gramStart"/>
      <w:r w:rsidRPr="00A519D0">
        <w:rPr>
          <w:lang w:val="en-US"/>
        </w:rPr>
        <w:t>on the basis of</w:t>
      </w:r>
      <w:proofErr w:type="gramEnd"/>
      <w:r w:rsidRPr="00A519D0">
        <w:rPr>
          <w:lang w:val="en-US"/>
        </w:rPr>
        <w:t xml:space="preserve"> the initiative of the foreign FIU and enables the OMLP itself to give (within its obligations of the prevention of money laundering and terrorist financing) an initiative to a foreign authority for the temporary postponement of transaction on the basis of suspicion of money laundering and terrorist financing. </w:t>
      </w:r>
    </w:p>
    <w:p w14:paraId="01CB2200" w14:textId="60E304C7" w:rsidR="00D555D3" w:rsidRPr="00A519D0" w:rsidRDefault="00D555D3" w:rsidP="004C0938">
      <w:pPr>
        <w:spacing w:line="276" w:lineRule="auto"/>
        <w:rPr>
          <w:lang w:val="en-US"/>
        </w:rPr>
      </w:pPr>
      <w:r w:rsidRPr="00A519D0">
        <w:rPr>
          <w:lang w:val="en-US"/>
        </w:rPr>
        <w:t xml:space="preserve">The OMLP has obtained certain competences </w:t>
      </w:r>
      <w:proofErr w:type="gramStart"/>
      <w:r w:rsidRPr="00A519D0">
        <w:rPr>
          <w:lang w:val="en-US"/>
        </w:rPr>
        <w:t>on the basis of</w:t>
      </w:r>
      <w:proofErr w:type="gramEnd"/>
      <w:r w:rsidRPr="00A519D0">
        <w:rPr>
          <w:lang w:val="en-US"/>
        </w:rPr>
        <w:t xml:space="preserve"> the Council of Europe “Convention No. 198 on laundering, search, seizure and confiscation of the proceeds from crime and on the financing of terrorism” (hereinafter: Convention No. 198), which was adopted by the Board of Ministers of the Council of Europe on 16 May 2005. Slovenia signed it on 28 March 2007, ratified on 26 April 2010, so it came into force on 1 August 2010. The OMLP was foreseen as the central authority, competent for receiving and sending requests referring to money laundering, search, </w:t>
      </w:r>
      <w:proofErr w:type="gramStart"/>
      <w:r w:rsidRPr="00A519D0">
        <w:rPr>
          <w:lang w:val="en-US"/>
        </w:rPr>
        <w:t>seizure</w:t>
      </w:r>
      <w:proofErr w:type="gramEnd"/>
      <w:r w:rsidRPr="00A519D0">
        <w:rPr>
          <w:lang w:val="en-US"/>
        </w:rPr>
        <w:t xml:space="preserve"> and confiscation of the proceeds from crim</w:t>
      </w:r>
      <w:r w:rsidR="004C0938" w:rsidRPr="00A519D0">
        <w:rPr>
          <w:lang w:val="en-US"/>
        </w:rPr>
        <w:t>e</w:t>
      </w:r>
      <w:r w:rsidRPr="00A519D0">
        <w:rPr>
          <w:lang w:val="en-US"/>
        </w:rPr>
        <w:t xml:space="preserve"> and financing of terrorism. </w:t>
      </w:r>
    </w:p>
    <w:p w14:paraId="13518247" w14:textId="3C96E5E4" w:rsidR="00B65A09" w:rsidRPr="00A519D0" w:rsidRDefault="00D555D3" w:rsidP="004C0938">
      <w:pPr>
        <w:spacing w:line="276" w:lineRule="auto"/>
        <w:rPr>
          <w:lang w:val="en-US"/>
        </w:rPr>
      </w:pPr>
      <w:r w:rsidRPr="00A519D0">
        <w:rPr>
          <w:lang w:val="en-US"/>
        </w:rPr>
        <w:t xml:space="preserve">Below you will find the activities of the OMLP in the </w:t>
      </w:r>
      <w:r w:rsidR="001265D7" w:rsidRPr="00A519D0">
        <w:rPr>
          <w:lang w:val="en-US"/>
        </w:rPr>
        <w:t>field</w:t>
      </w:r>
      <w:r w:rsidRPr="00A519D0">
        <w:rPr>
          <w:lang w:val="en-US"/>
        </w:rPr>
        <w:t xml:space="preserve"> of international cooperation, separately for multilateral and bilateral cooperation. </w:t>
      </w:r>
    </w:p>
    <w:p w14:paraId="422C7671" w14:textId="34007B6D" w:rsidR="00B65A09" w:rsidRPr="00A519D0" w:rsidRDefault="00D555D3" w:rsidP="004C0938">
      <w:pPr>
        <w:pStyle w:val="Naslov2"/>
        <w:spacing w:line="276" w:lineRule="auto"/>
        <w:rPr>
          <w:lang w:val="en-US"/>
        </w:rPr>
      </w:pPr>
      <w:r w:rsidRPr="00A519D0">
        <w:rPr>
          <w:lang w:val="en-US"/>
        </w:rPr>
        <w:t xml:space="preserve">MULTILATERAL COOPERATION </w:t>
      </w:r>
    </w:p>
    <w:p w14:paraId="3EC8A697" w14:textId="77777777" w:rsidR="00B65A09" w:rsidRPr="00A519D0" w:rsidRDefault="00B65A09" w:rsidP="004C0938">
      <w:pPr>
        <w:spacing w:line="276" w:lineRule="auto"/>
        <w:rPr>
          <w:lang w:val="en-US"/>
        </w:rPr>
      </w:pPr>
    </w:p>
    <w:p w14:paraId="0CAC3F85" w14:textId="1D257F19" w:rsidR="005543F3" w:rsidRPr="00A519D0" w:rsidRDefault="00D555D3" w:rsidP="00B65A09">
      <w:pPr>
        <w:rPr>
          <w:color w:val="000000" w:themeColor="text1"/>
          <w:lang w:val="en-US"/>
        </w:rPr>
      </w:pPr>
      <w:r w:rsidRPr="00A519D0">
        <w:rPr>
          <w:color w:val="000000" w:themeColor="text1"/>
          <w:lang w:val="en-US"/>
        </w:rPr>
        <w:t xml:space="preserve">In this section the activities of the OMLP in the field of cooperation with the EGMONT group, Council of </w:t>
      </w:r>
      <w:proofErr w:type="gramStart"/>
      <w:r w:rsidRPr="00A519D0">
        <w:rPr>
          <w:color w:val="000000" w:themeColor="text1"/>
          <w:lang w:val="en-US"/>
        </w:rPr>
        <w:t>Europe</w:t>
      </w:r>
      <w:proofErr w:type="gramEnd"/>
      <w:r w:rsidRPr="00A519D0">
        <w:rPr>
          <w:color w:val="000000" w:themeColor="text1"/>
          <w:lang w:val="en-US"/>
        </w:rPr>
        <w:t xml:space="preserve"> and different </w:t>
      </w:r>
      <w:r w:rsidR="001265D7" w:rsidRPr="00A519D0">
        <w:rPr>
          <w:color w:val="000000" w:themeColor="text1"/>
          <w:lang w:val="en-US"/>
        </w:rPr>
        <w:t>bodies</w:t>
      </w:r>
      <w:r w:rsidRPr="00A519D0">
        <w:rPr>
          <w:color w:val="000000" w:themeColor="text1"/>
          <w:lang w:val="en-US"/>
        </w:rPr>
        <w:t xml:space="preserve"> of the European Union, in year 2021 (and also in previous years) are presented. </w:t>
      </w:r>
    </w:p>
    <w:p w14:paraId="26BB4366" w14:textId="77777777" w:rsidR="000F0441" w:rsidRPr="00A519D0" w:rsidRDefault="000F0441" w:rsidP="00B65A09">
      <w:pPr>
        <w:rPr>
          <w:color w:val="FF0000"/>
          <w:lang w:val="en-US"/>
        </w:rPr>
      </w:pPr>
    </w:p>
    <w:p w14:paraId="03355D3F" w14:textId="599B9641" w:rsidR="00B65A09" w:rsidRPr="00A519D0" w:rsidRDefault="00CB6CC5" w:rsidP="000F0441">
      <w:pPr>
        <w:pStyle w:val="Naslov3"/>
        <w:rPr>
          <w:lang w:val="en-US"/>
        </w:rPr>
      </w:pPr>
      <w:r w:rsidRPr="00A519D0">
        <w:rPr>
          <w:lang w:val="en-US"/>
        </w:rPr>
        <w:t>International EGMONT group</w:t>
      </w:r>
    </w:p>
    <w:p w14:paraId="56C184C1" w14:textId="77777777" w:rsidR="000F0441" w:rsidRPr="00A519D0" w:rsidRDefault="000F0441" w:rsidP="00B65A09">
      <w:pPr>
        <w:rPr>
          <w:color w:val="FF0000"/>
          <w:lang w:val="en-US"/>
        </w:rPr>
      </w:pPr>
    </w:p>
    <w:p w14:paraId="26C20ECE" w14:textId="4B326939" w:rsidR="00845090" w:rsidRPr="00A519D0" w:rsidRDefault="004C0938" w:rsidP="004C0938">
      <w:pPr>
        <w:spacing w:line="276" w:lineRule="auto"/>
        <w:rPr>
          <w:color w:val="000000" w:themeColor="text1"/>
          <w:lang w:val="en-US"/>
        </w:rPr>
      </w:pPr>
      <w:r w:rsidRPr="00A519D0">
        <w:rPr>
          <w:color w:val="000000" w:themeColor="text1"/>
          <w:lang w:val="en-US"/>
        </w:rPr>
        <w:t xml:space="preserve">In the period July 5 – 9, 2021, </w:t>
      </w:r>
      <w:r w:rsidR="00CB6CC5" w:rsidRPr="00A519D0">
        <w:rPr>
          <w:color w:val="000000" w:themeColor="text1"/>
          <w:lang w:val="en-US"/>
        </w:rPr>
        <w:t xml:space="preserve">the </w:t>
      </w:r>
      <w:r w:rsidR="001265D7" w:rsidRPr="00A519D0">
        <w:rPr>
          <w:color w:val="000000" w:themeColor="text1"/>
          <w:lang w:val="en-US"/>
        </w:rPr>
        <w:t>plenary</w:t>
      </w:r>
      <w:r w:rsidR="00CB6CC5" w:rsidRPr="00A519D0">
        <w:rPr>
          <w:color w:val="000000" w:themeColor="text1"/>
          <w:lang w:val="en-US"/>
        </w:rPr>
        <w:t xml:space="preserve"> session of the EGMONT </w:t>
      </w:r>
      <w:r w:rsidR="001265D7" w:rsidRPr="00A519D0">
        <w:rPr>
          <w:color w:val="000000" w:themeColor="text1"/>
          <w:lang w:val="en-US"/>
        </w:rPr>
        <w:t>group</w:t>
      </w:r>
      <w:r w:rsidR="00CB6CC5" w:rsidRPr="00A519D0">
        <w:rPr>
          <w:color w:val="000000" w:themeColor="text1"/>
          <w:lang w:val="en-US"/>
        </w:rPr>
        <w:t xml:space="preserve"> was organi</w:t>
      </w:r>
      <w:r w:rsidR="00A519D0">
        <w:rPr>
          <w:color w:val="000000" w:themeColor="text1"/>
          <w:lang w:val="en-US"/>
        </w:rPr>
        <w:t>z</w:t>
      </w:r>
      <w:r w:rsidR="00CB6CC5" w:rsidRPr="00A519D0">
        <w:rPr>
          <w:color w:val="000000" w:themeColor="text1"/>
          <w:lang w:val="en-US"/>
        </w:rPr>
        <w:t>ed on</w:t>
      </w:r>
      <w:r w:rsidRPr="00A519D0">
        <w:rPr>
          <w:color w:val="000000" w:themeColor="text1"/>
          <w:lang w:val="en-US"/>
        </w:rPr>
        <w:t>-</w:t>
      </w:r>
      <w:r w:rsidR="00CB6CC5" w:rsidRPr="00A519D0">
        <w:rPr>
          <w:color w:val="000000" w:themeColor="text1"/>
          <w:lang w:val="en-US"/>
        </w:rPr>
        <w:t>line due to COVID-19 pandemic.</w:t>
      </w:r>
    </w:p>
    <w:p w14:paraId="6EFB6238" w14:textId="27D42D9C" w:rsidR="008B1D4B" w:rsidRPr="00A519D0" w:rsidRDefault="00CB6CC5" w:rsidP="004C0938">
      <w:pPr>
        <w:spacing w:line="276" w:lineRule="auto"/>
        <w:rPr>
          <w:color w:val="000000" w:themeColor="text1"/>
          <w:lang w:val="en-US"/>
        </w:rPr>
      </w:pPr>
      <w:r w:rsidRPr="00A519D0">
        <w:rPr>
          <w:color w:val="000000" w:themeColor="text1"/>
          <w:lang w:val="en-US"/>
        </w:rPr>
        <w:t xml:space="preserve">At </w:t>
      </w:r>
      <w:r w:rsidR="001265D7" w:rsidRPr="00A519D0">
        <w:rPr>
          <w:color w:val="000000" w:themeColor="text1"/>
          <w:lang w:val="en-US"/>
        </w:rPr>
        <w:t>the</w:t>
      </w:r>
      <w:r w:rsidRPr="00A519D0">
        <w:rPr>
          <w:color w:val="000000" w:themeColor="text1"/>
          <w:lang w:val="en-US"/>
        </w:rPr>
        <w:t xml:space="preserve"> </w:t>
      </w:r>
      <w:r w:rsidR="001265D7" w:rsidRPr="00A519D0">
        <w:rPr>
          <w:color w:val="000000" w:themeColor="text1"/>
          <w:lang w:val="en-US"/>
        </w:rPr>
        <w:t>plenary</w:t>
      </w:r>
      <w:r w:rsidR="004C0938" w:rsidRPr="00A519D0">
        <w:rPr>
          <w:color w:val="000000" w:themeColor="text1"/>
          <w:lang w:val="en-US"/>
        </w:rPr>
        <w:t>,</w:t>
      </w:r>
      <w:r w:rsidRPr="00A519D0">
        <w:rPr>
          <w:color w:val="000000" w:themeColor="text1"/>
          <w:lang w:val="en-US"/>
        </w:rPr>
        <w:t xml:space="preserve"> the Activity report for 2020-2021 of the EGMONT group </w:t>
      </w:r>
      <w:r w:rsidR="004C0938" w:rsidRPr="00A519D0">
        <w:rPr>
          <w:color w:val="000000" w:themeColor="text1"/>
          <w:lang w:val="en-US"/>
        </w:rPr>
        <w:t>and</w:t>
      </w:r>
      <w:r w:rsidRPr="00A519D0">
        <w:rPr>
          <w:color w:val="000000" w:themeColor="text1"/>
          <w:lang w:val="en-US"/>
        </w:rPr>
        <w:t xml:space="preserve"> draft budget for</w:t>
      </w:r>
      <w:r w:rsidR="004C0938" w:rsidRPr="00A519D0">
        <w:rPr>
          <w:color w:val="000000" w:themeColor="text1"/>
          <w:lang w:val="en-US"/>
        </w:rPr>
        <w:t xml:space="preserve"> </w:t>
      </w:r>
      <w:r w:rsidRPr="00A519D0">
        <w:rPr>
          <w:color w:val="000000" w:themeColor="text1"/>
          <w:lang w:val="en-US"/>
        </w:rPr>
        <w:t>the period 2020-2021</w:t>
      </w:r>
      <w:r w:rsidR="004C0938" w:rsidRPr="00A519D0">
        <w:rPr>
          <w:color w:val="000000" w:themeColor="text1"/>
          <w:lang w:val="en-US"/>
        </w:rPr>
        <w:t xml:space="preserve"> (without the ex</w:t>
      </w:r>
      <w:r w:rsidRPr="00A519D0">
        <w:rPr>
          <w:color w:val="000000" w:themeColor="text1"/>
          <w:lang w:val="en-US"/>
        </w:rPr>
        <w:t>penses of ECOFE</w:t>
      </w:r>
      <w:r w:rsidR="00B44A2B" w:rsidRPr="00A519D0">
        <w:rPr>
          <w:color w:val="000000" w:themeColor="text1"/>
          <w:lang w:val="en-US"/>
        </w:rPr>
        <w:t>L</w:t>
      </w:r>
      <w:r w:rsidRPr="00A519D0">
        <w:rPr>
          <w:color w:val="000000" w:themeColor="text1"/>
          <w:lang w:val="en-US"/>
        </w:rPr>
        <w:t xml:space="preserve"> </w:t>
      </w:r>
      <w:r w:rsidR="004C0938" w:rsidRPr="00A519D0">
        <w:rPr>
          <w:color w:val="000000" w:themeColor="text1"/>
          <w:lang w:val="en-US"/>
        </w:rPr>
        <w:t xml:space="preserve">- </w:t>
      </w:r>
      <w:r w:rsidR="001265D7" w:rsidRPr="00A519D0">
        <w:rPr>
          <w:color w:val="000000" w:themeColor="text1"/>
          <w:lang w:val="en-US"/>
        </w:rPr>
        <w:t>training</w:t>
      </w:r>
      <w:r w:rsidRPr="00A519D0">
        <w:rPr>
          <w:color w:val="000000" w:themeColor="text1"/>
          <w:lang w:val="en-US"/>
        </w:rPr>
        <w:t xml:space="preserve"> cent</w:t>
      </w:r>
      <w:r w:rsidR="00A519D0">
        <w:rPr>
          <w:color w:val="000000" w:themeColor="text1"/>
          <w:lang w:val="en-US"/>
        </w:rPr>
        <w:t>er</w:t>
      </w:r>
      <w:r w:rsidRPr="00A519D0">
        <w:rPr>
          <w:color w:val="000000" w:themeColor="text1"/>
          <w:lang w:val="en-US"/>
        </w:rPr>
        <w:t xml:space="preserve"> in the framework of EGMONT</w:t>
      </w:r>
      <w:r w:rsidR="004C0938" w:rsidRPr="00A519D0">
        <w:rPr>
          <w:color w:val="000000" w:themeColor="text1"/>
          <w:lang w:val="en-US"/>
        </w:rPr>
        <w:t xml:space="preserve"> with its own budget) were presented. </w:t>
      </w:r>
      <w:r w:rsidR="00B44A2B" w:rsidRPr="00A519D0">
        <w:rPr>
          <w:color w:val="000000" w:themeColor="text1"/>
          <w:lang w:val="en-US"/>
        </w:rPr>
        <w:t xml:space="preserve">The FIU </w:t>
      </w:r>
      <w:r w:rsidR="001265D7" w:rsidRPr="00A519D0">
        <w:rPr>
          <w:color w:val="000000" w:themeColor="text1"/>
          <w:lang w:val="en-US"/>
        </w:rPr>
        <w:t>Botswana</w:t>
      </w:r>
      <w:r w:rsidR="00B44A2B" w:rsidRPr="00A519D0">
        <w:rPr>
          <w:color w:val="000000" w:themeColor="text1"/>
          <w:lang w:val="en-US"/>
        </w:rPr>
        <w:t xml:space="preserve"> </w:t>
      </w:r>
      <w:r w:rsidR="001265D7" w:rsidRPr="00A519D0">
        <w:rPr>
          <w:color w:val="000000" w:themeColor="text1"/>
          <w:lang w:val="en-US"/>
        </w:rPr>
        <w:t>was</w:t>
      </w:r>
      <w:r w:rsidR="00B44A2B" w:rsidRPr="00A519D0">
        <w:rPr>
          <w:color w:val="000000" w:themeColor="text1"/>
          <w:lang w:val="en-US"/>
        </w:rPr>
        <w:t xml:space="preserve"> accepted to the EGMONT group, so the </w:t>
      </w:r>
      <w:r w:rsidR="001265D7" w:rsidRPr="00A519D0">
        <w:rPr>
          <w:color w:val="000000" w:themeColor="text1"/>
          <w:lang w:val="en-US"/>
        </w:rPr>
        <w:t>number</w:t>
      </w:r>
      <w:r w:rsidR="00B44A2B" w:rsidRPr="00A519D0">
        <w:rPr>
          <w:color w:val="000000" w:themeColor="text1"/>
          <w:lang w:val="en-US"/>
        </w:rPr>
        <w:t xml:space="preserve"> of members o</w:t>
      </w:r>
      <w:r w:rsidR="009B79D6" w:rsidRPr="00A519D0">
        <w:rPr>
          <w:color w:val="000000" w:themeColor="text1"/>
          <w:lang w:val="en-US"/>
        </w:rPr>
        <w:t>f</w:t>
      </w:r>
      <w:r w:rsidR="00B44A2B" w:rsidRPr="00A519D0">
        <w:rPr>
          <w:color w:val="000000" w:themeColor="text1"/>
          <w:lang w:val="en-US"/>
        </w:rPr>
        <w:t xml:space="preserve"> the group </w:t>
      </w:r>
      <w:r w:rsidR="001265D7" w:rsidRPr="00A519D0">
        <w:rPr>
          <w:color w:val="000000" w:themeColor="text1"/>
          <w:lang w:val="en-US"/>
        </w:rPr>
        <w:t>raised</w:t>
      </w:r>
      <w:r w:rsidR="00B44A2B" w:rsidRPr="00A519D0">
        <w:rPr>
          <w:color w:val="000000" w:themeColor="text1"/>
          <w:lang w:val="en-US"/>
        </w:rPr>
        <w:t xml:space="preserve"> to 167. The plan of </w:t>
      </w:r>
      <w:r w:rsidR="001265D7" w:rsidRPr="00A519D0">
        <w:rPr>
          <w:color w:val="000000" w:themeColor="text1"/>
          <w:lang w:val="en-US"/>
        </w:rPr>
        <w:t>plenary</w:t>
      </w:r>
      <w:r w:rsidR="00B44A2B" w:rsidRPr="00A519D0">
        <w:rPr>
          <w:color w:val="000000" w:themeColor="text1"/>
          <w:lang w:val="en-US"/>
        </w:rPr>
        <w:t xml:space="preserve"> </w:t>
      </w:r>
      <w:r w:rsidR="001265D7" w:rsidRPr="00A519D0">
        <w:rPr>
          <w:color w:val="000000" w:themeColor="text1"/>
          <w:lang w:val="en-US"/>
        </w:rPr>
        <w:t>session</w:t>
      </w:r>
      <w:r w:rsidR="004C0938" w:rsidRPr="00A519D0">
        <w:rPr>
          <w:color w:val="000000" w:themeColor="text1"/>
          <w:lang w:val="en-US"/>
        </w:rPr>
        <w:t>s</w:t>
      </w:r>
      <w:r w:rsidR="00B44A2B" w:rsidRPr="00A519D0">
        <w:rPr>
          <w:color w:val="000000" w:themeColor="text1"/>
          <w:lang w:val="en-US"/>
        </w:rPr>
        <w:t xml:space="preserve"> </w:t>
      </w:r>
      <w:r w:rsidR="001265D7" w:rsidRPr="00A519D0">
        <w:rPr>
          <w:color w:val="000000" w:themeColor="text1"/>
          <w:lang w:val="en-US"/>
        </w:rPr>
        <w:t>for the</w:t>
      </w:r>
      <w:r w:rsidR="00B44A2B" w:rsidRPr="00A519D0">
        <w:rPr>
          <w:color w:val="000000" w:themeColor="text1"/>
          <w:lang w:val="en-US"/>
        </w:rPr>
        <w:t xml:space="preserve"> period 2022-2023 was </w:t>
      </w:r>
      <w:r w:rsidR="004C0938" w:rsidRPr="00A519D0">
        <w:rPr>
          <w:color w:val="000000" w:themeColor="text1"/>
          <w:lang w:val="en-US"/>
        </w:rPr>
        <w:lastRenderedPageBreak/>
        <w:t>determined as well as t</w:t>
      </w:r>
      <w:r w:rsidR="00B44A2B" w:rsidRPr="00A519D0">
        <w:rPr>
          <w:color w:val="000000" w:themeColor="text1"/>
          <w:lang w:val="en-US"/>
        </w:rPr>
        <w:t xml:space="preserve">he </w:t>
      </w:r>
      <w:r w:rsidR="001265D7" w:rsidRPr="00A519D0">
        <w:rPr>
          <w:color w:val="000000" w:themeColor="text1"/>
          <w:lang w:val="en-US"/>
        </w:rPr>
        <w:t>strategic</w:t>
      </w:r>
      <w:r w:rsidR="00B44A2B" w:rsidRPr="00A519D0">
        <w:rPr>
          <w:color w:val="000000" w:themeColor="text1"/>
          <w:lang w:val="en-US"/>
        </w:rPr>
        <w:t xml:space="preserve"> </w:t>
      </w:r>
      <w:r w:rsidR="001265D7" w:rsidRPr="00A519D0">
        <w:rPr>
          <w:color w:val="000000" w:themeColor="text1"/>
          <w:lang w:val="en-US"/>
        </w:rPr>
        <w:t>work plan</w:t>
      </w:r>
      <w:r w:rsidR="00B44A2B" w:rsidRPr="00A519D0">
        <w:rPr>
          <w:color w:val="000000" w:themeColor="text1"/>
          <w:lang w:val="en-US"/>
        </w:rPr>
        <w:t xml:space="preserve"> of the group in the future</w:t>
      </w:r>
      <w:r w:rsidR="004C0938" w:rsidRPr="00A519D0">
        <w:rPr>
          <w:color w:val="000000" w:themeColor="text1"/>
          <w:lang w:val="en-US"/>
        </w:rPr>
        <w:t>.</w:t>
      </w:r>
      <w:r w:rsidR="004348B0" w:rsidRPr="00A519D0">
        <w:rPr>
          <w:color w:val="000000" w:themeColor="text1"/>
          <w:lang w:val="en-US"/>
        </w:rPr>
        <w:t xml:space="preserve"> The Camden Asset Recovery Interagency Network</w:t>
      </w:r>
      <w:r w:rsidR="00B44A2B" w:rsidRPr="00A519D0">
        <w:rPr>
          <w:color w:val="000000" w:themeColor="text1"/>
          <w:lang w:val="en-US"/>
        </w:rPr>
        <w:t xml:space="preserve"> gained the status of observer and the </w:t>
      </w:r>
      <w:r w:rsidR="004348B0" w:rsidRPr="00A519D0">
        <w:rPr>
          <w:color w:val="000000" w:themeColor="text1"/>
          <w:lang w:val="en-US"/>
        </w:rPr>
        <w:t>World Customs Organization</w:t>
      </w:r>
      <w:r w:rsidR="00B44A2B" w:rsidRPr="00A519D0">
        <w:rPr>
          <w:color w:val="000000" w:themeColor="text1"/>
          <w:lang w:val="en-US"/>
        </w:rPr>
        <w:t xml:space="preserve"> applied for membership.</w:t>
      </w:r>
      <w:r w:rsidR="004348B0" w:rsidRPr="00A519D0">
        <w:rPr>
          <w:color w:val="000000" w:themeColor="text1"/>
          <w:lang w:val="en-US"/>
        </w:rPr>
        <w:t xml:space="preserve"> </w:t>
      </w:r>
      <w:r w:rsidR="00B44A2B" w:rsidRPr="00A519D0">
        <w:rPr>
          <w:color w:val="000000" w:themeColor="text1"/>
          <w:lang w:val="en-US"/>
        </w:rPr>
        <w:t xml:space="preserve">At the </w:t>
      </w:r>
      <w:r w:rsidR="001265D7" w:rsidRPr="00A519D0">
        <w:rPr>
          <w:color w:val="000000" w:themeColor="text1"/>
          <w:lang w:val="en-US"/>
        </w:rPr>
        <w:t>plenary</w:t>
      </w:r>
      <w:r w:rsidR="004C0938" w:rsidRPr="00A519D0">
        <w:rPr>
          <w:color w:val="000000" w:themeColor="text1"/>
          <w:lang w:val="en-US"/>
        </w:rPr>
        <w:t xml:space="preserve">, </w:t>
      </w:r>
      <w:r w:rsidR="00B44A2B" w:rsidRPr="00A519D0">
        <w:rPr>
          <w:color w:val="000000" w:themeColor="text1"/>
          <w:lang w:val="en-US"/>
        </w:rPr>
        <w:t xml:space="preserve">the support was given to the future IT renewal, </w:t>
      </w:r>
      <w:r w:rsidR="004C0938" w:rsidRPr="00A519D0">
        <w:rPr>
          <w:color w:val="000000" w:themeColor="text1"/>
          <w:lang w:val="en-US"/>
        </w:rPr>
        <w:t>as</w:t>
      </w:r>
      <w:r w:rsidR="00B44A2B" w:rsidRPr="00A519D0">
        <w:rPr>
          <w:color w:val="000000" w:themeColor="text1"/>
          <w:lang w:val="en-US"/>
        </w:rPr>
        <w:t xml:space="preserve"> one of the most </w:t>
      </w:r>
      <w:r w:rsidR="001265D7" w:rsidRPr="00A519D0">
        <w:rPr>
          <w:color w:val="000000" w:themeColor="text1"/>
          <w:lang w:val="en-US"/>
        </w:rPr>
        <w:t>important</w:t>
      </w:r>
      <w:r w:rsidR="00B44A2B" w:rsidRPr="00A519D0">
        <w:rPr>
          <w:color w:val="000000" w:themeColor="text1"/>
          <w:lang w:val="en-US"/>
        </w:rPr>
        <w:t xml:space="preserve"> project</w:t>
      </w:r>
      <w:r w:rsidR="004C0938" w:rsidRPr="00A519D0">
        <w:rPr>
          <w:color w:val="000000" w:themeColor="text1"/>
          <w:lang w:val="en-US"/>
        </w:rPr>
        <w:t>s</w:t>
      </w:r>
      <w:r w:rsidR="00B44A2B" w:rsidRPr="00A519D0">
        <w:rPr>
          <w:color w:val="000000" w:themeColor="text1"/>
          <w:lang w:val="en-US"/>
        </w:rPr>
        <w:t xml:space="preserve"> of the EGMONT group</w:t>
      </w:r>
      <w:r w:rsidR="004C0938" w:rsidRPr="00A519D0">
        <w:rPr>
          <w:color w:val="000000" w:themeColor="text1"/>
          <w:lang w:val="en-US"/>
        </w:rPr>
        <w:t>.</w:t>
      </w:r>
      <w:r w:rsidR="00B44A2B" w:rsidRPr="00A519D0">
        <w:rPr>
          <w:color w:val="000000" w:themeColor="text1"/>
          <w:lang w:val="en-US"/>
        </w:rPr>
        <w:t xml:space="preserve"> </w:t>
      </w:r>
    </w:p>
    <w:p w14:paraId="170C6E13" w14:textId="56803A01" w:rsidR="00845090" w:rsidRPr="00A519D0" w:rsidRDefault="00B44A2B" w:rsidP="004C0938">
      <w:pPr>
        <w:spacing w:line="276" w:lineRule="auto"/>
        <w:rPr>
          <w:color w:val="000000" w:themeColor="text1"/>
          <w:lang w:val="en-US"/>
        </w:rPr>
      </w:pPr>
      <w:r w:rsidRPr="00A519D0">
        <w:rPr>
          <w:color w:val="000000" w:themeColor="text1"/>
          <w:lang w:val="en-US"/>
        </w:rPr>
        <w:t>Regional group</w:t>
      </w:r>
      <w:r w:rsidR="008B1D4B" w:rsidRPr="00A519D0">
        <w:rPr>
          <w:color w:val="000000" w:themeColor="text1"/>
          <w:lang w:val="en-US"/>
        </w:rPr>
        <w:t xml:space="preserve"> Europe I, </w:t>
      </w:r>
      <w:r w:rsidRPr="00A519D0">
        <w:rPr>
          <w:color w:val="000000" w:themeColor="text1"/>
          <w:lang w:val="en-US"/>
        </w:rPr>
        <w:t>(Slovenia is part of this group) met virtually in March and July 2021. The topics of th</w:t>
      </w:r>
      <w:r w:rsidR="004C0938" w:rsidRPr="00A519D0">
        <w:rPr>
          <w:color w:val="000000" w:themeColor="text1"/>
          <w:lang w:val="en-US"/>
        </w:rPr>
        <w:t>os</w:t>
      </w:r>
      <w:r w:rsidRPr="00A519D0">
        <w:rPr>
          <w:color w:val="000000" w:themeColor="text1"/>
          <w:lang w:val="en-US"/>
        </w:rPr>
        <w:t xml:space="preserve">e meetings were progress reports </w:t>
      </w:r>
      <w:r w:rsidR="004C0938" w:rsidRPr="00A519D0">
        <w:rPr>
          <w:color w:val="000000" w:themeColor="text1"/>
          <w:lang w:val="en-US"/>
        </w:rPr>
        <w:t>on</w:t>
      </w:r>
      <w:r w:rsidRPr="00A519D0">
        <w:rPr>
          <w:color w:val="000000" w:themeColor="text1"/>
          <w:lang w:val="en-US"/>
        </w:rPr>
        <w:t xml:space="preserve"> projec</w:t>
      </w:r>
      <w:r w:rsidR="009B79D6" w:rsidRPr="00A519D0">
        <w:rPr>
          <w:color w:val="000000" w:themeColor="text1"/>
          <w:lang w:val="en-US"/>
        </w:rPr>
        <w:t>ts</w:t>
      </w:r>
      <w:r w:rsidRPr="00A519D0">
        <w:rPr>
          <w:color w:val="000000" w:themeColor="text1"/>
          <w:lang w:val="en-US"/>
        </w:rPr>
        <w:t xml:space="preserve"> and single working groups</w:t>
      </w:r>
      <w:r w:rsidR="009B79D6" w:rsidRPr="00A519D0">
        <w:rPr>
          <w:color w:val="000000" w:themeColor="text1"/>
          <w:lang w:val="en-US"/>
        </w:rPr>
        <w:t>, the revision of IT support, the creation of catalogue of information that single FIU can send in relation to virtual currencies</w:t>
      </w:r>
      <w:r w:rsidR="008B1D4B" w:rsidRPr="00A519D0">
        <w:rPr>
          <w:color w:val="000000" w:themeColor="text1"/>
          <w:lang w:val="en-US"/>
        </w:rPr>
        <w:t xml:space="preserve">, </w:t>
      </w:r>
      <w:r w:rsidR="009B79D6" w:rsidRPr="00A519D0">
        <w:rPr>
          <w:color w:val="000000" w:themeColor="text1"/>
          <w:lang w:val="en-US"/>
        </w:rPr>
        <w:t xml:space="preserve">overview of typologies of terrorist financing and actual situation in cases of fact finding about </w:t>
      </w:r>
      <w:r w:rsidR="001265D7" w:rsidRPr="00A519D0">
        <w:rPr>
          <w:color w:val="000000" w:themeColor="text1"/>
          <w:lang w:val="en-US"/>
        </w:rPr>
        <w:t>potential</w:t>
      </w:r>
      <w:r w:rsidR="009B79D6" w:rsidRPr="00A519D0">
        <w:rPr>
          <w:color w:val="000000" w:themeColor="text1"/>
          <w:lang w:val="en-US"/>
        </w:rPr>
        <w:t xml:space="preserve"> breaches of principals of the EGMONT group.</w:t>
      </w:r>
      <w:r w:rsidR="008B1D4B" w:rsidRPr="00A519D0">
        <w:rPr>
          <w:color w:val="000000" w:themeColor="text1"/>
          <w:lang w:val="en-US"/>
        </w:rPr>
        <w:t xml:space="preserve"> </w:t>
      </w:r>
      <w:r w:rsidR="009B79D6" w:rsidRPr="00A519D0">
        <w:rPr>
          <w:color w:val="000000" w:themeColor="text1"/>
          <w:lang w:val="en-US"/>
        </w:rPr>
        <w:t xml:space="preserve">Focus was </w:t>
      </w:r>
      <w:r w:rsidR="001265D7" w:rsidRPr="00A519D0">
        <w:rPr>
          <w:color w:val="000000" w:themeColor="text1"/>
          <w:lang w:val="en-US"/>
        </w:rPr>
        <w:t>given</w:t>
      </w:r>
      <w:r w:rsidR="009B79D6" w:rsidRPr="00A519D0">
        <w:rPr>
          <w:color w:val="000000" w:themeColor="text1"/>
          <w:lang w:val="en-US"/>
        </w:rPr>
        <w:t xml:space="preserve"> also to the migration of network for information exchange of the EU, FIU.net and to four legislative proposals (AML package) about the new coordination and </w:t>
      </w:r>
      <w:r w:rsidR="00271045" w:rsidRPr="00A519D0">
        <w:rPr>
          <w:color w:val="000000" w:themeColor="text1"/>
          <w:lang w:val="en-US"/>
        </w:rPr>
        <w:t>support mechanism for cooperation of FIUs.</w:t>
      </w:r>
    </w:p>
    <w:p w14:paraId="543987EB" w14:textId="77777777" w:rsidR="000F0441" w:rsidRPr="00A519D0" w:rsidRDefault="000F0441" w:rsidP="004C0938">
      <w:pPr>
        <w:spacing w:line="276" w:lineRule="auto"/>
        <w:rPr>
          <w:color w:val="000000" w:themeColor="text1"/>
          <w:lang w:val="en-US"/>
        </w:rPr>
      </w:pPr>
    </w:p>
    <w:p w14:paraId="2957B3BC" w14:textId="1285FD85" w:rsidR="000F0441" w:rsidRPr="00A519D0" w:rsidRDefault="00271045" w:rsidP="000F0441">
      <w:pPr>
        <w:pStyle w:val="Naslov3"/>
        <w:rPr>
          <w:lang w:val="en-US"/>
        </w:rPr>
      </w:pPr>
      <w:r w:rsidRPr="00A519D0">
        <w:rPr>
          <w:lang w:val="en-US"/>
        </w:rPr>
        <w:t xml:space="preserve">Council of Europe </w:t>
      </w:r>
    </w:p>
    <w:p w14:paraId="24970100" w14:textId="77777777" w:rsidR="000F0441" w:rsidRPr="00A519D0" w:rsidRDefault="000F0441" w:rsidP="000F0441">
      <w:pPr>
        <w:rPr>
          <w:lang w:val="en-US"/>
        </w:rPr>
      </w:pPr>
    </w:p>
    <w:p w14:paraId="500E1E56" w14:textId="33C75E06" w:rsidR="000F0441" w:rsidRPr="00A519D0" w:rsidRDefault="00271045" w:rsidP="000F0441">
      <w:pPr>
        <w:rPr>
          <w:lang w:val="en-US"/>
        </w:rPr>
      </w:pPr>
      <w:r w:rsidRPr="00A519D0">
        <w:rPr>
          <w:lang w:val="en-US"/>
        </w:rPr>
        <w:t>In 2021</w:t>
      </w:r>
      <w:r w:rsidR="004C0938" w:rsidRPr="00A519D0">
        <w:rPr>
          <w:lang w:val="en-US"/>
        </w:rPr>
        <w:t>,</w:t>
      </w:r>
      <w:r w:rsidRPr="00A519D0">
        <w:rPr>
          <w:lang w:val="en-US"/>
        </w:rPr>
        <w:t xml:space="preserve"> the activities of the OMLP were </w:t>
      </w:r>
      <w:r w:rsidR="001265D7" w:rsidRPr="00A519D0">
        <w:rPr>
          <w:lang w:val="en-US"/>
        </w:rPr>
        <w:t>largely</w:t>
      </w:r>
      <w:r w:rsidRPr="00A519D0">
        <w:rPr>
          <w:lang w:val="en-US"/>
        </w:rPr>
        <w:t xml:space="preserve"> focused to the functioning of the </w:t>
      </w:r>
      <w:r w:rsidR="001265D7" w:rsidRPr="00A519D0">
        <w:rPr>
          <w:lang w:val="en-US"/>
        </w:rPr>
        <w:t>Committee</w:t>
      </w:r>
      <w:r w:rsidRPr="00A519D0">
        <w:rPr>
          <w:lang w:val="en-US"/>
        </w:rPr>
        <w:t xml:space="preserve"> of Experts on the Evaluation of Anti-Money </w:t>
      </w:r>
      <w:r w:rsidR="001265D7" w:rsidRPr="00A519D0">
        <w:rPr>
          <w:lang w:val="en-US"/>
        </w:rPr>
        <w:t>Laundering</w:t>
      </w:r>
      <w:r w:rsidRPr="00A519D0">
        <w:rPr>
          <w:lang w:val="en-US"/>
        </w:rPr>
        <w:t xml:space="preserve"> Measures and the Financing of Terrorism</w:t>
      </w:r>
      <w:r w:rsidR="000F0441" w:rsidRPr="00A519D0">
        <w:rPr>
          <w:lang w:val="en-US"/>
        </w:rPr>
        <w:t xml:space="preserve"> (MONEYVAL).</w:t>
      </w:r>
    </w:p>
    <w:p w14:paraId="48AEB211" w14:textId="77777777" w:rsidR="000F0441" w:rsidRPr="00A519D0" w:rsidRDefault="000F0441" w:rsidP="000F0441">
      <w:pPr>
        <w:rPr>
          <w:lang w:val="en-US"/>
        </w:rPr>
      </w:pPr>
    </w:p>
    <w:p w14:paraId="70F2146F" w14:textId="4597C44D" w:rsidR="000F0441" w:rsidRPr="00A519D0" w:rsidRDefault="001265D7" w:rsidP="000F0441">
      <w:pPr>
        <w:pStyle w:val="Naslov4"/>
        <w:rPr>
          <w:lang w:val="en-US"/>
        </w:rPr>
      </w:pPr>
      <w:bookmarkStart w:id="28" w:name="_Toc119581730"/>
      <w:r w:rsidRPr="00A519D0">
        <w:rPr>
          <w:lang w:val="en-US"/>
        </w:rPr>
        <w:t>Committee</w:t>
      </w:r>
      <w:r w:rsidR="00C14753" w:rsidRPr="00A519D0">
        <w:rPr>
          <w:lang w:val="en-US"/>
        </w:rPr>
        <w:t xml:space="preserve"> of Experts of the Council of Europe on the Evaluation of Anti-Money Laundering Measures and </w:t>
      </w:r>
      <w:r w:rsidRPr="00A519D0">
        <w:rPr>
          <w:lang w:val="en-US"/>
        </w:rPr>
        <w:t>Financing</w:t>
      </w:r>
      <w:r w:rsidR="00C14753" w:rsidRPr="00A519D0">
        <w:rPr>
          <w:lang w:val="en-US"/>
        </w:rPr>
        <w:t xml:space="preserve"> of Terrorism </w:t>
      </w:r>
      <w:r w:rsidR="000F0441" w:rsidRPr="00A519D0">
        <w:rPr>
          <w:lang w:val="en-US"/>
        </w:rPr>
        <w:t>(MONEYVAL)</w:t>
      </w:r>
      <w:bookmarkEnd w:id="28"/>
    </w:p>
    <w:p w14:paraId="082D0B2C" w14:textId="77777777" w:rsidR="000F473B" w:rsidRPr="00A519D0" w:rsidRDefault="000F473B" w:rsidP="000F0441">
      <w:pPr>
        <w:rPr>
          <w:lang w:val="en-US"/>
        </w:rPr>
      </w:pPr>
    </w:p>
    <w:p w14:paraId="2AEC7BA4" w14:textId="58CB978B" w:rsidR="000F0441" w:rsidRPr="00A519D0" w:rsidRDefault="000F473B" w:rsidP="004C0938">
      <w:pPr>
        <w:spacing w:line="276" w:lineRule="auto"/>
        <w:rPr>
          <w:lang w:val="en-US"/>
        </w:rPr>
      </w:pPr>
      <w:r w:rsidRPr="00A519D0">
        <w:rPr>
          <w:lang w:val="en-US"/>
        </w:rPr>
        <w:t xml:space="preserve">In 2021, </w:t>
      </w:r>
      <w:r w:rsidR="00B31BF5">
        <w:rPr>
          <w:lang w:val="en-US"/>
        </w:rPr>
        <w:t xml:space="preserve">the </w:t>
      </w:r>
      <w:r w:rsidRPr="00A519D0">
        <w:rPr>
          <w:lang w:val="en-US"/>
        </w:rPr>
        <w:t xml:space="preserve">61st and 62nd </w:t>
      </w:r>
      <w:r w:rsidR="001265D7" w:rsidRPr="00A519D0">
        <w:rPr>
          <w:lang w:val="en-US"/>
        </w:rPr>
        <w:t>plenary</w:t>
      </w:r>
      <w:r w:rsidRPr="00A519D0">
        <w:rPr>
          <w:lang w:val="en-US"/>
        </w:rPr>
        <w:t xml:space="preserve"> session</w:t>
      </w:r>
      <w:r w:rsidR="00B31BF5">
        <w:rPr>
          <w:lang w:val="en-US"/>
        </w:rPr>
        <w:t>s</w:t>
      </w:r>
      <w:r w:rsidRPr="00A519D0">
        <w:rPr>
          <w:lang w:val="en-US"/>
        </w:rPr>
        <w:t xml:space="preserve"> of </w:t>
      </w:r>
      <w:r w:rsidR="002620A9">
        <w:rPr>
          <w:lang w:val="en-US"/>
        </w:rPr>
        <w:t>MONEYVAL</w:t>
      </w:r>
      <w:r w:rsidR="002620A9" w:rsidRPr="00A519D0">
        <w:rPr>
          <w:lang w:val="en-US"/>
        </w:rPr>
        <w:t xml:space="preserve"> </w:t>
      </w:r>
      <w:r w:rsidRPr="00A519D0">
        <w:rPr>
          <w:lang w:val="en-US"/>
        </w:rPr>
        <w:t>w</w:t>
      </w:r>
      <w:r w:rsidR="004C0938" w:rsidRPr="00A519D0">
        <w:rPr>
          <w:lang w:val="en-US"/>
        </w:rPr>
        <w:t>ere</w:t>
      </w:r>
      <w:r w:rsidRPr="00A519D0">
        <w:rPr>
          <w:lang w:val="en-US"/>
        </w:rPr>
        <w:t xml:space="preserve"> held </w:t>
      </w:r>
      <w:r w:rsidR="001265D7" w:rsidRPr="00A519D0">
        <w:rPr>
          <w:lang w:val="en-US"/>
        </w:rPr>
        <w:t>virtually</w:t>
      </w:r>
      <w:r w:rsidRPr="00A519D0">
        <w:rPr>
          <w:lang w:val="en-US"/>
        </w:rPr>
        <w:t>, du</w:t>
      </w:r>
      <w:r w:rsidR="00023944" w:rsidRPr="00A519D0">
        <w:rPr>
          <w:lang w:val="en-US"/>
        </w:rPr>
        <w:t>e</w:t>
      </w:r>
      <w:r w:rsidRPr="00A519D0">
        <w:rPr>
          <w:lang w:val="en-US"/>
        </w:rPr>
        <w:t xml:space="preserve"> to COVID-19 </w:t>
      </w:r>
      <w:r w:rsidR="001265D7" w:rsidRPr="00A519D0">
        <w:rPr>
          <w:lang w:val="en-US"/>
        </w:rPr>
        <w:t>pandemic</w:t>
      </w:r>
      <w:r w:rsidRPr="00A519D0">
        <w:rPr>
          <w:lang w:val="en-US"/>
        </w:rPr>
        <w:t>. T</w:t>
      </w:r>
      <w:r w:rsidR="001265D7" w:rsidRPr="00A519D0">
        <w:rPr>
          <w:lang w:val="en-US"/>
        </w:rPr>
        <w:t>h</w:t>
      </w:r>
      <w:r w:rsidRPr="00A519D0">
        <w:rPr>
          <w:lang w:val="en-US"/>
        </w:rPr>
        <w:t>e</w:t>
      </w:r>
      <w:r w:rsidR="001265D7" w:rsidRPr="00A519D0">
        <w:rPr>
          <w:lang w:val="en-US"/>
        </w:rPr>
        <w:t xml:space="preserve"> </w:t>
      </w:r>
      <w:r w:rsidRPr="00A519D0">
        <w:rPr>
          <w:lang w:val="en-US"/>
        </w:rPr>
        <w:t>topics are described below.</w:t>
      </w:r>
    </w:p>
    <w:p w14:paraId="4D500783" w14:textId="2619B2EF" w:rsidR="000F0441" w:rsidRPr="00A519D0" w:rsidRDefault="00B31BF5" w:rsidP="004C0938">
      <w:pPr>
        <w:spacing w:line="276" w:lineRule="auto"/>
        <w:rPr>
          <w:lang w:val="en-US"/>
        </w:rPr>
      </w:pPr>
      <w:r>
        <w:rPr>
          <w:lang w:val="en-US"/>
        </w:rPr>
        <w:t xml:space="preserve">The </w:t>
      </w:r>
      <w:r w:rsidR="000F473B" w:rsidRPr="00A519D0">
        <w:rPr>
          <w:lang w:val="en-US"/>
        </w:rPr>
        <w:t>61</w:t>
      </w:r>
      <w:r w:rsidR="000F473B" w:rsidRPr="00A519D0">
        <w:rPr>
          <w:vertAlign w:val="superscript"/>
          <w:lang w:val="en-US"/>
        </w:rPr>
        <w:t>st</w:t>
      </w:r>
      <w:r w:rsidR="00EA4441" w:rsidRPr="00A519D0">
        <w:rPr>
          <w:lang w:val="en-US"/>
        </w:rPr>
        <w:t xml:space="preserve"> P</w:t>
      </w:r>
      <w:r w:rsidR="000F473B" w:rsidRPr="00A519D0">
        <w:rPr>
          <w:lang w:val="en-US"/>
        </w:rPr>
        <w:t xml:space="preserve">lenary </w:t>
      </w:r>
      <w:r w:rsidR="004C0938" w:rsidRPr="00A519D0">
        <w:rPr>
          <w:lang w:val="en-US"/>
        </w:rPr>
        <w:t xml:space="preserve">meeting </w:t>
      </w:r>
      <w:r w:rsidR="000F473B" w:rsidRPr="00A519D0">
        <w:rPr>
          <w:lang w:val="en-US"/>
        </w:rPr>
        <w:t xml:space="preserve">took place from </w:t>
      </w:r>
      <w:r w:rsidR="004C0938" w:rsidRPr="00A519D0">
        <w:rPr>
          <w:lang w:val="en-US"/>
        </w:rPr>
        <w:t>April 26 – 20, 2021</w:t>
      </w:r>
      <w:r w:rsidR="000F473B" w:rsidRPr="00A519D0">
        <w:rPr>
          <w:lang w:val="en-US"/>
        </w:rPr>
        <w:t>. Reports of the 5</w:t>
      </w:r>
      <w:r w:rsidR="000F473B" w:rsidRPr="00965FBA">
        <w:rPr>
          <w:vertAlign w:val="superscript"/>
          <w:lang w:val="en-US"/>
        </w:rPr>
        <w:t>th</w:t>
      </w:r>
      <w:r w:rsidR="000F473B" w:rsidRPr="00A519D0">
        <w:rPr>
          <w:lang w:val="en-US"/>
        </w:rPr>
        <w:t xml:space="preserve"> round of evaluation of San Marino and the Holy See were adopted. Several countries presented their progress reports </w:t>
      </w:r>
      <w:proofErr w:type="gramStart"/>
      <w:r w:rsidR="000F473B" w:rsidRPr="00A519D0">
        <w:rPr>
          <w:lang w:val="en-US"/>
        </w:rPr>
        <w:t>( Malta</w:t>
      </w:r>
      <w:proofErr w:type="gramEnd"/>
      <w:r w:rsidR="000F473B" w:rsidRPr="00A519D0">
        <w:rPr>
          <w:lang w:val="en-US"/>
        </w:rPr>
        <w:t>, Albania and Hungary) and Slovenia</w:t>
      </w:r>
      <w:r w:rsidR="004C0938" w:rsidRPr="00A519D0">
        <w:rPr>
          <w:lang w:val="en-US"/>
        </w:rPr>
        <w:t xml:space="preserve"> as well.</w:t>
      </w:r>
    </w:p>
    <w:p w14:paraId="123D0AA1" w14:textId="4516C8D9" w:rsidR="000F0441" w:rsidRPr="00A519D0" w:rsidRDefault="000F473B" w:rsidP="004C0938">
      <w:pPr>
        <w:spacing w:line="276" w:lineRule="auto"/>
        <w:rPr>
          <w:lang w:val="en-US"/>
        </w:rPr>
      </w:pPr>
      <w:r w:rsidRPr="00A519D0">
        <w:rPr>
          <w:lang w:val="en-US"/>
        </w:rPr>
        <w:t xml:space="preserve">Our country managed to </w:t>
      </w:r>
      <w:r w:rsidR="001265D7" w:rsidRPr="00A519D0">
        <w:rPr>
          <w:lang w:val="en-US"/>
        </w:rPr>
        <w:t>raise</w:t>
      </w:r>
      <w:r w:rsidRPr="00A519D0">
        <w:rPr>
          <w:lang w:val="en-US"/>
        </w:rPr>
        <w:t xml:space="preserve"> the rat</w:t>
      </w:r>
      <w:r w:rsidR="00E640C3" w:rsidRPr="00A519D0">
        <w:rPr>
          <w:lang w:val="en-US"/>
        </w:rPr>
        <w:t>ings to “</w:t>
      </w:r>
      <w:r w:rsidRPr="00A519D0">
        <w:rPr>
          <w:b/>
          <w:bCs/>
          <w:lang w:val="en-US"/>
        </w:rPr>
        <w:t>largely compliant</w:t>
      </w:r>
      <w:r w:rsidR="00E640C3" w:rsidRPr="00A519D0">
        <w:rPr>
          <w:lang w:val="en-US"/>
        </w:rPr>
        <w:t xml:space="preserve">” </w:t>
      </w:r>
      <w:r w:rsidRPr="00A519D0">
        <w:rPr>
          <w:lang w:val="en-US"/>
        </w:rPr>
        <w:t>compared to t</w:t>
      </w:r>
      <w:r w:rsidR="001265D7" w:rsidRPr="00A519D0">
        <w:rPr>
          <w:lang w:val="en-US"/>
        </w:rPr>
        <w:t>h</w:t>
      </w:r>
      <w:r w:rsidRPr="00A519D0">
        <w:rPr>
          <w:lang w:val="en-US"/>
        </w:rPr>
        <w:t>e last reporting to</w:t>
      </w:r>
      <w:r w:rsidR="000F0441" w:rsidRPr="00A519D0">
        <w:rPr>
          <w:lang w:val="en-US"/>
        </w:rPr>
        <w:t xml:space="preserve"> MONEYVAL </w:t>
      </w:r>
      <w:r w:rsidRPr="00A519D0">
        <w:rPr>
          <w:lang w:val="en-US"/>
        </w:rPr>
        <w:t>in December</w:t>
      </w:r>
      <w:r w:rsidR="000F0441" w:rsidRPr="00A519D0">
        <w:rPr>
          <w:lang w:val="en-US"/>
        </w:rPr>
        <w:t xml:space="preserve"> 2019, </w:t>
      </w:r>
      <w:r w:rsidRPr="00A519D0">
        <w:rPr>
          <w:lang w:val="en-US"/>
        </w:rPr>
        <w:t>for</w:t>
      </w:r>
      <w:r w:rsidR="008A07DD" w:rsidRPr="00A519D0">
        <w:rPr>
          <w:lang w:val="en-US"/>
        </w:rPr>
        <w:t xml:space="preserve"> </w:t>
      </w:r>
      <w:r w:rsidRPr="00A519D0">
        <w:rPr>
          <w:lang w:val="en-US"/>
        </w:rPr>
        <w:t>the following</w:t>
      </w:r>
      <w:r w:rsidR="000F0441" w:rsidRPr="00A519D0">
        <w:rPr>
          <w:lang w:val="en-US"/>
        </w:rPr>
        <w:t xml:space="preserve"> FATF </w:t>
      </w:r>
      <w:r w:rsidR="008A07DD" w:rsidRPr="00A519D0">
        <w:rPr>
          <w:lang w:val="en-US"/>
        </w:rPr>
        <w:t>recommendation</w:t>
      </w:r>
      <w:r w:rsidR="000F0441" w:rsidRPr="00A519D0">
        <w:rPr>
          <w:lang w:val="en-US"/>
        </w:rPr>
        <w:t xml:space="preserve">: R. 6, R.7, R.8, R.13, R.26 </w:t>
      </w:r>
      <w:r w:rsidR="001265D7" w:rsidRPr="00A519D0">
        <w:rPr>
          <w:lang w:val="en-US"/>
        </w:rPr>
        <w:t>and</w:t>
      </w:r>
      <w:r w:rsidR="000F0441" w:rsidRPr="00A519D0">
        <w:rPr>
          <w:lang w:val="en-US"/>
        </w:rPr>
        <w:t xml:space="preserve"> R. 28.</w:t>
      </w:r>
      <w:r w:rsidR="008A07DD" w:rsidRPr="00A519D0">
        <w:rPr>
          <w:lang w:val="en-US"/>
        </w:rPr>
        <w:t xml:space="preserve"> Only R.8 was d</w:t>
      </w:r>
      <w:r w:rsidR="00E640C3" w:rsidRPr="00A519D0">
        <w:rPr>
          <w:lang w:val="en-US"/>
        </w:rPr>
        <w:t>iscussed</w:t>
      </w:r>
      <w:r w:rsidR="008A07DD" w:rsidRPr="00A519D0">
        <w:rPr>
          <w:lang w:val="en-US"/>
        </w:rPr>
        <w:t xml:space="preserve"> based on FATF remarks, </w:t>
      </w:r>
      <w:r w:rsidR="00E640C3" w:rsidRPr="00A519D0">
        <w:rPr>
          <w:lang w:val="en-US"/>
        </w:rPr>
        <w:t>which were o</w:t>
      </w:r>
      <w:r w:rsidR="008A07DD" w:rsidRPr="00A519D0">
        <w:rPr>
          <w:lang w:val="en-US"/>
        </w:rPr>
        <w:t xml:space="preserve">nly procedural and there was no change of </w:t>
      </w:r>
      <w:r w:rsidR="00E640C3" w:rsidRPr="00A519D0">
        <w:rPr>
          <w:lang w:val="en-US"/>
        </w:rPr>
        <w:t>the rating.</w:t>
      </w:r>
    </w:p>
    <w:p w14:paraId="4ACD7464" w14:textId="60FB053A" w:rsidR="000F0441" w:rsidRPr="00A519D0" w:rsidRDefault="008A07DD" w:rsidP="004C0938">
      <w:pPr>
        <w:spacing w:line="276" w:lineRule="auto"/>
        <w:rPr>
          <w:lang w:val="en-US"/>
        </w:rPr>
      </w:pPr>
      <w:r w:rsidRPr="00A519D0">
        <w:rPr>
          <w:lang w:val="en-US"/>
        </w:rPr>
        <w:t>Slovenia presented its activities related to the other f</w:t>
      </w:r>
      <w:r w:rsidR="00E640C3" w:rsidRPr="00A519D0">
        <w:rPr>
          <w:lang w:val="en-US"/>
        </w:rPr>
        <w:t>o</w:t>
      </w:r>
      <w:r w:rsidRPr="00A519D0">
        <w:rPr>
          <w:lang w:val="en-US"/>
        </w:rPr>
        <w:t xml:space="preserve">ur FATF recommendations that </w:t>
      </w:r>
      <w:r w:rsidR="00E640C3" w:rsidRPr="00A519D0">
        <w:rPr>
          <w:lang w:val="en-US"/>
        </w:rPr>
        <w:t>were</w:t>
      </w:r>
      <w:r w:rsidRPr="00A519D0">
        <w:rPr>
          <w:lang w:val="en-US"/>
        </w:rPr>
        <w:t xml:space="preserve"> still rated </w:t>
      </w:r>
      <w:r w:rsidR="00E640C3" w:rsidRPr="00A519D0">
        <w:rPr>
          <w:lang w:val="en-US"/>
        </w:rPr>
        <w:t>“</w:t>
      </w:r>
      <w:r w:rsidR="000F0441" w:rsidRPr="00A519D0">
        <w:rPr>
          <w:lang w:val="en-US"/>
        </w:rPr>
        <w:t>partially compliant</w:t>
      </w:r>
      <w:r w:rsidR="00E640C3" w:rsidRPr="00A519D0">
        <w:rPr>
          <w:lang w:val="en-US"/>
        </w:rPr>
        <w:t>”</w:t>
      </w:r>
      <w:r w:rsidR="000F0441" w:rsidRPr="00A519D0">
        <w:rPr>
          <w:lang w:val="en-US"/>
        </w:rPr>
        <w:t xml:space="preserve">: R.1, R.5, R.15 </w:t>
      </w:r>
      <w:r w:rsidR="001265D7" w:rsidRPr="00A519D0">
        <w:rPr>
          <w:lang w:val="en-US"/>
        </w:rPr>
        <w:t>and</w:t>
      </w:r>
      <w:r w:rsidR="000F0441" w:rsidRPr="00A519D0">
        <w:rPr>
          <w:lang w:val="en-US"/>
        </w:rPr>
        <w:t xml:space="preserve"> R.32. </w:t>
      </w:r>
      <w:r w:rsidRPr="00A519D0">
        <w:rPr>
          <w:lang w:val="en-US"/>
        </w:rPr>
        <w:t xml:space="preserve">Slovenia will have </w:t>
      </w:r>
      <w:r w:rsidR="00B31BF5">
        <w:rPr>
          <w:lang w:val="en-US"/>
        </w:rPr>
        <w:t xml:space="preserve">to </w:t>
      </w:r>
      <w:r w:rsidRPr="00A519D0">
        <w:rPr>
          <w:lang w:val="en-US"/>
        </w:rPr>
        <w:t>report on its progress in a year</w:t>
      </w:r>
      <w:r w:rsidR="00B31BF5">
        <w:rPr>
          <w:lang w:val="en-US"/>
        </w:rPr>
        <w:t>’s</w:t>
      </w:r>
      <w:r w:rsidRPr="00A519D0">
        <w:rPr>
          <w:lang w:val="en-US"/>
        </w:rPr>
        <w:t xml:space="preserve"> time, when it will be obliged to </w:t>
      </w:r>
      <w:r w:rsidR="00EA4441" w:rsidRPr="00A519D0">
        <w:rPr>
          <w:lang w:val="en-US"/>
        </w:rPr>
        <w:t>eliminate deficiencies regarding the</w:t>
      </w:r>
      <w:r w:rsidRPr="00A519D0">
        <w:rPr>
          <w:lang w:val="en-US"/>
        </w:rPr>
        <w:t xml:space="preserve"> FATF recommendation R.5</w:t>
      </w:r>
      <w:r w:rsidR="00EA4441" w:rsidRPr="00A519D0">
        <w:rPr>
          <w:lang w:val="en-US"/>
        </w:rPr>
        <w:t xml:space="preserve"> “I</w:t>
      </w:r>
      <w:r w:rsidRPr="00A519D0">
        <w:rPr>
          <w:lang w:val="en-US"/>
        </w:rPr>
        <w:t>ncrimination of financing of terrorism</w:t>
      </w:r>
      <w:r w:rsidR="00EA4441" w:rsidRPr="00A519D0">
        <w:rPr>
          <w:lang w:val="en-US"/>
        </w:rPr>
        <w:t>”</w:t>
      </w:r>
      <w:r w:rsidR="00CB1EFA" w:rsidRPr="00A519D0">
        <w:rPr>
          <w:lang w:val="en-US"/>
        </w:rPr>
        <w:t>, which is one of the key recommendations</w:t>
      </w:r>
      <w:r w:rsidR="00EA4441" w:rsidRPr="00A519D0">
        <w:rPr>
          <w:lang w:val="en-US"/>
        </w:rPr>
        <w:t xml:space="preserve">. In case it will not succeed, </w:t>
      </w:r>
      <w:r w:rsidR="00CB1EFA" w:rsidRPr="00A519D0">
        <w:rPr>
          <w:lang w:val="en-US"/>
        </w:rPr>
        <w:t xml:space="preserve">Slovenia will be placed under </w:t>
      </w:r>
      <w:r w:rsidR="000F0441" w:rsidRPr="00A519D0">
        <w:rPr>
          <w:lang w:val="en-US"/>
        </w:rPr>
        <w:t>Compliance Enhancing Procedure</w:t>
      </w:r>
      <w:r w:rsidR="001265D7" w:rsidRPr="00A519D0">
        <w:rPr>
          <w:lang w:val="en-US"/>
        </w:rPr>
        <w:t xml:space="preserve"> </w:t>
      </w:r>
      <w:r w:rsidR="00CB1EFA" w:rsidRPr="00A519D0">
        <w:rPr>
          <w:lang w:val="en-US"/>
        </w:rPr>
        <w:t xml:space="preserve">of </w:t>
      </w:r>
      <w:r w:rsidR="000F0441" w:rsidRPr="00A519D0">
        <w:rPr>
          <w:lang w:val="en-US"/>
        </w:rPr>
        <w:t>MONEYVAL</w:t>
      </w:r>
      <w:r w:rsidR="00CB1EFA" w:rsidRPr="00A519D0">
        <w:rPr>
          <w:lang w:val="en-US"/>
        </w:rPr>
        <w:t xml:space="preserve">. </w:t>
      </w:r>
    </w:p>
    <w:p w14:paraId="492311AE" w14:textId="190475D6" w:rsidR="00DB00C7" w:rsidRPr="00A519D0" w:rsidRDefault="002620A9" w:rsidP="004C0938">
      <w:pPr>
        <w:spacing w:line="276" w:lineRule="auto"/>
        <w:rPr>
          <w:szCs w:val="20"/>
          <w:lang w:val="en-US"/>
        </w:rPr>
      </w:pPr>
      <w:r>
        <w:rPr>
          <w:lang w:val="en-US"/>
        </w:rPr>
        <w:t xml:space="preserve">The </w:t>
      </w:r>
      <w:r w:rsidR="00414309" w:rsidRPr="00A519D0">
        <w:rPr>
          <w:lang w:val="en-US"/>
        </w:rPr>
        <w:t>62</w:t>
      </w:r>
      <w:r w:rsidR="00414309" w:rsidRPr="00965FBA">
        <w:rPr>
          <w:vertAlign w:val="superscript"/>
          <w:lang w:val="en-US"/>
        </w:rPr>
        <w:t>nd</w:t>
      </w:r>
      <w:r w:rsidR="00414309" w:rsidRPr="00A519D0">
        <w:rPr>
          <w:lang w:val="en-US"/>
        </w:rPr>
        <w:t xml:space="preserve"> </w:t>
      </w:r>
      <w:r w:rsidR="00EA4441" w:rsidRPr="00A519D0">
        <w:rPr>
          <w:lang w:val="en-US"/>
        </w:rPr>
        <w:t>P</w:t>
      </w:r>
      <w:r w:rsidR="00414309" w:rsidRPr="00A519D0">
        <w:rPr>
          <w:lang w:val="en-US"/>
        </w:rPr>
        <w:t xml:space="preserve">lenary </w:t>
      </w:r>
      <w:r w:rsidR="00EA4441" w:rsidRPr="00A519D0">
        <w:rPr>
          <w:lang w:val="en-US"/>
        </w:rPr>
        <w:t xml:space="preserve">meeting was held in the period </w:t>
      </w:r>
      <w:r w:rsidR="00414309" w:rsidRPr="00A519D0">
        <w:rPr>
          <w:lang w:val="en-US"/>
        </w:rPr>
        <w:t>December</w:t>
      </w:r>
      <w:r w:rsidR="00EA4441" w:rsidRPr="00A519D0">
        <w:rPr>
          <w:lang w:val="en-US"/>
        </w:rPr>
        <w:t xml:space="preserve"> 13-17, 2021.</w:t>
      </w:r>
      <w:r w:rsidR="00414309" w:rsidRPr="00A519D0">
        <w:rPr>
          <w:lang w:val="en-US"/>
        </w:rPr>
        <w:t xml:space="preserve"> Reports of the 5</w:t>
      </w:r>
      <w:r w:rsidR="00414309" w:rsidRPr="00965FBA">
        <w:rPr>
          <w:vertAlign w:val="superscript"/>
          <w:lang w:val="en-US"/>
        </w:rPr>
        <w:t>th</w:t>
      </w:r>
      <w:r w:rsidR="00414309" w:rsidRPr="00A519D0">
        <w:rPr>
          <w:lang w:val="en-US"/>
        </w:rPr>
        <w:t xml:space="preserve"> </w:t>
      </w:r>
      <w:r w:rsidR="00EA4441" w:rsidRPr="00A519D0">
        <w:rPr>
          <w:lang w:val="en-US"/>
        </w:rPr>
        <w:t>Ro</w:t>
      </w:r>
      <w:r w:rsidR="00414309" w:rsidRPr="00A519D0">
        <w:rPr>
          <w:lang w:val="en-US"/>
        </w:rPr>
        <w:t>und of evaluation</w:t>
      </w:r>
      <w:r w:rsidR="00EA4441" w:rsidRPr="00A519D0">
        <w:rPr>
          <w:lang w:val="en-US"/>
        </w:rPr>
        <w:t>s</w:t>
      </w:r>
      <w:r w:rsidR="00414309" w:rsidRPr="00A519D0">
        <w:rPr>
          <w:lang w:val="en-US"/>
        </w:rPr>
        <w:t xml:space="preserve"> of Croatia, Poland and the Progress Report of Cyprus were discussed and adopted. Progress Reports of Andorra, Czech Republic, </w:t>
      </w:r>
      <w:proofErr w:type="gramStart"/>
      <w:r w:rsidR="00414309" w:rsidRPr="00A519D0">
        <w:rPr>
          <w:lang w:val="en-US"/>
        </w:rPr>
        <w:t>Gibraltar</w:t>
      </w:r>
      <w:proofErr w:type="gramEnd"/>
      <w:r w:rsidR="00414309" w:rsidRPr="00A519D0">
        <w:rPr>
          <w:lang w:val="en-US"/>
        </w:rPr>
        <w:t xml:space="preserve"> and Serbia </w:t>
      </w:r>
      <w:r w:rsidR="001265D7" w:rsidRPr="00A519D0">
        <w:rPr>
          <w:lang w:val="en-US"/>
        </w:rPr>
        <w:t>were</w:t>
      </w:r>
      <w:r w:rsidR="00DB00C7" w:rsidRPr="00A519D0">
        <w:rPr>
          <w:lang w:val="en-US"/>
        </w:rPr>
        <w:t xml:space="preserve"> already </w:t>
      </w:r>
      <w:r w:rsidR="00EA4441" w:rsidRPr="00A519D0">
        <w:rPr>
          <w:lang w:val="en-US"/>
        </w:rPr>
        <w:t xml:space="preserve">adopted </w:t>
      </w:r>
      <w:r w:rsidR="00DB00C7" w:rsidRPr="00A519D0">
        <w:rPr>
          <w:lang w:val="en-US"/>
        </w:rPr>
        <w:t xml:space="preserve">by </w:t>
      </w:r>
      <w:r w:rsidR="001265D7" w:rsidRPr="00A519D0">
        <w:rPr>
          <w:lang w:val="en-US"/>
        </w:rPr>
        <w:t>written</w:t>
      </w:r>
      <w:r w:rsidR="00DB00C7" w:rsidRPr="00A519D0">
        <w:rPr>
          <w:lang w:val="en-US"/>
        </w:rPr>
        <w:t xml:space="preserve"> procedure </w:t>
      </w:r>
      <w:r w:rsidR="001265D7" w:rsidRPr="00A519D0">
        <w:rPr>
          <w:lang w:val="en-US"/>
        </w:rPr>
        <w:t>before</w:t>
      </w:r>
      <w:r w:rsidR="00DB00C7" w:rsidRPr="00A519D0">
        <w:rPr>
          <w:lang w:val="en-US"/>
        </w:rPr>
        <w:t xml:space="preserve"> the plenary</w:t>
      </w:r>
      <w:r w:rsidR="00EA4441" w:rsidRPr="00A519D0">
        <w:rPr>
          <w:lang w:val="en-US"/>
        </w:rPr>
        <w:t xml:space="preserve">, so </w:t>
      </w:r>
      <w:r w:rsidR="00DB00C7" w:rsidRPr="00A519D0">
        <w:rPr>
          <w:lang w:val="en-US"/>
        </w:rPr>
        <w:t>they were not placed on the agenda</w:t>
      </w:r>
      <w:r w:rsidR="00EA4441" w:rsidRPr="00A519D0">
        <w:rPr>
          <w:lang w:val="en-US"/>
        </w:rPr>
        <w:t>.</w:t>
      </w:r>
      <w:r w:rsidR="00DB00C7" w:rsidRPr="00A519D0">
        <w:rPr>
          <w:lang w:val="en-US"/>
        </w:rPr>
        <w:t xml:space="preserve"> </w:t>
      </w:r>
      <w:r w:rsidR="00414309" w:rsidRPr="00A519D0">
        <w:rPr>
          <w:lang w:val="en-US"/>
        </w:rPr>
        <w:t xml:space="preserve"> </w:t>
      </w:r>
    </w:p>
    <w:p w14:paraId="0BBFD71B" w14:textId="5D1DD9FC" w:rsidR="000F0441" w:rsidRPr="00A519D0" w:rsidRDefault="00DB00C7" w:rsidP="00EA4441">
      <w:pPr>
        <w:spacing w:line="276" w:lineRule="auto"/>
        <w:rPr>
          <w:szCs w:val="20"/>
          <w:lang w:val="en-US"/>
        </w:rPr>
      </w:pPr>
      <w:r w:rsidRPr="00A519D0">
        <w:rPr>
          <w:szCs w:val="20"/>
          <w:lang w:val="en-US"/>
        </w:rPr>
        <w:t>Elections for MONEYVAL representatives were held at plenary</w:t>
      </w:r>
      <w:r w:rsidR="00EA4441" w:rsidRPr="00A519D0">
        <w:rPr>
          <w:szCs w:val="20"/>
          <w:lang w:val="en-US"/>
        </w:rPr>
        <w:t xml:space="preserve"> as well, the results were as follows:</w:t>
      </w:r>
      <w:r w:rsidR="000F0441" w:rsidRPr="00A519D0">
        <w:rPr>
          <w:szCs w:val="20"/>
          <w:lang w:val="en-US"/>
        </w:rPr>
        <w:t xml:space="preserve"> </w:t>
      </w:r>
      <w:r w:rsidR="000F0441" w:rsidRPr="00A519D0">
        <w:rPr>
          <w:rFonts w:eastAsia="Times New Roman" w:cs="Arial"/>
          <w:szCs w:val="20"/>
          <w:lang w:val="en-US" w:eastAsia="sl-SI"/>
        </w:rPr>
        <w:t xml:space="preserve">Ela </w:t>
      </w:r>
      <w:proofErr w:type="spellStart"/>
      <w:r w:rsidR="000F0441" w:rsidRPr="00A519D0">
        <w:rPr>
          <w:rFonts w:eastAsia="Times New Roman" w:cs="Arial"/>
          <w:szCs w:val="20"/>
          <w:lang w:val="en-US" w:eastAsia="sl-SI"/>
        </w:rPr>
        <w:t>F</w:t>
      </w:r>
      <w:r w:rsidR="001D4280" w:rsidRPr="00A519D0">
        <w:rPr>
          <w:rFonts w:eastAsia="Times New Roman" w:cs="Arial"/>
          <w:szCs w:val="20"/>
          <w:lang w:val="en-US" w:eastAsia="sl-SI"/>
        </w:rPr>
        <w:t>rankow</w:t>
      </w:r>
      <w:proofErr w:type="spellEnd"/>
      <w:r w:rsidR="000F0441" w:rsidRPr="00A519D0">
        <w:rPr>
          <w:rFonts w:eastAsia="Times New Roman" w:cs="Arial"/>
          <w:szCs w:val="20"/>
          <w:lang w:val="en-US" w:eastAsia="sl-SI"/>
        </w:rPr>
        <w:t xml:space="preserve"> </w:t>
      </w:r>
      <w:proofErr w:type="spellStart"/>
      <w:r w:rsidR="000F0441" w:rsidRPr="00A519D0">
        <w:rPr>
          <w:rFonts w:eastAsia="Times New Roman" w:cs="Arial"/>
          <w:szCs w:val="20"/>
          <w:lang w:val="en-US" w:eastAsia="sl-SI"/>
        </w:rPr>
        <w:t>J</w:t>
      </w:r>
      <w:r w:rsidR="001D4280" w:rsidRPr="00A519D0">
        <w:rPr>
          <w:rFonts w:eastAsia="Times New Roman" w:cs="Arial"/>
          <w:szCs w:val="20"/>
          <w:lang w:val="en-US" w:eastAsia="sl-SI"/>
        </w:rPr>
        <w:t>askiewicz</w:t>
      </w:r>
      <w:proofErr w:type="spellEnd"/>
      <w:r w:rsidR="002620A9">
        <w:rPr>
          <w:rFonts w:eastAsia="Times New Roman" w:cs="Arial"/>
          <w:szCs w:val="20"/>
          <w:lang w:val="en-US" w:eastAsia="sl-SI"/>
        </w:rPr>
        <w:t xml:space="preserve"> from</w:t>
      </w:r>
      <w:r w:rsidR="000F0441" w:rsidRPr="00A519D0">
        <w:rPr>
          <w:rFonts w:eastAsia="Times New Roman" w:cs="Arial"/>
          <w:szCs w:val="20"/>
          <w:lang w:val="en-US" w:eastAsia="sl-SI"/>
        </w:rPr>
        <w:t xml:space="preserve"> </w:t>
      </w:r>
      <w:r w:rsidRPr="00A519D0">
        <w:rPr>
          <w:rFonts w:eastAsia="Times New Roman" w:cs="Arial"/>
          <w:szCs w:val="20"/>
          <w:lang w:val="en-US" w:eastAsia="sl-SI"/>
        </w:rPr>
        <w:t>Poland was elected for president</w:t>
      </w:r>
      <w:r w:rsidR="000F0441" w:rsidRPr="00A519D0">
        <w:rPr>
          <w:rFonts w:eastAsia="Times New Roman" w:cs="Arial"/>
          <w:szCs w:val="20"/>
          <w:lang w:val="en-US" w:eastAsia="sl-SI"/>
        </w:rPr>
        <w:t xml:space="preserve">, </w:t>
      </w:r>
      <w:proofErr w:type="spellStart"/>
      <w:r w:rsidR="000F0441" w:rsidRPr="00A519D0">
        <w:rPr>
          <w:rFonts w:eastAsia="Times New Roman" w:cs="Arial"/>
          <w:szCs w:val="20"/>
          <w:lang w:val="en-US" w:eastAsia="sl-SI"/>
        </w:rPr>
        <w:t>Astghik</w:t>
      </w:r>
      <w:proofErr w:type="spellEnd"/>
      <w:r w:rsidR="000F0441" w:rsidRPr="00A519D0">
        <w:rPr>
          <w:rFonts w:eastAsia="Times New Roman" w:cs="Arial"/>
          <w:szCs w:val="20"/>
          <w:lang w:val="en-US" w:eastAsia="sl-SI"/>
        </w:rPr>
        <w:t xml:space="preserve"> </w:t>
      </w:r>
      <w:proofErr w:type="spellStart"/>
      <w:r w:rsidR="000F0441" w:rsidRPr="00A519D0">
        <w:rPr>
          <w:rFonts w:eastAsia="Times New Roman" w:cs="Arial"/>
          <w:szCs w:val="20"/>
          <w:lang w:val="en-US" w:eastAsia="sl-SI"/>
        </w:rPr>
        <w:t>K</w:t>
      </w:r>
      <w:r w:rsidR="001D4280" w:rsidRPr="00A519D0">
        <w:rPr>
          <w:rFonts w:eastAsia="Times New Roman" w:cs="Arial"/>
          <w:szCs w:val="20"/>
          <w:lang w:val="en-US" w:eastAsia="sl-SI"/>
        </w:rPr>
        <w:t>aramanukyan</w:t>
      </w:r>
      <w:proofErr w:type="spellEnd"/>
      <w:r w:rsidRPr="00A519D0">
        <w:rPr>
          <w:rFonts w:eastAsia="Times New Roman" w:cs="Arial"/>
          <w:szCs w:val="20"/>
          <w:lang w:val="en-US" w:eastAsia="sl-SI"/>
        </w:rPr>
        <w:t xml:space="preserve"> from </w:t>
      </w:r>
      <w:proofErr w:type="gramStart"/>
      <w:r w:rsidRPr="00A519D0">
        <w:rPr>
          <w:rFonts w:eastAsia="Times New Roman" w:cs="Arial"/>
          <w:szCs w:val="20"/>
          <w:lang w:val="en-US" w:eastAsia="sl-SI"/>
        </w:rPr>
        <w:t>Armenia</w:t>
      </w:r>
      <w:proofErr w:type="gramEnd"/>
      <w:r w:rsidRPr="00A519D0">
        <w:rPr>
          <w:rFonts w:eastAsia="Times New Roman" w:cs="Arial"/>
          <w:szCs w:val="20"/>
          <w:lang w:val="en-US" w:eastAsia="sl-SI"/>
        </w:rPr>
        <w:t xml:space="preserve"> and</w:t>
      </w:r>
      <w:r w:rsidR="000F0441" w:rsidRPr="00A519D0">
        <w:rPr>
          <w:rFonts w:eastAsia="Times New Roman" w:cs="Arial"/>
          <w:szCs w:val="20"/>
          <w:lang w:val="en-US" w:eastAsia="sl-SI"/>
        </w:rPr>
        <w:t xml:space="preserve"> Richard </w:t>
      </w:r>
      <w:proofErr w:type="spellStart"/>
      <w:r w:rsidR="000F0441" w:rsidRPr="00A519D0">
        <w:rPr>
          <w:rFonts w:eastAsia="Times New Roman" w:cs="Arial"/>
          <w:szCs w:val="20"/>
          <w:lang w:val="en-US" w:eastAsia="sl-SI"/>
        </w:rPr>
        <w:t>W</w:t>
      </w:r>
      <w:r w:rsidR="001D4280" w:rsidRPr="00A519D0">
        <w:rPr>
          <w:rFonts w:eastAsia="Times New Roman" w:cs="Arial"/>
          <w:szCs w:val="20"/>
          <w:lang w:val="en-US" w:eastAsia="sl-SI"/>
        </w:rPr>
        <w:t>alke</w:t>
      </w:r>
      <w:proofErr w:type="spellEnd"/>
      <w:r w:rsidR="000F0441" w:rsidRPr="00A519D0">
        <w:rPr>
          <w:rFonts w:eastAsia="Times New Roman" w:cs="Arial"/>
          <w:szCs w:val="20"/>
          <w:lang w:val="en-US" w:eastAsia="sl-SI"/>
        </w:rPr>
        <w:t xml:space="preserve"> </w:t>
      </w:r>
      <w:r w:rsidRPr="00A519D0">
        <w:rPr>
          <w:rFonts w:eastAsia="Times New Roman" w:cs="Arial"/>
          <w:szCs w:val="20"/>
          <w:lang w:val="en-US" w:eastAsia="sl-SI"/>
        </w:rPr>
        <w:t xml:space="preserve">from </w:t>
      </w:r>
      <w:r w:rsidR="000F0441" w:rsidRPr="00A519D0">
        <w:rPr>
          <w:rFonts w:eastAsia="Times New Roman" w:cs="Arial"/>
          <w:szCs w:val="20"/>
          <w:lang w:val="en-US" w:eastAsia="sl-SI"/>
        </w:rPr>
        <w:t>Guernsey</w:t>
      </w:r>
      <w:r w:rsidRPr="00A519D0">
        <w:rPr>
          <w:rFonts w:eastAsia="Times New Roman" w:cs="Arial"/>
          <w:szCs w:val="20"/>
          <w:lang w:val="en-US" w:eastAsia="sl-SI"/>
        </w:rPr>
        <w:t xml:space="preserve"> as vice presidents.</w:t>
      </w:r>
      <w:r w:rsidR="000F0441" w:rsidRPr="00A519D0">
        <w:rPr>
          <w:rFonts w:eastAsia="Times New Roman" w:cs="Arial"/>
          <w:szCs w:val="20"/>
          <w:lang w:val="en-US" w:eastAsia="sl-SI"/>
        </w:rPr>
        <w:t xml:space="preserve"> </w:t>
      </w:r>
      <w:proofErr w:type="spellStart"/>
      <w:r w:rsidR="000F0441" w:rsidRPr="00A519D0">
        <w:rPr>
          <w:rFonts w:eastAsia="Times New Roman" w:cs="Arial"/>
          <w:szCs w:val="20"/>
          <w:lang w:val="en-US" w:eastAsia="sl-SI"/>
        </w:rPr>
        <w:t>Matis</w:t>
      </w:r>
      <w:proofErr w:type="spellEnd"/>
      <w:r w:rsidR="000F0441" w:rsidRPr="00A519D0">
        <w:rPr>
          <w:rFonts w:eastAsia="Times New Roman" w:cs="Arial"/>
          <w:szCs w:val="20"/>
          <w:lang w:val="en-US" w:eastAsia="sl-SI"/>
        </w:rPr>
        <w:t xml:space="preserve"> </w:t>
      </w:r>
      <w:proofErr w:type="spellStart"/>
      <w:r w:rsidR="000F0441" w:rsidRPr="00A519D0">
        <w:rPr>
          <w:rFonts w:eastAsia="Times New Roman" w:cs="Arial"/>
          <w:szCs w:val="20"/>
          <w:lang w:val="en-US" w:eastAsia="sl-SI"/>
        </w:rPr>
        <w:t>M</w:t>
      </w:r>
      <w:r w:rsidR="001D4280" w:rsidRPr="00A519D0">
        <w:rPr>
          <w:rFonts w:eastAsia="Times New Roman" w:cs="Arial"/>
          <w:szCs w:val="20"/>
          <w:lang w:val="en-US" w:eastAsia="sl-SI"/>
        </w:rPr>
        <w:t>aeker</w:t>
      </w:r>
      <w:proofErr w:type="spellEnd"/>
      <w:r w:rsidRPr="00A519D0">
        <w:rPr>
          <w:rFonts w:eastAsia="Times New Roman" w:cs="Arial"/>
          <w:szCs w:val="20"/>
          <w:lang w:val="en-US" w:eastAsia="sl-SI"/>
        </w:rPr>
        <w:t xml:space="preserve"> from Estonia</w:t>
      </w:r>
      <w:r w:rsidR="000F0441" w:rsidRPr="00A519D0">
        <w:rPr>
          <w:rFonts w:eastAsia="Times New Roman" w:cs="Arial"/>
          <w:szCs w:val="20"/>
          <w:lang w:val="en-US" w:eastAsia="sl-SI"/>
        </w:rPr>
        <w:t xml:space="preserve">, </w:t>
      </w:r>
      <w:r w:rsidRPr="00A519D0">
        <w:rPr>
          <w:rFonts w:eastAsia="Times New Roman" w:cs="Arial"/>
          <w:szCs w:val="20"/>
          <w:lang w:val="en-US" w:eastAsia="sl-SI"/>
        </w:rPr>
        <w:t>and</w:t>
      </w:r>
      <w:r w:rsidR="000F0441" w:rsidRPr="00A519D0">
        <w:rPr>
          <w:rFonts w:eastAsia="Times New Roman" w:cs="Arial"/>
          <w:szCs w:val="20"/>
          <w:lang w:val="en-US" w:eastAsia="sl-SI"/>
        </w:rPr>
        <w:t xml:space="preserve"> </w:t>
      </w:r>
      <w:proofErr w:type="spellStart"/>
      <w:r w:rsidR="000F0441" w:rsidRPr="00A519D0">
        <w:rPr>
          <w:rFonts w:eastAsia="Times New Roman" w:cs="Arial"/>
          <w:szCs w:val="20"/>
          <w:lang w:val="en-US" w:eastAsia="sl-SI"/>
        </w:rPr>
        <w:t>Ladislav</w:t>
      </w:r>
      <w:proofErr w:type="spellEnd"/>
      <w:r w:rsidR="000F0441" w:rsidRPr="00A519D0">
        <w:rPr>
          <w:rFonts w:eastAsia="Times New Roman" w:cs="Arial"/>
          <w:szCs w:val="20"/>
          <w:lang w:val="en-US" w:eastAsia="sl-SI"/>
        </w:rPr>
        <w:t xml:space="preserve"> </w:t>
      </w:r>
      <w:proofErr w:type="spellStart"/>
      <w:r w:rsidR="000F0441" w:rsidRPr="00A519D0">
        <w:rPr>
          <w:rFonts w:eastAsia="Times New Roman" w:cs="Arial"/>
          <w:szCs w:val="20"/>
          <w:lang w:val="en-US" w:eastAsia="sl-SI"/>
        </w:rPr>
        <w:t>M</w:t>
      </w:r>
      <w:r w:rsidR="001D4280" w:rsidRPr="00A519D0">
        <w:rPr>
          <w:rFonts w:eastAsia="Times New Roman" w:cs="Arial"/>
          <w:szCs w:val="20"/>
          <w:lang w:val="en-US" w:eastAsia="sl-SI"/>
        </w:rPr>
        <w:t>ajernik</w:t>
      </w:r>
      <w:proofErr w:type="spellEnd"/>
      <w:r w:rsidR="000F0441" w:rsidRPr="00A519D0">
        <w:rPr>
          <w:rFonts w:eastAsia="Times New Roman" w:cs="Arial"/>
          <w:szCs w:val="20"/>
          <w:lang w:val="en-US" w:eastAsia="sl-SI"/>
        </w:rPr>
        <w:t xml:space="preserve"> </w:t>
      </w:r>
      <w:r w:rsidRPr="00A519D0">
        <w:rPr>
          <w:rFonts w:eastAsia="Times New Roman" w:cs="Arial"/>
          <w:szCs w:val="20"/>
          <w:lang w:val="en-US" w:eastAsia="sl-SI"/>
        </w:rPr>
        <w:t xml:space="preserve">from Slovakia were elected as members of Secretariat. </w:t>
      </w:r>
      <w:r w:rsidR="000F0441" w:rsidRPr="00A519D0">
        <w:rPr>
          <w:rFonts w:eastAsia="Times New Roman" w:cs="Arial"/>
          <w:szCs w:val="20"/>
          <w:lang w:val="en-US" w:eastAsia="sl-SI"/>
        </w:rPr>
        <w:t xml:space="preserve"> </w:t>
      </w:r>
    </w:p>
    <w:p w14:paraId="33B6539A" w14:textId="5D40754E" w:rsidR="000F0441" w:rsidRPr="00A519D0" w:rsidRDefault="002620A9" w:rsidP="00EA4441">
      <w:pPr>
        <w:spacing w:after="0" w:line="276" w:lineRule="auto"/>
        <w:contextualSpacing/>
        <w:rPr>
          <w:rFonts w:eastAsia="Times New Roman" w:cs="Arial"/>
          <w:szCs w:val="20"/>
          <w:lang w:val="en-US" w:eastAsia="sl-SI"/>
        </w:rPr>
      </w:pPr>
      <w:r>
        <w:rPr>
          <w:rFonts w:eastAsia="Times New Roman" w:cs="Arial"/>
          <w:szCs w:val="20"/>
          <w:lang w:val="en-US" w:eastAsia="sl-SI"/>
        </w:rPr>
        <w:t xml:space="preserve">The </w:t>
      </w:r>
      <w:r w:rsidR="00DB00C7" w:rsidRPr="00A519D0">
        <w:rPr>
          <w:rFonts w:eastAsia="Times New Roman" w:cs="Arial"/>
          <w:szCs w:val="20"/>
          <w:lang w:val="en-US" w:eastAsia="sl-SI"/>
        </w:rPr>
        <w:t xml:space="preserve">MONEYVAL strategy for 2020-2022 and the </w:t>
      </w:r>
      <w:r w:rsidR="001265D7" w:rsidRPr="00A519D0">
        <w:rPr>
          <w:rFonts w:eastAsia="Times New Roman" w:cs="Arial"/>
          <w:szCs w:val="20"/>
          <w:lang w:val="en-US" w:eastAsia="sl-SI"/>
        </w:rPr>
        <w:t>budget</w:t>
      </w:r>
      <w:r w:rsidR="00DB00C7" w:rsidRPr="00A519D0">
        <w:rPr>
          <w:rFonts w:eastAsia="Times New Roman" w:cs="Arial"/>
          <w:szCs w:val="20"/>
          <w:lang w:val="en-US" w:eastAsia="sl-SI"/>
        </w:rPr>
        <w:t xml:space="preserve"> (it was emphasi</w:t>
      </w:r>
      <w:r w:rsidR="00A519D0">
        <w:rPr>
          <w:rFonts w:eastAsia="Times New Roman" w:cs="Arial"/>
          <w:szCs w:val="20"/>
          <w:lang w:val="en-US" w:eastAsia="sl-SI"/>
        </w:rPr>
        <w:t>z</w:t>
      </w:r>
      <w:r w:rsidR="00DB00C7" w:rsidRPr="00A519D0">
        <w:rPr>
          <w:rFonts w:eastAsia="Times New Roman" w:cs="Arial"/>
          <w:szCs w:val="20"/>
          <w:lang w:val="en-US" w:eastAsia="sl-SI"/>
        </w:rPr>
        <w:t xml:space="preserve">ed </w:t>
      </w:r>
      <w:r>
        <w:rPr>
          <w:rFonts w:eastAsia="Times New Roman" w:cs="Arial"/>
          <w:szCs w:val="20"/>
          <w:lang w:val="en-US" w:eastAsia="sl-SI"/>
        </w:rPr>
        <w:t xml:space="preserve">that </w:t>
      </w:r>
      <w:r w:rsidR="001265D7" w:rsidRPr="00A519D0">
        <w:rPr>
          <w:rFonts w:eastAsia="Times New Roman" w:cs="Arial"/>
          <w:szCs w:val="20"/>
          <w:lang w:val="en-US" w:eastAsia="sl-SI"/>
        </w:rPr>
        <w:t>the</w:t>
      </w:r>
      <w:r w:rsidR="00DB00C7" w:rsidRPr="00A519D0">
        <w:rPr>
          <w:rFonts w:eastAsia="Times New Roman" w:cs="Arial"/>
          <w:szCs w:val="20"/>
          <w:lang w:val="en-US" w:eastAsia="sl-SI"/>
        </w:rPr>
        <w:t xml:space="preserve"> FATF </w:t>
      </w:r>
      <w:r w:rsidR="001265D7" w:rsidRPr="00A519D0">
        <w:rPr>
          <w:rFonts w:eastAsia="Times New Roman" w:cs="Arial"/>
          <w:szCs w:val="20"/>
          <w:lang w:val="en-US" w:eastAsia="sl-SI"/>
        </w:rPr>
        <w:t>members</w:t>
      </w:r>
      <w:r w:rsidR="00DB00C7" w:rsidRPr="00A519D0">
        <w:rPr>
          <w:rFonts w:eastAsia="Times New Roman" w:cs="Arial"/>
          <w:szCs w:val="20"/>
          <w:lang w:val="en-US" w:eastAsia="sl-SI"/>
        </w:rPr>
        <w:t xml:space="preserve"> contribute in 88% </w:t>
      </w:r>
      <w:r w:rsidR="006F3CFC" w:rsidRPr="00A519D0">
        <w:rPr>
          <w:rFonts w:eastAsia="Times New Roman" w:cs="Arial"/>
          <w:szCs w:val="20"/>
          <w:lang w:val="en-US" w:eastAsia="sl-SI"/>
        </w:rPr>
        <w:t>t</w:t>
      </w:r>
      <w:r w:rsidR="00DB00C7" w:rsidRPr="00A519D0">
        <w:rPr>
          <w:rFonts w:eastAsia="Times New Roman" w:cs="Arial"/>
          <w:szCs w:val="20"/>
          <w:lang w:val="en-US" w:eastAsia="sl-SI"/>
        </w:rPr>
        <w:t xml:space="preserve">o the FATF budget) </w:t>
      </w:r>
      <w:r>
        <w:rPr>
          <w:rFonts w:eastAsia="Times New Roman" w:cs="Arial"/>
          <w:szCs w:val="20"/>
          <w:lang w:val="en-US" w:eastAsia="sl-SI"/>
        </w:rPr>
        <w:t>were</w:t>
      </w:r>
      <w:r w:rsidRPr="00A519D0">
        <w:rPr>
          <w:rFonts w:eastAsia="Times New Roman" w:cs="Arial"/>
          <w:szCs w:val="20"/>
          <w:lang w:val="en-US" w:eastAsia="sl-SI"/>
        </w:rPr>
        <w:t xml:space="preserve"> </w:t>
      </w:r>
      <w:r w:rsidR="00DB00C7" w:rsidRPr="00A519D0">
        <w:rPr>
          <w:rFonts w:eastAsia="Times New Roman" w:cs="Arial"/>
          <w:szCs w:val="20"/>
          <w:lang w:val="en-US" w:eastAsia="sl-SI"/>
        </w:rPr>
        <w:t>presented at the plenary</w:t>
      </w:r>
      <w:r w:rsidR="00EA4441" w:rsidRPr="00A519D0">
        <w:rPr>
          <w:rFonts w:eastAsia="Times New Roman" w:cs="Arial"/>
          <w:szCs w:val="20"/>
          <w:lang w:val="en-US" w:eastAsia="sl-SI"/>
        </w:rPr>
        <w:t xml:space="preserve"> as well.</w:t>
      </w:r>
      <w:r w:rsidR="00DB00C7" w:rsidRPr="00A519D0">
        <w:rPr>
          <w:rFonts w:eastAsia="Times New Roman" w:cs="Arial"/>
          <w:szCs w:val="20"/>
          <w:lang w:val="en-US" w:eastAsia="sl-SI"/>
        </w:rPr>
        <w:t xml:space="preserve"> </w:t>
      </w:r>
    </w:p>
    <w:p w14:paraId="1DD45928" w14:textId="77777777" w:rsidR="00EA4441" w:rsidRPr="00A519D0" w:rsidRDefault="00EA4441" w:rsidP="00EA4441">
      <w:pPr>
        <w:spacing w:after="0" w:line="276" w:lineRule="auto"/>
        <w:contextualSpacing/>
        <w:rPr>
          <w:rFonts w:eastAsia="Times New Roman" w:cs="Arial"/>
          <w:szCs w:val="20"/>
          <w:lang w:val="en-US" w:eastAsia="sl-SI"/>
        </w:rPr>
      </w:pPr>
    </w:p>
    <w:p w14:paraId="6E5B7A1F" w14:textId="0CE12C99" w:rsidR="000F0441" w:rsidRPr="00A519D0" w:rsidRDefault="002620A9" w:rsidP="00EA4441">
      <w:pPr>
        <w:spacing w:after="0" w:line="276" w:lineRule="auto"/>
        <w:contextualSpacing/>
        <w:rPr>
          <w:rFonts w:eastAsia="Times New Roman" w:cs="Arial"/>
          <w:szCs w:val="20"/>
          <w:lang w:val="en-US" w:eastAsia="sl-SI"/>
        </w:rPr>
      </w:pPr>
      <w:r>
        <w:rPr>
          <w:rFonts w:eastAsia="Times New Roman" w:cs="Arial"/>
          <w:szCs w:val="20"/>
          <w:lang w:val="en-US" w:eastAsia="sl-SI"/>
        </w:rPr>
        <w:lastRenderedPageBreak/>
        <w:t>The n</w:t>
      </w:r>
      <w:r w:rsidR="00DB00C7" w:rsidRPr="00A519D0">
        <w:rPr>
          <w:rFonts w:eastAsia="Times New Roman" w:cs="Arial"/>
          <w:szCs w:val="20"/>
          <w:lang w:val="en-US" w:eastAsia="sl-SI"/>
        </w:rPr>
        <w:t>ext, 63rd plenary</w:t>
      </w:r>
      <w:r>
        <w:rPr>
          <w:rFonts w:eastAsia="Times New Roman" w:cs="Arial"/>
          <w:szCs w:val="20"/>
          <w:lang w:val="en-US" w:eastAsia="sl-SI"/>
        </w:rPr>
        <w:t>,</w:t>
      </w:r>
      <w:r w:rsidR="00DB00C7" w:rsidRPr="00A519D0">
        <w:rPr>
          <w:rFonts w:eastAsia="Times New Roman" w:cs="Arial"/>
          <w:szCs w:val="20"/>
          <w:lang w:val="en-US" w:eastAsia="sl-SI"/>
        </w:rPr>
        <w:t xml:space="preserve"> will be held in May 2022, when Slovenia will have to present its </w:t>
      </w:r>
      <w:r w:rsidR="00EA4441" w:rsidRPr="00A519D0">
        <w:rPr>
          <w:rFonts w:eastAsia="Times New Roman" w:cs="Arial"/>
          <w:szCs w:val="20"/>
          <w:lang w:val="en-US" w:eastAsia="sl-SI"/>
        </w:rPr>
        <w:t>4th</w:t>
      </w:r>
      <w:r w:rsidR="00DB00C7" w:rsidRPr="00A519D0">
        <w:rPr>
          <w:rFonts w:eastAsia="Times New Roman" w:cs="Arial"/>
          <w:szCs w:val="20"/>
          <w:lang w:val="en-US" w:eastAsia="sl-SI"/>
        </w:rPr>
        <w:t xml:space="preserve"> Progress report. </w:t>
      </w:r>
    </w:p>
    <w:p w14:paraId="4668E448" w14:textId="77777777" w:rsidR="000F0441" w:rsidRPr="00A519D0" w:rsidRDefault="000F0441" w:rsidP="00EA4441">
      <w:pPr>
        <w:spacing w:line="276" w:lineRule="auto"/>
        <w:rPr>
          <w:lang w:val="en-US"/>
        </w:rPr>
      </w:pPr>
    </w:p>
    <w:p w14:paraId="410A8316" w14:textId="4ADB6F6C" w:rsidR="000F0441" w:rsidRPr="00A519D0" w:rsidRDefault="00093162" w:rsidP="000F0441">
      <w:pPr>
        <w:pStyle w:val="Naslov4"/>
        <w:rPr>
          <w:lang w:val="en-US"/>
        </w:rPr>
      </w:pPr>
      <w:r w:rsidRPr="00A519D0">
        <w:rPr>
          <w:lang w:val="en-US"/>
        </w:rPr>
        <w:t>Council of Europe Convention on Laundering, Search, Seizure and Confiscation of the Proceeds from Crime and on the Financing of Terrorism</w:t>
      </w:r>
    </w:p>
    <w:p w14:paraId="4B53B02B" w14:textId="77777777" w:rsidR="000F0441" w:rsidRPr="00A519D0" w:rsidRDefault="000F0441" w:rsidP="000F0441">
      <w:pPr>
        <w:rPr>
          <w:lang w:val="en-US"/>
        </w:rPr>
      </w:pPr>
    </w:p>
    <w:p w14:paraId="27FFA73B" w14:textId="6FE4C028" w:rsidR="00457566" w:rsidRPr="00A519D0" w:rsidRDefault="002620A9" w:rsidP="00EA4441">
      <w:pPr>
        <w:spacing w:line="276" w:lineRule="auto"/>
        <w:rPr>
          <w:lang w:val="en-US"/>
        </w:rPr>
      </w:pPr>
      <w:r w:rsidRPr="00A519D0">
        <w:rPr>
          <w:lang w:val="en-US"/>
        </w:rPr>
        <w:t>Convention</w:t>
      </w:r>
      <w:r w:rsidR="00457566" w:rsidRPr="00A519D0">
        <w:rPr>
          <w:lang w:val="en-US"/>
        </w:rPr>
        <w:t xml:space="preserve"> </w:t>
      </w:r>
      <w:r>
        <w:rPr>
          <w:lang w:val="en-US"/>
        </w:rPr>
        <w:t>n</w:t>
      </w:r>
      <w:r w:rsidRPr="00A519D0">
        <w:rPr>
          <w:lang w:val="en-US"/>
        </w:rPr>
        <w:t>o</w:t>
      </w:r>
      <w:r w:rsidR="00457566" w:rsidRPr="00A519D0">
        <w:rPr>
          <w:lang w:val="en-US"/>
        </w:rPr>
        <w:t xml:space="preserve">. 198 that Slovenia ratified in 2020 intended to fight money laundering and terrorist financing. Under the basic principle of </w:t>
      </w:r>
      <w:r w:rsidRPr="00A519D0">
        <w:rPr>
          <w:lang w:val="en-US"/>
        </w:rPr>
        <w:t>Convention</w:t>
      </w:r>
      <w:r w:rsidR="00457566" w:rsidRPr="00A519D0">
        <w:rPr>
          <w:lang w:val="en-US"/>
        </w:rPr>
        <w:t xml:space="preserve"> No. 198 signatory countries shall take such measures to enable to search, to follow, to detect, to freeze, to seize and to confiscate the proceeds from crime, that is partly or entirely used to finance terrorism or proceeds from crime from this criminal offence and in this context enables extended cooperation. One of its fundamental obligations is to support the direct communication between contracting states and their authorities and to prescribe the obligation of information sharing between authorities of contracting members. In Slovenia, the OMLP is the central authority competent for receiving and sending requests in the framework of chapter IV (international cooperation) and forwarding them to competent authorities.</w:t>
      </w:r>
    </w:p>
    <w:p w14:paraId="56353E9F" w14:textId="69892549" w:rsidR="008038AA" w:rsidRPr="00A519D0" w:rsidRDefault="003F3990" w:rsidP="00EA4441">
      <w:pPr>
        <w:spacing w:line="276" w:lineRule="auto"/>
        <w:rPr>
          <w:lang w:val="en-US"/>
        </w:rPr>
      </w:pPr>
      <w:r w:rsidRPr="00A519D0">
        <w:rPr>
          <w:lang w:val="en-US"/>
        </w:rPr>
        <w:t>In May 2021</w:t>
      </w:r>
      <w:r w:rsidR="00457566" w:rsidRPr="00A519D0">
        <w:rPr>
          <w:lang w:val="en-US"/>
        </w:rPr>
        <w:t>, the</w:t>
      </w:r>
      <w:r w:rsidRPr="00A519D0">
        <w:rPr>
          <w:lang w:val="en-US"/>
        </w:rPr>
        <w:t xml:space="preserve"> </w:t>
      </w:r>
      <w:r w:rsidR="001265D7" w:rsidRPr="00A519D0">
        <w:rPr>
          <w:lang w:val="en-US"/>
        </w:rPr>
        <w:t>extraordinary</w:t>
      </w:r>
      <w:r w:rsidRPr="00A519D0">
        <w:rPr>
          <w:lang w:val="en-US"/>
        </w:rPr>
        <w:t xml:space="preserve"> virtual plenary session took place, mainly </w:t>
      </w:r>
      <w:r w:rsidR="00B058E4" w:rsidRPr="00A519D0">
        <w:rPr>
          <w:lang w:val="en-US"/>
        </w:rPr>
        <w:t xml:space="preserve">focused </w:t>
      </w:r>
      <w:r w:rsidR="00457566" w:rsidRPr="00A519D0">
        <w:rPr>
          <w:lang w:val="en-US"/>
        </w:rPr>
        <w:t>to</w:t>
      </w:r>
      <w:r w:rsidR="00B058E4" w:rsidRPr="00A519D0">
        <w:rPr>
          <w:lang w:val="en-US"/>
        </w:rPr>
        <w:t xml:space="preserve"> virtual </w:t>
      </w:r>
      <w:r w:rsidR="001265D7" w:rsidRPr="00A519D0">
        <w:rPr>
          <w:lang w:val="en-US"/>
        </w:rPr>
        <w:t>assets</w:t>
      </w:r>
      <w:r w:rsidR="00B058E4" w:rsidRPr="00A519D0">
        <w:rPr>
          <w:lang w:val="en-US"/>
        </w:rPr>
        <w:t xml:space="preserve"> questionnaire, that was presented at the previous plenary meeting. </w:t>
      </w:r>
      <w:r w:rsidR="008A14FC" w:rsidRPr="00A519D0">
        <w:rPr>
          <w:lang w:val="en-US"/>
        </w:rPr>
        <w:t xml:space="preserve">The </w:t>
      </w:r>
      <w:r w:rsidR="00F742C4" w:rsidRPr="00A519D0">
        <w:rPr>
          <w:lang w:val="en-US"/>
        </w:rPr>
        <w:t xml:space="preserve">Resolution “Urgent need to strengthen financial intelligence units - Sharper tools needed to improve confiscation of illegal assets” </w:t>
      </w:r>
      <w:r w:rsidR="00B058E4" w:rsidRPr="00A519D0">
        <w:rPr>
          <w:lang w:val="en-US"/>
        </w:rPr>
        <w:t xml:space="preserve">and project for implementation of activities 1.5 in the framework of </w:t>
      </w:r>
      <w:r w:rsidR="00BF2A4D" w:rsidRPr="00A519D0">
        <w:rPr>
          <w:lang w:val="en-US"/>
        </w:rPr>
        <w:t>Counter Terrorism Strategy</w:t>
      </w:r>
      <w:r w:rsidR="00B058E4" w:rsidRPr="00A519D0">
        <w:rPr>
          <w:lang w:val="en-US"/>
        </w:rPr>
        <w:t>, that studies the possibility to update the existing standards in fight against terrorism financing</w:t>
      </w:r>
      <w:r w:rsidR="008A14FC" w:rsidRPr="00A519D0">
        <w:rPr>
          <w:lang w:val="en-US"/>
        </w:rPr>
        <w:t>,</w:t>
      </w:r>
      <w:r w:rsidR="00F742C4" w:rsidRPr="00A519D0">
        <w:rPr>
          <w:lang w:val="en-US"/>
        </w:rPr>
        <w:t xml:space="preserve"> were presented</w:t>
      </w:r>
      <w:r w:rsidR="00BF2A4D" w:rsidRPr="00A519D0">
        <w:rPr>
          <w:lang w:val="en-US"/>
        </w:rPr>
        <w:t>.</w:t>
      </w:r>
    </w:p>
    <w:p w14:paraId="6D9CFE3B" w14:textId="560A8043" w:rsidR="000F0441" w:rsidRPr="00A519D0" w:rsidRDefault="002620A9" w:rsidP="00EA4441">
      <w:pPr>
        <w:spacing w:line="276" w:lineRule="auto"/>
        <w:rPr>
          <w:lang w:val="en-US"/>
        </w:rPr>
      </w:pPr>
      <w:r>
        <w:rPr>
          <w:lang w:val="en-US"/>
        </w:rPr>
        <w:t xml:space="preserve">The </w:t>
      </w:r>
      <w:r w:rsidR="00BF2A4D" w:rsidRPr="00A519D0">
        <w:rPr>
          <w:lang w:val="en-US"/>
        </w:rPr>
        <w:t xml:space="preserve">13th Conference of the parties to </w:t>
      </w:r>
      <w:r w:rsidRPr="00A519D0">
        <w:rPr>
          <w:lang w:val="en-US"/>
        </w:rPr>
        <w:t>Convention</w:t>
      </w:r>
      <w:r>
        <w:rPr>
          <w:lang w:val="en-US"/>
        </w:rPr>
        <w:t xml:space="preserve"> No.</w:t>
      </w:r>
      <w:r w:rsidR="00BF2A4D" w:rsidRPr="00A519D0">
        <w:rPr>
          <w:iCs/>
          <w:lang w:val="en-US"/>
        </w:rPr>
        <w:t xml:space="preserve"> 198 took place virtually in November 2021. At this conference the report on </w:t>
      </w:r>
      <w:r>
        <w:rPr>
          <w:iCs/>
          <w:lang w:val="en-US"/>
        </w:rPr>
        <w:t xml:space="preserve">the </w:t>
      </w:r>
      <w:r w:rsidR="00BF2A4D" w:rsidRPr="00A519D0">
        <w:rPr>
          <w:iCs/>
          <w:lang w:val="en-US"/>
        </w:rPr>
        <w:t xml:space="preserve">implementation of </w:t>
      </w:r>
      <w:r w:rsidRPr="00A519D0">
        <w:rPr>
          <w:lang w:val="en-US"/>
        </w:rPr>
        <w:t>Convention</w:t>
      </w:r>
      <w:r>
        <w:rPr>
          <w:lang w:val="en-US"/>
        </w:rPr>
        <w:t xml:space="preserve"> </w:t>
      </w:r>
      <w:r w:rsidR="00BF2A4D" w:rsidRPr="00A519D0">
        <w:rPr>
          <w:iCs/>
          <w:lang w:val="en-US"/>
        </w:rPr>
        <w:t>No. 198</w:t>
      </w:r>
      <w:r w:rsidR="009E1636" w:rsidRPr="00A519D0">
        <w:rPr>
          <w:iCs/>
          <w:lang w:val="en-US"/>
        </w:rPr>
        <w:t xml:space="preserve"> related to first and second paragraph of Article 10 in signatory countries</w:t>
      </w:r>
      <w:r w:rsidR="00BF2A4D" w:rsidRPr="00A519D0">
        <w:rPr>
          <w:iCs/>
          <w:lang w:val="en-US"/>
        </w:rPr>
        <w:t xml:space="preserve"> was </w:t>
      </w:r>
      <w:r w:rsidR="009E1636" w:rsidRPr="00A519D0">
        <w:rPr>
          <w:iCs/>
          <w:lang w:val="en-US"/>
        </w:rPr>
        <w:t xml:space="preserve">discussed and </w:t>
      </w:r>
      <w:r w:rsidR="00BF2A4D" w:rsidRPr="00A519D0">
        <w:rPr>
          <w:iCs/>
          <w:lang w:val="en-US"/>
        </w:rPr>
        <w:t>adopted</w:t>
      </w:r>
      <w:r w:rsidR="009E1636" w:rsidRPr="00A519D0">
        <w:rPr>
          <w:iCs/>
          <w:lang w:val="en-US"/>
        </w:rPr>
        <w:t xml:space="preserve">. </w:t>
      </w:r>
      <w:r w:rsidR="00EB2AA4" w:rsidRPr="00A519D0">
        <w:rPr>
          <w:iCs/>
          <w:lang w:val="en-US"/>
        </w:rPr>
        <w:t xml:space="preserve">The proposal that was </w:t>
      </w:r>
      <w:r>
        <w:rPr>
          <w:iCs/>
          <w:lang w:val="en-US"/>
        </w:rPr>
        <w:t>presented to</w:t>
      </w:r>
      <w:r w:rsidRPr="00A519D0">
        <w:rPr>
          <w:iCs/>
          <w:lang w:val="en-US"/>
        </w:rPr>
        <w:t xml:space="preserve"> </w:t>
      </w:r>
      <w:r w:rsidR="00EB2AA4" w:rsidRPr="00A519D0">
        <w:rPr>
          <w:iCs/>
          <w:lang w:val="en-US"/>
        </w:rPr>
        <w:t>the plenary to prepare the explanatory note on this article for the next meeting</w:t>
      </w:r>
      <w:r w:rsidR="001265D7" w:rsidRPr="00A519D0">
        <w:rPr>
          <w:iCs/>
          <w:lang w:val="en-US"/>
        </w:rPr>
        <w:t xml:space="preserve"> </w:t>
      </w:r>
      <w:r w:rsidR="00EB2AA4" w:rsidRPr="00A519D0">
        <w:rPr>
          <w:iCs/>
          <w:lang w:val="en-US"/>
        </w:rPr>
        <w:t>was adopted.</w:t>
      </w:r>
      <w:r w:rsidR="000F0441" w:rsidRPr="00A519D0">
        <w:rPr>
          <w:lang w:val="en-US"/>
        </w:rPr>
        <w:t xml:space="preserve"> </w:t>
      </w:r>
      <w:r w:rsidR="0005037C" w:rsidRPr="00A519D0">
        <w:rPr>
          <w:lang w:val="en-US"/>
        </w:rPr>
        <w:t xml:space="preserve">The progress on </w:t>
      </w:r>
      <w:r>
        <w:rPr>
          <w:lang w:val="en-US"/>
        </w:rPr>
        <w:t xml:space="preserve">the </w:t>
      </w:r>
      <w:r w:rsidR="0005037C" w:rsidRPr="00A519D0">
        <w:rPr>
          <w:lang w:val="en-US"/>
        </w:rPr>
        <w:t>implementation of activities to fight terrorism financing in the framework of COE was presented</w:t>
      </w:r>
      <w:r w:rsidR="008A14FC" w:rsidRPr="00A519D0">
        <w:rPr>
          <w:lang w:val="en-US"/>
        </w:rPr>
        <w:t xml:space="preserve"> as well</w:t>
      </w:r>
      <w:r w:rsidR="0005037C" w:rsidRPr="00A519D0">
        <w:rPr>
          <w:lang w:val="en-US"/>
        </w:rPr>
        <w:t xml:space="preserve">. </w:t>
      </w:r>
      <w:r w:rsidR="00CF1970" w:rsidRPr="00A519D0">
        <w:rPr>
          <w:lang w:val="en-US"/>
        </w:rPr>
        <w:t xml:space="preserve">In the FATF framework the </w:t>
      </w:r>
      <w:r w:rsidR="001265D7" w:rsidRPr="00A519D0">
        <w:rPr>
          <w:lang w:val="en-US"/>
        </w:rPr>
        <w:t>technical</w:t>
      </w:r>
      <w:r w:rsidR="00CF1970" w:rsidRPr="00A519D0">
        <w:rPr>
          <w:lang w:val="en-US"/>
        </w:rPr>
        <w:t xml:space="preserve"> reports on complianc</w:t>
      </w:r>
      <w:r w:rsidR="008A14FC" w:rsidRPr="00A519D0">
        <w:rPr>
          <w:lang w:val="en-US"/>
        </w:rPr>
        <w:t>e</w:t>
      </w:r>
      <w:r w:rsidR="00CF1970" w:rsidRPr="00A519D0">
        <w:rPr>
          <w:lang w:val="en-US"/>
        </w:rPr>
        <w:t xml:space="preserve"> and eff</w:t>
      </w:r>
      <w:r w:rsidR="008A14FC" w:rsidRPr="00A519D0">
        <w:rPr>
          <w:lang w:val="en-US"/>
        </w:rPr>
        <w:t>ectiveness</w:t>
      </w:r>
      <w:r w:rsidR="00CF1970" w:rsidRPr="00A519D0">
        <w:rPr>
          <w:lang w:val="en-US"/>
        </w:rPr>
        <w:t xml:space="preserve"> of implementation of FATF standards and the related challenges in confiscation of proceeds of crime</w:t>
      </w:r>
      <w:r w:rsidR="008A14FC" w:rsidRPr="00A519D0">
        <w:rPr>
          <w:lang w:val="en-US"/>
        </w:rPr>
        <w:t xml:space="preserve"> were presented</w:t>
      </w:r>
      <w:r w:rsidR="00CF1970" w:rsidRPr="00A519D0">
        <w:rPr>
          <w:lang w:val="en-US"/>
        </w:rPr>
        <w:t xml:space="preserve">. The key findings of the analysis of </w:t>
      </w:r>
      <w:r>
        <w:rPr>
          <w:lang w:val="en-US"/>
        </w:rPr>
        <w:t xml:space="preserve">the </w:t>
      </w:r>
      <w:r w:rsidR="00CF1970" w:rsidRPr="00A519D0">
        <w:rPr>
          <w:lang w:val="en-US"/>
        </w:rPr>
        <w:t xml:space="preserve">received answers on </w:t>
      </w:r>
      <w:r w:rsidR="008A14FC" w:rsidRPr="00A519D0">
        <w:rPr>
          <w:lang w:val="en-US"/>
        </w:rPr>
        <w:t>t</w:t>
      </w:r>
      <w:r w:rsidR="00CF1970" w:rsidRPr="00A519D0">
        <w:rPr>
          <w:lang w:val="en-US"/>
        </w:rPr>
        <w:t xml:space="preserve">he regulatory framework of the </w:t>
      </w:r>
      <w:r w:rsidR="001265D7" w:rsidRPr="00A519D0">
        <w:rPr>
          <w:lang w:val="en-US"/>
        </w:rPr>
        <w:t>virtual</w:t>
      </w:r>
      <w:r w:rsidR="00CF1970" w:rsidRPr="00A519D0">
        <w:rPr>
          <w:lang w:val="en-US"/>
        </w:rPr>
        <w:t xml:space="preserve"> assets (definition of </w:t>
      </w:r>
      <w:r w:rsidR="001265D7" w:rsidRPr="00A519D0">
        <w:rPr>
          <w:lang w:val="en-US"/>
        </w:rPr>
        <w:t>virtual</w:t>
      </w:r>
      <w:r w:rsidR="00CF1970" w:rsidRPr="00A519D0">
        <w:rPr>
          <w:lang w:val="en-US"/>
        </w:rPr>
        <w:t xml:space="preserve"> asset</w:t>
      </w:r>
      <w:r w:rsidR="008A14FC" w:rsidRPr="00A519D0">
        <w:rPr>
          <w:lang w:val="en-US"/>
        </w:rPr>
        <w:t>s</w:t>
      </w:r>
      <w:r w:rsidR="00CF1970" w:rsidRPr="00A519D0">
        <w:rPr>
          <w:lang w:val="en-US"/>
        </w:rPr>
        <w:t xml:space="preserve">, definition of virtual </w:t>
      </w:r>
      <w:r w:rsidR="001265D7" w:rsidRPr="00A519D0">
        <w:rPr>
          <w:lang w:val="en-US"/>
        </w:rPr>
        <w:t>assets</w:t>
      </w:r>
      <w:r w:rsidR="00CF1970" w:rsidRPr="00A519D0">
        <w:rPr>
          <w:lang w:val="en-US"/>
        </w:rPr>
        <w:t xml:space="preserve"> service providers and wallet service providers), on </w:t>
      </w:r>
      <w:r w:rsidR="001265D7" w:rsidRPr="00A519D0">
        <w:rPr>
          <w:lang w:val="en-US"/>
        </w:rPr>
        <w:t>possibility</w:t>
      </w:r>
      <w:r w:rsidR="00CF1970" w:rsidRPr="00A519D0">
        <w:rPr>
          <w:lang w:val="en-US"/>
        </w:rPr>
        <w:t xml:space="preserve"> of seizure and confiscation of virtual assets</w:t>
      </w:r>
      <w:r w:rsidR="00C77F17" w:rsidRPr="00A519D0">
        <w:rPr>
          <w:lang w:val="en-US"/>
        </w:rPr>
        <w:t xml:space="preserve"> before conviction, international cooperation, and incrimination of all illegal activities related to </w:t>
      </w:r>
      <w:r w:rsidR="001265D7" w:rsidRPr="00A519D0">
        <w:rPr>
          <w:lang w:val="en-US"/>
        </w:rPr>
        <w:t>virtual</w:t>
      </w:r>
      <w:r w:rsidR="00C77F17" w:rsidRPr="00A519D0">
        <w:rPr>
          <w:lang w:val="en-US"/>
        </w:rPr>
        <w:t xml:space="preserve"> assets w</w:t>
      </w:r>
      <w:r w:rsidR="008A14FC" w:rsidRPr="00A519D0">
        <w:rPr>
          <w:lang w:val="en-US"/>
        </w:rPr>
        <w:t>ere</w:t>
      </w:r>
      <w:r w:rsidR="00C77F17" w:rsidRPr="00A519D0">
        <w:rPr>
          <w:lang w:val="en-US"/>
        </w:rPr>
        <w:t xml:space="preserve"> presented. </w:t>
      </w:r>
    </w:p>
    <w:p w14:paraId="2FDBAEE0" w14:textId="77777777" w:rsidR="008A14FC" w:rsidRPr="00A519D0" w:rsidRDefault="008A14FC" w:rsidP="00EA4441">
      <w:pPr>
        <w:spacing w:line="276" w:lineRule="auto"/>
        <w:rPr>
          <w:lang w:val="en-US"/>
        </w:rPr>
      </w:pPr>
    </w:p>
    <w:p w14:paraId="3AD20702" w14:textId="6DA29F36" w:rsidR="000F0441" w:rsidRPr="00A519D0" w:rsidRDefault="00C77F17" w:rsidP="000F0441">
      <w:pPr>
        <w:pStyle w:val="Naslov3"/>
        <w:rPr>
          <w:lang w:val="en-US"/>
        </w:rPr>
      </w:pPr>
      <w:r w:rsidRPr="00A519D0">
        <w:rPr>
          <w:lang w:val="en-US"/>
        </w:rPr>
        <w:t>European Union</w:t>
      </w:r>
    </w:p>
    <w:p w14:paraId="2663AF05" w14:textId="77777777" w:rsidR="000F0441" w:rsidRPr="00A519D0" w:rsidRDefault="000F0441" w:rsidP="000F0441">
      <w:pPr>
        <w:rPr>
          <w:lang w:val="en-US"/>
        </w:rPr>
      </w:pPr>
    </w:p>
    <w:p w14:paraId="593E1DBE" w14:textId="0B7B9745" w:rsidR="000F0441" w:rsidRPr="00A519D0" w:rsidRDefault="001265D7" w:rsidP="007B1A45">
      <w:pPr>
        <w:pStyle w:val="Naslov4"/>
        <w:rPr>
          <w:lang w:val="en-US"/>
        </w:rPr>
      </w:pPr>
      <w:r w:rsidRPr="00A519D0">
        <w:rPr>
          <w:lang w:val="en-US"/>
        </w:rPr>
        <w:t>Council</w:t>
      </w:r>
      <w:r w:rsidR="00C77F17" w:rsidRPr="00A519D0">
        <w:rPr>
          <w:lang w:val="en-US"/>
        </w:rPr>
        <w:t xml:space="preserve"> of the European Union and European Commission </w:t>
      </w:r>
    </w:p>
    <w:p w14:paraId="3F07F470" w14:textId="77777777" w:rsidR="000F0441" w:rsidRPr="00A519D0" w:rsidRDefault="000F0441" w:rsidP="000F0441">
      <w:pPr>
        <w:rPr>
          <w:lang w:val="en-US"/>
        </w:rPr>
      </w:pPr>
    </w:p>
    <w:p w14:paraId="2F39548A" w14:textId="324DDA72" w:rsidR="000F0441" w:rsidRPr="00A519D0" w:rsidRDefault="00B76D1D" w:rsidP="008A14FC">
      <w:pPr>
        <w:spacing w:line="276" w:lineRule="auto"/>
        <w:rPr>
          <w:lang w:val="en-US"/>
        </w:rPr>
      </w:pPr>
      <w:r w:rsidRPr="00A519D0">
        <w:rPr>
          <w:lang w:val="en-US"/>
        </w:rPr>
        <w:t xml:space="preserve">According to the adopted Action Plan from May 2020 the European Commission in July 2021 published </w:t>
      </w:r>
      <w:r w:rsidR="00C24459" w:rsidRPr="00A519D0">
        <w:rPr>
          <w:lang w:val="en-US"/>
        </w:rPr>
        <w:t>four</w:t>
      </w:r>
      <w:r w:rsidRPr="00A519D0">
        <w:rPr>
          <w:lang w:val="en-US"/>
        </w:rPr>
        <w:t xml:space="preserve"> legislative proposals (AML</w:t>
      </w:r>
      <w:r w:rsidR="00C24459" w:rsidRPr="00A519D0">
        <w:rPr>
          <w:lang w:val="en-US"/>
        </w:rPr>
        <w:t xml:space="preserve"> </w:t>
      </w:r>
      <w:r w:rsidRPr="00A519D0">
        <w:rPr>
          <w:lang w:val="en-US"/>
        </w:rPr>
        <w:t xml:space="preserve">package) on money laundering prevention and terrorist </w:t>
      </w:r>
      <w:r w:rsidR="00C24459" w:rsidRPr="00A519D0">
        <w:rPr>
          <w:lang w:val="en-US"/>
        </w:rPr>
        <w:t>financing</w:t>
      </w:r>
      <w:r w:rsidRPr="00A519D0">
        <w:rPr>
          <w:lang w:val="en-US"/>
        </w:rPr>
        <w:t>, namely:</w:t>
      </w:r>
    </w:p>
    <w:p w14:paraId="456D0288" w14:textId="72253477" w:rsidR="000F0441" w:rsidRPr="002620A9" w:rsidRDefault="00DA06D1" w:rsidP="008A14FC">
      <w:pPr>
        <w:pStyle w:val="Odstavekseznama"/>
        <w:numPr>
          <w:ilvl w:val="0"/>
          <w:numId w:val="4"/>
        </w:numPr>
        <w:spacing w:line="276" w:lineRule="auto"/>
        <w:rPr>
          <w:b/>
          <w:bCs/>
          <w:lang w:val="en-US"/>
        </w:rPr>
      </w:pPr>
      <w:r w:rsidRPr="002620A9">
        <w:rPr>
          <w:b/>
          <w:bCs/>
          <w:szCs w:val="20"/>
          <w:shd w:val="clear" w:color="auto" w:fill="FFFFFF"/>
          <w:lang w:val="en-US"/>
        </w:rPr>
        <w:t>Regulation on the prevention of the use of the financial system for the purposes of money laundering or terrorist financing</w:t>
      </w:r>
      <w:r w:rsidR="00E9405C" w:rsidRPr="002620A9">
        <w:rPr>
          <w:b/>
          <w:bCs/>
          <w:lang w:val="en-US"/>
        </w:rPr>
        <w:t>,</w:t>
      </w:r>
    </w:p>
    <w:p w14:paraId="0206F16E" w14:textId="64111FCD" w:rsidR="000F0441" w:rsidRPr="002620A9" w:rsidRDefault="00DA06D1" w:rsidP="008A14FC">
      <w:pPr>
        <w:pStyle w:val="Odstavekseznama"/>
        <w:numPr>
          <w:ilvl w:val="0"/>
          <w:numId w:val="4"/>
        </w:numPr>
        <w:spacing w:line="276" w:lineRule="auto"/>
        <w:rPr>
          <w:b/>
          <w:bCs/>
          <w:szCs w:val="20"/>
          <w:lang w:val="en-US"/>
        </w:rPr>
      </w:pPr>
      <w:r w:rsidRPr="002620A9">
        <w:rPr>
          <w:b/>
          <w:bCs/>
          <w:szCs w:val="20"/>
          <w:shd w:val="clear" w:color="auto" w:fill="FFFFFF"/>
          <w:lang w:val="en-US"/>
        </w:rPr>
        <w:t>Directive on the mechanisms to be put in place by the Member States for the prevention of the use of the financial system for the purposes of money laundering or terrorist financing</w:t>
      </w:r>
      <w:r w:rsidR="00E9405C" w:rsidRPr="002620A9">
        <w:rPr>
          <w:b/>
          <w:bCs/>
          <w:szCs w:val="20"/>
          <w:lang w:val="en-US"/>
        </w:rPr>
        <w:t>,</w:t>
      </w:r>
    </w:p>
    <w:p w14:paraId="5F68AA27" w14:textId="061525B2" w:rsidR="000F0441" w:rsidRPr="002620A9" w:rsidRDefault="00C24459" w:rsidP="008A14FC">
      <w:pPr>
        <w:pStyle w:val="Odstavekseznama"/>
        <w:numPr>
          <w:ilvl w:val="0"/>
          <w:numId w:val="4"/>
        </w:numPr>
        <w:spacing w:line="276" w:lineRule="auto"/>
        <w:rPr>
          <w:b/>
          <w:bCs/>
          <w:szCs w:val="20"/>
          <w:shd w:val="clear" w:color="auto" w:fill="FFFFFF"/>
          <w:lang w:val="en-US"/>
        </w:rPr>
      </w:pPr>
      <w:r w:rsidRPr="002620A9">
        <w:rPr>
          <w:b/>
          <w:bCs/>
          <w:szCs w:val="20"/>
          <w:shd w:val="clear" w:color="auto" w:fill="FFFFFF"/>
          <w:lang w:val="en-US"/>
        </w:rPr>
        <w:lastRenderedPageBreak/>
        <w:t>Regulation</w:t>
      </w:r>
      <w:r w:rsidR="00DA06D1" w:rsidRPr="002620A9">
        <w:rPr>
          <w:b/>
          <w:bCs/>
          <w:szCs w:val="20"/>
          <w:shd w:val="clear" w:color="auto" w:fill="FFFFFF"/>
          <w:lang w:val="en-US"/>
        </w:rPr>
        <w:t xml:space="preserve"> on establishing the Authority for Anti-Money Laundering and Countering the Financing of Terrorism</w:t>
      </w:r>
      <w:r w:rsidR="00E9405C" w:rsidRPr="002620A9">
        <w:rPr>
          <w:b/>
          <w:bCs/>
          <w:szCs w:val="20"/>
          <w:shd w:val="clear" w:color="auto" w:fill="FFFFFF"/>
          <w:lang w:val="en-US"/>
        </w:rPr>
        <w:t>,</w:t>
      </w:r>
      <w:r w:rsidR="000F0441" w:rsidRPr="002620A9">
        <w:rPr>
          <w:b/>
          <w:bCs/>
          <w:szCs w:val="20"/>
          <w:shd w:val="clear" w:color="auto" w:fill="FFFFFF"/>
          <w:lang w:val="en-US"/>
        </w:rPr>
        <w:t xml:space="preserve"> </w:t>
      </w:r>
    </w:p>
    <w:p w14:paraId="1084CFC3" w14:textId="5E28A65A" w:rsidR="00576507" w:rsidRPr="002620A9" w:rsidRDefault="00DA06D1" w:rsidP="008A14FC">
      <w:pPr>
        <w:pStyle w:val="Odstavekseznama"/>
        <w:numPr>
          <w:ilvl w:val="0"/>
          <w:numId w:val="4"/>
        </w:numPr>
        <w:spacing w:line="276" w:lineRule="auto"/>
        <w:rPr>
          <w:b/>
          <w:bCs/>
          <w:szCs w:val="20"/>
          <w:shd w:val="clear" w:color="auto" w:fill="FFFFFF"/>
          <w:lang w:val="en-US"/>
        </w:rPr>
      </w:pPr>
      <w:r w:rsidRPr="002620A9">
        <w:rPr>
          <w:b/>
          <w:bCs/>
          <w:szCs w:val="20"/>
          <w:shd w:val="clear" w:color="auto" w:fill="FFFFFF"/>
          <w:lang w:val="en-US"/>
        </w:rPr>
        <w:t xml:space="preserve">Regulation on information accompanying transfers of funds and certain </w:t>
      </w:r>
      <w:proofErr w:type="gramStart"/>
      <w:r w:rsidRPr="002620A9">
        <w:rPr>
          <w:b/>
          <w:bCs/>
          <w:szCs w:val="20"/>
          <w:shd w:val="clear" w:color="auto" w:fill="FFFFFF"/>
          <w:lang w:val="en-US"/>
        </w:rPr>
        <w:t>crypto-assets</w:t>
      </w:r>
      <w:proofErr w:type="gramEnd"/>
      <w:r w:rsidRPr="002620A9">
        <w:rPr>
          <w:b/>
          <w:bCs/>
          <w:szCs w:val="20"/>
          <w:shd w:val="clear" w:color="auto" w:fill="FFFFFF"/>
          <w:lang w:val="en-US"/>
        </w:rPr>
        <w:t xml:space="preserve"> (recast)</w:t>
      </w:r>
      <w:r w:rsidR="002C51D3">
        <w:rPr>
          <w:b/>
          <w:bCs/>
          <w:szCs w:val="20"/>
          <w:shd w:val="clear" w:color="auto" w:fill="FFFFFF"/>
          <w:lang w:val="en-US"/>
        </w:rPr>
        <w:t>.</w:t>
      </w:r>
    </w:p>
    <w:p w14:paraId="3EA25A7E" w14:textId="02C778D3" w:rsidR="000F0441" w:rsidRPr="00A519D0" w:rsidRDefault="002C51D3" w:rsidP="008A14FC">
      <w:pPr>
        <w:spacing w:line="276" w:lineRule="auto"/>
        <w:rPr>
          <w:szCs w:val="20"/>
          <w:lang w:val="en-US"/>
        </w:rPr>
      </w:pPr>
      <w:r>
        <w:rPr>
          <w:szCs w:val="20"/>
          <w:lang w:val="en-US"/>
        </w:rPr>
        <w:t>The p</w:t>
      </w:r>
      <w:r w:rsidR="00A13122" w:rsidRPr="00A519D0">
        <w:rPr>
          <w:szCs w:val="20"/>
          <w:lang w:val="en-US"/>
        </w:rPr>
        <w:t>roposals are based on several decisions taken in previous years at the Council of European</w:t>
      </w:r>
      <w:r w:rsidR="00E5507E" w:rsidRPr="00A519D0">
        <w:rPr>
          <w:szCs w:val="20"/>
          <w:lang w:val="en-US"/>
        </w:rPr>
        <w:t xml:space="preserve"> Union</w:t>
      </w:r>
      <w:r w:rsidR="00A13122" w:rsidRPr="00A519D0">
        <w:rPr>
          <w:szCs w:val="20"/>
          <w:lang w:val="en-US"/>
        </w:rPr>
        <w:t xml:space="preserve">, on Supranational Risk </w:t>
      </w:r>
      <w:r w:rsidR="00C24459" w:rsidRPr="00A519D0">
        <w:rPr>
          <w:szCs w:val="20"/>
          <w:lang w:val="en-US"/>
        </w:rPr>
        <w:t>Assessment</w:t>
      </w:r>
      <w:r w:rsidR="00A13122" w:rsidRPr="00A519D0">
        <w:rPr>
          <w:szCs w:val="20"/>
          <w:lang w:val="en-US"/>
        </w:rPr>
        <w:t xml:space="preserve"> of the European Union, on four special reports of the </w:t>
      </w:r>
      <w:r w:rsidR="00C24459" w:rsidRPr="00A519D0">
        <w:rPr>
          <w:szCs w:val="20"/>
          <w:lang w:val="en-US"/>
        </w:rPr>
        <w:t>European</w:t>
      </w:r>
      <w:r w:rsidR="00A13122" w:rsidRPr="00A519D0">
        <w:rPr>
          <w:szCs w:val="20"/>
          <w:lang w:val="en-US"/>
        </w:rPr>
        <w:t xml:space="preserve"> Union form July 2019, and on Action Plan from May 2020</w:t>
      </w:r>
      <w:r w:rsidR="000F0441" w:rsidRPr="00A519D0">
        <w:rPr>
          <w:szCs w:val="20"/>
          <w:lang w:val="en-US"/>
        </w:rPr>
        <w:t xml:space="preserve">. </w:t>
      </w:r>
      <w:r w:rsidR="00A13122" w:rsidRPr="00A519D0">
        <w:rPr>
          <w:szCs w:val="20"/>
          <w:lang w:val="en-US"/>
        </w:rPr>
        <w:t xml:space="preserve">The Action Plan stands on six pillars, and the new </w:t>
      </w:r>
      <w:r w:rsidR="00C24459" w:rsidRPr="00A519D0">
        <w:rPr>
          <w:szCs w:val="20"/>
          <w:lang w:val="en-US"/>
        </w:rPr>
        <w:t>regulatory</w:t>
      </w:r>
      <w:r w:rsidR="00A13122" w:rsidRPr="00A519D0">
        <w:rPr>
          <w:szCs w:val="20"/>
          <w:lang w:val="en-US"/>
        </w:rPr>
        <w:t xml:space="preserve"> proposals deals with three of them. </w:t>
      </w:r>
      <w:r w:rsidR="00A13122" w:rsidRPr="002C51D3">
        <w:rPr>
          <w:szCs w:val="20"/>
          <w:lang w:val="en-US"/>
        </w:rPr>
        <w:t xml:space="preserve">The purpose is to unify and </w:t>
      </w:r>
      <w:r w:rsidR="00C24459" w:rsidRPr="002C51D3">
        <w:rPr>
          <w:szCs w:val="20"/>
          <w:lang w:val="en-US"/>
        </w:rPr>
        <w:t>strengthen</w:t>
      </w:r>
      <w:r w:rsidR="00A13122" w:rsidRPr="002C51D3">
        <w:rPr>
          <w:szCs w:val="20"/>
          <w:lang w:val="en-US"/>
        </w:rPr>
        <w:t xml:space="preserve"> the implementation of measures taken by obliged entities at the EU level, establish the new EU supervisor, and </w:t>
      </w:r>
      <w:r w:rsidR="00C24459" w:rsidRPr="002C51D3">
        <w:rPr>
          <w:szCs w:val="20"/>
          <w:lang w:val="en-US"/>
        </w:rPr>
        <w:t>strengthen</w:t>
      </w:r>
      <w:r w:rsidR="00A13122" w:rsidRPr="002C51D3">
        <w:rPr>
          <w:szCs w:val="20"/>
          <w:lang w:val="en-US"/>
        </w:rPr>
        <w:t xml:space="preserve"> the cooperation between FIUs. The unification of EU rules in the area of </w:t>
      </w:r>
      <w:r w:rsidR="00C24459" w:rsidRPr="002C51D3">
        <w:rPr>
          <w:szCs w:val="20"/>
          <w:lang w:val="en-US"/>
        </w:rPr>
        <w:t>prevention</w:t>
      </w:r>
      <w:r w:rsidR="00A13122" w:rsidRPr="002C51D3">
        <w:rPr>
          <w:szCs w:val="20"/>
          <w:lang w:val="en-US"/>
        </w:rPr>
        <w:t xml:space="preserve"> of money laundering and terrorist financing will be implemented by </w:t>
      </w:r>
      <w:r w:rsidR="00C24459" w:rsidRPr="002C51D3">
        <w:rPr>
          <w:szCs w:val="20"/>
          <w:lang w:val="en-US"/>
        </w:rPr>
        <w:t>transferring</w:t>
      </w:r>
      <w:r w:rsidR="00E5507E" w:rsidRPr="002C51D3">
        <w:rPr>
          <w:szCs w:val="20"/>
          <w:lang w:val="en-US"/>
        </w:rPr>
        <w:t xml:space="preserve"> some parts </w:t>
      </w:r>
      <w:r w:rsidR="00A13122" w:rsidRPr="002C51D3">
        <w:rPr>
          <w:szCs w:val="20"/>
          <w:lang w:val="en-US"/>
        </w:rPr>
        <w:t xml:space="preserve">of </w:t>
      </w:r>
      <w:r w:rsidR="00275BE2">
        <w:rPr>
          <w:szCs w:val="20"/>
          <w:lang w:val="en-US"/>
        </w:rPr>
        <w:t xml:space="preserve">the </w:t>
      </w:r>
      <w:r w:rsidR="00A13122" w:rsidRPr="002C51D3">
        <w:rPr>
          <w:szCs w:val="20"/>
          <w:lang w:val="en-US"/>
        </w:rPr>
        <w:t xml:space="preserve">Directive </w:t>
      </w:r>
      <w:r w:rsidR="00E5507E" w:rsidRPr="002C51D3">
        <w:rPr>
          <w:szCs w:val="20"/>
          <w:shd w:val="clear" w:color="auto" w:fill="FFFFFF"/>
          <w:lang w:val="en-US"/>
        </w:rPr>
        <w:t>on the prevention of the use of the financial system for the purposes of money laundering or terrorist financing</w:t>
      </w:r>
      <w:r w:rsidR="00E5507E" w:rsidRPr="002C51D3">
        <w:rPr>
          <w:szCs w:val="20"/>
          <w:lang w:val="en-US"/>
        </w:rPr>
        <w:t xml:space="preserve"> </w:t>
      </w:r>
      <w:r w:rsidR="000F0441" w:rsidRPr="002C51D3">
        <w:rPr>
          <w:szCs w:val="20"/>
          <w:lang w:val="en-US"/>
        </w:rPr>
        <w:t xml:space="preserve">(EU) 2015/849 </w:t>
      </w:r>
      <w:r w:rsidR="00E5507E" w:rsidRPr="002C51D3">
        <w:rPr>
          <w:szCs w:val="20"/>
          <w:lang w:val="en-US"/>
        </w:rPr>
        <w:t>directly into</w:t>
      </w:r>
      <w:r w:rsidR="00275BE2">
        <w:rPr>
          <w:szCs w:val="20"/>
          <w:lang w:val="en-US"/>
        </w:rPr>
        <w:t xml:space="preserve"> a</w:t>
      </w:r>
      <w:r w:rsidR="00E5507E" w:rsidRPr="002C51D3">
        <w:rPr>
          <w:szCs w:val="20"/>
          <w:lang w:val="en-US"/>
        </w:rPr>
        <w:t xml:space="preserve"> binding </w:t>
      </w:r>
      <w:r w:rsidR="00275BE2">
        <w:rPr>
          <w:szCs w:val="20"/>
          <w:lang w:val="en-US"/>
        </w:rPr>
        <w:t>r</w:t>
      </w:r>
      <w:r w:rsidR="00275BE2" w:rsidRPr="002C51D3">
        <w:rPr>
          <w:szCs w:val="20"/>
          <w:lang w:val="en-US"/>
        </w:rPr>
        <w:t xml:space="preserve">egulation </w:t>
      </w:r>
      <w:r w:rsidR="00E5507E" w:rsidRPr="002C51D3">
        <w:rPr>
          <w:szCs w:val="20"/>
          <w:lang w:val="en-US"/>
        </w:rPr>
        <w:t>and by th</w:t>
      </w:r>
      <w:r w:rsidR="008A14FC" w:rsidRPr="002C51D3">
        <w:rPr>
          <w:szCs w:val="20"/>
          <w:lang w:val="en-US"/>
        </w:rPr>
        <w:t>ese</w:t>
      </w:r>
      <w:r w:rsidR="00E5507E" w:rsidRPr="002C51D3">
        <w:rPr>
          <w:szCs w:val="20"/>
          <w:lang w:val="en-US"/>
        </w:rPr>
        <w:t xml:space="preserve"> means </w:t>
      </w:r>
      <w:r w:rsidR="00275BE2">
        <w:rPr>
          <w:szCs w:val="20"/>
          <w:lang w:val="en-US"/>
        </w:rPr>
        <w:t xml:space="preserve">it will </w:t>
      </w:r>
      <w:r w:rsidR="00E5507E" w:rsidRPr="002C51D3">
        <w:rPr>
          <w:szCs w:val="20"/>
          <w:lang w:val="en-US"/>
        </w:rPr>
        <w:t>cr</w:t>
      </w:r>
      <w:r w:rsidR="008A14FC" w:rsidRPr="002C51D3">
        <w:rPr>
          <w:szCs w:val="20"/>
          <w:lang w:val="en-US"/>
        </w:rPr>
        <w:t>ea</w:t>
      </w:r>
      <w:r w:rsidR="00E5507E" w:rsidRPr="002C51D3">
        <w:rPr>
          <w:szCs w:val="20"/>
          <w:lang w:val="en-US"/>
        </w:rPr>
        <w:t>t</w:t>
      </w:r>
      <w:r w:rsidR="00275BE2">
        <w:rPr>
          <w:szCs w:val="20"/>
          <w:lang w:val="en-US"/>
        </w:rPr>
        <w:t>e</w:t>
      </w:r>
      <w:r w:rsidR="00E5507E" w:rsidRPr="002C51D3">
        <w:rPr>
          <w:szCs w:val="20"/>
          <w:lang w:val="en-US"/>
        </w:rPr>
        <w:t xml:space="preserve"> the same competitive conditions on the single market and ensure the same </w:t>
      </w:r>
      <w:r w:rsidR="00C24459" w:rsidRPr="002C51D3">
        <w:rPr>
          <w:szCs w:val="20"/>
          <w:lang w:val="en-US"/>
        </w:rPr>
        <w:t>implementation</w:t>
      </w:r>
      <w:r w:rsidR="00E5507E" w:rsidRPr="002C51D3">
        <w:rPr>
          <w:szCs w:val="20"/>
          <w:lang w:val="en-US"/>
        </w:rPr>
        <w:t xml:space="preserve"> of provisions across EU in </w:t>
      </w:r>
      <w:r w:rsidR="00275BE2">
        <w:rPr>
          <w:szCs w:val="20"/>
          <w:lang w:val="en-US"/>
        </w:rPr>
        <w:t xml:space="preserve">the </w:t>
      </w:r>
      <w:r w:rsidR="00E5507E" w:rsidRPr="002C51D3">
        <w:rPr>
          <w:szCs w:val="20"/>
          <w:lang w:val="en-US"/>
        </w:rPr>
        <w:t>sense of harmoni</w:t>
      </w:r>
      <w:r w:rsidR="00A519D0" w:rsidRPr="002C51D3">
        <w:rPr>
          <w:szCs w:val="20"/>
          <w:lang w:val="en-US"/>
        </w:rPr>
        <w:t>z</w:t>
      </w:r>
      <w:r w:rsidR="00E5507E" w:rsidRPr="002C51D3">
        <w:rPr>
          <w:szCs w:val="20"/>
          <w:lang w:val="en-US"/>
        </w:rPr>
        <w:t xml:space="preserve">ation of </w:t>
      </w:r>
      <w:r w:rsidR="00275BE2">
        <w:rPr>
          <w:szCs w:val="20"/>
          <w:lang w:val="en-US"/>
        </w:rPr>
        <w:t xml:space="preserve">the </w:t>
      </w:r>
      <w:r w:rsidR="00E5507E" w:rsidRPr="002C51D3">
        <w:rPr>
          <w:szCs w:val="20"/>
          <w:lang w:val="en-US"/>
        </w:rPr>
        <w:t xml:space="preserve">rules for the private sector. </w:t>
      </w:r>
    </w:p>
    <w:p w14:paraId="500B99A7" w14:textId="77777777" w:rsidR="008A14FC" w:rsidRPr="00A519D0" w:rsidRDefault="008A14FC" w:rsidP="008A14FC">
      <w:pPr>
        <w:spacing w:line="276" w:lineRule="auto"/>
        <w:rPr>
          <w:szCs w:val="20"/>
          <w:lang w:val="en-US"/>
        </w:rPr>
      </w:pPr>
    </w:p>
    <w:p w14:paraId="48C7D004" w14:textId="2937B5B7" w:rsidR="000F0441" w:rsidRPr="00A519D0" w:rsidRDefault="00C11FF0" w:rsidP="008A14FC">
      <w:pPr>
        <w:pStyle w:val="Naslov4"/>
        <w:spacing w:line="276" w:lineRule="auto"/>
        <w:rPr>
          <w:lang w:val="en-US"/>
        </w:rPr>
      </w:pPr>
      <w:bookmarkStart w:id="29" w:name="_Toc119581734"/>
      <w:r w:rsidRPr="00A519D0">
        <w:rPr>
          <w:lang w:val="en-US"/>
        </w:rPr>
        <w:t xml:space="preserve">Expert Group on Money Laundering and </w:t>
      </w:r>
      <w:r w:rsidR="00C24459" w:rsidRPr="00A519D0">
        <w:rPr>
          <w:lang w:val="en-US"/>
        </w:rPr>
        <w:t>Terrorist</w:t>
      </w:r>
      <w:r w:rsidRPr="00A519D0">
        <w:rPr>
          <w:lang w:val="en-US"/>
        </w:rPr>
        <w:t xml:space="preserve"> Financing </w:t>
      </w:r>
      <w:r w:rsidR="000F0441" w:rsidRPr="00A519D0">
        <w:rPr>
          <w:lang w:val="en-US"/>
        </w:rPr>
        <w:t>– EGMLTF</w:t>
      </w:r>
      <w:bookmarkEnd w:id="29"/>
    </w:p>
    <w:p w14:paraId="3484017F" w14:textId="77777777" w:rsidR="000F0441" w:rsidRPr="00A519D0" w:rsidRDefault="000F0441" w:rsidP="008A14FC">
      <w:pPr>
        <w:spacing w:line="276" w:lineRule="auto"/>
        <w:rPr>
          <w:lang w:val="en-US"/>
        </w:rPr>
      </w:pPr>
    </w:p>
    <w:p w14:paraId="473A2906" w14:textId="77D66E5A" w:rsidR="000F0441" w:rsidRPr="00A519D0" w:rsidRDefault="00C11FF0" w:rsidP="008A14FC">
      <w:pPr>
        <w:spacing w:line="276" w:lineRule="auto"/>
        <w:rPr>
          <w:lang w:val="en-US"/>
        </w:rPr>
      </w:pPr>
      <w:r w:rsidRPr="00A519D0">
        <w:rPr>
          <w:lang w:val="en-US"/>
        </w:rPr>
        <w:t>In 2021</w:t>
      </w:r>
      <w:r w:rsidR="008A14FC" w:rsidRPr="00A519D0">
        <w:rPr>
          <w:lang w:val="en-US"/>
        </w:rPr>
        <w:t>, the</w:t>
      </w:r>
      <w:r w:rsidRPr="00A519D0">
        <w:rPr>
          <w:lang w:val="en-US"/>
        </w:rPr>
        <w:t xml:space="preserve"> </w:t>
      </w:r>
      <w:r w:rsidR="00275BE2">
        <w:rPr>
          <w:lang w:val="en-US"/>
        </w:rPr>
        <w:t>representatives</w:t>
      </w:r>
      <w:r w:rsidR="00275BE2" w:rsidRPr="00A519D0">
        <w:rPr>
          <w:lang w:val="en-US"/>
        </w:rPr>
        <w:t xml:space="preserve"> </w:t>
      </w:r>
      <w:r w:rsidRPr="00A519D0">
        <w:rPr>
          <w:lang w:val="en-US"/>
        </w:rPr>
        <w:t xml:space="preserve">of </w:t>
      </w:r>
      <w:r w:rsidR="00275BE2">
        <w:rPr>
          <w:lang w:val="en-US"/>
        </w:rPr>
        <w:t xml:space="preserve">the </w:t>
      </w:r>
      <w:r w:rsidRPr="00A519D0">
        <w:rPr>
          <w:lang w:val="en-US"/>
        </w:rPr>
        <w:t xml:space="preserve">OMLP </w:t>
      </w:r>
      <w:r w:rsidR="00C24459" w:rsidRPr="00A519D0">
        <w:rPr>
          <w:lang w:val="en-US"/>
        </w:rPr>
        <w:t>participated</w:t>
      </w:r>
      <w:r w:rsidRPr="00A519D0">
        <w:rPr>
          <w:lang w:val="en-US"/>
        </w:rPr>
        <w:t xml:space="preserve"> </w:t>
      </w:r>
      <w:r w:rsidR="00275BE2">
        <w:rPr>
          <w:lang w:val="en-US"/>
        </w:rPr>
        <w:t>in</w:t>
      </w:r>
      <w:r w:rsidR="00275BE2" w:rsidRPr="00A519D0">
        <w:rPr>
          <w:lang w:val="en-US"/>
        </w:rPr>
        <w:t xml:space="preserve"> </w:t>
      </w:r>
      <w:r w:rsidRPr="00A519D0">
        <w:rPr>
          <w:lang w:val="en-US"/>
        </w:rPr>
        <w:t xml:space="preserve">six meetings of </w:t>
      </w:r>
      <w:r w:rsidR="00275BE2">
        <w:rPr>
          <w:lang w:val="en-US"/>
        </w:rPr>
        <w:t>the</w:t>
      </w:r>
      <w:r w:rsidRPr="00A519D0">
        <w:rPr>
          <w:lang w:val="en-US"/>
        </w:rPr>
        <w:t xml:space="preserve"> </w:t>
      </w:r>
      <w:r w:rsidR="000F0441" w:rsidRPr="00A519D0">
        <w:rPr>
          <w:lang w:val="en-US"/>
        </w:rPr>
        <w:t xml:space="preserve">Expert Group on Money Laundering and </w:t>
      </w:r>
      <w:r w:rsidR="00C24459" w:rsidRPr="00A519D0">
        <w:rPr>
          <w:lang w:val="en-US"/>
        </w:rPr>
        <w:t>Terrorist</w:t>
      </w:r>
      <w:r w:rsidR="000F0441" w:rsidRPr="00A519D0">
        <w:rPr>
          <w:lang w:val="en-US"/>
        </w:rPr>
        <w:t xml:space="preserve"> Financing – EGMLTF</w:t>
      </w:r>
      <w:r w:rsidR="008A14FC" w:rsidRPr="00A519D0">
        <w:rPr>
          <w:lang w:val="en-US"/>
        </w:rPr>
        <w:t>:</w:t>
      </w:r>
      <w:r w:rsidR="000F0441" w:rsidRPr="00A519D0">
        <w:rPr>
          <w:lang w:val="en-US"/>
        </w:rPr>
        <w:t xml:space="preserve"> </w:t>
      </w:r>
    </w:p>
    <w:p w14:paraId="4F6D60AC" w14:textId="77777777" w:rsidR="00C11FF0" w:rsidRPr="00A519D0" w:rsidRDefault="00C11FF0" w:rsidP="008A14FC">
      <w:pPr>
        <w:spacing w:line="276" w:lineRule="auto"/>
        <w:rPr>
          <w:lang w:val="en-US"/>
        </w:rPr>
      </w:pPr>
      <w:r w:rsidRPr="00A519D0">
        <w:rPr>
          <w:lang w:val="en-US"/>
        </w:rPr>
        <w:t>The discussed topics were among others as follows:</w:t>
      </w:r>
    </w:p>
    <w:p w14:paraId="6AFD5F32" w14:textId="7854694E" w:rsidR="000F0441" w:rsidRPr="00A519D0" w:rsidRDefault="00C11FF0" w:rsidP="008A14FC">
      <w:pPr>
        <w:pStyle w:val="Odstavekseznama"/>
        <w:spacing w:line="276" w:lineRule="auto"/>
        <w:ind w:left="851" w:hanging="284"/>
        <w:rPr>
          <w:lang w:val="en-US"/>
        </w:rPr>
      </w:pPr>
      <w:r w:rsidRPr="00A519D0">
        <w:rPr>
          <w:lang w:val="en-US"/>
        </w:rPr>
        <w:t xml:space="preserve">High risk third countries, </w:t>
      </w:r>
      <w:r w:rsidR="00275BE2">
        <w:rPr>
          <w:lang w:val="en-US"/>
        </w:rPr>
        <w:t>designated</w:t>
      </w:r>
      <w:r w:rsidR="00275BE2" w:rsidRPr="00A519D0">
        <w:rPr>
          <w:lang w:val="en-US"/>
        </w:rPr>
        <w:t xml:space="preserve"> </w:t>
      </w:r>
      <w:r w:rsidRPr="00A519D0">
        <w:rPr>
          <w:lang w:val="en-US"/>
        </w:rPr>
        <w:t xml:space="preserve">by the Delegated Regulation of the European Commission, </w:t>
      </w:r>
    </w:p>
    <w:p w14:paraId="1539FB13" w14:textId="5958C3DB" w:rsidR="000F0441" w:rsidRPr="00A519D0" w:rsidRDefault="00712B87" w:rsidP="008A14FC">
      <w:pPr>
        <w:pStyle w:val="Odstavekseznama"/>
        <w:spacing w:line="276" w:lineRule="auto"/>
        <w:ind w:left="851" w:hanging="284"/>
        <w:rPr>
          <w:lang w:val="en-US"/>
        </w:rPr>
      </w:pPr>
      <w:r w:rsidRPr="00A519D0">
        <w:rPr>
          <w:lang w:val="en-US"/>
        </w:rPr>
        <w:t>Interc</w:t>
      </w:r>
      <w:r w:rsidR="00C11FF0" w:rsidRPr="00A519D0">
        <w:rPr>
          <w:lang w:val="en-US"/>
        </w:rPr>
        <w:t xml:space="preserve">onnection of national beneficial ownership register into </w:t>
      </w:r>
      <w:r w:rsidR="00275BE2">
        <w:rPr>
          <w:lang w:val="en-US"/>
        </w:rPr>
        <w:t xml:space="preserve">the </w:t>
      </w:r>
      <w:r w:rsidR="00275BE2" w:rsidRPr="00A519D0">
        <w:rPr>
          <w:lang w:val="en-US"/>
        </w:rPr>
        <w:t xml:space="preserve">BORIS </w:t>
      </w:r>
      <w:r w:rsidR="00C11FF0" w:rsidRPr="00A519D0">
        <w:rPr>
          <w:lang w:val="en-US"/>
        </w:rPr>
        <w:t>system</w:t>
      </w:r>
      <w:r w:rsidR="000F0441" w:rsidRPr="00A519D0">
        <w:rPr>
          <w:lang w:val="en-US"/>
        </w:rPr>
        <w:t>,</w:t>
      </w:r>
    </w:p>
    <w:p w14:paraId="6C61CFC2" w14:textId="3AE2DC54" w:rsidR="000F0441" w:rsidRPr="00A519D0" w:rsidRDefault="00C11FF0" w:rsidP="008A14FC">
      <w:pPr>
        <w:pStyle w:val="Odstavekseznama"/>
        <w:spacing w:line="276" w:lineRule="auto"/>
        <w:ind w:left="851" w:hanging="284"/>
        <w:rPr>
          <w:lang w:val="en-US"/>
        </w:rPr>
      </w:pPr>
      <w:r w:rsidRPr="00A519D0">
        <w:rPr>
          <w:lang w:val="en-US"/>
        </w:rPr>
        <w:t xml:space="preserve">Progress in </w:t>
      </w:r>
      <w:r w:rsidR="00275BE2">
        <w:rPr>
          <w:lang w:val="en-US"/>
        </w:rPr>
        <w:t xml:space="preserve">the </w:t>
      </w:r>
      <w:r w:rsidR="00C24459" w:rsidRPr="00A519D0">
        <w:rPr>
          <w:lang w:val="en-US"/>
        </w:rPr>
        <w:t>implementation</w:t>
      </w:r>
      <w:r w:rsidRPr="00A519D0">
        <w:rPr>
          <w:lang w:val="en-US"/>
        </w:rPr>
        <w:t xml:space="preserve"> of the study about the preparation of the final report on </w:t>
      </w:r>
      <w:r w:rsidR="00C24459" w:rsidRPr="00A519D0">
        <w:rPr>
          <w:lang w:val="en-US"/>
        </w:rPr>
        <w:t>effectiveness</w:t>
      </w:r>
      <w:r w:rsidRPr="00A519D0">
        <w:rPr>
          <w:lang w:val="en-US"/>
        </w:rPr>
        <w:t xml:space="preserve"> of </w:t>
      </w:r>
      <w:r w:rsidR="00275BE2">
        <w:rPr>
          <w:lang w:val="en-US"/>
        </w:rPr>
        <w:t xml:space="preserve">the </w:t>
      </w:r>
      <w:r w:rsidR="00C24459" w:rsidRPr="00A519D0">
        <w:rPr>
          <w:lang w:val="en-US"/>
        </w:rPr>
        <w:t>implementation</w:t>
      </w:r>
      <w:r w:rsidRPr="00A519D0">
        <w:rPr>
          <w:lang w:val="en-US"/>
        </w:rPr>
        <w:t xml:space="preserve"> of AMLD4</w:t>
      </w:r>
      <w:r w:rsidR="000F0441" w:rsidRPr="00A519D0">
        <w:rPr>
          <w:lang w:val="en-US"/>
        </w:rPr>
        <w:t>,</w:t>
      </w:r>
    </w:p>
    <w:p w14:paraId="7F6C26BB" w14:textId="4ED3E1DE" w:rsidR="000F0441" w:rsidRPr="00A519D0" w:rsidRDefault="00A91DB3" w:rsidP="008A14FC">
      <w:pPr>
        <w:pStyle w:val="Odstavekseznama"/>
        <w:spacing w:line="276" w:lineRule="auto"/>
        <w:ind w:left="851" w:hanging="284"/>
        <w:rPr>
          <w:lang w:val="en-US"/>
        </w:rPr>
      </w:pPr>
      <w:r w:rsidRPr="00A519D0">
        <w:rPr>
          <w:lang w:val="en-US"/>
        </w:rPr>
        <w:t xml:space="preserve">Preparation of </w:t>
      </w:r>
      <w:r w:rsidR="00275BE2">
        <w:rPr>
          <w:lang w:val="en-US"/>
        </w:rPr>
        <w:t xml:space="preserve">the </w:t>
      </w:r>
      <w:r w:rsidR="00C24459" w:rsidRPr="00A519D0">
        <w:rPr>
          <w:lang w:val="en-US"/>
        </w:rPr>
        <w:t>Guidelines</w:t>
      </w:r>
      <w:r w:rsidRPr="00A519D0">
        <w:rPr>
          <w:lang w:val="en-US"/>
        </w:rPr>
        <w:t xml:space="preserve"> </w:t>
      </w:r>
      <w:r w:rsidR="009C1182" w:rsidRPr="00A519D0">
        <w:rPr>
          <w:lang w:val="en-US"/>
        </w:rPr>
        <w:t xml:space="preserve">for </w:t>
      </w:r>
      <w:r w:rsidRPr="00A519D0">
        <w:rPr>
          <w:lang w:val="en-US"/>
        </w:rPr>
        <w:t xml:space="preserve">public-private partnership </w:t>
      </w:r>
      <w:r w:rsidR="009C1182" w:rsidRPr="00A519D0">
        <w:rPr>
          <w:lang w:val="en-US"/>
        </w:rPr>
        <w:t xml:space="preserve">in the field of prevention of money laundering and terrorist </w:t>
      </w:r>
      <w:r w:rsidR="00C24459" w:rsidRPr="00A519D0">
        <w:rPr>
          <w:lang w:val="en-US"/>
        </w:rPr>
        <w:t>financing</w:t>
      </w:r>
      <w:r w:rsidR="009C1182" w:rsidRPr="00A519D0">
        <w:rPr>
          <w:lang w:val="en-US"/>
        </w:rPr>
        <w:t xml:space="preserve">, </w:t>
      </w:r>
    </w:p>
    <w:p w14:paraId="7316CB71" w14:textId="690BC02C" w:rsidR="000F0441" w:rsidRPr="00A519D0" w:rsidRDefault="009C1182" w:rsidP="008A14FC">
      <w:pPr>
        <w:pStyle w:val="Odstavekseznama"/>
        <w:spacing w:line="276" w:lineRule="auto"/>
        <w:ind w:left="851" w:hanging="284"/>
        <w:rPr>
          <w:lang w:val="en-US"/>
        </w:rPr>
      </w:pPr>
      <w:r w:rsidRPr="00A519D0">
        <w:rPr>
          <w:lang w:val="en-US"/>
        </w:rPr>
        <w:t>Report of the European Court of Auditors about</w:t>
      </w:r>
      <w:r w:rsidR="00275BE2">
        <w:rPr>
          <w:lang w:val="en-US"/>
        </w:rPr>
        <w:t xml:space="preserve"> the</w:t>
      </w:r>
      <w:r w:rsidRPr="00A519D0">
        <w:rPr>
          <w:lang w:val="en-US"/>
        </w:rPr>
        <w:t xml:space="preserve"> fragmentation and insufficient implementation of AML regulation in the banking </w:t>
      </w:r>
      <w:r w:rsidR="00C24459" w:rsidRPr="00A519D0">
        <w:rPr>
          <w:lang w:val="en-US"/>
        </w:rPr>
        <w:t>sector</w:t>
      </w:r>
      <w:r w:rsidR="000F0441" w:rsidRPr="00A519D0">
        <w:rPr>
          <w:lang w:val="en-US"/>
        </w:rPr>
        <w:t>,</w:t>
      </w:r>
    </w:p>
    <w:p w14:paraId="4C87A377" w14:textId="706B16DC" w:rsidR="000F0441" w:rsidRPr="00A519D0" w:rsidRDefault="009C1182" w:rsidP="008A14FC">
      <w:pPr>
        <w:pStyle w:val="Odstavekseznama"/>
        <w:spacing w:line="276" w:lineRule="auto"/>
        <w:ind w:left="851" w:hanging="284"/>
        <w:rPr>
          <w:lang w:val="en-US"/>
        </w:rPr>
      </w:pPr>
      <w:r w:rsidRPr="00A519D0">
        <w:rPr>
          <w:lang w:val="en-US"/>
        </w:rPr>
        <w:t>Transfer of</w:t>
      </w:r>
      <w:r w:rsidR="000F0441" w:rsidRPr="00A519D0">
        <w:rPr>
          <w:lang w:val="en-US"/>
        </w:rPr>
        <w:t xml:space="preserve"> FIU.net-</w:t>
      </w:r>
      <w:r w:rsidRPr="00A519D0">
        <w:rPr>
          <w:lang w:val="en-US"/>
        </w:rPr>
        <w:t>from</w:t>
      </w:r>
      <w:r w:rsidR="000F0441" w:rsidRPr="00A519D0">
        <w:rPr>
          <w:lang w:val="en-US"/>
        </w:rPr>
        <w:t xml:space="preserve"> Europol</w:t>
      </w:r>
      <w:r w:rsidRPr="00A519D0">
        <w:rPr>
          <w:lang w:val="en-US"/>
        </w:rPr>
        <w:t xml:space="preserve"> to </w:t>
      </w:r>
      <w:r w:rsidR="00275BE2">
        <w:rPr>
          <w:lang w:val="en-US"/>
        </w:rPr>
        <w:t xml:space="preserve">the </w:t>
      </w:r>
      <w:r w:rsidRPr="00A519D0">
        <w:rPr>
          <w:lang w:val="en-US"/>
        </w:rPr>
        <w:t>European Commission</w:t>
      </w:r>
      <w:r w:rsidR="000F0441" w:rsidRPr="00A519D0">
        <w:rPr>
          <w:lang w:val="en-US"/>
        </w:rPr>
        <w:t>,</w:t>
      </w:r>
    </w:p>
    <w:p w14:paraId="0A96D7FD" w14:textId="185701D7" w:rsidR="000F0441" w:rsidRPr="00A519D0" w:rsidRDefault="009C1182" w:rsidP="008A14FC">
      <w:pPr>
        <w:pStyle w:val="Odstavekseznama"/>
        <w:spacing w:line="276" w:lineRule="auto"/>
        <w:ind w:left="851" w:hanging="284"/>
        <w:rPr>
          <w:lang w:val="en-US"/>
        </w:rPr>
      </w:pPr>
      <w:r w:rsidRPr="00A519D0">
        <w:rPr>
          <w:lang w:val="en-US"/>
        </w:rPr>
        <w:t>Preparation for plenary meetings of</w:t>
      </w:r>
      <w:r w:rsidR="000F0441" w:rsidRPr="00A519D0">
        <w:rPr>
          <w:lang w:val="en-US"/>
        </w:rPr>
        <w:t xml:space="preserve"> FATF </w:t>
      </w:r>
      <w:r w:rsidRPr="00A519D0">
        <w:rPr>
          <w:lang w:val="en-US"/>
        </w:rPr>
        <w:t>and</w:t>
      </w:r>
      <w:r w:rsidR="000F0441" w:rsidRPr="00A519D0">
        <w:rPr>
          <w:lang w:val="en-US"/>
        </w:rPr>
        <w:t xml:space="preserve"> Moneyval.</w:t>
      </w:r>
    </w:p>
    <w:p w14:paraId="57E8AA86" w14:textId="6D4A59E6" w:rsidR="000F0441" w:rsidRPr="00A519D0" w:rsidRDefault="009C1182" w:rsidP="008A14FC">
      <w:pPr>
        <w:spacing w:line="276" w:lineRule="auto"/>
        <w:rPr>
          <w:lang w:val="en-US"/>
        </w:rPr>
      </w:pPr>
      <w:r w:rsidRPr="00A519D0">
        <w:rPr>
          <w:lang w:val="en-US"/>
        </w:rPr>
        <w:t xml:space="preserve">The main thematic was the implementation of the EU Action Plan </w:t>
      </w:r>
      <w:r w:rsidR="00C24459" w:rsidRPr="00A519D0">
        <w:rPr>
          <w:lang w:val="en-US"/>
        </w:rPr>
        <w:t>for the</w:t>
      </w:r>
      <w:r w:rsidRPr="00A519D0">
        <w:rPr>
          <w:lang w:val="en-US"/>
        </w:rPr>
        <w:t xml:space="preserve"> comprehensive EU policy </w:t>
      </w:r>
      <w:proofErr w:type="gramStart"/>
      <w:r w:rsidRPr="00A519D0">
        <w:rPr>
          <w:lang w:val="en-US"/>
        </w:rPr>
        <w:t>in the area of</w:t>
      </w:r>
      <w:proofErr w:type="gramEnd"/>
      <w:r w:rsidRPr="00A519D0">
        <w:rPr>
          <w:lang w:val="en-US"/>
        </w:rPr>
        <w:t xml:space="preserve"> prevention of money laundering and terrorist financing as the proposal for</w:t>
      </w:r>
      <w:r w:rsidR="00275BE2">
        <w:rPr>
          <w:lang w:val="en-US"/>
        </w:rPr>
        <w:t xml:space="preserve"> the</w:t>
      </w:r>
      <w:r w:rsidRPr="00A519D0">
        <w:rPr>
          <w:lang w:val="en-US"/>
        </w:rPr>
        <w:t xml:space="preserve"> elimination of identified weaknesses of the existing regulatory framework. Related topic</w:t>
      </w:r>
      <w:r w:rsidR="00712B87" w:rsidRPr="00A519D0">
        <w:rPr>
          <w:lang w:val="en-US"/>
        </w:rPr>
        <w:t>s</w:t>
      </w:r>
      <w:r w:rsidRPr="00A519D0">
        <w:rPr>
          <w:lang w:val="en-US"/>
        </w:rPr>
        <w:t xml:space="preserve"> w</w:t>
      </w:r>
      <w:r w:rsidR="00712B87" w:rsidRPr="00A519D0">
        <w:rPr>
          <w:lang w:val="en-US"/>
        </w:rPr>
        <w:t>ere</w:t>
      </w:r>
      <w:r w:rsidRPr="00A519D0">
        <w:rPr>
          <w:lang w:val="en-US"/>
        </w:rPr>
        <w:t xml:space="preserve"> restriction of cash transactions, establishment of EU supervisor</w:t>
      </w:r>
      <w:r w:rsidR="000F0441" w:rsidRPr="00A519D0">
        <w:rPr>
          <w:lang w:val="en-US"/>
        </w:rPr>
        <w:t xml:space="preserve">, </w:t>
      </w:r>
      <w:r w:rsidRPr="00A519D0">
        <w:rPr>
          <w:lang w:val="en-US"/>
        </w:rPr>
        <w:t xml:space="preserve">list of obliged entities, CDD, beneficial ownership, </w:t>
      </w:r>
      <w:r w:rsidR="00DE2BBD" w:rsidRPr="00A519D0">
        <w:rPr>
          <w:lang w:val="en-US"/>
        </w:rPr>
        <w:t xml:space="preserve">cooperation between FIUs. </w:t>
      </w:r>
      <w:r w:rsidR="00C24459" w:rsidRPr="00A519D0">
        <w:rPr>
          <w:lang w:val="en-US"/>
        </w:rPr>
        <w:t>These debates</w:t>
      </w:r>
      <w:r w:rsidR="00DE2BBD" w:rsidRPr="00A519D0">
        <w:rPr>
          <w:lang w:val="en-US"/>
        </w:rPr>
        <w:t xml:space="preserve"> contributed to the preparation of four legislative proposals that </w:t>
      </w:r>
      <w:r w:rsidR="00275BE2">
        <w:rPr>
          <w:lang w:val="en-US"/>
        </w:rPr>
        <w:t xml:space="preserve">the </w:t>
      </w:r>
      <w:r w:rsidR="00DE2BBD" w:rsidRPr="00A519D0">
        <w:rPr>
          <w:lang w:val="en-US"/>
        </w:rPr>
        <w:t>European Commission published in 2021.</w:t>
      </w:r>
      <w:r w:rsidR="000F0441" w:rsidRPr="00A519D0">
        <w:rPr>
          <w:lang w:val="en-US"/>
        </w:rPr>
        <w:t xml:space="preserve"> </w:t>
      </w:r>
    </w:p>
    <w:p w14:paraId="13E2B791" w14:textId="77777777" w:rsidR="000F0441" w:rsidRPr="00A519D0" w:rsidRDefault="000F0441" w:rsidP="000F0441">
      <w:pPr>
        <w:rPr>
          <w:lang w:val="en-US"/>
        </w:rPr>
      </w:pPr>
    </w:p>
    <w:p w14:paraId="7BA8E3D4" w14:textId="16B8F68F" w:rsidR="000F0441" w:rsidRPr="00A519D0" w:rsidRDefault="009C1182" w:rsidP="000F0441">
      <w:pPr>
        <w:pStyle w:val="Naslov4"/>
        <w:rPr>
          <w:lang w:val="en-US"/>
        </w:rPr>
      </w:pPr>
      <w:bookmarkStart w:id="30" w:name="_Toc119581735"/>
      <w:r w:rsidRPr="00A519D0">
        <w:rPr>
          <w:lang w:val="en-US"/>
        </w:rPr>
        <w:t>FIU Platforms</w:t>
      </w:r>
      <w:r w:rsidR="000F0441" w:rsidRPr="00A519D0">
        <w:rPr>
          <w:lang w:val="en-US"/>
        </w:rPr>
        <w:t xml:space="preserve"> (Financial Intelligence Unit)</w:t>
      </w:r>
      <w:bookmarkEnd w:id="30"/>
    </w:p>
    <w:p w14:paraId="19393806" w14:textId="77777777" w:rsidR="000F0441" w:rsidRPr="00A519D0" w:rsidRDefault="000F0441" w:rsidP="000F0441">
      <w:pPr>
        <w:rPr>
          <w:lang w:val="en-US"/>
        </w:rPr>
      </w:pPr>
    </w:p>
    <w:p w14:paraId="5770F7A1" w14:textId="3B3D8B11" w:rsidR="00DE2BBD" w:rsidRPr="00A519D0" w:rsidRDefault="00DE2BBD" w:rsidP="00712B87">
      <w:pPr>
        <w:spacing w:line="276" w:lineRule="auto"/>
        <w:rPr>
          <w:lang w:val="en-US"/>
        </w:rPr>
      </w:pPr>
      <w:r w:rsidRPr="00A519D0">
        <w:rPr>
          <w:lang w:val="en-US"/>
        </w:rPr>
        <w:t>In 2021</w:t>
      </w:r>
      <w:r w:rsidR="00712B87" w:rsidRPr="00A519D0">
        <w:rPr>
          <w:lang w:val="en-US"/>
        </w:rPr>
        <w:t>,</w:t>
      </w:r>
      <w:r w:rsidRPr="00A519D0">
        <w:rPr>
          <w:lang w:val="en-US"/>
        </w:rPr>
        <w:t xml:space="preserve"> there were four regular and one extraordinary virtual </w:t>
      </w:r>
      <w:proofErr w:type="gramStart"/>
      <w:r w:rsidRPr="00A519D0">
        <w:rPr>
          <w:lang w:val="en-US"/>
        </w:rPr>
        <w:t>meetings</w:t>
      </w:r>
      <w:proofErr w:type="gramEnd"/>
      <w:r w:rsidRPr="00A519D0">
        <w:rPr>
          <w:lang w:val="en-US"/>
        </w:rPr>
        <w:t xml:space="preserve"> in the framework of the expert group</w:t>
      </w:r>
      <w:r w:rsidR="000F0441" w:rsidRPr="00A519D0">
        <w:rPr>
          <w:lang w:val="en-US"/>
        </w:rPr>
        <w:t xml:space="preserve"> </w:t>
      </w:r>
      <w:r w:rsidRPr="00A519D0">
        <w:rPr>
          <w:lang w:val="en-US"/>
        </w:rPr>
        <w:t>of FIUs organi</w:t>
      </w:r>
      <w:r w:rsidR="00A519D0">
        <w:rPr>
          <w:lang w:val="en-US"/>
        </w:rPr>
        <w:t>z</w:t>
      </w:r>
      <w:r w:rsidRPr="00A519D0">
        <w:rPr>
          <w:lang w:val="en-US"/>
        </w:rPr>
        <w:t xml:space="preserve">ed by </w:t>
      </w:r>
      <w:r w:rsidR="00031AC5">
        <w:rPr>
          <w:lang w:val="en-US"/>
        </w:rPr>
        <w:t xml:space="preserve">the </w:t>
      </w:r>
      <w:r w:rsidRPr="00A519D0">
        <w:rPr>
          <w:lang w:val="en-US"/>
        </w:rPr>
        <w:t xml:space="preserve">European Commission. </w:t>
      </w:r>
      <w:r w:rsidR="00031AC5">
        <w:rPr>
          <w:lang w:val="en-US"/>
        </w:rPr>
        <w:t>Representatives</w:t>
      </w:r>
      <w:r w:rsidR="00031AC5" w:rsidRPr="00A519D0">
        <w:rPr>
          <w:lang w:val="en-US"/>
        </w:rPr>
        <w:t xml:space="preserve"> </w:t>
      </w:r>
      <w:r w:rsidRPr="00A519D0">
        <w:rPr>
          <w:lang w:val="en-US"/>
        </w:rPr>
        <w:t xml:space="preserve">of </w:t>
      </w:r>
      <w:r w:rsidR="00031AC5">
        <w:rPr>
          <w:lang w:val="en-US"/>
        </w:rPr>
        <w:t xml:space="preserve">the </w:t>
      </w:r>
      <w:r w:rsidRPr="00A519D0">
        <w:rPr>
          <w:lang w:val="en-US"/>
        </w:rPr>
        <w:t xml:space="preserve">OMLP participated </w:t>
      </w:r>
      <w:r w:rsidR="00031AC5">
        <w:rPr>
          <w:lang w:val="en-US"/>
        </w:rPr>
        <w:t>in</w:t>
      </w:r>
      <w:r w:rsidR="00031AC5" w:rsidRPr="00A519D0">
        <w:rPr>
          <w:lang w:val="en-US"/>
        </w:rPr>
        <w:t xml:space="preserve"> </w:t>
      </w:r>
      <w:r w:rsidRPr="00A519D0">
        <w:rPr>
          <w:lang w:val="en-US"/>
        </w:rPr>
        <w:t>these meetings. The relevant topics at these meetings were:</w:t>
      </w:r>
    </w:p>
    <w:p w14:paraId="4B9DE2D6" w14:textId="3C3FBDA4" w:rsidR="000F0441" w:rsidRPr="00A519D0" w:rsidRDefault="00DE2BBD" w:rsidP="00712B87">
      <w:pPr>
        <w:pStyle w:val="Odstavekseznama"/>
        <w:spacing w:line="276" w:lineRule="auto"/>
        <w:ind w:left="851" w:hanging="284"/>
        <w:rPr>
          <w:lang w:val="en-US"/>
        </w:rPr>
      </w:pPr>
      <w:r w:rsidRPr="00A519D0">
        <w:rPr>
          <w:lang w:val="en-US"/>
        </w:rPr>
        <w:lastRenderedPageBreak/>
        <w:t xml:space="preserve">Creation of </w:t>
      </w:r>
      <w:r w:rsidR="00031AC5">
        <w:rPr>
          <w:lang w:val="en-US"/>
        </w:rPr>
        <w:t xml:space="preserve">a </w:t>
      </w:r>
      <w:r w:rsidRPr="00A519D0">
        <w:rPr>
          <w:lang w:val="en-US"/>
        </w:rPr>
        <w:t xml:space="preserve">mechanism for </w:t>
      </w:r>
      <w:proofErr w:type="spellStart"/>
      <w:r w:rsidR="00031AC5">
        <w:rPr>
          <w:lang w:val="en-US"/>
        </w:rPr>
        <w:t>thr</w:t>
      </w:r>
      <w:proofErr w:type="spellEnd"/>
      <w:r w:rsidR="00031AC5">
        <w:rPr>
          <w:lang w:val="en-US"/>
        </w:rPr>
        <w:t xml:space="preserve"> </w:t>
      </w:r>
      <w:r w:rsidRPr="00A519D0">
        <w:rPr>
          <w:lang w:val="en-US"/>
        </w:rPr>
        <w:t xml:space="preserve">coordination and support for cooperation of FIUs in the framework of new authority at the EU level for </w:t>
      </w:r>
      <w:r w:rsidR="00031AC5">
        <w:rPr>
          <w:lang w:val="en-US"/>
        </w:rPr>
        <w:t xml:space="preserve">the </w:t>
      </w:r>
      <w:r w:rsidRPr="00A519D0">
        <w:rPr>
          <w:lang w:val="en-US"/>
        </w:rPr>
        <w:t xml:space="preserve">prevention of money laundering and terrorist financing, </w:t>
      </w:r>
    </w:p>
    <w:p w14:paraId="0314073C" w14:textId="550A337A" w:rsidR="000F0441" w:rsidRPr="00A519D0" w:rsidRDefault="000F0441" w:rsidP="00712B87">
      <w:pPr>
        <w:pStyle w:val="Odstavekseznama"/>
        <w:spacing w:line="276" w:lineRule="auto"/>
        <w:ind w:left="851" w:hanging="284"/>
        <w:rPr>
          <w:lang w:val="en-US"/>
        </w:rPr>
      </w:pPr>
      <w:r w:rsidRPr="00A519D0">
        <w:rPr>
          <w:lang w:val="en-US"/>
        </w:rPr>
        <w:t>FIU</w:t>
      </w:r>
      <w:r w:rsidR="00DE2BBD" w:rsidRPr="00A519D0">
        <w:rPr>
          <w:lang w:val="en-US"/>
        </w:rPr>
        <w:t>s access to</w:t>
      </w:r>
      <w:r w:rsidRPr="00A519D0">
        <w:rPr>
          <w:lang w:val="en-US"/>
        </w:rPr>
        <w:t xml:space="preserve"> CIS (Customs Information System)</w:t>
      </w:r>
      <w:r w:rsidR="008246A6" w:rsidRPr="00A519D0">
        <w:rPr>
          <w:lang w:val="en-US"/>
        </w:rPr>
        <w:t>,</w:t>
      </w:r>
    </w:p>
    <w:p w14:paraId="326633F5" w14:textId="05ABD49D" w:rsidR="000F0441" w:rsidRPr="00A519D0" w:rsidRDefault="00795C25" w:rsidP="00712B87">
      <w:pPr>
        <w:pStyle w:val="Odstavekseznama"/>
        <w:spacing w:line="276" w:lineRule="auto"/>
        <w:ind w:left="851" w:hanging="284"/>
        <w:rPr>
          <w:lang w:val="en-US"/>
        </w:rPr>
      </w:pPr>
      <w:r w:rsidRPr="00A519D0">
        <w:rPr>
          <w:lang w:val="en-US"/>
        </w:rPr>
        <w:t>EU Strategy for efficient fight against crime</w:t>
      </w:r>
      <w:r w:rsidR="008246A6" w:rsidRPr="00A519D0">
        <w:rPr>
          <w:lang w:val="en-US"/>
        </w:rPr>
        <w:t>,</w:t>
      </w:r>
    </w:p>
    <w:p w14:paraId="15E40976" w14:textId="4B5C6671" w:rsidR="000F0441" w:rsidRPr="00A519D0" w:rsidRDefault="00795C25" w:rsidP="00712B87">
      <w:pPr>
        <w:pStyle w:val="Odstavekseznama"/>
        <w:spacing w:line="276" w:lineRule="auto"/>
        <w:ind w:left="851" w:hanging="284"/>
        <w:rPr>
          <w:lang w:val="en-US"/>
        </w:rPr>
      </w:pPr>
      <w:r w:rsidRPr="00A519D0">
        <w:rPr>
          <w:lang w:val="en-US"/>
        </w:rPr>
        <w:t xml:space="preserve">Relations and cooperation of </w:t>
      </w:r>
      <w:r w:rsidR="000F0441" w:rsidRPr="00A519D0">
        <w:rPr>
          <w:lang w:val="en-US"/>
        </w:rPr>
        <w:t>FIU</w:t>
      </w:r>
      <w:r w:rsidRPr="00A519D0">
        <w:rPr>
          <w:lang w:val="en-US"/>
        </w:rPr>
        <w:t xml:space="preserve">s </w:t>
      </w:r>
      <w:r w:rsidR="00C24459" w:rsidRPr="00A519D0">
        <w:rPr>
          <w:lang w:val="en-US"/>
        </w:rPr>
        <w:t>with</w:t>
      </w:r>
      <w:r w:rsidRPr="00A519D0">
        <w:rPr>
          <w:lang w:val="en-US"/>
        </w:rPr>
        <w:t xml:space="preserve"> prudential supervisors</w:t>
      </w:r>
      <w:r w:rsidR="008246A6" w:rsidRPr="00A519D0">
        <w:rPr>
          <w:lang w:val="en-US"/>
        </w:rPr>
        <w:t>,</w:t>
      </w:r>
    </w:p>
    <w:p w14:paraId="684BBAF9" w14:textId="69A3A21E" w:rsidR="000F0441" w:rsidRPr="00A519D0" w:rsidRDefault="00795C25" w:rsidP="00712B87">
      <w:pPr>
        <w:pStyle w:val="Odstavekseznama"/>
        <w:spacing w:line="276" w:lineRule="auto"/>
        <w:ind w:left="851" w:hanging="284"/>
        <w:rPr>
          <w:lang w:val="en-US"/>
        </w:rPr>
      </w:pPr>
      <w:r w:rsidRPr="00A519D0">
        <w:rPr>
          <w:lang w:val="en-US"/>
        </w:rPr>
        <w:t xml:space="preserve">Preparation of </w:t>
      </w:r>
      <w:r w:rsidR="00C24459" w:rsidRPr="00A519D0">
        <w:rPr>
          <w:lang w:val="en-US"/>
        </w:rPr>
        <w:t>Guidelines</w:t>
      </w:r>
      <w:r w:rsidRPr="00A519D0">
        <w:rPr>
          <w:lang w:val="en-US"/>
        </w:rPr>
        <w:t xml:space="preserve"> for public-private partnership in the field of prevention of money laundering and terrorist </w:t>
      </w:r>
      <w:r w:rsidR="00C24459" w:rsidRPr="00A519D0">
        <w:rPr>
          <w:lang w:val="en-US"/>
        </w:rPr>
        <w:t>financing</w:t>
      </w:r>
      <w:r w:rsidR="008246A6" w:rsidRPr="00A519D0">
        <w:rPr>
          <w:lang w:val="en-US"/>
        </w:rPr>
        <w:t>,</w:t>
      </w:r>
    </w:p>
    <w:p w14:paraId="3C50CAC2" w14:textId="22BA8C20" w:rsidR="000F0441" w:rsidRPr="00A519D0" w:rsidRDefault="00795C25" w:rsidP="00712B87">
      <w:pPr>
        <w:pStyle w:val="Odstavekseznama"/>
        <w:spacing w:line="276" w:lineRule="auto"/>
        <w:ind w:left="851" w:hanging="284"/>
        <w:rPr>
          <w:lang w:val="en-US"/>
        </w:rPr>
      </w:pPr>
      <w:r w:rsidRPr="00A519D0">
        <w:rPr>
          <w:lang w:val="en-US"/>
        </w:rPr>
        <w:t xml:space="preserve">Europol </w:t>
      </w:r>
      <w:r w:rsidR="00C24459" w:rsidRPr="00A519D0">
        <w:rPr>
          <w:lang w:val="en-US"/>
        </w:rPr>
        <w:t>cent</w:t>
      </w:r>
      <w:r w:rsidR="00A519D0">
        <w:rPr>
          <w:lang w:val="en-US"/>
        </w:rPr>
        <w:t>er</w:t>
      </w:r>
      <w:r w:rsidRPr="00A519D0">
        <w:rPr>
          <w:lang w:val="en-US"/>
        </w:rPr>
        <w:t xml:space="preserve"> for economic and financial crime and activities in the framework of public private partnership, </w:t>
      </w:r>
    </w:p>
    <w:p w14:paraId="027F4853" w14:textId="7A9558AD" w:rsidR="000F0441" w:rsidRPr="00A519D0" w:rsidRDefault="00795C25" w:rsidP="00712B87">
      <w:pPr>
        <w:pStyle w:val="Odstavekseznama"/>
        <w:spacing w:line="276" w:lineRule="auto"/>
        <w:ind w:left="851" w:hanging="284"/>
        <w:rPr>
          <w:lang w:val="en-US"/>
        </w:rPr>
      </w:pPr>
      <w:r w:rsidRPr="00A519D0">
        <w:rPr>
          <w:lang w:val="en-US"/>
        </w:rPr>
        <w:t xml:space="preserve">Transfer of FIU.net-from Europol to </w:t>
      </w:r>
      <w:r w:rsidR="00031AC5">
        <w:rPr>
          <w:lang w:val="en-US"/>
        </w:rPr>
        <w:t xml:space="preserve">the </w:t>
      </w:r>
      <w:r w:rsidRPr="00A519D0">
        <w:rPr>
          <w:lang w:val="en-US"/>
        </w:rPr>
        <w:t>European Commission</w:t>
      </w:r>
      <w:r w:rsidR="000F0441" w:rsidRPr="00A519D0">
        <w:rPr>
          <w:lang w:val="en-US"/>
        </w:rPr>
        <w:t xml:space="preserve">, </w:t>
      </w:r>
      <w:r w:rsidRPr="00A519D0">
        <w:rPr>
          <w:lang w:val="en-US"/>
        </w:rPr>
        <w:t>preparation of legal basis, work of special expert group and solving technical problems in real time.</w:t>
      </w:r>
    </w:p>
    <w:p w14:paraId="68065571" w14:textId="3A8E5474" w:rsidR="000F0441" w:rsidRPr="00A519D0" w:rsidRDefault="00D1339D" w:rsidP="00712B87">
      <w:pPr>
        <w:spacing w:line="276" w:lineRule="auto"/>
        <w:rPr>
          <w:lang w:val="en-US"/>
        </w:rPr>
      </w:pPr>
      <w:r w:rsidRPr="00A519D0">
        <w:rPr>
          <w:lang w:val="en-US"/>
        </w:rPr>
        <w:t xml:space="preserve">One of the meetings was dedicated to the preparation of </w:t>
      </w:r>
      <w:r w:rsidR="00031AC5">
        <w:rPr>
          <w:lang w:val="en-US"/>
        </w:rPr>
        <w:t xml:space="preserve">the </w:t>
      </w:r>
      <w:r w:rsidRPr="00A519D0">
        <w:rPr>
          <w:lang w:val="en-US"/>
        </w:rPr>
        <w:t xml:space="preserve">working plan of this group for </w:t>
      </w:r>
      <w:r w:rsidR="00031AC5">
        <w:rPr>
          <w:lang w:val="en-US"/>
        </w:rPr>
        <w:t xml:space="preserve">the </w:t>
      </w:r>
      <w:r w:rsidRPr="00A519D0">
        <w:rPr>
          <w:lang w:val="en-US"/>
        </w:rPr>
        <w:t>period</w:t>
      </w:r>
      <w:r w:rsidR="000F0441" w:rsidRPr="00A519D0">
        <w:rPr>
          <w:lang w:val="en-US"/>
        </w:rPr>
        <w:t xml:space="preserve"> 2022-2023 </w:t>
      </w:r>
      <w:r w:rsidRPr="00A519D0">
        <w:rPr>
          <w:lang w:val="en-US"/>
        </w:rPr>
        <w:t xml:space="preserve">and </w:t>
      </w:r>
      <w:r w:rsidR="00031AC5">
        <w:rPr>
          <w:lang w:val="en-US"/>
        </w:rPr>
        <w:t xml:space="preserve">the </w:t>
      </w:r>
      <w:r w:rsidRPr="00A519D0">
        <w:rPr>
          <w:lang w:val="en-US"/>
        </w:rPr>
        <w:t xml:space="preserve">preparation of </w:t>
      </w:r>
      <w:r w:rsidR="00031AC5">
        <w:rPr>
          <w:lang w:val="en-US"/>
        </w:rPr>
        <w:t xml:space="preserve">the </w:t>
      </w:r>
      <w:r w:rsidRPr="00A519D0">
        <w:rPr>
          <w:lang w:val="en-US"/>
        </w:rPr>
        <w:t xml:space="preserve">Supranational </w:t>
      </w:r>
      <w:r w:rsidR="00C24459" w:rsidRPr="00A519D0">
        <w:rPr>
          <w:lang w:val="en-US"/>
        </w:rPr>
        <w:t>Risk</w:t>
      </w:r>
      <w:r w:rsidRPr="00A519D0">
        <w:rPr>
          <w:lang w:val="en-US"/>
        </w:rPr>
        <w:t xml:space="preserve"> </w:t>
      </w:r>
      <w:r w:rsidR="00C24459" w:rsidRPr="00A519D0">
        <w:rPr>
          <w:lang w:val="en-US"/>
        </w:rPr>
        <w:t>Assessment</w:t>
      </w:r>
      <w:r w:rsidRPr="00A519D0">
        <w:rPr>
          <w:lang w:val="en-US"/>
        </w:rPr>
        <w:t xml:space="preserve"> of European Commission.</w:t>
      </w:r>
    </w:p>
    <w:p w14:paraId="5608C038" w14:textId="77777777" w:rsidR="000F0441" w:rsidRPr="00A519D0" w:rsidRDefault="000F0441" w:rsidP="00712B87">
      <w:pPr>
        <w:spacing w:line="276" w:lineRule="auto"/>
        <w:rPr>
          <w:lang w:val="en-US"/>
        </w:rPr>
      </w:pPr>
    </w:p>
    <w:p w14:paraId="28C311F7" w14:textId="2E9240FA" w:rsidR="000F0441" w:rsidRPr="00A519D0" w:rsidRDefault="00131AFF" w:rsidP="00712B87">
      <w:pPr>
        <w:pStyle w:val="Naslov4"/>
        <w:spacing w:line="276" w:lineRule="auto"/>
        <w:rPr>
          <w:lang w:val="en-US"/>
        </w:rPr>
      </w:pPr>
      <w:bookmarkStart w:id="31" w:name="_Toc119581736"/>
      <w:r w:rsidRPr="00A519D0">
        <w:rPr>
          <w:lang w:val="en-US"/>
        </w:rPr>
        <w:t xml:space="preserve">Committee on prevention of money laundering and terrorist financing </w:t>
      </w:r>
      <w:r w:rsidR="000F0441" w:rsidRPr="00A519D0">
        <w:rPr>
          <w:lang w:val="en-US"/>
        </w:rPr>
        <w:t xml:space="preserve">– </w:t>
      </w:r>
      <w:r w:rsidR="00095A8D" w:rsidRPr="00A519D0">
        <w:rPr>
          <w:lang w:val="en-US"/>
        </w:rPr>
        <w:t>Beneficial ownership register interconnection system (</w:t>
      </w:r>
      <w:r w:rsidR="000F0441" w:rsidRPr="00A519D0">
        <w:rPr>
          <w:lang w:val="en-US"/>
        </w:rPr>
        <w:t>BORIS</w:t>
      </w:r>
      <w:bookmarkEnd w:id="31"/>
      <w:r w:rsidR="00095A8D" w:rsidRPr="00A519D0">
        <w:rPr>
          <w:lang w:val="en-US"/>
        </w:rPr>
        <w:t>)</w:t>
      </w:r>
    </w:p>
    <w:p w14:paraId="5E95009A" w14:textId="77777777" w:rsidR="000F0441" w:rsidRPr="00A519D0" w:rsidRDefault="000F0441" w:rsidP="00712B87">
      <w:pPr>
        <w:spacing w:line="276" w:lineRule="auto"/>
        <w:rPr>
          <w:lang w:val="en-US"/>
        </w:rPr>
      </w:pPr>
    </w:p>
    <w:p w14:paraId="154505EA" w14:textId="621C2C37" w:rsidR="000F0441" w:rsidRPr="00A519D0" w:rsidRDefault="00B75EEE" w:rsidP="00712B87">
      <w:pPr>
        <w:spacing w:line="276" w:lineRule="auto"/>
        <w:rPr>
          <w:lang w:val="en-US"/>
        </w:rPr>
      </w:pPr>
      <w:r w:rsidRPr="00A519D0">
        <w:rPr>
          <w:lang w:val="en-US"/>
        </w:rPr>
        <w:t xml:space="preserve">In 2021 the representatives of </w:t>
      </w:r>
      <w:r w:rsidR="00031AC5">
        <w:rPr>
          <w:lang w:val="en-US"/>
        </w:rPr>
        <w:t xml:space="preserve">the </w:t>
      </w:r>
      <w:r w:rsidRPr="00A519D0">
        <w:rPr>
          <w:lang w:val="en-US"/>
        </w:rPr>
        <w:t xml:space="preserve">OMLP and the Agency of the Republic of Slovenia for Public Legal Records and Related Services participated </w:t>
      </w:r>
      <w:r w:rsidR="00031AC5">
        <w:rPr>
          <w:lang w:val="en-US"/>
        </w:rPr>
        <w:t>in</w:t>
      </w:r>
      <w:r w:rsidR="00031AC5" w:rsidRPr="00A519D0">
        <w:rPr>
          <w:lang w:val="en-US"/>
        </w:rPr>
        <w:t xml:space="preserve"> </w:t>
      </w:r>
      <w:r w:rsidRPr="00A519D0">
        <w:rPr>
          <w:lang w:val="en-US"/>
        </w:rPr>
        <w:t xml:space="preserve">five meetings of </w:t>
      </w:r>
      <w:r w:rsidR="00031AC5">
        <w:rPr>
          <w:lang w:val="en-US"/>
        </w:rPr>
        <w:t xml:space="preserve">the </w:t>
      </w:r>
      <w:r w:rsidR="000F0441" w:rsidRPr="00A519D0">
        <w:rPr>
          <w:lang w:val="en-US"/>
        </w:rPr>
        <w:t>Committee on Prevention of Money Laundering and Terrorist Financing – Interconnection of BO registers</w:t>
      </w:r>
      <w:r w:rsidRPr="00A519D0">
        <w:rPr>
          <w:lang w:val="en-US"/>
        </w:rPr>
        <w:t>- CPMLTF</w:t>
      </w:r>
      <w:r w:rsidR="000F0441" w:rsidRPr="00A519D0">
        <w:rPr>
          <w:lang w:val="en-US"/>
        </w:rPr>
        <w:t>.</w:t>
      </w:r>
      <w:r w:rsidRPr="00A519D0">
        <w:rPr>
          <w:lang w:val="en-US"/>
        </w:rPr>
        <w:t xml:space="preserve"> Al</w:t>
      </w:r>
      <w:r w:rsidR="00031AC5">
        <w:rPr>
          <w:lang w:val="en-US"/>
        </w:rPr>
        <w:t>l</w:t>
      </w:r>
      <w:r w:rsidRPr="00A519D0">
        <w:rPr>
          <w:lang w:val="en-US"/>
        </w:rPr>
        <w:t xml:space="preserve"> the meetings were held </w:t>
      </w:r>
      <w:r w:rsidR="00C24459" w:rsidRPr="00A519D0">
        <w:rPr>
          <w:lang w:val="en-US"/>
        </w:rPr>
        <w:t>virtually</w:t>
      </w:r>
      <w:r w:rsidRPr="00A519D0">
        <w:rPr>
          <w:lang w:val="en-US"/>
        </w:rPr>
        <w:t>.</w:t>
      </w:r>
    </w:p>
    <w:p w14:paraId="7708D57B" w14:textId="5E57EF12" w:rsidR="000F0441" w:rsidRPr="00A519D0" w:rsidRDefault="00B75EEE" w:rsidP="00712B87">
      <w:pPr>
        <w:pStyle w:val="oj-doc-ti"/>
        <w:shd w:val="clear" w:color="auto" w:fill="FFFFFF"/>
        <w:spacing w:before="240" w:beforeAutospacing="0" w:after="120" w:afterAutospacing="0" w:line="276" w:lineRule="auto"/>
        <w:jc w:val="both"/>
        <w:rPr>
          <w:rFonts w:ascii="Arial" w:eastAsiaTheme="minorHAnsi" w:hAnsi="Arial" w:cstheme="minorBidi"/>
          <w:sz w:val="20"/>
          <w:szCs w:val="22"/>
          <w:lang w:val="en-US" w:eastAsia="en-US"/>
        </w:rPr>
      </w:pPr>
      <w:r w:rsidRPr="00A519D0">
        <w:rPr>
          <w:rFonts w:ascii="Arial" w:eastAsiaTheme="minorHAnsi" w:hAnsi="Arial" w:cstheme="minorBidi"/>
          <w:sz w:val="20"/>
          <w:szCs w:val="22"/>
          <w:lang w:val="en-US" w:eastAsia="en-US"/>
        </w:rPr>
        <w:t>On March</w:t>
      </w:r>
      <w:r w:rsidR="00712B87" w:rsidRPr="00A519D0">
        <w:rPr>
          <w:rFonts w:ascii="Arial" w:eastAsiaTheme="minorHAnsi" w:hAnsi="Arial" w:cstheme="minorBidi"/>
          <w:sz w:val="20"/>
          <w:szCs w:val="22"/>
          <w:lang w:val="en-US" w:eastAsia="en-US"/>
        </w:rPr>
        <w:t xml:space="preserve"> 1, 2021,</w:t>
      </w:r>
      <w:r w:rsidRPr="00A519D0">
        <w:rPr>
          <w:rFonts w:ascii="Arial" w:eastAsiaTheme="minorHAnsi" w:hAnsi="Arial" w:cstheme="minorBidi"/>
          <w:sz w:val="20"/>
          <w:szCs w:val="22"/>
          <w:lang w:val="en-US" w:eastAsia="en-US"/>
        </w:rPr>
        <w:t xml:space="preserve"> the </w:t>
      </w:r>
      <w:r w:rsidR="00095A8D" w:rsidRPr="00A519D0">
        <w:rPr>
          <w:rFonts w:ascii="Arial" w:eastAsiaTheme="minorHAnsi" w:hAnsi="Arial" w:cstheme="minorBidi"/>
          <w:sz w:val="20"/>
          <w:szCs w:val="22"/>
          <w:lang w:val="en-US" w:eastAsia="en-US"/>
        </w:rPr>
        <w:t>EC</w:t>
      </w:r>
      <w:r w:rsidRPr="00A519D0">
        <w:rPr>
          <w:rFonts w:ascii="Arial" w:eastAsiaTheme="minorHAnsi" w:hAnsi="Arial" w:cstheme="minorBidi"/>
          <w:sz w:val="20"/>
          <w:szCs w:val="22"/>
          <w:lang w:val="en-US" w:eastAsia="en-US"/>
        </w:rPr>
        <w:t xml:space="preserve"> </w:t>
      </w:r>
      <w:r w:rsidR="00095A8D" w:rsidRPr="00A519D0">
        <w:rPr>
          <w:rFonts w:ascii="Arial" w:eastAsiaTheme="minorHAnsi" w:hAnsi="Arial" w:cstheme="minorBidi"/>
          <w:sz w:val="20"/>
          <w:szCs w:val="22"/>
          <w:lang w:val="en-US" w:eastAsia="en-US"/>
        </w:rPr>
        <w:t>R</w:t>
      </w:r>
      <w:r w:rsidRPr="00A519D0">
        <w:rPr>
          <w:rFonts w:ascii="Arial" w:eastAsiaTheme="minorHAnsi" w:hAnsi="Arial" w:cstheme="minorBidi"/>
          <w:sz w:val="20"/>
          <w:szCs w:val="22"/>
          <w:lang w:val="en-US" w:eastAsia="en-US"/>
        </w:rPr>
        <w:t xml:space="preserve">egulation (EU) 2021/369 </w:t>
      </w:r>
      <w:r w:rsidR="00095A8D" w:rsidRPr="00A519D0">
        <w:rPr>
          <w:rFonts w:ascii="Arial" w:eastAsiaTheme="minorHAnsi" w:hAnsi="Arial" w:cstheme="minorBidi"/>
          <w:sz w:val="20"/>
          <w:szCs w:val="22"/>
          <w:lang w:val="en-US" w:eastAsia="en-US"/>
        </w:rPr>
        <w:t>on determination of</w:t>
      </w:r>
      <w:r w:rsidRPr="00A519D0">
        <w:rPr>
          <w:rFonts w:ascii="Arial" w:eastAsiaTheme="minorHAnsi" w:hAnsi="Arial" w:cstheme="minorBidi"/>
          <w:sz w:val="20"/>
          <w:szCs w:val="22"/>
          <w:lang w:val="en-US" w:eastAsia="en-US"/>
        </w:rPr>
        <w:t xml:space="preserve"> technical specifications and procedures required for the system of interconnection of central registers </w:t>
      </w:r>
      <w:r w:rsidR="00095A8D" w:rsidRPr="00A519D0">
        <w:rPr>
          <w:rFonts w:ascii="Arial" w:eastAsiaTheme="minorHAnsi" w:hAnsi="Arial" w:cstheme="minorBidi"/>
          <w:sz w:val="20"/>
          <w:szCs w:val="22"/>
          <w:lang w:val="en-US" w:eastAsia="en-US"/>
        </w:rPr>
        <w:t xml:space="preserve">was adopted, </w:t>
      </w:r>
      <w:r w:rsidRPr="00A519D0">
        <w:rPr>
          <w:rFonts w:ascii="Arial" w:eastAsiaTheme="minorHAnsi" w:hAnsi="Arial" w:cstheme="minorBidi"/>
          <w:sz w:val="20"/>
          <w:szCs w:val="22"/>
          <w:lang w:val="en-US" w:eastAsia="en-US"/>
        </w:rPr>
        <w:t>referred to in Directive (EU) 2015/849 of the European Parliament and of the Council</w:t>
      </w:r>
      <w:r w:rsidR="00095A8D" w:rsidRPr="00A519D0">
        <w:rPr>
          <w:rFonts w:ascii="Arial" w:eastAsiaTheme="minorHAnsi" w:hAnsi="Arial" w:cstheme="minorBidi"/>
          <w:sz w:val="20"/>
          <w:szCs w:val="22"/>
          <w:lang w:val="en-US" w:eastAsia="en-US"/>
        </w:rPr>
        <w:t>.</w:t>
      </w:r>
      <w:r w:rsidR="007516AC" w:rsidRPr="00A519D0">
        <w:rPr>
          <w:rFonts w:ascii="Arial" w:eastAsiaTheme="minorHAnsi" w:hAnsi="Arial" w:cstheme="minorBidi"/>
          <w:sz w:val="20"/>
          <w:szCs w:val="22"/>
          <w:lang w:val="en-US" w:eastAsia="en-US"/>
        </w:rPr>
        <w:t xml:space="preserve"> The implementing </w:t>
      </w:r>
      <w:r w:rsidR="00C24459" w:rsidRPr="00A519D0">
        <w:rPr>
          <w:rFonts w:ascii="Arial" w:eastAsiaTheme="minorHAnsi" w:hAnsi="Arial" w:cstheme="minorBidi"/>
          <w:sz w:val="20"/>
          <w:szCs w:val="22"/>
          <w:lang w:val="en-US" w:eastAsia="en-US"/>
        </w:rPr>
        <w:t>regulation</w:t>
      </w:r>
      <w:r w:rsidR="007516AC" w:rsidRPr="00A519D0">
        <w:rPr>
          <w:rFonts w:ascii="Arial" w:eastAsiaTheme="minorHAnsi" w:hAnsi="Arial" w:cstheme="minorBidi"/>
          <w:sz w:val="20"/>
          <w:szCs w:val="22"/>
          <w:lang w:val="en-US" w:eastAsia="en-US"/>
        </w:rPr>
        <w:t xml:space="preserve"> defines </w:t>
      </w:r>
      <w:r w:rsidR="00031AC5">
        <w:rPr>
          <w:rFonts w:ascii="Arial" w:eastAsiaTheme="minorHAnsi" w:hAnsi="Arial" w:cstheme="minorBidi"/>
          <w:sz w:val="20"/>
          <w:szCs w:val="22"/>
          <w:lang w:val="en-US" w:eastAsia="en-US"/>
        </w:rPr>
        <w:t xml:space="preserve">the </w:t>
      </w:r>
      <w:r w:rsidR="007516AC" w:rsidRPr="00A519D0">
        <w:rPr>
          <w:rFonts w:ascii="Arial" w:eastAsiaTheme="minorHAnsi" w:hAnsi="Arial" w:cstheme="minorBidi"/>
          <w:sz w:val="20"/>
          <w:szCs w:val="22"/>
          <w:lang w:val="en-US" w:eastAsia="en-US"/>
        </w:rPr>
        <w:t xml:space="preserve">methods of communication, communication protocols, security standards and data to be exchanged in the framework of </w:t>
      </w:r>
      <w:r w:rsidR="000F0441" w:rsidRPr="00A519D0">
        <w:rPr>
          <w:rFonts w:ascii="Arial" w:eastAsiaTheme="minorHAnsi" w:hAnsi="Arial" w:cstheme="minorBidi"/>
          <w:sz w:val="20"/>
          <w:szCs w:val="22"/>
          <w:lang w:val="en-US" w:eastAsia="en-US"/>
        </w:rPr>
        <w:t>BORIS</w:t>
      </w:r>
      <w:r w:rsidR="001C6973" w:rsidRPr="00A519D0">
        <w:rPr>
          <w:rFonts w:ascii="Arial" w:eastAsiaTheme="minorHAnsi" w:hAnsi="Arial" w:cstheme="minorBidi"/>
          <w:sz w:val="20"/>
          <w:szCs w:val="22"/>
          <w:lang w:val="en-US" w:eastAsia="en-US"/>
        </w:rPr>
        <w:t>, structure of the standard message format, data for the platform, methods of operation of the system and information technology services provided by the platform, search criteria, payment modalities and online registration and availability of services.</w:t>
      </w:r>
      <w:r w:rsidR="000F0441" w:rsidRPr="00A519D0">
        <w:rPr>
          <w:rFonts w:ascii="Arial" w:eastAsiaTheme="minorHAnsi" w:hAnsi="Arial" w:cstheme="minorBidi"/>
          <w:sz w:val="20"/>
          <w:szCs w:val="22"/>
          <w:lang w:val="en-US" w:eastAsia="en-US"/>
        </w:rPr>
        <w:t xml:space="preserve"> </w:t>
      </w:r>
    </w:p>
    <w:p w14:paraId="650F9BB3" w14:textId="77777777" w:rsidR="000F0441" w:rsidRPr="00A519D0" w:rsidRDefault="000F0441" w:rsidP="00712B87">
      <w:pPr>
        <w:spacing w:line="276" w:lineRule="auto"/>
        <w:rPr>
          <w:lang w:val="en-US"/>
        </w:rPr>
      </w:pPr>
    </w:p>
    <w:p w14:paraId="63C8D789" w14:textId="0E7F987B" w:rsidR="000F0441" w:rsidRPr="00A519D0" w:rsidRDefault="001C6973" w:rsidP="00712B87">
      <w:pPr>
        <w:pStyle w:val="Naslov4"/>
        <w:spacing w:line="276" w:lineRule="auto"/>
        <w:rPr>
          <w:lang w:val="en-US"/>
        </w:rPr>
      </w:pPr>
      <w:bookmarkStart w:id="32" w:name="_Toc119581737"/>
      <w:r w:rsidRPr="00A519D0">
        <w:rPr>
          <w:lang w:val="en-US"/>
        </w:rPr>
        <w:t>EBA Standing Committee on anti-money laundering and countering terrorist financing (AMLSC)</w:t>
      </w:r>
      <w:bookmarkEnd w:id="32"/>
    </w:p>
    <w:p w14:paraId="7AA6C50C" w14:textId="77777777" w:rsidR="00095A8D" w:rsidRPr="00A519D0" w:rsidRDefault="00095A8D" w:rsidP="00095A8D">
      <w:pPr>
        <w:rPr>
          <w:lang w:val="en-US"/>
        </w:rPr>
      </w:pPr>
    </w:p>
    <w:p w14:paraId="2B01A17A" w14:textId="3E2AAF35" w:rsidR="000F0441" w:rsidRPr="00A519D0" w:rsidRDefault="000D4F5B" w:rsidP="00712B87">
      <w:pPr>
        <w:spacing w:line="276" w:lineRule="auto"/>
        <w:rPr>
          <w:lang w:val="en-US"/>
        </w:rPr>
      </w:pPr>
      <w:r w:rsidRPr="00A519D0">
        <w:rPr>
          <w:lang w:val="en-US"/>
        </w:rPr>
        <w:t>Besides supervisory tasks in the banking system</w:t>
      </w:r>
      <w:r w:rsidR="00B947B0" w:rsidRPr="00A519D0">
        <w:rPr>
          <w:lang w:val="en-US"/>
        </w:rPr>
        <w:t>,</w:t>
      </w:r>
      <w:r w:rsidRPr="00A519D0">
        <w:rPr>
          <w:lang w:val="en-US"/>
        </w:rPr>
        <w:t xml:space="preserve"> the </w:t>
      </w:r>
      <w:r w:rsidR="001C6973" w:rsidRPr="00A519D0">
        <w:rPr>
          <w:lang w:val="en-US"/>
        </w:rPr>
        <w:t xml:space="preserve">European Banking Authority </w:t>
      </w:r>
      <w:r w:rsidR="000F0441" w:rsidRPr="00A519D0">
        <w:rPr>
          <w:lang w:val="en-US"/>
        </w:rPr>
        <w:t>(EBA)</w:t>
      </w:r>
      <w:r w:rsidRPr="00A519D0">
        <w:rPr>
          <w:lang w:val="en-US"/>
        </w:rPr>
        <w:t xml:space="preserve"> is competent also </w:t>
      </w:r>
      <w:proofErr w:type="gramStart"/>
      <w:r w:rsidRPr="00A519D0">
        <w:rPr>
          <w:lang w:val="en-US"/>
        </w:rPr>
        <w:t>in the area of</w:t>
      </w:r>
      <w:proofErr w:type="gramEnd"/>
      <w:r w:rsidRPr="00A519D0">
        <w:rPr>
          <w:lang w:val="en-US"/>
        </w:rPr>
        <w:t xml:space="preserve"> prevention of money laundering and terrorist financing. The O</w:t>
      </w:r>
      <w:r w:rsidR="00B947B0" w:rsidRPr="00A519D0">
        <w:rPr>
          <w:lang w:val="en-US"/>
        </w:rPr>
        <w:t>MLP</w:t>
      </w:r>
      <w:r w:rsidRPr="00A519D0">
        <w:rPr>
          <w:lang w:val="en-US"/>
        </w:rPr>
        <w:t xml:space="preserve"> participate</w:t>
      </w:r>
      <w:r w:rsidR="00B947B0" w:rsidRPr="00A519D0">
        <w:rPr>
          <w:lang w:val="en-US"/>
        </w:rPr>
        <w:t xml:space="preserve">d </w:t>
      </w:r>
      <w:r w:rsidR="00031AC5">
        <w:rPr>
          <w:lang w:val="en-US"/>
        </w:rPr>
        <w:t>in</w:t>
      </w:r>
      <w:r w:rsidR="00031AC5" w:rsidRPr="00A519D0">
        <w:rPr>
          <w:lang w:val="en-US"/>
        </w:rPr>
        <w:t xml:space="preserve"> </w:t>
      </w:r>
      <w:r w:rsidRPr="00A519D0">
        <w:rPr>
          <w:lang w:val="en-US"/>
        </w:rPr>
        <w:t xml:space="preserve">the Standing Committee on </w:t>
      </w:r>
      <w:r w:rsidR="00B947B0" w:rsidRPr="00A519D0">
        <w:rPr>
          <w:lang w:val="en-US"/>
        </w:rPr>
        <w:t>A</w:t>
      </w:r>
      <w:r w:rsidRPr="00A519D0">
        <w:rPr>
          <w:lang w:val="en-US"/>
        </w:rPr>
        <w:t xml:space="preserve">nti-money </w:t>
      </w:r>
      <w:r w:rsidR="00B947B0" w:rsidRPr="00A519D0">
        <w:rPr>
          <w:lang w:val="en-US"/>
        </w:rPr>
        <w:t>L</w:t>
      </w:r>
      <w:r w:rsidRPr="00A519D0">
        <w:rPr>
          <w:lang w:val="en-US"/>
        </w:rPr>
        <w:t xml:space="preserve">aundering and </w:t>
      </w:r>
      <w:r w:rsidR="00B947B0" w:rsidRPr="00A519D0">
        <w:rPr>
          <w:lang w:val="en-US"/>
        </w:rPr>
        <w:t>C</w:t>
      </w:r>
      <w:r w:rsidRPr="00A519D0">
        <w:rPr>
          <w:lang w:val="en-US"/>
        </w:rPr>
        <w:t xml:space="preserve">ountering </w:t>
      </w:r>
      <w:r w:rsidR="00B947B0" w:rsidRPr="00A519D0">
        <w:rPr>
          <w:lang w:val="en-US"/>
        </w:rPr>
        <w:t>T</w:t>
      </w:r>
      <w:r w:rsidRPr="00A519D0">
        <w:rPr>
          <w:lang w:val="en-US"/>
        </w:rPr>
        <w:t xml:space="preserve">errorist </w:t>
      </w:r>
      <w:r w:rsidR="00B947B0" w:rsidRPr="00A519D0">
        <w:rPr>
          <w:lang w:val="en-US"/>
        </w:rPr>
        <w:t>F</w:t>
      </w:r>
      <w:r w:rsidRPr="00A519D0">
        <w:rPr>
          <w:lang w:val="en-US"/>
        </w:rPr>
        <w:t xml:space="preserve">inancing (AMLSC) as one of the supervisors of the financial sector. </w:t>
      </w:r>
      <w:r w:rsidR="00031AC5">
        <w:rPr>
          <w:lang w:val="en-US"/>
        </w:rPr>
        <w:t xml:space="preserve">The </w:t>
      </w:r>
      <w:r w:rsidRPr="00A519D0">
        <w:rPr>
          <w:lang w:val="en-US"/>
        </w:rPr>
        <w:t xml:space="preserve">Bank of Slovenia, the Securities Market Agency and </w:t>
      </w:r>
      <w:r w:rsidR="00031AC5">
        <w:rPr>
          <w:lang w:val="en-US"/>
        </w:rPr>
        <w:t xml:space="preserve">the </w:t>
      </w:r>
      <w:r w:rsidR="00B947B0" w:rsidRPr="00A519D0">
        <w:rPr>
          <w:lang w:val="en-US"/>
        </w:rPr>
        <w:t>I</w:t>
      </w:r>
      <w:r w:rsidRPr="00A519D0">
        <w:rPr>
          <w:lang w:val="en-US"/>
        </w:rPr>
        <w:t xml:space="preserve">nsurance supervisory Agency </w:t>
      </w:r>
      <w:r w:rsidR="00C24459" w:rsidRPr="00A519D0">
        <w:rPr>
          <w:lang w:val="en-US"/>
        </w:rPr>
        <w:t>participate</w:t>
      </w:r>
      <w:r w:rsidR="00B947B0" w:rsidRPr="00A519D0">
        <w:rPr>
          <w:lang w:val="en-US"/>
        </w:rPr>
        <w:t xml:space="preserve">d </w:t>
      </w:r>
      <w:r w:rsidR="00031AC5">
        <w:rPr>
          <w:lang w:val="en-US"/>
        </w:rPr>
        <w:t>in the</w:t>
      </w:r>
      <w:r w:rsidR="00031AC5" w:rsidRPr="00A519D0">
        <w:rPr>
          <w:lang w:val="en-US"/>
        </w:rPr>
        <w:t xml:space="preserve"> </w:t>
      </w:r>
      <w:r w:rsidRPr="00A519D0">
        <w:rPr>
          <w:lang w:val="en-US"/>
        </w:rPr>
        <w:t>AMLSC</w:t>
      </w:r>
      <w:r w:rsidR="00B947B0" w:rsidRPr="00A519D0">
        <w:rPr>
          <w:lang w:val="en-US"/>
        </w:rPr>
        <w:t xml:space="preserve"> as well.</w:t>
      </w:r>
    </w:p>
    <w:p w14:paraId="26B61191" w14:textId="0FABEBE5" w:rsidR="000F0441" w:rsidRPr="00A519D0" w:rsidRDefault="000D4F5B" w:rsidP="00712B87">
      <w:pPr>
        <w:spacing w:line="276" w:lineRule="auto"/>
        <w:rPr>
          <w:lang w:val="en-US"/>
        </w:rPr>
      </w:pPr>
      <w:r w:rsidRPr="00A519D0">
        <w:rPr>
          <w:lang w:val="en-US"/>
        </w:rPr>
        <w:t>In 2021</w:t>
      </w:r>
      <w:r w:rsidR="00B947B0" w:rsidRPr="00A519D0">
        <w:rPr>
          <w:lang w:val="en-US"/>
        </w:rPr>
        <w:t>,</w:t>
      </w:r>
      <w:r w:rsidRPr="00A519D0">
        <w:rPr>
          <w:lang w:val="en-US"/>
        </w:rPr>
        <w:t xml:space="preserve"> </w:t>
      </w:r>
      <w:r w:rsidR="00336E39" w:rsidRPr="00A519D0">
        <w:rPr>
          <w:lang w:val="en-US"/>
        </w:rPr>
        <w:t>nine virtual meetings of AMLSC were held</w:t>
      </w:r>
      <w:r w:rsidR="00B947B0" w:rsidRPr="00A519D0">
        <w:rPr>
          <w:lang w:val="en-US"/>
        </w:rPr>
        <w:t>, the k</w:t>
      </w:r>
      <w:r w:rsidR="00336E39" w:rsidRPr="00A519D0">
        <w:rPr>
          <w:lang w:val="en-US"/>
        </w:rPr>
        <w:t xml:space="preserve">ey topics were: </w:t>
      </w:r>
    </w:p>
    <w:p w14:paraId="31CCAE7C" w14:textId="0F23E0B6" w:rsidR="000F0441" w:rsidRPr="00A519D0" w:rsidRDefault="00336E39" w:rsidP="00712B87">
      <w:pPr>
        <w:pStyle w:val="Odstavekseznama"/>
        <w:spacing w:line="276" w:lineRule="auto"/>
        <w:ind w:left="851" w:hanging="284"/>
        <w:rPr>
          <w:lang w:val="en-US"/>
        </w:rPr>
      </w:pPr>
      <w:r w:rsidRPr="00A519D0">
        <w:rPr>
          <w:lang w:val="en-US"/>
        </w:rPr>
        <w:t xml:space="preserve">Establishment of </w:t>
      </w:r>
      <w:r w:rsidR="00031AC5">
        <w:rPr>
          <w:lang w:val="en-US"/>
        </w:rPr>
        <w:t xml:space="preserve">the </w:t>
      </w:r>
      <w:r w:rsidRPr="00A519D0">
        <w:rPr>
          <w:lang w:val="en-US"/>
        </w:rPr>
        <w:t xml:space="preserve">new European register </w:t>
      </w:r>
      <w:proofErr w:type="gramStart"/>
      <w:r w:rsidRPr="00A519D0">
        <w:rPr>
          <w:lang w:val="en-US"/>
        </w:rPr>
        <w:t>in the area of</w:t>
      </w:r>
      <w:proofErr w:type="gramEnd"/>
      <w:r w:rsidRPr="00A519D0">
        <w:rPr>
          <w:lang w:val="en-US"/>
        </w:rPr>
        <w:t xml:space="preserve"> prevention of money laundering and terrorist financing for</w:t>
      </w:r>
      <w:r w:rsidR="00B947B0" w:rsidRPr="00A519D0">
        <w:rPr>
          <w:lang w:val="en-US"/>
        </w:rPr>
        <w:t xml:space="preserve"> </w:t>
      </w:r>
      <w:r w:rsidRPr="00A519D0">
        <w:rPr>
          <w:lang w:val="en-US"/>
        </w:rPr>
        <w:t>the financial sector</w:t>
      </w:r>
      <w:r w:rsidR="00D94831" w:rsidRPr="00A519D0">
        <w:rPr>
          <w:lang w:val="en-US"/>
        </w:rPr>
        <w:t xml:space="preserve"> </w:t>
      </w:r>
      <w:r w:rsidR="000F0441" w:rsidRPr="00A519D0">
        <w:rPr>
          <w:lang w:val="en-US"/>
        </w:rPr>
        <w:t xml:space="preserve">(European Reporting system for material CFT and AML weaknesses - </w:t>
      </w:r>
      <w:proofErr w:type="spellStart"/>
      <w:r w:rsidR="000F0441" w:rsidRPr="00A519D0">
        <w:rPr>
          <w:lang w:val="en-US"/>
        </w:rPr>
        <w:t>EuReCA</w:t>
      </w:r>
      <w:proofErr w:type="spellEnd"/>
      <w:r w:rsidR="000F0441" w:rsidRPr="00A519D0">
        <w:rPr>
          <w:lang w:val="en-US"/>
        </w:rPr>
        <w:t>)</w:t>
      </w:r>
      <w:r w:rsidR="009822DC" w:rsidRPr="00A519D0">
        <w:rPr>
          <w:lang w:val="en-US"/>
        </w:rPr>
        <w:t>,</w:t>
      </w:r>
    </w:p>
    <w:p w14:paraId="144E977A" w14:textId="75418FD1" w:rsidR="000F0441" w:rsidRPr="00A519D0" w:rsidRDefault="00336E39" w:rsidP="00712B87">
      <w:pPr>
        <w:pStyle w:val="Odstavekseznama"/>
        <w:spacing w:line="276" w:lineRule="auto"/>
        <w:ind w:left="851" w:hanging="284"/>
        <w:rPr>
          <w:lang w:val="en-US"/>
        </w:rPr>
      </w:pPr>
      <w:r w:rsidRPr="00A519D0">
        <w:rPr>
          <w:lang w:val="en-US"/>
        </w:rPr>
        <w:t xml:space="preserve">Preparation of guidelines based on risk </w:t>
      </w:r>
      <w:r w:rsidR="00C24459" w:rsidRPr="00A519D0">
        <w:rPr>
          <w:lang w:val="en-US"/>
        </w:rPr>
        <w:t>assessment</w:t>
      </w:r>
      <w:r w:rsidR="009822DC" w:rsidRPr="00A519D0">
        <w:rPr>
          <w:lang w:val="en-US"/>
        </w:rPr>
        <w:t>,</w:t>
      </w:r>
    </w:p>
    <w:p w14:paraId="2615E14A" w14:textId="4935FFD2" w:rsidR="000F0441" w:rsidRPr="00A519D0" w:rsidRDefault="00336E39" w:rsidP="00712B87">
      <w:pPr>
        <w:pStyle w:val="Odstavekseznama"/>
        <w:spacing w:line="276" w:lineRule="auto"/>
        <w:ind w:left="851" w:hanging="284"/>
        <w:rPr>
          <w:lang w:val="en-US"/>
        </w:rPr>
      </w:pPr>
      <w:r w:rsidRPr="00A519D0">
        <w:rPr>
          <w:lang w:val="en-US"/>
        </w:rPr>
        <w:lastRenderedPageBreak/>
        <w:t xml:space="preserve">Preparation of </w:t>
      </w:r>
      <w:r w:rsidR="00C24459" w:rsidRPr="00A519D0">
        <w:rPr>
          <w:lang w:val="en-US"/>
        </w:rPr>
        <w:t>guidelines</w:t>
      </w:r>
      <w:r w:rsidRPr="00A519D0">
        <w:rPr>
          <w:lang w:val="en-US"/>
        </w:rPr>
        <w:t xml:space="preserve"> for risk indicators</w:t>
      </w:r>
      <w:r w:rsidR="009822DC" w:rsidRPr="00A519D0">
        <w:rPr>
          <w:lang w:val="en-US"/>
        </w:rPr>
        <w:t>,</w:t>
      </w:r>
    </w:p>
    <w:p w14:paraId="30708FAD" w14:textId="7DF10565" w:rsidR="000F0441" w:rsidRPr="00A519D0" w:rsidRDefault="00336E39" w:rsidP="00712B87">
      <w:pPr>
        <w:pStyle w:val="Odstavekseznama"/>
        <w:spacing w:line="276" w:lineRule="auto"/>
        <w:ind w:left="851" w:hanging="284"/>
        <w:rPr>
          <w:lang w:val="en-US"/>
        </w:rPr>
      </w:pPr>
      <w:r w:rsidRPr="00A519D0">
        <w:rPr>
          <w:lang w:val="en-US"/>
        </w:rPr>
        <w:t xml:space="preserve">Preparation of </w:t>
      </w:r>
      <w:r w:rsidR="00C24459" w:rsidRPr="00A519D0">
        <w:rPr>
          <w:lang w:val="en-US"/>
        </w:rPr>
        <w:t>guidelines</w:t>
      </w:r>
      <w:r w:rsidRPr="00A519D0">
        <w:rPr>
          <w:lang w:val="en-US"/>
        </w:rPr>
        <w:t xml:space="preserve"> on the role of </w:t>
      </w:r>
      <w:r w:rsidR="00583B8E" w:rsidRPr="00A519D0">
        <w:rPr>
          <w:lang w:val="en-US"/>
        </w:rPr>
        <w:t>authori</w:t>
      </w:r>
      <w:r w:rsidR="00A519D0">
        <w:rPr>
          <w:lang w:val="en-US"/>
        </w:rPr>
        <w:t>z</w:t>
      </w:r>
      <w:r w:rsidR="00583B8E" w:rsidRPr="00A519D0">
        <w:rPr>
          <w:lang w:val="en-US"/>
        </w:rPr>
        <w:t xml:space="preserve">ed person for prevention of money laundering and terrorist </w:t>
      </w:r>
      <w:r w:rsidR="00C24459" w:rsidRPr="00A519D0">
        <w:rPr>
          <w:lang w:val="en-US"/>
        </w:rPr>
        <w:t>financing</w:t>
      </w:r>
      <w:r w:rsidR="009822DC" w:rsidRPr="00A519D0">
        <w:rPr>
          <w:lang w:val="en-US"/>
        </w:rPr>
        <w:t>,</w:t>
      </w:r>
    </w:p>
    <w:p w14:paraId="6944B7BD" w14:textId="25C95268" w:rsidR="000F0441" w:rsidRPr="00A519D0" w:rsidRDefault="00583B8E" w:rsidP="00712B87">
      <w:pPr>
        <w:pStyle w:val="Odstavekseznama"/>
        <w:spacing w:line="276" w:lineRule="auto"/>
        <w:ind w:left="851" w:hanging="284"/>
        <w:rPr>
          <w:lang w:val="en-US"/>
        </w:rPr>
      </w:pPr>
      <w:r w:rsidRPr="00A519D0">
        <w:rPr>
          <w:lang w:val="en-US"/>
        </w:rPr>
        <w:t xml:space="preserve">Preparation of </w:t>
      </w:r>
      <w:r w:rsidR="00C24459" w:rsidRPr="00A519D0">
        <w:rPr>
          <w:lang w:val="en-US"/>
        </w:rPr>
        <w:t>guidelines</w:t>
      </w:r>
      <w:r w:rsidRPr="00A519D0">
        <w:rPr>
          <w:lang w:val="en-US"/>
        </w:rPr>
        <w:t xml:space="preserve"> on cooperation of supervisors </w:t>
      </w:r>
      <w:proofErr w:type="gramStart"/>
      <w:r w:rsidRPr="00A519D0">
        <w:rPr>
          <w:lang w:val="en-US"/>
        </w:rPr>
        <w:t>in the area of</w:t>
      </w:r>
      <w:proofErr w:type="gramEnd"/>
      <w:r w:rsidRPr="00A519D0">
        <w:rPr>
          <w:lang w:val="en-US"/>
        </w:rPr>
        <w:t xml:space="preserve"> </w:t>
      </w:r>
      <w:r w:rsidR="003C2A48" w:rsidRPr="00A519D0">
        <w:rPr>
          <w:lang w:val="en-US"/>
        </w:rPr>
        <w:t>prevention of money laundering with prudential supervisors and FIUs</w:t>
      </w:r>
      <w:r w:rsidR="009822DC" w:rsidRPr="00A519D0">
        <w:rPr>
          <w:lang w:val="en-US"/>
        </w:rPr>
        <w:t>,</w:t>
      </w:r>
    </w:p>
    <w:p w14:paraId="0C49A9FA" w14:textId="3F5E0893" w:rsidR="000F0441" w:rsidRPr="00A519D0" w:rsidRDefault="003C2A48" w:rsidP="00712B87">
      <w:pPr>
        <w:pStyle w:val="Odstavekseznama"/>
        <w:spacing w:line="276" w:lineRule="auto"/>
        <w:ind w:left="851" w:hanging="284"/>
        <w:rPr>
          <w:lang w:val="en-US"/>
        </w:rPr>
      </w:pPr>
      <w:r w:rsidRPr="00A519D0">
        <w:rPr>
          <w:lang w:val="en-US"/>
        </w:rPr>
        <w:t xml:space="preserve">Preparation of </w:t>
      </w:r>
      <w:r w:rsidR="00C24459" w:rsidRPr="00A519D0">
        <w:rPr>
          <w:lang w:val="en-US"/>
        </w:rPr>
        <w:t>guidelines</w:t>
      </w:r>
      <w:r w:rsidRPr="00A519D0">
        <w:rPr>
          <w:lang w:val="en-US"/>
        </w:rPr>
        <w:t xml:space="preserve"> remote costumer acquisition</w:t>
      </w:r>
      <w:r w:rsidR="009822DC" w:rsidRPr="00A519D0">
        <w:rPr>
          <w:lang w:val="en-US"/>
        </w:rPr>
        <w:t>,</w:t>
      </w:r>
    </w:p>
    <w:p w14:paraId="010A86E9" w14:textId="60DC7AEC" w:rsidR="000F0441" w:rsidRPr="00A519D0" w:rsidRDefault="00C24459" w:rsidP="00712B87">
      <w:pPr>
        <w:pStyle w:val="Odstavekseznama"/>
        <w:spacing w:line="276" w:lineRule="auto"/>
        <w:ind w:left="851" w:hanging="284"/>
        <w:rPr>
          <w:lang w:val="en-US"/>
        </w:rPr>
      </w:pPr>
      <w:r w:rsidRPr="00A519D0">
        <w:rPr>
          <w:lang w:val="en-US"/>
        </w:rPr>
        <w:t>Discussions</w:t>
      </w:r>
      <w:r w:rsidR="00CE52E7" w:rsidRPr="00A519D0">
        <w:rPr>
          <w:lang w:val="en-US"/>
        </w:rPr>
        <w:t xml:space="preserve"> on new EU AML legislative package </w:t>
      </w:r>
      <w:proofErr w:type="gramStart"/>
      <w:r w:rsidR="00CE52E7" w:rsidRPr="00A519D0">
        <w:rPr>
          <w:lang w:val="en-US"/>
        </w:rPr>
        <w:t>in the area of</w:t>
      </w:r>
      <w:proofErr w:type="gramEnd"/>
      <w:r w:rsidR="00CE52E7" w:rsidRPr="00A519D0">
        <w:rPr>
          <w:lang w:val="en-US"/>
        </w:rPr>
        <w:t xml:space="preserve"> prevention of money laundering and terrorist </w:t>
      </w:r>
      <w:r w:rsidRPr="00A519D0">
        <w:rPr>
          <w:lang w:val="en-US"/>
        </w:rPr>
        <w:t>financing</w:t>
      </w:r>
      <w:r w:rsidR="009822DC" w:rsidRPr="00A519D0">
        <w:rPr>
          <w:lang w:val="en-US"/>
        </w:rPr>
        <w:t>,</w:t>
      </w:r>
    </w:p>
    <w:p w14:paraId="47D64116" w14:textId="38CE63EE" w:rsidR="00B65A09" w:rsidRPr="00A519D0" w:rsidRDefault="00CE52E7" w:rsidP="00712B87">
      <w:pPr>
        <w:pStyle w:val="Odstavekseznama"/>
        <w:spacing w:line="276" w:lineRule="auto"/>
        <w:ind w:left="851" w:hanging="284"/>
        <w:rPr>
          <w:lang w:val="en-US"/>
        </w:rPr>
      </w:pPr>
      <w:r w:rsidRPr="00A519D0">
        <w:rPr>
          <w:lang w:val="en-US"/>
        </w:rPr>
        <w:t xml:space="preserve">Discussions on questions related to </w:t>
      </w:r>
      <w:r w:rsidR="00C24459" w:rsidRPr="00A519D0">
        <w:rPr>
          <w:lang w:val="en-US"/>
        </w:rPr>
        <w:t xml:space="preserve">virtual </w:t>
      </w:r>
      <w:r w:rsidRPr="00A519D0">
        <w:rPr>
          <w:lang w:val="en-US"/>
        </w:rPr>
        <w:t xml:space="preserve">asset service providers and personal data protection issues. </w:t>
      </w:r>
    </w:p>
    <w:p w14:paraId="4918B8E4" w14:textId="77777777" w:rsidR="00CE52E7" w:rsidRPr="00A519D0" w:rsidRDefault="00CE52E7" w:rsidP="00B947B0">
      <w:pPr>
        <w:pStyle w:val="Odstavekseznama"/>
        <w:numPr>
          <w:ilvl w:val="0"/>
          <w:numId w:val="0"/>
        </w:numPr>
        <w:spacing w:line="276" w:lineRule="auto"/>
        <w:ind w:left="851"/>
        <w:rPr>
          <w:lang w:val="en-US"/>
        </w:rPr>
      </w:pPr>
    </w:p>
    <w:p w14:paraId="018BB799" w14:textId="12CDEA11" w:rsidR="00B65A09" w:rsidRPr="00A519D0" w:rsidRDefault="002E3CCF" w:rsidP="00712B87">
      <w:pPr>
        <w:pStyle w:val="Naslov2"/>
        <w:spacing w:line="276" w:lineRule="auto"/>
        <w:rPr>
          <w:lang w:val="en-US"/>
        </w:rPr>
      </w:pPr>
      <w:r w:rsidRPr="00A519D0">
        <w:rPr>
          <w:lang w:val="en-US"/>
        </w:rPr>
        <w:t>BILATERAL COOPERATION</w:t>
      </w:r>
    </w:p>
    <w:p w14:paraId="680F0A73" w14:textId="77777777" w:rsidR="00B65A09" w:rsidRPr="00A519D0" w:rsidRDefault="00B65A09" w:rsidP="00712B87">
      <w:pPr>
        <w:spacing w:line="276" w:lineRule="auto"/>
        <w:rPr>
          <w:lang w:val="en-US"/>
        </w:rPr>
      </w:pPr>
    </w:p>
    <w:p w14:paraId="30F67ED0" w14:textId="7DF80B01" w:rsidR="00B65A09" w:rsidRPr="00A519D0" w:rsidRDefault="002E3CCF" w:rsidP="00712B87">
      <w:pPr>
        <w:spacing w:line="276" w:lineRule="auto"/>
        <w:rPr>
          <w:lang w:val="en-US"/>
        </w:rPr>
      </w:pPr>
      <w:r w:rsidRPr="00A519D0">
        <w:rPr>
          <w:lang w:val="en-US"/>
        </w:rPr>
        <w:t>As in the previous years</w:t>
      </w:r>
      <w:r w:rsidR="00B947B0" w:rsidRPr="00A519D0">
        <w:rPr>
          <w:lang w:val="en-US"/>
        </w:rPr>
        <w:t xml:space="preserve">, there have been numerous contacts with foreign counterparts in </w:t>
      </w:r>
      <w:r w:rsidR="00031AC5">
        <w:rPr>
          <w:lang w:val="en-US"/>
        </w:rPr>
        <w:t>particular</w:t>
      </w:r>
      <w:r w:rsidR="00031AC5" w:rsidRPr="00A519D0">
        <w:rPr>
          <w:lang w:val="en-US"/>
        </w:rPr>
        <w:t xml:space="preserve"> </w:t>
      </w:r>
      <w:r w:rsidR="00B947B0" w:rsidRPr="00A519D0">
        <w:rPr>
          <w:lang w:val="en-US"/>
        </w:rPr>
        <w:t xml:space="preserve">cases in 2021, which could be seen below. </w:t>
      </w:r>
      <w:r w:rsidRPr="00A519D0">
        <w:rPr>
          <w:lang w:val="en-US"/>
        </w:rPr>
        <w:t xml:space="preserve"> </w:t>
      </w:r>
    </w:p>
    <w:p w14:paraId="22319154" w14:textId="77777777" w:rsidR="00D44A88" w:rsidRPr="00A519D0" w:rsidRDefault="00D44A88" w:rsidP="00712B87">
      <w:pPr>
        <w:spacing w:line="276" w:lineRule="auto"/>
        <w:rPr>
          <w:lang w:val="en-US"/>
        </w:rPr>
      </w:pPr>
    </w:p>
    <w:p w14:paraId="7B6BAC74" w14:textId="435D9AD7" w:rsidR="00B65A09" w:rsidRPr="00A519D0" w:rsidRDefault="002E3CCF" w:rsidP="00712B87">
      <w:pPr>
        <w:pStyle w:val="Naslov3"/>
        <w:spacing w:line="276" w:lineRule="auto"/>
        <w:rPr>
          <w:lang w:val="en-US"/>
        </w:rPr>
      </w:pPr>
      <w:bookmarkStart w:id="33" w:name="_Toc119581739"/>
      <w:r w:rsidRPr="00A519D0">
        <w:rPr>
          <w:lang w:val="en-US"/>
        </w:rPr>
        <w:t xml:space="preserve">International cooperation according to provisions of </w:t>
      </w:r>
      <w:r w:rsidR="00031AC5">
        <w:rPr>
          <w:lang w:val="en-US"/>
        </w:rPr>
        <w:t xml:space="preserve">the </w:t>
      </w:r>
      <w:r w:rsidRPr="00A519D0">
        <w:rPr>
          <w:lang w:val="en-US"/>
        </w:rPr>
        <w:t>AMLPFT-1</w:t>
      </w:r>
      <w:bookmarkEnd w:id="33"/>
    </w:p>
    <w:p w14:paraId="6CC3D580" w14:textId="77777777" w:rsidR="00B65A09" w:rsidRPr="00A519D0" w:rsidRDefault="00B65A09" w:rsidP="00712B87">
      <w:pPr>
        <w:spacing w:line="276" w:lineRule="auto"/>
        <w:rPr>
          <w:lang w:val="en-US"/>
        </w:rPr>
      </w:pPr>
    </w:p>
    <w:p w14:paraId="770F359A" w14:textId="7FCBC1F8" w:rsidR="00A27D71" w:rsidRPr="00A519D0" w:rsidRDefault="002E3CCF" w:rsidP="00712B87">
      <w:pPr>
        <w:spacing w:line="276" w:lineRule="auto"/>
        <w:rPr>
          <w:bCs/>
          <w:lang w:val="en-US"/>
        </w:rPr>
      </w:pPr>
      <w:bookmarkStart w:id="34" w:name="_Hlk97804083"/>
      <w:r w:rsidRPr="00A519D0">
        <w:rPr>
          <w:bCs/>
          <w:lang w:val="en-US"/>
        </w:rPr>
        <w:t>In 20</w:t>
      </w:r>
      <w:r w:rsidR="00A27D71" w:rsidRPr="00A519D0">
        <w:rPr>
          <w:bCs/>
          <w:lang w:val="en-US"/>
        </w:rPr>
        <w:t>21</w:t>
      </w:r>
      <w:r w:rsidRPr="00A519D0">
        <w:rPr>
          <w:bCs/>
          <w:lang w:val="en-US"/>
        </w:rPr>
        <w:t xml:space="preserve">, the OMLP </w:t>
      </w:r>
      <w:r w:rsidRPr="00A519D0">
        <w:rPr>
          <w:bCs/>
          <w:u w:val="single"/>
          <w:lang w:val="en-US"/>
        </w:rPr>
        <w:t xml:space="preserve">sent </w:t>
      </w:r>
      <w:proofErr w:type="gramStart"/>
      <w:r w:rsidRPr="00A519D0">
        <w:rPr>
          <w:bCs/>
          <w:lang w:val="en-US"/>
        </w:rPr>
        <w:t>on the basis of</w:t>
      </w:r>
      <w:proofErr w:type="gramEnd"/>
      <w:r w:rsidRPr="00A519D0">
        <w:rPr>
          <w:bCs/>
          <w:lang w:val="en-US"/>
        </w:rPr>
        <w:t xml:space="preserve"> Article 105 of APMLFT-1 </w:t>
      </w:r>
      <w:r w:rsidR="00A27D71" w:rsidRPr="00A519D0">
        <w:rPr>
          <w:bCs/>
          <w:lang w:val="en-US"/>
        </w:rPr>
        <w:t>354</w:t>
      </w:r>
      <w:r w:rsidRPr="00A519D0">
        <w:rPr>
          <w:bCs/>
          <w:lang w:val="en-US"/>
        </w:rPr>
        <w:t xml:space="preserve"> requests to 5</w:t>
      </w:r>
      <w:r w:rsidR="00A27D71" w:rsidRPr="00A519D0">
        <w:rPr>
          <w:bCs/>
          <w:lang w:val="en-US"/>
        </w:rPr>
        <w:t>4</w:t>
      </w:r>
      <w:r w:rsidR="00B947B0" w:rsidRPr="00A519D0">
        <w:rPr>
          <w:bCs/>
          <w:lang w:val="en-US"/>
        </w:rPr>
        <w:t xml:space="preserve"> countries</w:t>
      </w:r>
      <w:r w:rsidR="00A27D71" w:rsidRPr="00A519D0">
        <w:rPr>
          <w:bCs/>
          <w:lang w:val="en-US"/>
        </w:rPr>
        <w:t xml:space="preserve"> (in 2020 345 requests to 52 countries)</w:t>
      </w:r>
      <w:r w:rsidRPr="00A519D0">
        <w:rPr>
          <w:bCs/>
          <w:lang w:val="en-US"/>
        </w:rPr>
        <w:t xml:space="preserve"> and on the basis of Article 108 of APMLFT-1 another </w:t>
      </w:r>
      <w:r w:rsidR="00A27D71" w:rsidRPr="00A519D0">
        <w:rPr>
          <w:bCs/>
          <w:lang w:val="en-US"/>
        </w:rPr>
        <w:t>271</w:t>
      </w:r>
      <w:r w:rsidRPr="00A519D0">
        <w:rPr>
          <w:bCs/>
          <w:lang w:val="en-US"/>
        </w:rPr>
        <w:t xml:space="preserve"> spontaneous information to </w:t>
      </w:r>
      <w:r w:rsidR="00A27D71" w:rsidRPr="00A519D0">
        <w:rPr>
          <w:bCs/>
          <w:lang w:val="en-US"/>
        </w:rPr>
        <w:t>57</w:t>
      </w:r>
      <w:r w:rsidRPr="00A519D0">
        <w:rPr>
          <w:bCs/>
          <w:lang w:val="en-US"/>
        </w:rPr>
        <w:t xml:space="preserve"> countries. </w:t>
      </w:r>
    </w:p>
    <w:p w14:paraId="5A4856CA" w14:textId="44A133CC" w:rsidR="002E3CCF" w:rsidRPr="00A519D0" w:rsidRDefault="002E3CCF" w:rsidP="00712B87">
      <w:pPr>
        <w:spacing w:line="276" w:lineRule="auto"/>
        <w:rPr>
          <w:bCs/>
          <w:lang w:val="en-US"/>
        </w:rPr>
      </w:pPr>
      <w:r w:rsidRPr="00A519D0">
        <w:rPr>
          <w:bCs/>
          <w:lang w:val="en-US"/>
        </w:rPr>
        <w:t>In comparison with 20</w:t>
      </w:r>
      <w:r w:rsidR="00A27D71" w:rsidRPr="00A519D0">
        <w:rPr>
          <w:bCs/>
          <w:lang w:val="en-US"/>
        </w:rPr>
        <w:t>20</w:t>
      </w:r>
      <w:r w:rsidRPr="00A519D0">
        <w:rPr>
          <w:bCs/>
          <w:lang w:val="en-US"/>
        </w:rPr>
        <w:t xml:space="preserve">, </w:t>
      </w:r>
      <w:r w:rsidR="00A27D71" w:rsidRPr="00A519D0">
        <w:rPr>
          <w:bCs/>
          <w:lang w:val="en-US"/>
        </w:rPr>
        <w:t>the number of</w:t>
      </w:r>
      <w:r w:rsidRPr="00A519D0">
        <w:rPr>
          <w:bCs/>
          <w:lang w:val="en-US"/>
        </w:rPr>
        <w:t xml:space="preserve"> requests of </w:t>
      </w:r>
      <w:r w:rsidR="00031AC5">
        <w:rPr>
          <w:bCs/>
          <w:lang w:val="en-US"/>
        </w:rPr>
        <w:t xml:space="preserve">the </w:t>
      </w:r>
      <w:r w:rsidRPr="00A519D0">
        <w:rPr>
          <w:bCs/>
          <w:lang w:val="en-US"/>
        </w:rPr>
        <w:t xml:space="preserve">OMLP </w:t>
      </w:r>
      <w:r w:rsidR="00A27D71" w:rsidRPr="00A519D0">
        <w:rPr>
          <w:bCs/>
          <w:lang w:val="en-US"/>
        </w:rPr>
        <w:t>remained almost the same</w:t>
      </w:r>
      <w:r w:rsidR="00B947B0" w:rsidRPr="00A519D0">
        <w:rPr>
          <w:bCs/>
          <w:lang w:val="en-US"/>
        </w:rPr>
        <w:t xml:space="preserve">, but </w:t>
      </w:r>
      <w:r w:rsidR="00A27D71" w:rsidRPr="00A519D0">
        <w:rPr>
          <w:bCs/>
          <w:lang w:val="en-US"/>
        </w:rPr>
        <w:t>there was a 62% increase</w:t>
      </w:r>
      <w:r w:rsidRPr="00A519D0">
        <w:rPr>
          <w:bCs/>
          <w:lang w:val="en-US"/>
        </w:rPr>
        <w:t xml:space="preserve"> of sent spontaneous information of </w:t>
      </w:r>
      <w:r w:rsidR="00031AC5">
        <w:rPr>
          <w:bCs/>
          <w:lang w:val="en-US"/>
        </w:rPr>
        <w:t xml:space="preserve">the </w:t>
      </w:r>
      <w:r w:rsidRPr="00A519D0">
        <w:rPr>
          <w:bCs/>
          <w:lang w:val="en-US"/>
        </w:rPr>
        <w:t xml:space="preserve">OMLP. </w:t>
      </w:r>
    </w:p>
    <w:p w14:paraId="118EE5E5" w14:textId="6E9B3D6D" w:rsidR="00A27D71" w:rsidRPr="00A519D0" w:rsidRDefault="00A27D71" w:rsidP="00712B87">
      <w:pPr>
        <w:spacing w:line="276" w:lineRule="auto"/>
        <w:rPr>
          <w:bCs/>
          <w:lang w:val="en-US"/>
        </w:rPr>
      </w:pPr>
      <w:proofErr w:type="gramStart"/>
      <w:r w:rsidRPr="00A519D0">
        <w:rPr>
          <w:bCs/>
          <w:lang w:val="en-US"/>
        </w:rPr>
        <w:t>On the basis of</w:t>
      </w:r>
      <w:proofErr w:type="gramEnd"/>
      <w:r w:rsidRPr="00A519D0">
        <w:rPr>
          <w:bCs/>
          <w:lang w:val="en-US"/>
        </w:rPr>
        <w:t xml:space="preserve"> Article 106 of APMLFT-1, the OMLP </w:t>
      </w:r>
      <w:r w:rsidRPr="00A519D0">
        <w:rPr>
          <w:bCs/>
          <w:u w:val="single"/>
          <w:lang w:val="en-US"/>
        </w:rPr>
        <w:t>received</w:t>
      </w:r>
      <w:r w:rsidRPr="00A519D0">
        <w:rPr>
          <w:bCs/>
          <w:lang w:val="en-US"/>
        </w:rPr>
        <w:t xml:space="preserve"> 141 requests from 41 countries (in 2020 141 requests from 38 countries) and 108 spontaneous information from 26 countries (in 2020, 85 </w:t>
      </w:r>
      <w:r w:rsidR="00C24459" w:rsidRPr="00A519D0">
        <w:rPr>
          <w:bCs/>
          <w:lang w:val="en-US"/>
        </w:rPr>
        <w:t>spontaneous</w:t>
      </w:r>
      <w:r w:rsidRPr="00A519D0">
        <w:rPr>
          <w:bCs/>
          <w:lang w:val="en-US"/>
        </w:rPr>
        <w:t xml:space="preserve"> </w:t>
      </w:r>
      <w:r w:rsidR="00C24459" w:rsidRPr="00A519D0">
        <w:rPr>
          <w:bCs/>
          <w:lang w:val="en-US"/>
        </w:rPr>
        <w:t>information from</w:t>
      </w:r>
      <w:r w:rsidRPr="00A519D0">
        <w:rPr>
          <w:bCs/>
          <w:lang w:val="en-US"/>
        </w:rPr>
        <w:t xml:space="preserve"> 24 countries</w:t>
      </w:r>
      <w:r w:rsidR="00B947B0" w:rsidRPr="00A519D0">
        <w:rPr>
          <w:bCs/>
          <w:lang w:val="en-US"/>
        </w:rPr>
        <w:t>)</w:t>
      </w:r>
      <w:r w:rsidRPr="00A519D0">
        <w:rPr>
          <w:bCs/>
          <w:lang w:val="en-US"/>
        </w:rPr>
        <w:t xml:space="preserve">. </w:t>
      </w:r>
    </w:p>
    <w:p w14:paraId="0535B3BF" w14:textId="1D3996C6" w:rsidR="00D44A88" w:rsidRPr="00A519D0" w:rsidRDefault="00A27D71" w:rsidP="00712B87">
      <w:pPr>
        <w:spacing w:line="276" w:lineRule="auto"/>
        <w:rPr>
          <w:bCs/>
          <w:lang w:val="en-US"/>
        </w:rPr>
      </w:pPr>
      <w:r w:rsidRPr="00A519D0">
        <w:rPr>
          <w:bCs/>
          <w:lang w:val="en-US"/>
        </w:rPr>
        <w:t>In comparison to 2020</w:t>
      </w:r>
      <w:r w:rsidR="00B947B0" w:rsidRPr="00A519D0">
        <w:rPr>
          <w:bCs/>
          <w:lang w:val="en-US"/>
        </w:rPr>
        <w:t xml:space="preserve">, </w:t>
      </w:r>
      <w:r w:rsidRPr="00A519D0">
        <w:rPr>
          <w:bCs/>
          <w:lang w:val="en-US"/>
        </w:rPr>
        <w:t>the number of received reques</w:t>
      </w:r>
      <w:r w:rsidR="00EA7300" w:rsidRPr="00A519D0">
        <w:rPr>
          <w:bCs/>
          <w:lang w:val="en-US"/>
        </w:rPr>
        <w:t xml:space="preserve">ts from foreign FIUs remained unchanged, </w:t>
      </w:r>
      <w:r w:rsidR="00B947B0" w:rsidRPr="00A519D0">
        <w:rPr>
          <w:bCs/>
          <w:lang w:val="en-US"/>
        </w:rPr>
        <w:t>but on the other hand</w:t>
      </w:r>
      <w:r w:rsidR="00EA7300" w:rsidRPr="00A519D0">
        <w:rPr>
          <w:bCs/>
          <w:lang w:val="en-US"/>
        </w:rPr>
        <w:t xml:space="preserve"> the number of received spontaneous information increased by almost </w:t>
      </w:r>
      <w:r w:rsidR="007B6EF6" w:rsidRPr="00A519D0">
        <w:rPr>
          <w:bCs/>
          <w:lang w:val="en-US"/>
        </w:rPr>
        <w:t>8%.</w:t>
      </w:r>
      <w:bookmarkEnd w:id="34"/>
    </w:p>
    <w:p w14:paraId="2FFF7983" w14:textId="4559E606" w:rsidR="00EA7300" w:rsidRPr="00A519D0" w:rsidRDefault="00EA7300" w:rsidP="00712B87">
      <w:pPr>
        <w:spacing w:line="276" w:lineRule="auto"/>
        <w:rPr>
          <w:bCs/>
          <w:lang w:val="en-US"/>
        </w:rPr>
      </w:pPr>
      <w:r w:rsidRPr="00A519D0">
        <w:rPr>
          <w:bCs/>
          <w:lang w:val="en-US"/>
        </w:rPr>
        <w:t>In 202</w:t>
      </w:r>
      <w:r w:rsidR="00B947B0" w:rsidRPr="00A519D0">
        <w:rPr>
          <w:bCs/>
          <w:lang w:val="en-US"/>
        </w:rPr>
        <w:t xml:space="preserve">1, </w:t>
      </w:r>
      <w:proofErr w:type="gramStart"/>
      <w:r w:rsidRPr="00A519D0">
        <w:rPr>
          <w:bCs/>
          <w:lang w:val="en-US"/>
        </w:rPr>
        <w:t>the majority of</w:t>
      </w:r>
      <w:proofErr w:type="gramEnd"/>
      <w:r w:rsidRPr="00A519D0">
        <w:rPr>
          <w:bCs/>
          <w:lang w:val="en-US"/>
        </w:rPr>
        <w:t xml:space="preserve"> information was exchanged in with FIUs from Italy, Croatia, Germany, Russia, Spain, Serbia, Hungary and Estonia. </w:t>
      </w:r>
    </w:p>
    <w:p w14:paraId="0AD3E2B6" w14:textId="77777777" w:rsidR="001605E4" w:rsidRPr="00A519D0" w:rsidRDefault="001605E4" w:rsidP="00712B87">
      <w:pPr>
        <w:spacing w:line="276" w:lineRule="auto"/>
        <w:rPr>
          <w:lang w:val="en-US"/>
        </w:rPr>
      </w:pPr>
    </w:p>
    <w:p w14:paraId="50848E48" w14:textId="322DF7F2" w:rsidR="00B65A09" w:rsidRPr="00A519D0" w:rsidRDefault="00EA7300" w:rsidP="00712B87">
      <w:pPr>
        <w:pStyle w:val="Naslov3"/>
        <w:spacing w:line="276" w:lineRule="auto"/>
        <w:rPr>
          <w:lang w:val="en-US"/>
        </w:rPr>
      </w:pPr>
      <w:r w:rsidRPr="00A519D0">
        <w:rPr>
          <w:lang w:val="en-US"/>
        </w:rPr>
        <w:t>Memorandum of Understanding</w:t>
      </w:r>
    </w:p>
    <w:p w14:paraId="288DBE01" w14:textId="77777777" w:rsidR="005E5941" w:rsidRPr="00A519D0" w:rsidRDefault="005E5941" w:rsidP="00712B87">
      <w:pPr>
        <w:spacing w:line="276" w:lineRule="auto"/>
        <w:rPr>
          <w:lang w:val="en-US"/>
        </w:rPr>
      </w:pPr>
    </w:p>
    <w:p w14:paraId="1D39DEC4" w14:textId="24DA4195" w:rsidR="005E5941" w:rsidRPr="00A519D0" w:rsidRDefault="00EA7300" w:rsidP="00712B87">
      <w:pPr>
        <w:spacing w:line="276" w:lineRule="auto"/>
        <w:rPr>
          <w:lang w:val="en-US"/>
        </w:rPr>
      </w:pPr>
      <w:bookmarkStart w:id="35" w:name="_Hlk146882730"/>
      <w:r w:rsidRPr="00A519D0">
        <w:rPr>
          <w:lang w:val="en-US"/>
        </w:rPr>
        <w:t>The existing cooperation between FIUs can also be upgraded with signing of legally non-binding documents, so called “Memorandum</w:t>
      </w:r>
      <w:r w:rsidR="00031AC5">
        <w:rPr>
          <w:lang w:val="en-US"/>
        </w:rPr>
        <w:t>s</w:t>
      </w:r>
      <w:r w:rsidRPr="00A519D0">
        <w:rPr>
          <w:lang w:val="en-US"/>
        </w:rPr>
        <w:t xml:space="preserve"> of Understanding”.</w:t>
      </w:r>
      <w:r w:rsidR="005E5941" w:rsidRPr="00A519D0">
        <w:rPr>
          <w:lang w:val="en-US"/>
        </w:rPr>
        <w:t xml:space="preserve"> In some countries the Memorandum of Understanding is mandatory </w:t>
      </w:r>
      <w:proofErr w:type="gramStart"/>
      <w:r w:rsidR="005E5941" w:rsidRPr="00A519D0">
        <w:rPr>
          <w:lang w:val="en-US"/>
        </w:rPr>
        <w:t>in order to</w:t>
      </w:r>
      <w:proofErr w:type="gramEnd"/>
      <w:r w:rsidR="005E5941" w:rsidRPr="00A519D0">
        <w:rPr>
          <w:lang w:val="en-US"/>
        </w:rPr>
        <w:t xml:space="preserve"> </w:t>
      </w:r>
      <w:r w:rsidR="00C24459" w:rsidRPr="00A519D0">
        <w:rPr>
          <w:lang w:val="en-US"/>
        </w:rPr>
        <w:t>exchange</w:t>
      </w:r>
      <w:r w:rsidR="005E5941" w:rsidRPr="00A519D0">
        <w:rPr>
          <w:lang w:val="en-US"/>
        </w:rPr>
        <w:t xml:space="preserve"> information</w:t>
      </w:r>
      <w:r w:rsidR="00031AC5">
        <w:rPr>
          <w:lang w:val="en-US"/>
        </w:rPr>
        <w:t>.</w:t>
      </w:r>
    </w:p>
    <w:p w14:paraId="2F15FB66" w14:textId="6412BCF4" w:rsidR="005E5941" w:rsidRPr="00A519D0" w:rsidRDefault="00EA7300" w:rsidP="00712B87">
      <w:pPr>
        <w:spacing w:line="276" w:lineRule="auto"/>
        <w:rPr>
          <w:lang w:val="en-US"/>
        </w:rPr>
      </w:pPr>
      <w:r w:rsidRPr="00A519D0">
        <w:rPr>
          <w:lang w:val="en-US"/>
        </w:rPr>
        <w:t>In 20</w:t>
      </w:r>
      <w:r w:rsidR="005E5941" w:rsidRPr="00A519D0">
        <w:rPr>
          <w:lang w:val="en-US"/>
        </w:rPr>
        <w:t>21</w:t>
      </w:r>
      <w:r w:rsidRPr="00A519D0">
        <w:rPr>
          <w:lang w:val="en-US"/>
        </w:rPr>
        <w:t xml:space="preserve">, the OMLP has been in the process of harmonization of contents with the FIUs from </w:t>
      </w:r>
      <w:r w:rsidR="00C24459" w:rsidRPr="00A519D0">
        <w:rPr>
          <w:lang w:val="en-US"/>
        </w:rPr>
        <w:t>Kazakhstan</w:t>
      </w:r>
      <w:r w:rsidR="005E5941" w:rsidRPr="00A519D0">
        <w:rPr>
          <w:lang w:val="en-US"/>
        </w:rPr>
        <w:t xml:space="preserve"> and Taiwan</w:t>
      </w:r>
      <w:r w:rsidRPr="00A519D0">
        <w:rPr>
          <w:lang w:val="en-US"/>
        </w:rPr>
        <w:t>, therefore it is expected to sign the MOU with them in 202</w:t>
      </w:r>
      <w:r w:rsidR="005E5941" w:rsidRPr="00A519D0">
        <w:rPr>
          <w:lang w:val="en-US"/>
        </w:rPr>
        <w:t>2</w:t>
      </w:r>
      <w:r w:rsidRPr="00A519D0">
        <w:rPr>
          <w:lang w:val="en-US"/>
        </w:rPr>
        <w:t xml:space="preserve">. </w:t>
      </w:r>
    </w:p>
    <w:p w14:paraId="5F9C6353" w14:textId="59AD342C" w:rsidR="00EA7300" w:rsidRPr="00A519D0" w:rsidRDefault="005E5941" w:rsidP="00712B87">
      <w:pPr>
        <w:spacing w:line="276" w:lineRule="auto"/>
        <w:rPr>
          <w:lang w:val="en-US"/>
        </w:rPr>
      </w:pPr>
      <w:r w:rsidRPr="00A519D0">
        <w:rPr>
          <w:lang w:val="en-US"/>
        </w:rPr>
        <w:t xml:space="preserve">Since its establishment </w:t>
      </w:r>
      <w:r w:rsidR="00031AC5" w:rsidRPr="00A519D0">
        <w:rPr>
          <w:lang w:val="en-US"/>
        </w:rPr>
        <w:t>in 1995</w:t>
      </w:r>
      <w:r w:rsidR="00031AC5" w:rsidRPr="00031AC5">
        <w:rPr>
          <w:lang w:val="en-US"/>
        </w:rPr>
        <w:t xml:space="preserve"> </w:t>
      </w:r>
      <w:r w:rsidR="00031AC5">
        <w:rPr>
          <w:lang w:val="en-US"/>
        </w:rPr>
        <w:t xml:space="preserve">and </w:t>
      </w:r>
      <w:r w:rsidR="00031AC5" w:rsidRPr="00A519D0">
        <w:rPr>
          <w:lang w:val="en-US"/>
        </w:rPr>
        <w:t>until the end of 2021</w:t>
      </w:r>
      <w:r w:rsidR="00031AC5">
        <w:rPr>
          <w:lang w:val="en-US"/>
        </w:rPr>
        <w:t>,</w:t>
      </w:r>
      <w:r w:rsidR="00031AC5" w:rsidRPr="00A519D0">
        <w:rPr>
          <w:lang w:val="en-US"/>
        </w:rPr>
        <w:t xml:space="preserve"> </w:t>
      </w:r>
      <w:r w:rsidRPr="00A519D0">
        <w:rPr>
          <w:lang w:val="en-US"/>
        </w:rPr>
        <w:t>the OMLP has already signed 51</w:t>
      </w:r>
      <w:r w:rsidR="00EA7300" w:rsidRPr="00A519D0">
        <w:rPr>
          <w:lang w:val="en-US"/>
        </w:rPr>
        <w:t xml:space="preserve"> </w:t>
      </w:r>
      <w:r w:rsidRPr="00A519D0">
        <w:rPr>
          <w:lang w:val="en-US"/>
        </w:rPr>
        <w:t>Memorandums of Understanding.</w:t>
      </w:r>
    </w:p>
    <w:bookmarkEnd w:id="35"/>
    <w:p w14:paraId="04279E69" w14:textId="77777777" w:rsidR="003A13EF" w:rsidRPr="00A519D0" w:rsidRDefault="003A13EF" w:rsidP="00712B87">
      <w:pPr>
        <w:spacing w:line="276" w:lineRule="auto"/>
        <w:rPr>
          <w:lang w:val="en-US"/>
        </w:rPr>
      </w:pPr>
    </w:p>
    <w:p w14:paraId="3DD9CD4C" w14:textId="0947DB79" w:rsidR="00155EF3" w:rsidRPr="00A519D0" w:rsidRDefault="005E5941" w:rsidP="00712B87">
      <w:pPr>
        <w:pStyle w:val="Naslov3"/>
        <w:spacing w:line="276" w:lineRule="auto"/>
        <w:rPr>
          <w:lang w:val="en-US"/>
        </w:rPr>
      </w:pPr>
      <w:bookmarkStart w:id="36" w:name="_Toc119581741"/>
      <w:r w:rsidRPr="00A519D0">
        <w:rPr>
          <w:lang w:val="en-US"/>
        </w:rPr>
        <w:t xml:space="preserve">Other forms of bilateral cooperation </w:t>
      </w:r>
      <w:r w:rsidR="002101CD" w:rsidRPr="00A519D0">
        <w:rPr>
          <w:lang w:val="en-US"/>
        </w:rPr>
        <w:t>(</w:t>
      </w:r>
      <w:r w:rsidRPr="00A519D0">
        <w:rPr>
          <w:lang w:val="en-US"/>
        </w:rPr>
        <w:t>Bilateral technical assistance to Nort</w:t>
      </w:r>
      <w:r w:rsidR="00FD04CB" w:rsidRPr="00A519D0">
        <w:rPr>
          <w:lang w:val="en-US"/>
        </w:rPr>
        <w:t xml:space="preserve">h </w:t>
      </w:r>
      <w:r w:rsidRPr="00A519D0">
        <w:rPr>
          <w:lang w:val="en-US"/>
        </w:rPr>
        <w:t>Macedonia and Montenegro</w:t>
      </w:r>
      <w:r w:rsidR="002101CD" w:rsidRPr="00A519D0">
        <w:rPr>
          <w:lang w:val="en-US"/>
        </w:rPr>
        <w:t>)</w:t>
      </w:r>
      <w:bookmarkEnd w:id="36"/>
    </w:p>
    <w:p w14:paraId="3BF07CAF" w14:textId="77777777" w:rsidR="00995C21" w:rsidRPr="00A519D0" w:rsidRDefault="00995C21" w:rsidP="00712B87">
      <w:pPr>
        <w:spacing w:line="276" w:lineRule="auto"/>
        <w:rPr>
          <w:color w:val="2E74B5" w:themeColor="accent5" w:themeShade="BF"/>
          <w:sz w:val="24"/>
          <w:szCs w:val="24"/>
          <w:lang w:val="en-US"/>
        </w:rPr>
      </w:pPr>
    </w:p>
    <w:p w14:paraId="61339C93" w14:textId="568798BA" w:rsidR="002101CD" w:rsidRPr="00A519D0" w:rsidRDefault="00593CE9" w:rsidP="00712B87">
      <w:pPr>
        <w:spacing w:line="276" w:lineRule="auto"/>
        <w:rPr>
          <w:lang w:val="en-US"/>
        </w:rPr>
      </w:pPr>
      <w:proofErr w:type="gramStart"/>
      <w:r w:rsidRPr="00A519D0">
        <w:rPr>
          <w:lang w:val="en-US"/>
        </w:rPr>
        <w:t>On the basis of</w:t>
      </w:r>
      <w:proofErr w:type="gramEnd"/>
      <w:r w:rsidRPr="00A519D0">
        <w:rPr>
          <w:lang w:val="en-US"/>
        </w:rPr>
        <w:t xml:space="preserve"> </w:t>
      </w:r>
      <w:r w:rsidR="00031AC5">
        <w:rPr>
          <w:lang w:val="en-US"/>
        </w:rPr>
        <w:t xml:space="preserve">the </w:t>
      </w:r>
      <w:r w:rsidRPr="00A519D0">
        <w:rPr>
          <w:lang w:val="en-US"/>
        </w:rPr>
        <w:t>Intergovernmental Agreement between Nort</w:t>
      </w:r>
      <w:r w:rsidR="00FD04CB" w:rsidRPr="00A519D0">
        <w:rPr>
          <w:lang w:val="en-US"/>
        </w:rPr>
        <w:t>h</w:t>
      </w:r>
      <w:r w:rsidRPr="00A519D0">
        <w:rPr>
          <w:lang w:val="en-US"/>
        </w:rPr>
        <w:t xml:space="preserve"> Macedonia and Slovenia</w:t>
      </w:r>
      <w:r w:rsidR="00FD04CB" w:rsidRPr="00A519D0">
        <w:rPr>
          <w:lang w:val="en-US"/>
        </w:rPr>
        <w:t>,</w:t>
      </w:r>
      <w:r w:rsidRPr="00A519D0">
        <w:rPr>
          <w:lang w:val="en-US"/>
        </w:rPr>
        <w:t xml:space="preserve"> the OMLP </w:t>
      </w:r>
      <w:r w:rsidR="00C24459" w:rsidRPr="00A519D0">
        <w:rPr>
          <w:lang w:val="en-US"/>
        </w:rPr>
        <w:t>participates</w:t>
      </w:r>
      <w:r w:rsidRPr="00A519D0">
        <w:rPr>
          <w:lang w:val="en-US"/>
        </w:rPr>
        <w:t xml:space="preserve"> in the project of Bilateral technical assistance </w:t>
      </w:r>
      <w:r w:rsidR="00FD04CB" w:rsidRPr="00A519D0">
        <w:rPr>
          <w:lang w:val="en-US"/>
        </w:rPr>
        <w:t>since 2013</w:t>
      </w:r>
      <w:r w:rsidRPr="00A519D0">
        <w:rPr>
          <w:lang w:val="en-US"/>
        </w:rPr>
        <w:t xml:space="preserve">. The agreement </w:t>
      </w:r>
      <w:r w:rsidR="00C74CAF" w:rsidRPr="00A519D0">
        <w:rPr>
          <w:lang w:val="en-US"/>
        </w:rPr>
        <w:t>b</w:t>
      </w:r>
      <w:r w:rsidRPr="00A519D0">
        <w:rPr>
          <w:lang w:val="en-US"/>
        </w:rPr>
        <w:t xml:space="preserve">etween the Ministry of Foreign Affairs and </w:t>
      </w:r>
      <w:r w:rsidR="00031AC5">
        <w:rPr>
          <w:lang w:val="en-US"/>
        </w:rPr>
        <w:t xml:space="preserve">the </w:t>
      </w:r>
      <w:r w:rsidRPr="00A519D0">
        <w:rPr>
          <w:lang w:val="en-US"/>
        </w:rPr>
        <w:t xml:space="preserve">OMLP </w:t>
      </w:r>
      <w:r w:rsidR="00C74CAF" w:rsidRPr="00A519D0">
        <w:rPr>
          <w:lang w:val="en-US"/>
        </w:rPr>
        <w:t>for the reali</w:t>
      </w:r>
      <w:r w:rsidR="00A519D0">
        <w:rPr>
          <w:lang w:val="en-US"/>
        </w:rPr>
        <w:t>z</w:t>
      </w:r>
      <w:r w:rsidR="00C74CAF" w:rsidRPr="00A519D0">
        <w:rPr>
          <w:lang w:val="en-US"/>
        </w:rPr>
        <w:t xml:space="preserve">ation of the project in 2021 was signed in </w:t>
      </w:r>
      <w:r w:rsidR="00C24459" w:rsidRPr="00A519D0">
        <w:rPr>
          <w:lang w:val="en-US"/>
        </w:rPr>
        <w:t>April</w:t>
      </w:r>
      <w:r w:rsidR="00C74CAF" w:rsidRPr="00A519D0">
        <w:rPr>
          <w:lang w:val="en-US"/>
        </w:rPr>
        <w:t xml:space="preserve"> 2021.</w:t>
      </w:r>
      <w:r w:rsidRPr="00A519D0">
        <w:rPr>
          <w:lang w:val="en-US"/>
        </w:rPr>
        <w:t xml:space="preserve"> </w:t>
      </w:r>
    </w:p>
    <w:p w14:paraId="757A2271" w14:textId="266B7085" w:rsidR="002101CD" w:rsidRPr="00A519D0" w:rsidRDefault="00A97525" w:rsidP="00712B87">
      <w:pPr>
        <w:spacing w:line="276" w:lineRule="auto"/>
        <w:rPr>
          <w:lang w:val="en-US"/>
        </w:rPr>
      </w:pPr>
      <w:r w:rsidRPr="00A519D0">
        <w:rPr>
          <w:lang w:val="en-US"/>
        </w:rPr>
        <w:t>The first activity of the project was reali</w:t>
      </w:r>
      <w:r w:rsidR="00A519D0">
        <w:rPr>
          <w:lang w:val="en-US"/>
        </w:rPr>
        <w:t>z</w:t>
      </w:r>
      <w:r w:rsidRPr="00A519D0">
        <w:rPr>
          <w:lang w:val="en-US"/>
        </w:rPr>
        <w:t xml:space="preserve">ed </w:t>
      </w:r>
      <w:r w:rsidR="00FD04CB" w:rsidRPr="00A519D0">
        <w:rPr>
          <w:lang w:val="en-US"/>
        </w:rPr>
        <w:t>during</w:t>
      </w:r>
      <w:r w:rsidRPr="00A519D0">
        <w:rPr>
          <w:lang w:val="en-US"/>
        </w:rPr>
        <w:t xml:space="preserve"> </w:t>
      </w:r>
      <w:r w:rsidR="00FD04CB" w:rsidRPr="00A519D0">
        <w:rPr>
          <w:lang w:val="en-US"/>
        </w:rPr>
        <w:t>June 8-9, 2021and</w:t>
      </w:r>
      <w:r w:rsidRPr="00A519D0">
        <w:rPr>
          <w:lang w:val="en-US"/>
        </w:rPr>
        <w:t xml:space="preserve"> the second </w:t>
      </w:r>
      <w:r w:rsidR="00FD04CB" w:rsidRPr="00A519D0">
        <w:rPr>
          <w:lang w:val="en-US"/>
        </w:rPr>
        <w:t>during September 29-30,</w:t>
      </w:r>
      <w:r w:rsidR="00031AC5">
        <w:rPr>
          <w:lang w:val="en-US"/>
        </w:rPr>
        <w:t xml:space="preserve"> </w:t>
      </w:r>
      <w:r w:rsidR="00FD04CB" w:rsidRPr="00A519D0">
        <w:rPr>
          <w:lang w:val="en-US"/>
        </w:rPr>
        <w:t>2021.</w:t>
      </w:r>
      <w:r w:rsidR="002101CD" w:rsidRPr="00A519D0">
        <w:rPr>
          <w:lang w:val="en-US"/>
        </w:rPr>
        <w:t xml:space="preserve"> </w:t>
      </w:r>
      <w:r w:rsidRPr="00A519D0">
        <w:rPr>
          <w:lang w:val="en-US"/>
        </w:rPr>
        <w:t>Due to COVID-19 pandemic both activities were held virtually</w:t>
      </w:r>
      <w:r w:rsidR="002101CD" w:rsidRPr="00A519D0">
        <w:rPr>
          <w:lang w:val="en-US"/>
        </w:rPr>
        <w:t xml:space="preserve">. </w:t>
      </w:r>
      <w:r w:rsidR="00031AC5">
        <w:rPr>
          <w:lang w:val="en-US"/>
        </w:rPr>
        <w:t>The m</w:t>
      </w:r>
      <w:r w:rsidRPr="00A519D0">
        <w:rPr>
          <w:lang w:val="en-US"/>
        </w:rPr>
        <w:t xml:space="preserve">ain topics were exchange of experiences </w:t>
      </w:r>
      <w:r w:rsidR="00FD04CB" w:rsidRPr="00A519D0">
        <w:rPr>
          <w:lang w:val="en-US"/>
        </w:rPr>
        <w:t>from</w:t>
      </w:r>
      <w:r w:rsidRPr="00A519D0">
        <w:rPr>
          <w:lang w:val="en-US"/>
        </w:rPr>
        <w:t xml:space="preserve"> the area of analysis of suspicious transactions</w:t>
      </w:r>
      <w:r w:rsidR="00FD04CB" w:rsidRPr="00A519D0">
        <w:rPr>
          <w:lang w:val="en-US"/>
        </w:rPr>
        <w:t>,</w:t>
      </w:r>
      <w:r w:rsidRPr="00A519D0">
        <w:rPr>
          <w:lang w:val="en-US"/>
        </w:rPr>
        <w:t xml:space="preserve"> typologies and trends of money laundering and terrorist </w:t>
      </w:r>
      <w:r w:rsidR="00C24459" w:rsidRPr="00A519D0">
        <w:rPr>
          <w:lang w:val="en-US"/>
        </w:rPr>
        <w:t>financing</w:t>
      </w:r>
      <w:r w:rsidRPr="00A519D0">
        <w:rPr>
          <w:lang w:val="en-US"/>
        </w:rPr>
        <w:t xml:space="preserve">, supervisions of obliged entities </w:t>
      </w:r>
      <w:proofErr w:type="gramStart"/>
      <w:r w:rsidRPr="00A519D0">
        <w:rPr>
          <w:lang w:val="en-US"/>
        </w:rPr>
        <w:t>on the basis of</w:t>
      </w:r>
      <w:proofErr w:type="gramEnd"/>
      <w:r w:rsidRPr="00A519D0">
        <w:rPr>
          <w:lang w:val="en-US"/>
        </w:rPr>
        <w:t xml:space="preserve"> </w:t>
      </w:r>
      <w:r w:rsidR="00E84D61">
        <w:rPr>
          <w:lang w:val="en-US"/>
        </w:rPr>
        <w:t xml:space="preserve">the </w:t>
      </w:r>
      <w:r w:rsidRPr="00A519D0">
        <w:rPr>
          <w:lang w:val="en-US"/>
        </w:rPr>
        <w:t>AMLPTF-1 and preparation for</w:t>
      </w:r>
      <w:r w:rsidR="00C24459" w:rsidRPr="00A519D0">
        <w:rPr>
          <w:lang w:val="en-US"/>
        </w:rPr>
        <w:t xml:space="preserve"> </w:t>
      </w:r>
      <w:r w:rsidRPr="00A519D0">
        <w:rPr>
          <w:lang w:val="en-US"/>
        </w:rPr>
        <w:t xml:space="preserve">the 5th round of MONEYVAL </w:t>
      </w:r>
      <w:r w:rsidR="00FD04CB" w:rsidRPr="00A519D0">
        <w:rPr>
          <w:lang w:val="en-US"/>
        </w:rPr>
        <w:t xml:space="preserve">evaluation of </w:t>
      </w:r>
      <w:r w:rsidRPr="00A519D0">
        <w:rPr>
          <w:lang w:val="en-US"/>
        </w:rPr>
        <w:t>Nort</w:t>
      </w:r>
      <w:r w:rsidR="00FD04CB" w:rsidRPr="00A519D0">
        <w:rPr>
          <w:lang w:val="en-US"/>
        </w:rPr>
        <w:t>h</w:t>
      </w:r>
      <w:r w:rsidRPr="00A519D0">
        <w:rPr>
          <w:lang w:val="en-US"/>
        </w:rPr>
        <w:t xml:space="preserve"> </w:t>
      </w:r>
      <w:r w:rsidR="00C24459" w:rsidRPr="00A519D0">
        <w:rPr>
          <w:lang w:val="en-US"/>
        </w:rPr>
        <w:t>Macedonia</w:t>
      </w:r>
      <w:r w:rsidRPr="00A519D0">
        <w:rPr>
          <w:lang w:val="en-US"/>
        </w:rPr>
        <w:t xml:space="preserve">.  </w:t>
      </w:r>
    </w:p>
    <w:p w14:paraId="79F83477" w14:textId="713CA629" w:rsidR="00155EF3" w:rsidRPr="00A519D0" w:rsidRDefault="00A97525" w:rsidP="00712B87">
      <w:pPr>
        <w:spacing w:line="276" w:lineRule="auto"/>
        <w:rPr>
          <w:lang w:val="en-US"/>
        </w:rPr>
      </w:pPr>
      <w:r w:rsidRPr="00A519D0">
        <w:rPr>
          <w:lang w:val="en-US"/>
        </w:rPr>
        <w:t xml:space="preserve">The </w:t>
      </w:r>
      <w:r w:rsidR="00C24459" w:rsidRPr="00A519D0">
        <w:rPr>
          <w:lang w:val="en-US"/>
        </w:rPr>
        <w:t>Republic</w:t>
      </w:r>
      <w:r w:rsidRPr="00A519D0">
        <w:rPr>
          <w:lang w:val="en-US"/>
        </w:rPr>
        <w:t xml:space="preserve"> of Slovenia </w:t>
      </w:r>
      <w:r w:rsidR="00C24459" w:rsidRPr="00A519D0">
        <w:rPr>
          <w:lang w:val="en-US"/>
        </w:rPr>
        <w:t>actively</w:t>
      </w:r>
      <w:r w:rsidRPr="00A519D0">
        <w:rPr>
          <w:lang w:val="en-US"/>
        </w:rPr>
        <w:t xml:space="preserve"> participates in activities of </w:t>
      </w:r>
      <w:r w:rsidR="00C24459" w:rsidRPr="00A519D0">
        <w:rPr>
          <w:lang w:val="en-US"/>
        </w:rPr>
        <w:t>technical</w:t>
      </w:r>
      <w:r w:rsidRPr="00A519D0">
        <w:rPr>
          <w:lang w:val="en-US"/>
        </w:rPr>
        <w:t xml:space="preserve"> </w:t>
      </w:r>
      <w:r w:rsidR="00C24459" w:rsidRPr="00A519D0">
        <w:rPr>
          <w:lang w:val="en-US"/>
        </w:rPr>
        <w:t>assistant</w:t>
      </w:r>
      <w:r w:rsidRPr="00A519D0">
        <w:rPr>
          <w:lang w:val="en-US"/>
        </w:rPr>
        <w:t xml:space="preserve"> since its entrance into EU.</w:t>
      </w:r>
      <w:r w:rsidR="00C24459" w:rsidRPr="00A519D0">
        <w:rPr>
          <w:lang w:val="en-US"/>
        </w:rPr>
        <w:t xml:space="preserve"> </w:t>
      </w:r>
      <w:r w:rsidRPr="00A519D0">
        <w:rPr>
          <w:lang w:val="en-US"/>
        </w:rPr>
        <w:t>In 2021</w:t>
      </w:r>
      <w:r w:rsidR="00FD04CB" w:rsidRPr="00A519D0">
        <w:rPr>
          <w:lang w:val="en-US"/>
        </w:rPr>
        <w:t>,</w:t>
      </w:r>
      <w:r w:rsidRPr="00A519D0">
        <w:rPr>
          <w:lang w:val="en-US"/>
        </w:rPr>
        <w:t xml:space="preserve"> the assistance was focused </w:t>
      </w:r>
      <w:proofErr w:type="gramStart"/>
      <w:r w:rsidRPr="00A519D0">
        <w:rPr>
          <w:lang w:val="en-US"/>
        </w:rPr>
        <w:t>toward</w:t>
      </w:r>
      <w:proofErr w:type="gramEnd"/>
      <w:r w:rsidRPr="00A519D0">
        <w:rPr>
          <w:lang w:val="en-US"/>
        </w:rPr>
        <w:t xml:space="preserve"> </w:t>
      </w:r>
      <w:r w:rsidR="00E84D61">
        <w:rPr>
          <w:lang w:val="en-US"/>
        </w:rPr>
        <w:t xml:space="preserve">the </w:t>
      </w:r>
      <w:r w:rsidRPr="00A519D0">
        <w:rPr>
          <w:lang w:val="en-US"/>
        </w:rPr>
        <w:t>West Balkans region and help</w:t>
      </w:r>
      <w:r w:rsidR="00FD04CB" w:rsidRPr="00A519D0">
        <w:rPr>
          <w:lang w:val="en-US"/>
        </w:rPr>
        <w:t xml:space="preserve">ed to their </w:t>
      </w:r>
      <w:r w:rsidRPr="00A519D0">
        <w:rPr>
          <w:lang w:val="en-US"/>
        </w:rPr>
        <w:t>access to the EU.</w:t>
      </w:r>
      <w:r w:rsidR="002101CD" w:rsidRPr="00A519D0">
        <w:rPr>
          <w:lang w:val="en-US"/>
        </w:rPr>
        <w:t xml:space="preserve"> </w:t>
      </w:r>
      <w:r w:rsidR="00C24459" w:rsidRPr="00A519D0">
        <w:rPr>
          <w:lang w:val="en-US"/>
        </w:rPr>
        <w:t>Montenegro</w:t>
      </w:r>
      <w:r w:rsidRPr="00A519D0">
        <w:rPr>
          <w:lang w:val="en-US"/>
        </w:rPr>
        <w:t xml:space="preserve"> asked Slovenia for </w:t>
      </w:r>
      <w:r w:rsidR="00C24459" w:rsidRPr="00A519D0">
        <w:rPr>
          <w:lang w:val="en-US"/>
        </w:rPr>
        <w:t>bilateral</w:t>
      </w:r>
      <w:r w:rsidRPr="00A519D0">
        <w:rPr>
          <w:lang w:val="en-US"/>
        </w:rPr>
        <w:t xml:space="preserve"> </w:t>
      </w:r>
      <w:r w:rsidR="00C24459" w:rsidRPr="00A519D0">
        <w:rPr>
          <w:lang w:val="en-US"/>
        </w:rPr>
        <w:t>technical</w:t>
      </w:r>
      <w:r w:rsidRPr="00A519D0">
        <w:rPr>
          <w:lang w:val="en-US"/>
        </w:rPr>
        <w:t xml:space="preserve"> assistance </w:t>
      </w:r>
      <w:proofErr w:type="gramStart"/>
      <w:r w:rsidRPr="00A519D0">
        <w:rPr>
          <w:lang w:val="en-US"/>
        </w:rPr>
        <w:t>in the area of</w:t>
      </w:r>
      <w:proofErr w:type="gramEnd"/>
      <w:r w:rsidRPr="00A519D0">
        <w:rPr>
          <w:lang w:val="en-US"/>
        </w:rPr>
        <w:t xml:space="preserve"> prevention of money laundering and terrorist financing ma</w:t>
      </w:r>
      <w:r w:rsidR="00FD04CB" w:rsidRPr="00A519D0">
        <w:rPr>
          <w:lang w:val="en-US"/>
        </w:rPr>
        <w:t>i</w:t>
      </w:r>
      <w:r w:rsidRPr="00A519D0">
        <w:rPr>
          <w:lang w:val="en-US"/>
        </w:rPr>
        <w:t xml:space="preserve">nly in the area of prevention and </w:t>
      </w:r>
      <w:r w:rsidR="00FD04CB" w:rsidRPr="00A519D0">
        <w:rPr>
          <w:lang w:val="en-US"/>
        </w:rPr>
        <w:t xml:space="preserve">analysis of </w:t>
      </w:r>
      <w:r w:rsidRPr="00A519D0">
        <w:rPr>
          <w:lang w:val="en-US"/>
        </w:rPr>
        <w:t>suspicious transactions.</w:t>
      </w:r>
      <w:r w:rsidR="00DC16C7" w:rsidRPr="00A519D0">
        <w:rPr>
          <w:lang w:val="en-US"/>
        </w:rPr>
        <w:t xml:space="preserve"> The </w:t>
      </w:r>
      <w:r w:rsidR="00C24459" w:rsidRPr="00A519D0">
        <w:rPr>
          <w:lang w:val="en-US"/>
        </w:rPr>
        <w:t>Agreement</w:t>
      </w:r>
      <w:r w:rsidR="00DC16C7" w:rsidRPr="00A519D0">
        <w:rPr>
          <w:lang w:val="en-US"/>
        </w:rPr>
        <w:t xml:space="preserve"> between </w:t>
      </w:r>
      <w:r w:rsidR="00E84D61">
        <w:rPr>
          <w:lang w:val="en-US"/>
        </w:rPr>
        <w:t xml:space="preserve">the </w:t>
      </w:r>
      <w:r w:rsidR="00DC16C7" w:rsidRPr="00A519D0">
        <w:rPr>
          <w:lang w:val="en-US"/>
        </w:rPr>
        <w:t xml:space="preserve">Ministry of Foreign Affairs and </w:t>
      </w:r>
      <w:r w:rsidR="00E84D61">
        <w:rPr>
          <w:lang w:val="en-US"/>
        </w:rPr>
        <w:t xml:space="preserve">the </w:t>
      </w:r>
      <w:r w:rsidR="00DC16C7" w:rsidRPr="00A519D0">
        <w:rPr>
          <w:lang w:val="en-US"/>
        </w:rPr>
        <w:t>OMLP was signed in May 2021</w:t>
      </w:r>
      <w:r w:rsidR="00E84D61" w:rsidRPr="00A519D0">
        <w:rPr>
          <w:lang w:val="en-US"/>
        </w:rPr>
        <w:t xml:space="preserve">. </w:t>
      </w:r>
      <w:r w:rsidR="00E84D61">
        <w:rPr>
          <w:lang w:val="en-US"/>
        </w:rPr>
        <w:t>The m</w:t>
      </w:r>
      <w:r w:rsidR="00DC16C7" w:rsidRPr="00A519D0">
        <w:rPr>
          <w:lang w:val="en-US"/>
        </w:rPr>
        <w:t>ain area of assistance to Montenegro covered</w:t>
      </w:r>
      <w:r w:rsidR="00FD04CB" w:rsidRPr="00A519D0">
        <w:rPr>
          <w:lang w:val="en-US"/>
        </w:rPr>
        <w:t xml:space="preserve"> the </w:t>
      </w:r>
      <w:r w:rsidR="00DC16C7" w:rsidRPr="00A519D0">
        <w:rPr>
          <w:lang w:val="en-US"/>
        </w:rPr>
        <w:t xml:space="preserve">following topics: analysis of suspicious transactions that includes </w:t>
      </w:r>
      <w:r w:rsidR="00C24459" w:rsidRPr="00A519D0">
        <w:rPr>
          <w:lang w:val="en-US"/>
        </w:rPr>
        <w:t>virtual</w:t>
      </w:r>
      <w:r w:rsidR="00DC16C7" w:rsidRPr="00A519D0">
        <w:rPr>
          <w:lang w:val="en-US"/>
        </w:rPr>
        <w:t xml:space="preserve"> currencies, exchange of experiences </w:t>
      </w:r>
      <w:r w:rsidR="00E84D61">
        <w:rPr>
          <w:lang w:val="en-US"/>
        </w:rPr>
        <w:t>in</w:t>
      </w:r>
      <w:r w:rsidR="00E84D61" w:rsidRPr="00A519D0">
        <w:rPr>
          <w:lang w:val="en-US"/>
        </w:rPr>
        <w:t xml:space="preserve"> </w:t>
      </w:r>
      <w:r w:rsidR="00DC16C7" w:rsidRPr="00A519D0">
        <w:rPr>
          <w:lang w:val="en-US"/>
        </w:rPr>
        <w:t xml:space="preserve">preparation of strategic analyses and supervision of obliged entities </w:t>
      </w:r>
      <w:proofErr w:type="gramStart"/>
      <w:r w:rsidR="00DC16C7" w:rsidRPr="00A519D0">
        <w:rPr>
          <w:lang w:val="en-US"/>
        </w:rPr>
        <w:t>on the basis of</w:t>
      </w:r>
      <w:proofErr w:type="gramEnd"/>
      <w:r w:rsidR="00DC16C7" w:rsidRPr="00A519D0">
        <w:rPr>
          <w:lang w:val="en-US"/>
        </w:rPr>
        <w:t xml:space="preserve"> AMLPTF-1</w:t>
      </w:r>
      <w:r w:rsidR="0010404B" w:rsidRPr="00A519D0">
        <w:rPr>
          <w:lang w:val="en-US"/>
        </w:rPr>
        <w:t>.</w:t>
      </w:r>
      <w:r w:rsidR="002101CD" w:rsidRPr="00A519D0">
        <w:rPr>
          <w:lang w:val="en-US"/>
        </w:rPr>
        <w:t xml:space="preserve"> </w:t>
      </w:r>
      <w:r w:rsidR="00E84D61">
        <w:rPr>
          <w:lang w:val="en-US"/>
        </w:rPr>
        <w:t>The f</w:t>
      </w:r>
      <w:r w:rsidR="00DC16C7" w:rsidRPr="00A519D0">
        <w:rPr>
          <w:lang w:val="en-US"/>
        </w:rPr>
        <w:t>irst</w:t>
      </w:r>
      <w:r w:rsidR="00C24459" w:rsidRPr="00A519D0">
        <w:rPr>
          <w:lang w:val="en-US"/>
        </w:rPr>
        <w:t xml:space="preserve"> part of</w:t>
      </w:r>
      <w:r w:rsidR="00DC16C7" w:rsidRPr="00A519D0">
        <w:rPr>
          <w:lang w:val="en-US"/>
        </w:rPr>
        <w:t xml:space="preserve"> </w:t>
      </w:r>
      <w:r w:rsidR="00E84D61">
        <w:rPr>
          <w:lang w:val="en-US"/>
        </w:rPr>
        <w:t xml:space="preserve">the </w:t>
      </w:r>
      <w:r w:rsidR="00DC16C7" w:rsidRPr="00A519D0">
        <w:rPr>
          <w:lang w:val="en-US"/>
        </w:rPr>
        <w:t xml:space="preserve">assistance </w:t>
      </w:r>
      <w:r w:rsidR="00FD04CB" w:rsidRPr="00A519D0">
        <w:rPr>
          <w:lang w:val="en-US"/>
        </w:rPr>
        <w:t xml:space="preserve">was held virtually on October 6 – 7, 2021, the second one </w:t>
      </w:r>
      <w:r w:rsidR="00E84D61">
        <w:rPr>
          <w:lang w:val="en-US"/>
        </w:rPr>
        <w:t xml:space="preserve">was </w:t>
      </w:r>
      <w:r w:rsidR="00FD04CB" w:rsidRPr="00A519D0">
        <w:rPr>
          <w:lang w:val="en-US"/>
        </w:rPr>
        <w:t>supposed to be concluded in June 2022.</w:t>
      </w:r>
    </w:p>
    <w:p w14:paraId="51FEB5A9" w14:textId="77777777" w:rsidR="0011169A" w:rsidRPr="00A519D0" w:rsidRDefault="0011169A" w:rsidP="00712B87">
      <w:pPr>
        <w:spacing w:line="276" w:lineRule="auto"/>
        <w:rPr>
          <w:lang w:val="en-US"/>
        </w:rPr>
      </w:pPr>
    </w:p>
    <w:p w14:paraId="6A407A81" w14:textId="485F242C" w:rsidR="00B65A09" w:rsidRPr="00A519D0" w:rsidRDefault="009A754C" w:rsidP="00712B87">
      <w:pPr>
        <w:pStyle w:val="Naslov3"/>
        <w:spacing w:line="276" w:lineRule="auto"/>
        <w:rPr>
          <w:lang w:val="en-US"/>
        </w:rPr>
      </w:pPr>
      <w:bookmarkStart w:id="37" w:name="_Hlk146882967"/>
      <w:r w:rsidRPr="00A519D0">
        <w:rPr>
          <w:lang w:val="en-US"/>
        </w:rPr>
        <w:t xml:space="preserve">International Cooperation </w:t>
      </w:r>
      <w:proofErr w:type="gramStart"/>
      <w:r w:rsidRPr="00A519D0">
        <w:rPr>
          <w:lang w:val="en-US"/>
        </w:rPr>
        <w:t>on the basis of</w:t>
      </w:r>
      <w:proofErr w:type="gramEnd"/>
      <w:r w:rsidRPr="00A519D0">
        <w:rPr>
          <w:lang w:val="en-US"/>
        </w:rPr>
        <w:t xml:space="preserve"> the </w:t>
      </w:r>
      <w:bookmarkStart w:id="38" w:name="_Hlk146882999"/>
      <w:r w:rsidRPr="00A519D0">
        <w:rPr>
          <w:lang w:val="en-US"/>
        </w:rPr>
        <w:t>COE No. 198</w:t>
      </w:r>
      <w:bookmarkEnd w:id="38"/>
    </w:p>
    <w:bookmarkEnd w:id="37"/>
    <w:p w14:paraId="46A8A531" w14:textId="77777777" w:rsidR="00B65A09" w:rsidRPr="00A519D0" w:rsidRDefault="00B65A09" w:rsidP="00712B87">
      <w:pPr>
        <w:spacing w:line="276" w:lineRule="auto"/>
        <w:rPr>
          <w:rFonts w:eastAsiaTheme="majorEastAsia" w:cstheme="majorBidi"/>
          <w:color w:val="0070C0"/>
          <w:sz w:val="24"/>
          <w:szCs w:val="24"/>
          <w:lang w:val="en-US"/>
        </w:rPr>
      </w:pPr>
    </w:p>
    <w:p w14:paraId="6B7A3A34" w14:textId="4E623DDA" w:rsidR="009A754C" w:rsidRPr="00A519D0" w:rsidRDefault="009A754C" w:rsidP="00712B87">
      <w:pPr>
        <w:spacing w:line="276" w:lineRule="auto"/>
        <w:rPr>
          <w:lang w:val="en-US"/>
        </w:rPr>
      </w:pPr>
      <w:bookmarkStart w:id="39" w:name="_Hlk146883027"/>
      <w:r w:rsidRPr="00A519D0">
        <w:rPr>
          <w:lang w:val="en-US"/>
        </w:rPr>
        <w:t xml:space="preserve">As already mentioned at the beginning </w:t>
      </w:r>
      <w:r w:rsidR="00C24459" w:rsidRPr="00A519D0">
        <w:rPr>
          <w:lang w:val="en-US"/>
        </w:rPr>
        <w:t>of</w:t>
      </w:r>
      <w:r w:rsidRPr="00A519D0">
        <w:rPr>
          <w:lang w:val="en-US"/>
        </w:rPr>
        <w:t xml:space="preserve"> this </w:t>
      </w:r>
      <w:r w:rsidR="00C24459" w:rsidRPr="00A519D0">
        <w:rPr>
          <w:lang w:val="en-US"/>
        </w:rPr>
        <w:t>chapter</w:t>
      </w:r>
      <w:r w:rsidRPr="00A519D0">
        <w:rPr>
          <w:lang w:val="en-US"/>
        </w:rPr>
        <w:t xml:space="preserve">, the OMLP is </w:t>
      </w:r>
      <w:proofErr w:type="gramStart"/>
      <w:r w:rsidRPr="00A519D0">
        <w:rPr>
          <w:lang w:val="en-US"/>
        </w:rPr>
        <w:t>on the basis of</w:t>
      </w:r>
      <w:proofErr w:type="gramEnd"/>
      <w:r w:rsidRPr="00A519D0">
        <w:rPr>
          <w:lang w:val="en-US"/>
        </w:rPr>
        <w:t xml:space="preserve"> </w:t>
      </w:r>
      <w:r w:rsidR="00E84D61">
        <w:rPr>
          <w:lang w:val="en-US"/>
        </w:rPr>
        <w:t>the Convention</w:t>
      </w:r>
      <w:r w:rsidR="00E84D61" w:rsidRPr="00A519D0">
        <w:rPr>
          <w:lang w:val="en-US"/>
        </w:rPr>
        <w:t xml:space="preserve"> </w:t>
      </w:r>
      <w:r w:rsidRPr="00A519D0">
        <w:rPr>
          <w:lang w:val="en-US"/>
        </w:rPr>
        <w:t xml:space="preserve">No. 198 the central authority competent for receiving and sending requests in the framework of its chapter IV </w:t>
      </w:r>
      <w:r w:rsidR="001B16E8" w:rsidRPr="00A519D0">
        <w:rPr>
          <w:lang w:val="en-US"/>
        </w:rPr>
        <w:t>(</w:t>
      </w:r>
      <w:r w:rsidRPr="00A519D0">
        <w:rPr>
          <w:lang w:val="en-US"/>
        </w:rPr>
        <w:t>international cooperation)</w:t>
      </w:r>
      <w:r w:rsidR="001B16E8" w:rsidRPr="00A519D0">
        <w:rPr>
          <w:lang w:val="en-US"/>
        </w:rPr>
        <w:t xml:space="preserve">. </w:t>
      </w:r>
    </w:p>
    <w:p w14:paraId="59A237E5" w14:textId="29EBA485" w:rsidR="00D62FFA" w:rsidRPr="00A519D0" w:rsidRDefault="00E84D61" w:rsidP="00712B87">
      <w:pPr>
        <w:spacing w:line="276" w:lineRule="auto"/>
        <w:rPr>
          <w:lang w:val="en-US"/>
        </w:rPr>
      </w:pPr>
      <w:r>
        <w:rPr>
          <w:lang w:val="en-US"/>
        </w:rPr>
        <w:t>I</w:t>
      </w:r>
      <w:r w:rsidR="001B16E8" w:rsidRPr="00A519D0">
        <w:rPr>
          <w:lang w:val="en-US"/>
        </w:rPr>
        <w:t xml:space="preserve">n 2021 the OMLP, </w:t>
      </w:r>
      <w:proofErr w:type="gramStart"/>
      <w:r w:rsidR="001B16E8" w:rsidRPr="00A519D0">
        <w:rPr>
          <w:lang w:val="en-US"/>
        </w:rPr>
        <w:t>on the basis of</w:t>
      </w:r>
      <w:proofErr w:type="gramEnd"/>
      <w:r w:rsidR="001B16E8" w:rsidRPr="00A519D0">
        <w:rPr>
          <w:lang w:val="en-US"/>
        </w:rPr>
        <w:t xml:space="preserve"> the mentioned convention, received four requests from Slovenian Courts, three relat</w:t>
      </w:r>
      <w:r w:rsidR="00FD04CB" w:rsidRPr="00A519D0">
        <w:rPr>
          <w:lang w:val="en-US"/>
        </w:rPr>
        <w:t>ed</w:t>
      </w:r>
      <w:r w:rsidR="001B16E8" w:rsidRPr="00A519D0">
        <w:rPr>
          <w:lang w:val="en-US"/>
        </w:rPr>
        <w:t xml:space="preserve"> to </w:t>
      </w:r>
      <w:r w:rsidR="00FD04CB" w:rsidRPr="00A519D0">
        <w:rPr>
          <w:lang w:val="en-US"/>
        </w:rPr>
        <w:t xml:space="preserve">the </w:t>
      </w:r>
      <w:r w:rsidR="001B16E8" w:rsidRPr="00A519D0">
        <w:rPr>
          <w:lang w:val="en-US"/>
        </w:rPr>
        <w:t>execution of their decisions regarding the confiscation of proceeds of crime</w:t>
      </w:r>
      <w:r w:rsidR="00FD04CB" w:rsidRPr="00A519D0">
        <w:rPr>
          <w:lang w:val="en-US"/>
        </w:rPr>
        <w:t xml:space="preserve">, as </w:t>
      </w:r>
      <w:r w:rsidR="001B16E8" w:rsidRPr="00A519D0">
        <w:rPr>
          <w:lang w:val="en-US"/>
        </w:rPr>
        <w:t xml:space="preserve">in one case the decision was not </w:t>
      </w:r>
      <w:r w:rsidR="00C24459" w:rsidRPr="00A519D0">
        <w:rPr>
          <w:lang w:val="en-US"/>
        </w:rPr>
        <w:t>consistent</w:t>
      </w:r>
      <w:r w:rsidR="00945D3A" w:rsidRPr="00A519D0">
        <w:rPr>
          <w:lang w:val="en-US"/>
        </w:rPr>
        <w:t xml:space="preserve"> with the convention as it was related to</w:t>
      </w:r>
      <w:r w:rsidR="00FD04CB" w:rsidRPr="00A519D0">
        <w:rPr>
          <w:lang w:val="en-US"/>
        </w:rPr>
        <w:t xml:space="preserve"> the</w:t>
      </w:r>
      <w:r w:rsidR="00945D3A" w:rsidRPr="00A519D0">
        <w:rPr>
          <w:lang w:val="en-US"/>
        </w:rPr>
        <w:t xml:space="preserve"> recovery of collateral fine. In the last case the explanation was sent to the Court,</w:t>
      </w:r>
      <w:r w:rsidR="00CD0EC0" w:rsidRPr="00A519D0">
        <w:rPr>
          <w:lang w:val="en-US"/>
        </w:rPr>
        <w:t xml:space="preserve"> o</w:t>
      </w:r>
      <w:r w:rsidR="00945D3A" w:rsidRPr="00A519D0">
        <w:rPr>
          <w:lang w:val="en-US"/>
        </w:rPr>
        <w:t>ther requests were forwarded to the competent foreign authoritie</w:t>
      </w:r>
      <w:r w:rsidR="00CD0EC0" w:rsidRPr="00A519D0">
        <w:rPr>
          <w:lang w:val="en-US"/>
        </w:rPr>
        <w:t>s for their further activities. I</w:t>
      </w:r>
      <w:r w:rsidR="00945D3A" w:rsidRPr="00A519D0">
        <w:rPr>
          <w:lang w:val="en-US"/>
        </w:rPr>
        <w:t>n 2021</w:t>
      </w:r>
      <w:r w:rsidR="00CD0EC0" w:rsidRPr="00A519D0">
        <w:rPr>
          <w:lang w:val="en-US"/>
        </w:rPr>
        <w:t xml:space="preserve">, </w:t>
      </w:r>
      <w:r>
        <w:rPr>
          <w:lang w:val="en-US"/>
        </w:rPr>
        <w:t>the</w:t>
      </w:r>
      <w:r w:rsidR="00945D3A" w:rsidRPr="00A519D0">
        <w:rPr>
          <w:lang w:val="en-US"/>
        </w:rPr>
        <w:t xml:space="preserve"> </w:t>
      </w:r>
      <w:r w:rsidR="00CD0EC0" w:rsidRPr="00A519D0">
        <w:rPr>
          <w:lang w:val="en-US"/>
        </w:rPr>
        <w:t xml:space="preserve">OMLP received no such requests </w:t>
      </w:r>
      <w:proofErr w:type="gramStart"/>
      <w:r w:rsidR="00CD0EC0" w:rsidRPr="00A519D0">
        <w:rPr>
          <w:lang w:val="en-US"/>
        </w:rPr>
        <w:t xml:space="preserve">from </w:t>
      </w:r>
      <w:r w:rsidR="00945D3A" w:rsidRPr="00A519D0">
        <w:rPr>
          <w:lang w:val="en-US"/>
        </w:rPr>
        <w:t xml:space="preserve"> </w:t>
      </w:r>
      <w:r w:rsidR="00CD0EC0" w:rsidRPr="00A519D0">
        <w:rPr>
          <w:lang w:val="en-US"/>
        </w:rPr>
        <w:t>f</w:t>
      </w:r>
      <w:r w:rsidR="00945D3A" w:rsidRPr="00A519D0">
        <w:rPr>
          <w:lang w:val="en-US"/>
        </w:rPr>
        <w:t>oreign</w:t>
      </w:r>
      <w:proofErr w:type="gramEnd"/>
      <w:r w:rsidR="00945D3A" w:rsidRPr="00A519D0">
        <w:rPr>
          <w:lang w:val="en-US"/>
        </w:rPr>
        <w:t xml:space="preserve"> competent authorities</w:t>
      </w:r>
      <w:r w:rsidR="00CD0EC0" w:rsidRPr="00A519D0">
        <w:rPr>
          <w:lang w:val="en-US"/>
        </w:rPr>
        <w:t>.</w:t>
      </w:r>
      <w:r w:rsidR="00945D3A" w:rsidRPr="00A519D0">
        <w:rPr>
          <w:rFonts w:cs="Arial"/>
          <w:color w:val="202124"/>
          <w:sz w:val="30"/>
          <w:szCs w:val="30"/>
          <w:shd w:val="clear" w:color="auto" w:fill="FFFFFF"/>
          <w:lang w:val="en-US"/>
        </w:rPr>
        <w:t xml:space="preserve"> </w:t>
      </w:r>
      <w:r w:rsidR="008B1D4B" w:rsidRPr="00A519D0">
        <w:rPr>
          <w:lang w:val="en-US"/>
        </w:rPr>
        <w:t xml:space="preserve"> </w:t>
      </w:r>
    </w:p>
    <w:p w14:paraId="08E32D7D" w14:textId="77777777" w:rsidR="00CD0EC0" w:rsidRPr="00A519D0" w:rsidRDefault="00CD0EC0" w:rsidP="00712B87">
      <w:pPr>
        <w:spacing w:line="276" w:lineRule="auto"/>
        <w:rPr>
          <w:b/>
          <w:bCs/>
          <w:lang w:val="en-US"/>
        </w:rPr>
      </w:pPr>
    </w:p>
    <w:p w14:paraId="0827825B" w14:textId="20B367BF" w:rsidR="00B65A09" w:rsidRPr="00A519D0" w:rsidRDefault="00945D3A" w:rsidP="00712B87">
      <w:pPr>
        <w:pStyle w:val="Naslov1"/>
        <w:spacing w:line="276" w:lineRule="auto"/>
        <w:rPr>
          <w:lang w:val="en-US"/>
        </w:rPr>
      </w:pPr>
      <w:bookmarkStart w:id="40" w:name="_Toc119581749"/>
      <w:bookmarkEnd w:id="26"/>
      <w:bookmarkEnd w:id="39"/>
      <w:r w:rsidRPr="00A519D0">
        <w:rPr>
          <w:lang w:val="en-US"/>
        </w:rPr>
        <w:t>LOGISTICS AND INFORMATICS</w:t>
      </w:r>
      <w:bookmarkEnd w:id="40"/>
    </w:p>
    <w:p w14:paraId="6EC09314" w14:textId="77777777" w:rsidR="00B65A09" w:rsidRPr="00A519D0" w:rsidRDefault="00B65A09" w:rsidP="00712B87">
      <w:pPr>
        <w:spacing w:line="276" w:lineRule="auto"/>
        <w:rPr>
          <w:lang w:val="en-US"/>
        </w:rPr>
      </w:pPr>
    </w:p>
    <w:p w14:paraId="6CD7650B" w14:textId="6EA15FFF" w:rsidR="00B65A09" w:rsidRPr="00A519D0" w:rsidRDefault="00945D3A" w:rsidP="00712B87">
      <w:pPr>
        <w:pStyle w:val="Naslov2"/>
        <w:spacing w:line="276" w:lineRule="auto"/>
        <w:rPr>
          <w:lang w:val="en-US"/>
        </w:rPr>
      </w:pPr>
      <w:bookmarkStart w:id="41" w:name="_Toc119581750"/>
      <w:r w:rsidRPr="00A519D0">
        <w:rPr>
          <w:lang w:val="en-US"/>
        </w:rPr>
        <w:t>ORGANISATION AND STAFF MATTERS</w:t>
      </w:r>
      <w:bookmarkEnd w:id="41"/>
    </w:p>
    <w:p w14:paraId="597266A8" w14:textId="77777777" w:rsidR="00EA665D" w:rsidRPr="00A519D0" w:rsidRDefault="00EA665D" w:rsidP="00712B87">
      <w:pPr>
        <w:spacing w:line="276" w:lineRule="auto"/>
        <w:rPr>
          <w:lang w:val="en-US"/>
        </w:rPr>
      </w:pPr>
    </w:p>
    <w:p w14:paraId="1E4C3DBA" w14:textId="0A5809B9" w:rsidR="00B65A09" w:rsidRPr="00A519D0" w:rsidRDefault="00945D3A" w:rsidP="00712B87">
      <w:pPr>
        <w:pStyle w:val="Naslov3"/>
        <w:spacing w:line="276" w:lineRule="auto"/>
        <w:rPr>
          <w:lang w:val="en-US"/>
        </w:rPr>
      </w:pPr>
      <w:r w:rsidRPr="00A519D0">
        <w:rPr>
          <w:lang w:val="en-US"/>
        </w:rPr>
        <w:t>Movement and structure of personnel</w:t>
      </w:r>
    </w:p>
    <w:p w14:paraId="6DE8BD3E" w14:textId="77777777" w:rsidR="00B65A09" w:rsidRPr="00A519D0" w:rsidRDefault="00B65A09" w:rsidP="00712B87">
      <w:pPr>
        <w:spacing w:line="276" w:lineRule="auto"/>
        <w:rPr>
          <w:lang w:val="en-US"/>
        </w:rPr>
      </w:pPr>
    </w:p>
    <w:p w14:paraId="755D15A7" w14:textId="12942904" w:rsidR="006308DF" w:rsidRPr="00A519D0" w:rsidRDefault="00945D3A" w:rsidP="00712B87">
      <w:pPr>
        <w:spacing w:line="276" w:lineRule="auto"/>
        <w:rPr>
          <w:lang w:val="en-US"/>
        </w:rPr>
      </w:pPr>
      <w:r w:rsidRPr="00A519D0">
        <w:rPr>
          <w:lang w:val="en-US"/>
        </w:rPr>
        <w:lastRenderedPageBreak/>
        <w:t>In 2021</w:t>
      </w:r>
      <w:r w:rsidR="00CD0EC0" w:rsidRPr="00A519D0">
        <w:rPr>
          <w:lang w:val="en-US"/>
        </w:rPr>
        <w:t>,</w:t>
      </w:r>
      <w:r w:rsidRPr="00A519D0">
        <w:rPr>
          <w:lang w:val="en-US"/>
        </w:rPr>
        <w:t xml:space="preserve"> the OMLP changed its organi</w:t>
      </w:r>
      <w:r w:rsidR="00A519D0">
        <w:rPr>
          <w:lang w:val="en-US"/>
        </w:rPr>
        <w:t>z</w:t>
      </w:r>
      <w:r w:rsidRPr="00A519D0">
        <w:rPr>
          <w:lang w:val="en-US"/>
        </w:rPr>
        <w:t xml:space="preserve">ational structure. Instead of </w:t>
      </w:r>
      <w:r w:rsidR="00E84D61">
        <w:rPr>
          <w:lang w:val="en-US"/>
        </w:rPr>
        <w:t xml:space="preserve">the </w:t>
      </w:r>
      <w:r w:rsidRPr="00A519D0">
        <w:rPr>
          <w:lang w:val="en-US"/>
        </w:rPr>
        <w:t xml:space="preserve">previous two </w:t>
      </w:r>
      <w:r w:rsidR="006308DF" w:rsidRPr="00A519D0">
        <w:rPr>
          <w:lang w:val="en-US"/>
        </w:rPr>
        <w:t>Departments</w:t>
      </w:r>
      <w:r w:rsidRPr="00A519D0">
        <w:rPr>
          <w:lang w:val="en-US"/>
        </w:rPr>
        <w:t xml:space="preserve"> (</w:t>
      </w:r>
      <w:r w:rsidR="006308DF" w:rsidRPr="00A519D0">
        <w:rPr>
          <w:lang w:val="en-US"/>
        </w:rPr>
        <w:t>Department</w:t>
      </w:r>
      <w:r w:rsidRPr="00A519D0">
        <w:rPr>
          <w:lang w:val="en-US"/>
        </w:rPr>
        <w:t xml:space="preserve"> for suspicious transactions and </w:t>
      </w:r>
      <w:r w:rsidR="006308DF" w:rsidRPr="00A519D0">
        <w:rPr>
          <w:lang w:val="en-US"/>
        </w:rPr>
        <w:t>Department</w:t>
      </w:r>
      <w:r w:rsidR="002F10E0" w:rsidRPr="00A519D0">
        <w:rPr>
          <w:lang w:val="en-US"/>
        </w:rPr>
        <w:t xml:space="preserve"> for prevention and supervision</w:t>
      </w:r>
      <w:r w:rsidR="006308DF" w:rsidRPr="00A519D0">
        <w:rPr>
          <w:lang w:val="en-US"/>
        </w:rPr>
        <w:t>)</w:t>
      </w:r>
      <w:r w:rsidR="00E33909" w:rsidRPr="00A519D0">
        <w:rPr>
          <w:lang w:val="en-US"/>
        </w:rPr>
        <w:t xml:space="preserve"> </w:t>
      </w:r>
      <w:r w:rsidR="006308DF" w:rsidRPr="00A519D0">
        <w:rPr>
          <w:lang w:val="en-US"/>
        </w:rPr>
        <w:t xml:space="preserve">and </w:t>
      </w:r>
      <w:r w:rsidR="00C24459" w:rsidRPr="00A519D0">
        <w:rPr>
          <w:lang w:val="en-US"/>
        </w:rPr>
        <w:t>two</w:t>
      </w:r>
      <w:r w:rsidR="006308DF" w:rsidRPr="00A519D0">
        <w:rPr>
          <w:lang w:val="en-US"/>
        </w:rPr>
        <w:t xml:space="preserve"> Services (IT Service and International Cooperation Service)</w:t>
      </w:r>
      <w:r w:rsidR="00E84D61">
        <w:rPr>
          <w:lang w:val="en-US"/>
        </w:rPr>
        <w:t>,</w:t>
      </w:r>
      <w:r w:rsidR="006308DF" w:rsidRPr="00A519D0">
        <w:rPr>
          <w:lang w:val="en-US"/>
        </w:rPr>
        <w:t xml:space="preserve"> five new organi</w:t>
      </w:r>
      <w:r w:rsidR="00A519D0">
        <w:rPr>
          <w:lang w:val="en-US"/>
        </w:rPr>
        <w:t>z</w:t>
      </w:r>
      <w:r w:rsidR="006308DF" w:rsidRPr="00A519D0">
        <w:rPr>
          <w:lang w:val="en-US"/>
        </w:rPr>
        <w:t>ational units were created, namely</w:t>
      </w:r>
      <w:r w:rsidR="00080612" w:rsidRPr="00A519D0">
        <w:rPr>
          <w:lang w:val="en-US"/>
        </w:rPr>
        <w:t xml:space="preserve"> </w:t>
      </w:r>
      <w:r w:rsidR="006308DF" w:rsidRPr="00A519D0">
        <w:rPr>
          <w:lang w:val="en-US"/>
        </w:rPr>
        <w:t>Legal Affairs Division, Division for Monitoring, Analysis and Supervision, General Affairs Division and IT Support and Division of international Affairs and Prevention and Inspection. The consequence of this reorgani</w:t>
      </w:r>
      <w:r w:rsidR="00A519D0">
        <w:rPr>
          <w:lang w:val="en-US"/>
        </w:rPr>
        <w:t>z</w:t>
      </w:r>
      <w:r w:rsidR="006308DF" w:rsidRPr="00A519D0">
        <w:rPr>
          <w:lang w:val="en-US"/>
        </w:rPr>
        <w:t xml:space="preserve">ation was the change in </w:t>
      </w:r>
      <w:r w:rsidR="00E33909" w:rsidRPr="00A519D0">
        <w:rPr>
          <w:lang w:val="en-US"/>
        </w:rPr>
        <w:t>Decree on the internal organi</w:t>
      </w:r>
      <w:r w:rsidR="00A519D0">
        <w:rPr>
          <w:lang w:val="en-US"/>
        </w:rPr>
        <w:t>z</w:t>
      </w:r>
      <w:r w:rsidR="00E33909" w:rsidRPr="00A519D0">
        <w:rPr>
          <w:lang w:val="en-US"/>
        </w:rPr>
        <w:t xml:space="preserve">ation, job classification, posts and titles in public administration and </w:t>
      </w:r>
      <w:r w:rsidR="00C24459" w:rsidRPr="00A519D0">
        <w:rPr>
          <w:lang w:val="en-US"/>
        </w:rPr>
        <w:t>judicial</w:t>
      </w:r>
      <w:r w:rsidR="00E33909" w:rsidRPr="00A519D0">
        <w:rPr>
          <w:lang w:val="en-US"/>
        </w:rPr>
        <w:t xml:space="preserve"> bodies. The number of staff will increase after the conclusion of </w:t>
      </w:r>
      <w:r w:rsidR="00C24459" w:rsidRPr="00A519D0">
        <w:rPr>
          <w:lang w:val="en-US"/>
        </w:rPr>
        <w:t>personnel</w:t>
      </w:r>
      <w:r w:rsidR="00E33909" w:rsidRPr="00A519D0">
        <w:rPr>
          <w:lang w:val="en-US"/>
        </w:rPr>
        <w:t xml:space="preserve"> selection processes in 2021</w:t>
      </w:r>
      <w:r w:rsidR="00E84D61">
        <w:rPr>
          <w:lang w:val="en-US"/>
        </w:rPr>
        <w:t>.</w:t>
      </w:r>
    </w:p>
    <w:p w14:paraId="760E8950" w14:textId="24679ACD" w:rsidR="00080612" w:rsidRPr="00A519D0" w:rsidRDefault="00E33909" w:rsidP="00712B87">
      <w:pPr>
        <w:spacing w:line="276" w:lineRule="auto"/>
        <w:rPr>
          <w:lang w:val="en-US"/>
        </w:rPr>
      </w:pPr>
      <w:r w:rsidRPr="00A519D0">
        <w:rPr>
          <w:lang w:val="en-US"/>
        </w:rPr>
        <w:t>On December</w:t>
      </w:r>
      <w:r w:rsidR="00CD0EC0" w:rsidRPr="00A519D0">
        <w:rPr>
          <w:lang w:val="en-US"/>
        </w:rPr>
        <w:t xml:space="preserve"> 31,</w:t>
      </w:r>
      <w:r w:rsidRPr="00A519D0">
        <w:rPr>
          <w:lang w:val="en-US"/>
        </w:rPr>
        <w:t xml:space="preserve"> </w:t>
      </w:r>
      <w:proofErr w:type="gramStart"/>
      <w:r w:rsidRPr="00A519D0">
        <w:rPr>
          <w:lang w:val="en-US"/>
        </w:rPr>
        <w:t>2021</w:t>
      </w:r>
      <w:proofErr w:type="gramEnd"/>
      <w:r w:rsidRPr="00A519D0">
        <w:rPr>
          <w:lang w:val="en-US"/>
        </w:rPr>
        <w:t xml:space="preserve"> the OMLP had (together with the director) altogether 28 </w:t>
      </w:r>
      <w:r w:rsidR="00C24459" w:rsidRPr="00A519D0">
        <w:rPr>
          <w:lang w:val="en-US"/>
        </w:rPr>
        <w:t>employees</w:t>
      </w:r>
      <w:r w:rsidRPr="00A519D0">
        <w:rPr>
          <w:lang w:val="en-US"/>
        </w:rPr>
        <w:t xml:space="preserve">, which </w:t>
      </w:r>
      <w:r w:rsidR="00CD0EC0" w:rsidRPr="00A519D0">
        <w:rPr>
          <w:lang w:val="en-US"/>
        </w:rPr>
        <w:t>wa</w:t>
      </w:r>
      <w:r w:rsidRPr="00A519D0">
        <w:rPr>
          <w:lang w:val="en-US"/>
        </w:rPr>
        <w:t>s the same as on December</w:t>
      </w:r>
      <w:r w:rsidR="00CD0EC0" w:rsidRPr="00A519D0">
        <w:rPr>
          <w:lang w:val="en-US"/>
        </w:rPr>
        <w:t xml:space="preserve"> 31,</w:t>
      </w:r>
      <w:r w:rsidR="00BC157A" w:rsidRPr="00A519D0">
        <w:rPr>
          <w:lang w:val="en-US"/>
        </w:rPr>
        <w:t xml:space="preserve"> 2020</w:t>
      </w:r>
      <w:r w:rsidRPr="00A519D0">
        <w:rPr>
          <w:lang w:val="en-US"/>
        </w:rPr>
        <w:t xml:space="preserve">.  Based on </w:t>
      </w:r>
      <w:r w:rsidR="00E84D61">
        <w:rPr>
          <w:lang w:val="en-US"/>
        </w:rPr>
        <w:t xml:space="preserve">the </w:t>
      </w:r>
      <w:r w:rsidRPr="00A519D0">
        <w:rPr>
          <w:lang w:val="en-US"/>
        </w:rPr>
        <w:t>Decree on the internal organi</w:t>
      </w:r>
      <w:r w:rsidR="00A519D0">
        <w:rPr>
          <w:lang w:val="en-US"/>
        </w:rPr>
        <w:t>z</w:t>
      </w:r>
      <w:r w:rsidRPr="00A519D0">
        <w:rPr>
          <w:lang w:val="en-US"/>
        </w:rPr>
        <w:t xml:space="preserve">ation, job classification, posts and titles in public administration and </w:t>
      </w:r>
      <w:r w:rsidR="00C24459" w:rsidRPr="00A519D0">
        <w:rPr>
          <w:lang w:val="en-US"/>
        </w:rPr>
        <w:t>judicial</w:t>
      </w:r>
      <w:r w:rsidRPr="00A519D0">
        <w:rPr>
          <w:lang w:val="en-US"/>
        </w:rPr>
        <w:t xml:space="preserve"> bodies</w:t>
      </w:r>
      <w:r w:rsidR="00080612" w:rsidRPr="00A519D0">
        <w:rPr>
          <w:lang w:val="en-US"/>
        </w:rPr>
        <w:t xml:space="preserve"> </w:t>
      </w:r>
      <w:r w:rsidRPr="00A519D0">
        <w:rPr>
          <w:lang w:val="en-US"/>
        </w:rPr>
        <w:t xml:space="preserve">there are 31 systematized posts, which means that at the end of </w:t>
      </w:r>
      <w:r w:rsidR="00080612" w:rsidRPr="00A519D0">
        <w:rPr>
          <w:lang w:val="en-US"/>
        </w:rPr>
        <w:t xml:space="preserve">2021 </w:t>
      </w:r>
      <w:r w:rsidRPr="00A519D0">
        <w:rPr>
          <w:lang w:val="en-US"/>
        </w:rPr>
        <w:t>the occupancy was</w:t>
      </w:r>
      <w:r w:rsidR="00080612" w:rsidRPr="00A519D0">
        <w:rPr>
          <w:lang w:val="en-US"/>
        </w:rPr>
        <w:t xml:space="preserve"> 94%.</w:t>
      </w:r>
    </w:p>
    <w:p w14:paraId="7F487D86" w14:textId="0BE566A7" w:rsidR="00443A72" w:rsidRPr="00A519D0" w:rsidRDefault="00E33909" w:rsidP="00712B87">
      <w:pPr>
        <w:spacing w:line="276" w:lineRule="auto"/>
        <w:rPr>
          <w:lang w:val="en-US"/>
        </w:rPr>
      </w:pPr>
      <w:r w:rsidRPr="00A519D0">
        <w:rPr>
          <w:lang w:val="en-US"/>
        </w:rPr>
        <w:t xml:space="preserve"> </w:t>
      </w:r>
    </w:p>
    <w:p w14:paraId="295D54A9" w14:textId="7C071DF5" w:rsidR="00B65A09" w:rsidRPr="00A519D0" w:rsidRDefault="00B65A09" w:rsidP="00712B87">
      <w:pPr>
        <w:pStyle w:val="Naslov2"/>
        <w:spacing w:line="276" w:lineRule="auto"/>
        <w:rPr>
          <w:lang w:val="en-US"/>
        </w:rPr>
      </w:pPr>
      <w:bookmarkStart w:id="42" w:name="_Toc119581752"/>
      <w:r w:rsidRPr="00A519D0">
        <w:rPr>
          <w:lang w:val="en-US"/>
        </w:rPr>
        <w:t>FINAN</w:t>
      </w:r>
      <w:r w:rsidR="00945D3A" w:rsidRPr="00A519D0">
        <w:rPr>
          <w:lang w:val="en-US"/>
        </w:rPr>
        <w:t>CIAL AND MATERIAL OPERATIONS</w:t>
      </w:r>
      <w:bookmarkEnd w:id="42"/>
    </w:p>
    <w:p w14:paraId="4B010AC3" w14:textId="0206BF8C" w:rsidR="0095067E" w:rsidRPr="00A519D0" w:rsidRDefault="0095067E" w:rsidP="00712B87">
      <w:pPr>
        <w:spacing w:line="276" w:lineRule="auto"/>
        <w:rPr>
          <w:lang w:val="en-US"/>
        </w:rPr>
      </w:pPr>
    </w:p>
    <w:p w14:paraId="64B08BF3" w14:textId="65E2BD77" w:rsidR="0095067E" w:rsidRPr="00A519D0" w:rsidRDefault="0095067E" w:rsidP="00712B87">
      <w:pPr>
        <w:spacing w:line="276" w:lineRule="auto"/>
        <w:rPr>
          <w:lang w:val="en-US"/>
        </w:rPr>
      </w:pPr>
      <w:r w:rsidRPr="00A519D0">
        <w:rPr>
          <w:lang w:val="en-US"/>
        </w:rPr>
        <w:t xml:space="preserve">The budget funds intended for the OMLP operations in the year 2021 amounted to </w:t>
      </w:r>
      <w:r w:rsidRPr="00A519D0">
        <w:rPr>
          <w:b/>
          <w:bCs/>
          <w:lang w:val="en-US"/>
        </w:rPr>
        <w:t xml:space="preserve">1.238.930 </w:t>
      </w:r>
      <w:r w:rsidRPr="00A519D0">
        <w:rPr>
          <w:b/>
          <w:lang w:val="en-US"/>
        </w:rPr>
        <w:t>EUR. On the OMLP proposal</w:t>
      </w:r>
      <w:r w:rsidR="00E84D61">
        <w:rPr>
          <w:b/>
          <w:lang w:val="en-US"/>
        </w:rPr>
        <w:t>,</w:t>
      </w:r>
      <w:r w:rsidRPr="00A519D0">
        <w:rPr>
          <w:b/>
          <w:lang w:val="en-US"/>
        </w:rPr>
        <w:t xml:space="preserve"> the structure of planned funds changed slightly as some redistribution of certain budget items was executed during the year. </w:t>
      </w:r>
      <w:r w:rsidR="00BD6548" w:rsidRPr="00A519D0">
        <w:rPr>
          <w:lang w:val="en-US"/>
        </w:rPr>
        <w:t xml:space="preserve">1.290.561 EUR </w:t>
      </w:r>
      <w:r w:rsidR="00BD6548" w:rsidRPr="00A519D0">
        <w:rPr>
          <w:bCs/>
          <w:lang w:val="en-US"/>
        </w:rPr>
        <w:t xml:space="preserve">(4,2% more than </w:t>
      </w:r>
      <w:proofErr w:type="gramStart"/>
      <w:r w:rsidR="00BD6548" w:rsidRPr="00A519D0">
        <w:rPr>
          <w:bCs/>
          <w:lang w:val="en-US"/>
        </w:rPr>
        <w:t>planned)</w:t>
      </w:r>
      <w:r w:rsidR="00BD6548" w:rsidRPr="00A519D0">
        <w:rPr>
          <w:b/>
          <w:lang w:val="en-US"/>
        </w:rPr>
        <w:t xml:space="preserve">  </w:t>
      </w:r>
      <w:r w:rsidR="00BD6548" w:rsidRPr="00A519D0">
        <w:rPr>
          <w:bCs/>
          <w:lang w:val="en-US"/>
        </w:rPr>
        <w:t>were</w:t>
      </w:r>
      <w:proofErr w:type="gramEnd"/>
      <w:r w:rsidR="00BD6548" w:rsidRPr="00A519D0">
        <w:rPr>
          <w:bCs/>
          <w:lang w:val="en-US"/>
        </w:rPr>
        <w:t xml:space="preserve"> used</w:t>
      </w:r>
      <w:r w:rsidRPr="00A519D0">
        <w:rPr>
          <w:b/>
          <w:lang w:val="en-US"/>
        </w:rPr>
        <w:t xml:space="preserve"> </w:t>
      </w:r>
      <w:r w:rsidRPr="00A519D0">
        <w:rPr>
          <w:lang w:val="en-US"/>
        </w:rPr>
        <w:t>for salaries, other personal incomes</w:t>
      </w:r>
      <w:r w:rsidR="0098611F" w:rsidRPr="00A519D0">
        <w:rPr>
          <w:lang w:val="en-US"/>
        </w:rPr>
        <w:t>,</w:t>
      </w:r>
      <w:r w:rsidRPr="00A519D0">
        <w:rPr>
          <w:lang w:val="en-US"/>
        </w:rPr>
        <w:t xml:space="preserve"> contributions for the social security</w:t>
      </w:r>
      <w:r w:rsidR="00E84D61">
        <w:rPr>
          <w:lang w:val="en-US"/>
        </w:rPr>
        <w:t>,</w:t>
      </w:r>
      <w:r w:rsidR="00E84D61" w:rsidRPr="00A519D0">
        <w:rPr>
          <w:lang w:val="en-US"/>
        </w:rPr>
        <w:t xml:space="preserve"> </w:t>
      </w:r>
      <w:r w:rsidRPr="00A519D0">
        <w:rPr>
          <w:lang w:val="en-US"/>
        </w:rPr>
        <w:t>costs of goods and services, membership fee of the EGMONT group, and for smaller investments</w:t>
      </w:r>
      <w:r w:rsidR="0098611F" w:rsidRPr="00A519D0">
        <w:rPr>
          <w:lang w:val="en-US"/>
        </w:rPr>
        <w:t>.</w:t>
      </w:r>
    </w:p>
    <w:p w14:paraId="1ED3CE7E" w14:textId="77777777" w:rsidR="005457CC" w:rsidRPr="00A519D0" w:rsidRDefault="005457CC" w:rsidP="00712B87">
      <w:pPr>
        <w:spacing w:line="276" w:lineRule="auto"/>
        <w:rPr>
          <w:lang w:val="en-US"/>
        </w:rPr>
      </w:pPr>
    </w:p>
    <w:p w14:paraId="31B86BE9" w14:textId="3220CCD5" w:rsidR="00B65A09" w:rsidRPr="00A519D0" w:rsidRDefault="00B65A09" w:rsidP="00712B87">
      <w:pPr>
        <w:pStyle w:val="Naslov2"/>
        <w:spacing w:line="276" w:lineRule="auto"/>
        <w:rPr>
          <w:lang w:val="en-US"/>
        </w:rPr>
      </w:pPr>
      <w:bookmarkStart w:id="43" w:name="_Toc119581753"/>
      <w:r w:rsidRPr="00A519D0">
        <w:rPr>
          <w:lang w:val="en-US"/>
        </w:rPr>
        <w:t>INFORMATI</w:t>
      </w:r>
      <w:r w:rsidR="00945D3A" w:rsidRPr="00A519D0">
        <w:rPr>
          <w:lang w:val="en-US"/>
        </w:rPr>
        <w:t>CS</w:t>
      </w:r>
      <w:bookmarkEnd w:id="43"/>
    </w:p>
    <w:p w14:paraId="227CDD44" w14:textId="77777777" w:rsidR="00D24AB6" w:rsidRPr="00A519D0" w:rsidRDefault="00D24AB6" w:rsidP="00712B87">
      <w:pPr>
        <w:spacing w:line="276" w:lineRule="auto"/>
        <w:rPr>
          <w:lang w:val="en-US"/>
        </w:rPr>
      </w:pPr>
    </w:p>
    <w:p w14:paraId="6EA7AE88" w14:textId="2E4AEDD1" w:rsidR="00D24AB6" w:rsidRPr="00A519D0" w:rsidRDefault="00E84D61" w:rsidP="00712B87">
      <w:pPr>
        <w:spacing w:line="276" w:lineRule="auto"/>
        <w:rPr>
          <w:lang w:val="en-US"/>
        </w:rPr>
      </w:pPr>
      <w:r>
        <w:rPr>
          <w:lang w:val="en-US"/>
        </w:rPr>
        <w:t xml:space="preserve">The </w:t>
      </w:r>
      <w:r w:rsidR="0095067E" w:rsidRPr="00A519D0">
        <w:rPr>
          <w:lang w:val="en-US"/>
        </w:rPr>
        <w:t>IT Service of the OMLP was reorgani</w:t>
      </w:r>
      <w:r w:rsidR="00A519D0">
        <w:rPr>
          <w:lang w:val="en-US"/>
        </w:rPr>
        <w:t>z</w:t>
      </w:r>
      <w:r w:rsidR="0095067E" w:rsidRPr="00A519D0">
        <w:rPr>
          <w:lang w:val="en-US"/>
        </w:rPr>
        <w:t>ed in 2021 and started its work in 2021 as General Affairs Division and IT Support</w:t>
      </w:r>
      <w:r w:rsidR="00D24AB6" w:rsidRPr="00A519D0">
        <w:rPr>
          <w:lang w:val="en-US"/>
        </w:rPr>
        <w:t xml:space="preserve">. </w:t>
      </w:r>
      <w:bookmarkStart w:id="44" w:name="_Toc45272765"/>
      <w:bookmarkStart w:id="45" w:name="_Toc77082181"/>
      <w:bookmarkStart w:id="46" w:name="_Toc83192724"/>
    </w:p>
    <w:p w14:paraId="31DF78D0" w14:textId="41536A84" w:rsidR="00D24AB6" w:rsidRPr="00A519D0" w:rsidRDefault="00AF1E3B" w:rsidP="00712B87">
      <w:pPr>
        <w:spacing w:line="276" w:lineRule="auto"/>
        <w:rPr>
          <w:lang w:val="en-US"/>
        </w:rPr>
      </w:pPr>
      <w:r w:rsidRPr="00A519D0">
        <w:rPr>
          <w:lang w:val="en-US"/>
        </w:rPr>
        <w:t xml:space="preserve">The </w:t>
      </w:r>
      <w:r w:rsidR="00C24459" w:rsidRPr="00A519D0">
        <w:rPr>
          <w:lang w:val="en-US"/>
        </w:rPr>
        <w:t>operational</w:t>
      </w:r>
      <w:r w:rsidRPr="00A519D0">
        <w:rPr>
          <w:lang w:val="en-US"/>
        </w:rPr>
        <w:t xml:space="preserve"> activities we</w:t>
      </w:r>
      <w:r w:rsidR="00C24459" w:rsidRPr="00A519D0">
        <w:rPr>
          <w:lang w:val="en-US"/>
        </w:rPr>
        <w:t>re</w:t>
      </w:r>
      <w:r w:rsidRPr="00A519D0">
        <w:rPr>
          <w:lang w:val="en-US"/>
        </w:rPr>
        <w:t xml:space="preserve"> as follows</w:t>
      </w:r>
      <w:r w:rsidR="007A369F" w:rsidRPr="00A519D0">
        <w:rPr>
          <w:lang w:val="en-US"/>
        </w:rPr>
        <w:t>:</w:t>
      </w:r>
    </w:p>
    <w:p w14:paraId="652AA27F" w14:textId="255A6AB5" w:rsidR="00D24AB6" w:rsidRPr="00A519D0" w:rsidRDefault="00AF1E3B" w:rsidP="00712B87">
      <w:pPr>
        <w:pStyle w:val="Naslov3"/>
        <w:numPr>
          <w:ilvl w:val="0"/>
          <w:numId w:val="0"/>
        </w:numPr>
        <w:spacing w:line="276" w:lineRule="auto"/>
        <w:ind w:left="720" w:hanging="720"/>
        <w:rPr>
          <w:color w:val="auto"/>
          <w:sz w:val="20"/>
          <w:szCs w:val="20"/>
          <w:lang w:val="en-US"/>
        </w:rPr>
      </w:pPr>
      <w:bookmarkStart w:id="47" w:name="_Toc119581754"/>
      <w:r w:rsidRPr="00A519D0">
        <w:rPr>
          <w:color w:val="auto"/>
          <w:sz w:val="20"/>
          <w:szCs w:val="20"/>
          <w:lang w:val="en-US"/>
        </w:rPr>
        <w:t>Maintenance of internal IT systems</w:t>
      </w:r>
      <w:bookmarkEnd w:id="44"/>
      <w:bookmarkEnd w:id="45"/>
      <w:bookmarkEnd w:id="46"/>
      <w:bookmarkEnd w:id="47"/>
    </w:p>
    <w:p w14:paraId="71A58A36" w14:textId="5C4220E4" w:rsidR="00D24AB6" w:rsidRPr="00A519D0" w:rsidRDefault="007A369F" w:rsidP="00712B87">
      <w:pPr>
        <w:pStyle w:val="Naslov3"/>
        <w:numPr>
          <w:ilvl w:val="0"/>
          <w:numId w:val="0"/>
        </w:numPr>
        <w:spacing w:line="276" w:lineRule="auto"/>
        <w:ind w:left="720" w:hanging="720"/>
        <w:rPr>
          <w:color w:val="auto"/>
          <w:sz w:val="20"/>
          <w:szCs w:val="20"/>
          <w:lang w:val="en-US"/>
        </w:rPr>
      </w:pPr>
      <w:bookmarkStart w:id="48" w:name="_Toc45272767"/>
      <w:bookmarkStart w:id="49" w:name="_Toc77082183"/>
      <w:bookmarkStart w:id="50" w:name="_Toc83192726"/>
      <w:bookmarkStart w:id="51" w:name="_Toc119581755"/>
      <w:r w:rsidRPr="00A519D0">
        <w:rPr>
          <w:color w:val="auto"/>
          <w:sz w:val="20"/>
          <w:szCs w:val="20"/>
          <w:lang w:val="en-US"/>
        </w:rPr>
        <w:t>-</w:t>
      </w:r>
      <w:r w:rsidR="00AF1E3B" w:rsidRPr="00A519D0">
        <w:rPr>
          <w:color w:val="auto"/>
          <w:sz w:val="20"/>
          <w:szCs w:val="20"/>
          <w:lang w:val="en-US"/>
        </w:rPr>
        <w:t xml:space="preserve">maintenance of databases and </w:t>
      </w:r>
      <w:r w:rsidR="00E84D61">
        <w:rPr>
          <w:color w:val="auto"/>
          <w:sz w:val="20"/>
          <w:szCs w:val="20"/>
          <w:lang w:val="en-US"/>
        </w:rPr>
        <w:t xml:space="preserve">the </w:t>
      </w:r>
      <w:r w:rsidR="00AF1E3B" w:rsidRPr="00A519D0">
        <w:rPr>
          <w:color w:val="auto"/>
          <w:sz w:val="20"/>
          <w:szCs w:val="20"/>
          <w:lang w:val="en-US"/>
        </w:rPr>
        <w:t xml:space="preserve">records system of </w:t>
      </w:r>
      <w:r w:rsidR="00E84D61">
        <w:rPr>
          <w:color w:val="auto"/>
          <w:sz w:val="20"/>
          <w:szCs w:val="20"/>
          <w:lang w:val="en-US"/>
        </w:rPr>
        <w:t xml:space="preserve">the </w:t>
      </w:r>
      <w:r w:rsidR="00AF1E3B" w:rsidRPr="00A519D0">
        <w:rPr>
          <w:color w:val="auto"/>
          <w:sz w:val="20"/>
          <w:szCs w:val="20"/>
          <w:lang w:val="en-US"/>
        </w:rPr>
        <w:t>OMLP</w:t>
      </w:r>
      <w:bookmarkEnd w:id="48"/>
      <w:bookmarkEnd w:id="49"/>
      <w:bookmarkEnd w:id="50"/>
      <w:bookmarkEnd w:id="51"/>
      <w:r w:rsidR="00AF1E3B" w:rsidRPr="00A519D0">
        <w:rPr>
          <w:color w:val="auto"/>
          <w:sz w:val="20"/>
          <w:szCs w:val="20"/>
          <w:lang w:val="en-US"/>
        </w:rPr>
        <w:t>,</w:t>
      </w:r>
    </w:p>
    <w:p w14:paraId="52658900" w14:textId="7AC3E895" w:rsidR="00D24AB6" w:rsidRPr="00A519D0" w:rsidRDefault="007A369F" w:rsidP="00712B87">
      <w:pPr>
        <w:pStyle w:val="Naslov3"/>
        <w:numPr>
          <w:ilvl w:val="0"/>
          <w:numId w:val="0"/>
        </w:numPr>
        <w:spacing w:line="276" w:lineRule="auto"/>
        <w:ind w:left="720" w:hanging="720"/>
        <w:rPr>
          <w:color w:val="auto"/>
          <w:sz w:val="20"/>
          <w:szCs w:val="20"/>
          <w:lang w:val="en-US"/>
        </w:rPr>
      </w:pPr>
      <w:bookmarkStart w:id="52" w:name="_Toc45272768"/>
      <w:bookmarkStart w:id="53" w:name="_Toc77082184"/>
      <w:bookmarkStart w:id="54" w:name="_Toc83192727"/>
      <w:bookmarkStart w:id="55" w:name="_Toc119581756"/>
      <w:r w:rsidRPr="00A519D0">
        <w:rPr>
          <w:color w:val="auto"/>
          <w:sz w:val="20"/>
          <w:szCs w:val="20"/>
          <w:lang w:val="en-US"/>
        </w:rPr>
        <w:t>-</w:t>
      </w:r>
      <w:r w:rsidR="00AF1E3B" w:rsidRPr="00A519D0">
        <w:rPr>
          <w:color w:val="auto"/>
          <w:sz w:val="20"/>
          <w:szCs w:val="20"/>
          <w:lang w:val="en-US"/>
        </w:rPr>
        <w:t xml:space="preserve">collecting, </w:t>
      </w:r>
      <w:proofErr w:type="gramStart"/>
      <w:r w:rsidR="00AF1E3B" w:rsidRPr="00A519D0">
        <w:rPr>
          <w:color w:val="auto"/>
          <w:sz w:val="20"/>
          <w:szCs w:val="20"/>
          <w:lang w:val="en-US"/>
        </w:rPr>
        <w:t>keeping</w:t>
      </w:r>
      <w:proofErr w:type="gramEnd"/>
      <w:r w:rsidR="00AF1E3B" w:rsidRPr="00A519D0">
        <w:rPr>
          <w:color w:val="auto"/>
          <w:sz w:val="20"/>
          <w:szCs w:val="20"/>
          <w:lang w:val="en-US"/>
        </w:rPr>
        <w:t xml:space="preserve"> and publishing data on cash transactions and transfers to </w:t>
      </w:r>
      <w:r w:rsidR="00E84D61">
        <w:rPr>
          <w:color w:val="auto"/>
          <w:sz w:val="20"/>
          <w:szCs w:val="20"/>
          <w:lang w:val="en-US"/>
        </w:rPr>
        <w:t xml:space="preserve">high </w:t>
      </w:r>
      <w:r w:rsidR="00AF1E3B" w:rsidRPr="00A519D0">
        <w:rPr>
          <w:color w:val="auto"/>
          <w:sz w:val="20"/>
          <w:szCs w:val="20"/>
          <w:lang w:val="en-US"/>
        </w:rPr>
        <w:t xml:space="preserve">risk </w:t>
      </w:r>
      <w:r w:rsidR="00E84D61">
        <w:rPr>
          <w:color w:val="auto"/>
          <w:sz w:val="20"/>
          <w:szCs w:val="20"/>
          <w:lang w:val="en-US"/>
        </w:rPr>
        <w:t xml:space="preserve">third </w:t>
      </w:r>
      <w:r w:rsidR="00C24459" w:rsidRPr="00A519D0">
        <w:rPr>
          <w:color w:val="auto"/>
          <w:sz w:val="20"/>
          <w:szCs w:val="20"/>
          <w:lang w:val="en-US"/>
        </w:rPr>
        <w:t>countries</w:t>
      </w:r>
      <w:r w:rsidR="00AF1E3B" w:rsidRPr="00A519D0">
        <w:rPr>
          <w:color w:val="auto"/>
          <w:sz w:val="20"/>
          <w:szCs w:val="20"/>
          <w:lang w:val="en-US"/>
        </w:rPr>
        <w:t xml:space="preserve">, </w:t>
      </w:r>
      <w:bookmarkEnd w:id="52"/>
      <w:bookmarkEnd w:id="53"/>
      <w:bookmarkEnd w:id="54"/>
      <w:bookmarkEnd w:id="55"/>
    </w:p>
    <w:p w14:paraId="42D24920" w14:textId="61FA5FD7" w:rsidR="00D24AB6" w:rsidRPr="00A519D0" w:rsidRDefault="007A369F" w:rsidP="00712B87">
      <w:pPr>
        <w:pStyle w:val="Naslov3"/>
        <w:numPr>
          <w:ilvl w:val="0"/>
          <w:numId w:val="0"/>
        </w:numPr>
        <w:spacing w:line="276" w:lineRule="auto"/>
        <w:ind w:left="720" w:hanging="720"/>
        <w:rPr>
          <w:color w:val="auto"/>
          <w:sz w:val="20"/>
          <w:szCs w:val="20"/>
          <w:lang w:val="en-US"/>
        </w:rPr>
      </w:pPr>
      <w:bookmarkStart w:id="56" w:name="_Toc45272770"/>
      <w:bookmarkStart w:id="57" w:name="_Toc77082186"/>
      <w:bookmarkStart w:id="58" w:name="_Toc83192729"/>
      <w:bookmarkStart w:id="59" w:name="_Toc119581757"/>
      <w:r w:rsidRPr="00A519D0">
        <w:rPr>
          <w:color w:val="auto"/>
          <w:sz w:val="20"/>
          <w:szCs w:val="20"/>
          <w:lang w:val="en-US"/>
        </w:rPr>
        <w:t>-</w:t>
      </w:r>
      <w:r w:rsidR="00AF1E3B" w:rsidRPr="00A519D0">
        <w:rPr>
          <w:color w:val="auto"/>
          <w:sz w:val="20"/>
          <w:szCs w:val="20"/>
          <w:lang w:val="en-US"/>
        </w:rPr>
        <w:t xml:space="preserve">administration and </w:t>
      </w:r>
      <w:r w:rsidR="00C24459" w:rsidRPr="00A519D0">
        <w:rPr>
          <w:color w:val="auto"/>
          <w:sz w:val="20"/>
          <w:szCs w:val="20"/>
          <w:lang w:val="en-US"/>
        </w:rPr>
        <w:t>maintenance</w:t>
      </w:r>
      <w:r w:rsidR="00AF1E3B" w:rsidRPr="00A519D0">
        <w:rPr>
          <w:color w:val="auto"/>
          <w:sz w:val="20"/>
          <w:szCs w:val="20"/>
          <w:lang w:val="en-US"/>
        </w:rPr>
        <w:t xml:space="preserve"> of internal servers of the OMLP,</w:t>
      </w:r>
      <w:bookmarkEnd w:id="56"/>
      <w:bookmarkEnd w:id="57"/>
      <w:bookmarkEnd w:id="58"/>
      <w:bookmarkEnd w:id="59"/>
    </w:p>
    <w:p w14:paraId="65AE928D" w14:textId="51961B75" w:rsidR="00D24AB6" w:rsidRPr="00A519D0" w:rsidRDefault="007A369F" w:rsidP="00712B87">
      <w:pPr>
        <w:pStyle w:val="Naslov3"/>
        <w:numPr>
          <w:ilvl w:val="0"/>
          <w:numId w:val="0"/>
        </w:numPr>
        <w:spacing w:line="276" w:lineRule="auto"/>
        <w:ind w:left="720" w:hanging="720"/>
        <w:rPr>
          <w:color w:val="auto"/>
          <w:sz w:val="20"/>
          <w:szCs w:val="20"/>
          <w:lang w:val="en-US"/>
        </w:rPr>
      </w:pPr>
      <w:bookmarkStart w:id="60" w:name="_Toc45272772"/>
      <w:bookmarkStart w:id="61" w:name="_Toc77082187"/>
      <w:bookmarkStart w:id="62" w:name="_Toc83192730"/>
      <w:bookmarkStart w:id="63" w:name="_Toc119581758"/>
      <w:r w:rsidRPr="00A519D0">
        <w:rPr>
          <w:color w:val="auto"/>
          <w:sz w:val="20"/>
          <w:szCs w:val="20"/>
          <w:lang w:val="en-US"/>
        </w:rPr>
        <w:t>-</w:t>
      </w:r>
      <w:r w:rsidR="00AF1E3B" w:rsidRPr="00A519D0">
        <w:rPr>
          <w:color w:val="auto"/>
          <w:sz w:val="20"/>
          <w:szCs w:val="20"/>
          <w:lang w:val="en-US"/>
        </w:rPr>
        <w:t>archiving the received data</w:t>
      </w:r>
      <w:bookmarkEnd w:id="60"/>
      <w:bookmarkEnd w:id="61"/>
      <w:bookmarkEnd w:id="62"/>
      <w:bookmarkEnd w:id="63"/>
      <w:r w:rsidR="00AF1E3B" w:rsidRPr="00A519D0">
        <w:rPr>
          <w:color w:val="auto"/>
          <w:sz w:val="20"/>
          <w:szCs w:val="20"/>
          <w:lang w:val="en-US"/>
        </w:rPr>
        <w:t>,</w:t>
      </w:r>
    </w:p>
    <w:p w14:paraId="79A2C55E" w14:textId="4B0C8A37" w:rsidR="00D24AB6" w:rsidRPr="00A519D0" w:rsidRDefault="007A369F" w:rsidP="00712B87">
      <w:pPr>
        <w:pStyle w:val="Naslov3"/>
        <w:numPr>
          <w:ilvl w:val="0"/>
          <w:numId w:val="0"/>
        </w:numPr>
        <w:spacing w:line="276" w:lineRule="auto"/>
        <w:ind w:left="720" w:hanging="720"/>
        <w:rPr>
          <w:color w:val="auto"/>
          <w:sz w:val="20"/>
          <w:szCs w:val="20"/>
          <w:lang w:val="en-US"/>
        </w:rPr>
      </w:pPr>
      <w:bookmarkStart w:id="64" w:name="_Toc45272777"/>
      <w:bookmarkStart w:id="65" w:name="_Toc77082190"/>
      <w:bookmarkStart w:id="66" w:name="_Toc83192733"/>
      <w:bookmarkStart w:id="67" w:name="_Toc119581759"/>
      <w:r w:rsidRPr="00A519D0">
        <w:rPr>
          <w:color w:val="auto"/>
          <w:sz w:val="20"/>
          <w:szCs w:val="20"/>
          <w:lang w:val="en-US"/>
        </w:rPr>
        <w:t>-</w:t>
      </w:r>
      <w:r w:rsidR="00AF1E3B" w:rsidRPr="00A519D0">
        <w:rPr>
          <w:color w:val="auto"/>
          <w:sz w:val="20"/>
          <w:szCs w:val="20"/>
          <w:lang w:val="en-US"/>
        </w:rPr>
        <w:t xml:space="preserve">activities of </w:t>
      </w:r>
      <w:r w:rsidR="00C24459" w:rsidRPr="00A519D0">
        <w:rPr>
          <w:color w:val="auto"/>
          <w:sz w:val="20"/>
          <w:szCs w:val="20"/>
          <w:lang w:val="en-US"/>
        </w:rPr>
        <w:t>trainings</w:t>
      </w:r>
      <w:r w:rsidR="00AF1E3B" w:rsidRPr="00A519D0">
        <w:rPr>
          <w:color w:val="auto"/>
          <w:sz w:val="20"/>
          <w:szCs w:val="20"/>
          <w:lang w:val="en-US"/>
        </w:rPr>
        <w:t xml:space="preserve"> for users and equipment </w:t>
      </w:r>
      <w:bookmarkEnd w:id="64"/>
      <w:bookmarkEnd w:id="65"/>
      <w:bookmarkEnd w:id="66"/>
      <w:bookmarkEnd w:id="67"/>
      <w:r w:rsidR="00C24459" w:rsidRPr="00A519D0">
        <w:rPr>
          <w:color w:val="auto"/>
          <w:sz w:val="20"/>
          <w:szCs w:val="20"/>
          <w:lang w:val="en-US"/>
        </w:rPr>
        <w:t>installation</w:t>
      </w:r>
      <w:r w:rsidR="00E84D61">
        <w:rPr>
          <w:color w:val="auto"/>
          <w:sz w:val="20"/>
          <w:szCs w:val="20"/>
          <w:lang w:val="en-US"/>
        </w:rPr>
        <w:t>,</w:t>
      </w:r>
    </w:p>
    <w:p w14:paraId="7BDE3D76" w14:textId="6D8B7748" w:rsidR="00D24AB6" w:rsidRPr="00A519D0" w:rsidRDefault="007A369F" w:rsidP="00712B87">
      <w:pPr>
        <w:pStyle w:val="Naslov3"/>
        <w:numPr>
          <w:ilvl w:val="0"/>
          <w:numId w:val="0"/>
        </w:numPr>
        <w:spacing w:line="276" w:lineRule="auto"/>
        <w:ind w:left="720" w:hanging="720"/>
        <w:rPr>
          <w:color w:val="auto"/>
          <w:sz w:val="20"/>
          <w:szCs w:val="20"/>
          <w:lang w:val="en-US"/>
        </w:rPr>
      </w:pPr>
      <w:bookmarkStart w:id="68" w:name="_Toc77082191"/>
      <w:bookmarkStart w:id="69" w:name="_Toc83192734"/>
      <w:bookmarkStart w:id="70" w:name="_Toc119581760"/>
      <w:r w:rsidRPr="00A519D0">
        <w:rPr>
          <w:color w:val="auto"/>
          <w:sz w:val="20"/>
          <w:szCs w:val="20"/>
          <w:lang w:val="en-US"/>
        </w:rPr>
        <w:t>-</w:t>
      </w:r>
      <w:r w:rsidR="00AF1E3B" w:rsidRPr="00A519D0">
        <w:rPr>
          <w:color w:val="auto"/>
          <w:sz w:val="20"/>
          <w:szCs w:val="20"/>
          <w:lang w:val="en-US"/>
        </w:rPr>
        <w:t>activities related to smooth operation of IT technology during COVID-19 pandemic</w:t>
      </w:r>
      <w:r w:rsidR="0095067E" w:rsidRPr="00A519D0">
        <w:rPr>
          <w:color w:val="auto"/>
          <w:sz w:val="20"/>
          <w:szCs w:val="20"/>
          <w:lang w:val="en-US"/>
        </w:rPr>
        <w:t>.</w:t>
      </w:r>
      <w:bookmarkEnd w:id="68"/>
      <w:bookmarkEnd w:id="69"/>
      <w:bookmarkEnd w:id="70"/>
    </w:p>
    <w:p w14:paraId="17E8E137" w14:textId="77777777" w:rsidR="00D24AB6" w:rsidRPr="00A519D0" w:rsidRDefault="00D24AB6" w:rsidP="00712B87">
      <w:pPr>
        <w:spacing w:line="276" w:lineRule="auto"/>
        <w:rPr>
          <w:szCs w:val="20"/>
          <w:highlight w:val="yellow"/>
          <w:u w:val="single"/>
          <w:lang w:val="en-US"/>
        </w:rPr>
      </w:pPr>
    </w:p>
    <w:p w14:paraId="5E922FD8" w14:textId="56B22E08" w:rsidR="005A0CAB" w:rsidRPr="00A519D0" w:rsidRDefault="005A0CAB" w:rsidP="00712B87">
      <w:pPr>
        <w:tabs>
          <w:tab w:val="center" w:pos="7088"/>
          <w:tab w:val="right" w:pos="7655"/>
        </w:tabs>
        <w:spacing w:line="276" w:lineRule="auto"/>
        <w:rPr>
          <w:lang w:val="en-US"/>
        </w:rPr>
      </w:pPr>
    </w:p>
    <w:sectPr w:rsidR="005A0CAB" w:rsidRPr="00A519D0" w:rsidSect="004D63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E1BD" w14:textId="77777777" w:rsidR="00744498" w:rsidRDefault="00744498" w:rsidP="00FA1893">
      <w:pPr>
        <w:spacing w:after="0" w:line="240" w:lineRule="auto"/>
      </w:pPr>
      <w:r>
        <w:separator/>
      </w:r>
    </w:p>
  </w:endnote>
  <w:endnote w:type="continuationSeparator" w:id="0">
    <w:p w14:paraId="554DBAD7" w14:textId="77777777" w:rsidR="00744498" w:rsidRDefault="00744498" w:rsidP="00FA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1814"/>
      <w:docPartObj>
        <w:docPartGallery w:val="Page Numbers (Bottom of Page)"/>
        <w:docPartUnique/>
      </w:docPartObj>
    </w:sdtPr>
    <w:sdtContent>
      <w:p w14:paraId="7642FF08" w14:textId="1C4CC60F" w:rsidR="004D6314" w:rsidRDefault="004D6314">
        <w:pPr>
          <w:pStyle w:val="Noga"/>
          <w:jc w:val="right"/>
        </w:pPr>
        <w:r>
          <w:fldChar w:fldCharType="begin"/>
        </w:r>
        <w:r>
          <w:instrText>PAGE   \* MERGEFORMAT</w:instrText>
        </w:r>
        <w:r>
          <w:fldChar w:fldCharType="separate"/>
        </w:r>
        <w:r>
          <w:t>2</w:t>
        </w:r>
        <w:r>
          <w:fldChar w:fldCharType="end"/>
        </w:r>
      </w:p>
    </w:sdtContent>
  </w:sdt>
  <w:p w14:paraId="066986D2" w14:textId="037D3ABC" w:rsidR="006A23F1" w:rsidRDefault="006A23F1" w:rsidP="00F73FE9">
    <w:pPr>
      <w:pStyle w:val="Noga"/>
      <w:tabs>
        <w:tab w:val="clear" w:pos="4536"/>
        <w:tab w:val="clear" w:pos="9072"/>
        <w:tab w:val="left" w:pos="79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D171" w14:textId="77777777" w:rsidR="00744498" w:rsidRDefault="00744498" w:rsidP="00FA1893">
      <w:pPr>
        <w:spacing w:after="0" w:line="240" w:lineRule="auto"/>
      </w:pPr>
      <w:r>
        <w:separator/>
      </w:r>
    </w:p>
  </w:footnote>
  <w:footnote w:type="continuationSeparator" w:id="0">
    <w:p w14:paraId="36522C60" w14:textId="77777777" w:rsidR="00744498" w:rsidRDefault="00744498" w:rsidP="00FA1893">
      <w:pPr>
        <w:spacing w:after="0" w:line="240" w:lineRule="auto"/>
      </w:pPr>
      <w:r>
        <w:continuationSeparator/>
      </w:r>
    </w:p>
  </w:footnote>
  <w:footnote w:id="1">
    <w:p w14:paraId="4905C385" w14:textId="52F5BBFB" w:rsidR="00322214" w:rsidRPr="00C24459" w:rsidRDefault="00322214" w:rsidP="00697263">
      <w:pPr>
        <w:rPr>
          <w:lang w:val="en-GB"/>
        </w:rPr>
      </w:pPr>
      <w:r>
        <w:rPr>
          <w:rStyle w:val="Sprotnaopomba-sklic"/>
        </w:rPr>
        <w:footnoteRef/>
      </w:r>
      <w:r>
        <w:t xml:space="preserve"> </w:t>
      </w:r>
      <w:r w:rsidR="00F6274A" w:rsidRPr="00C24459">
        <w:rPr>
          <w:rFonts w:cs="Arial"/>
          <w:sz w:val="18"/>
          <w:szCs w:val="18"/>
          <w:lang w:val="en-GB"/>
        </w:rPr>
        <w:t xml:space="preserve">In 2021 the Act on Prevention of Money Laundering and Terrorist Financing </w:t>
      </w:r>
      <w:r w:rsidRPr="00C24459">
        <w:rPr>
          <w:rFonts w:cs="Arial"/>
          <w:sz w:val="18"/>
          <w:szCs w:val="18"/>
          <w:lang w:val="en-GB"/>
        </w:rPr>
        <w:t>(</w:t>
      </w:r>
      <w:r w:rsidR="00F6274A" w:rsidRPr="00C24459">
        <w:rPr>
          <w:rFonts w:cs="Arial"/>
          <w:sz w:val="18"/>
          <w:szCs w:val="18"/>
          <w:lang w:val="en-GB"/>
        </w:rPr>
        <w:t>Official Gazette of the Republic of Slovenia No.:</w:t>
      </w:r>
      <w:r w:rsidRPr="00C24459">
        <w:rPr>
          <w:rFonts w:cs="Arial"/>
          <w:sz w:val="18"/>
          <w:szCs w:val="18"/>
          <w:lang w:val="en-GB"/>
        </w:rPr>
        <w:t xml:space="preserve"> 68/16, 81/19, 91/20 in 2/21-popr. – </w:t>
      </w:r>
      <w:r w:rsidR="00F6274A" w:rsidRPr="00C24459">
        <w:rPr>
          <w:rFonts w:cs="Arial"/>
          <w:sz w:val="18"/>
          <w:szCs w:val="18"/>
          <w:lang w:val="en-GB"/>
        </w:rPr>
        <w:t>APML</w:t>
      </w:r>
      <w:r w:rsidR="006104FB">
        <w:rPr>
          <w:rFonts w:cs="Arial"/>
          <w:sz w:val="18"/>
          <w:szCs w:val="18"/>
          <w:lang w:val="en-GB"/>
        </w:rPr>
        <w:t>FT</w:t>
      </w:r>
      <w:r w:rsidR="00F6274A" w:rsidRPr="00C24459">
        <w:rPr>
          <w:rFonts w:cs="Arial"/>
          <w:sz w:val="18"/>
          <w:szCs w:val="18"/>
          <w:lang w:val="en-GB"/>
        </w:rPr>
        <w:t>-1</w:t>
      </w:r>
      <w:r w:rsidRPr="00C24459">
        <w:rPr>
          <w:rFonts w:cs="Arial"/>
          <w:sz w:val="18"/>
          <w:szCs w:val="18"/>
          <w:lang w:val="en-GB"/>
        </w:rPr>
        <w:t>)</w:t>
      </w:r>
      <w:r w:rsidR="00F6274A" w:rsidRPr="00C24459">
        <w:rPr>
          <w:rFonts w:cs="Arial"/>
          <w:sz w:val="18"/>
          <w:szCs w:val="18"/>
          <w:lang w:val="en-GB"/>
        </w:rPr>
        <w:t xml:space="preserve"> was still valid therefore in the report the articles of APML</w:t>
      </w:r>
      <w:r w:rsidR="006104FB">
        <w:rPr>
          <w:rFonts w:cs="Arial"/>
          <w:sz w:val="18"/>
          <w:szCs w:val="18"/>
          <w:lang w:val="en-GB"/>
        </w:rPr>
        <w:t>FT</w:t>
      </w:r>
      <w:r w:rsidR="00F6274A" w:rsidRPr="00C24459">
        <w:rPr>
          <w:rFonts w:cs="Arial"/>
          <w:sz w:val="18"/>
          <w:szCs w:val="18"/>
          <w:lang w:val="en-GB"/>
        </w:rPr>
        <w:t>-1 and not APML</w:t>
      </w:r>
      <w:r w:rsidR="006104FB">
        <w:rPr>
          <w:rFonts w:cs="Arial"/>
          <w:sz w:val="18"/>
          <w:szCs w:val="18"/>
          <w:lang w:val="en-GB"/>
        </w:rPr>
        <w:t>FT</w:t>
      </w:r>
      <w:r w:rsidR="00F6274A" w:rsidRPr="00C24459">
        <w:rPr>
          <w:rFonts w:cs="Arial"/>
          <w:sz w:val="18"/>
          <w:szCs w:val="18"/>
          <w:lang w:val="en-GB"/>
        </w:rPr>
        <w:t>-</w:t>
      </w:r>
      <w:r w:rsidR="006104FB">
        <w:rPr>
          <w:rFonts w:cs="Arial"/>
          <w:sz w:val="18"/>
          <w:szCs w:val="18"/>
          <w:lang w:val="en-GB"/>
        </w:rPr>
        <w:t>2</w:t>
      </w:r>
      <w:r w:rsidR="00F6274A" w:rsidRPr="00C24459">
        <w:rPr>
          <w:rFonts w:cs="Arial"/>
          <w:sz w:val="18"/>
          <w:szCs w:val="18"/>
          <w:lang w:val="en-GB"/>
        </w:rPr>
        <w:t xml:space="preserve"> are used</w:t>
      </w:r>
      <w:r w:rsidRPr="00C24459">
        <w:rPr>
          <w:rFonts w:cs="Arial"/>
          <w:sz w:val="18"/>
          <w:szCs w:val="18"/>
          <w:lang w:val="en-GB"/>
        </w:rPr>
        <w:t>.</w:t>
      </w:r>
      <w:r w:rsidRPr="00C24459">
        <w:rPr>
          <w:sz w:val="18"/>
          <w:szCs w:val="18"/>
          <w:lang w:val="en-GB"/>
        </w:rPr>
        <w:t xml:space="preserve"> </w:t>
      </w:r>
    </w:p>
  </w:footnote>
  <w:footnote w:id="2">
    <w:p w14:paraId="2BF0807E" w14:textId="1DEEA0D6" w:rsidR="003C5CCA" w:rsidRPr="00C24459" w:rsidRDefault="003C5CCA" w:rsidP="003C5CCA">
      <w:pPr>
        <w:pStyle w:val="Sprotnaopomba-besedilo"/>
        <w:rPr>
          <w:sz w:val="18"/>
          <w:szCs w:val="18"/>
          <w:lang w:val="en-GB"/>
        </w:rPr>
      </w:pPr>
      <w:r w:rsidRPr="00C24459">
        <w:rPr>
          <w:rStyle w:val="Sprotnaopomba-sklic"/>
          <w:lang w:val="en-GB"/>
        </w:rPr>
        <w:footnoteRef/>
      </w:r>
      <w:r w:rsidRPr="00C24459">
        <w:rPr>
          <w:lang w:val="en-GB"/>
        </w:rPr>
        <w:t xml:space="preserve"> </w:t>
      </w:r>
      <w:r w:rsidR="00F6274A" w:rsidRPr="00C24459">
        <w:rPr>
          <w:sz w:val="18"/>
          <w:szCs w:val="18"/>
          <w:lang w:val="en-GB"/>
        </w:rPr>
        <w:t xml:space="preserve">In Article 4 of </w:t>
      </w:r>
      <w:r w:rsidR="00F6274A" w:rsidRPr="00C24459">
        <w:rPr>
          <w:rFonts w:cs="Arial"/>
          <w:sz w:val="18"/>
          <w:szCs w:val="18"/>
          <w:lang w:val="en-GB"/>
        </w:rPr>
        <w:t xml:space="preserve">APMLTF-1 the obliged entities are divided </w:t>
      </w:r>
      <w:r w:rsidR="00697263">
        <w:rPr>
          <w:rFonts w:cs="Arial"/>
          <w:sz w:val="18"/>
          <w:szCs w:val="18"/>
          <w:lang w:val="en-GB"/>
        </w:rPr>
        <w:t>to</w:t>
      </w:r>
      <w:r w:rsidR="00F6274A" w:rsidRPr="00C24459">
        <w:rPr>
          <w:rFonts w:cs="Arial"/>
          <w:sz w:val="18"/>
          <w:szCs w:val="18"/>
          <w:lang w:val="en-GB"/>
        </w:rPr>
        <w:t xml:space="preserve"> financial (banks</w:t>
      </w:r>
      <w:r w:rsidR="00E91061" w:rsidRPr="00C24459">
        <w:rPr>
          <w:rFonts w:cs="Arial"/>
          <w:sz w:val="18"/>
          <w:szCs w:val="18"/>
          <w:lang w:val="en-GB"/>
        </w:rPr>
        <w:t xml:space="preserve">, brokerage </w:t>
      </w:r>
      <w:r w:rsidR="006104FB" w:rsidRPr="00C24459">
        <w:rPr>
          <w:rFonts w:cs="Arial"/>
          <w:sz w:val="18"/>
          <w:szCs w:val="18"/>
          <w:lang w:val="en-GB"/>
        </w:rPr>
        <w:t>companies,</w:t>
      </w:r>
      <w:r w:rsidR="00E91061" w:rsidRPr="00C24459">
        <w:rPr>
          <w:rFonts w:cs="Arial"/>
          <w:sz w:val="18"/>
          <w:szCs w:val="18"/>
          <w:lang w:val="en-GB"/>
        </w:rPr>
        <w:t>)</w:t>
      </w:r>
      <w:r w:rsidR="006104FB">
        <w:rPr>
          <w:rFonts w:cs="Arial"/>
          <w:sz w:val="18"/>
          <w:szCs w:val="18"/>
          <w:lang w:val="en-GB"/>
        </w:rPr>
        <w:t xml:space="preserve"> </w:t>
      </w:r>
      <w:r w:rsidR="00E91061" w:rsidRPr="00C24459">
        <w:rPr>
          <w:rFonts w:cs="Arial"/>
          <w:sz w:val="18"/>
          <w:szCs w:val="18"/>
          <w:lang w:val="en-GB"/>
        </w:rPr>
        <w:t xml:space="preserve">and </w:t>
      </w:r>
      <w:r w:rsidR="006104FB" w:rsidRPr="00C24459">
        <w:rPr>
          <w:rFonts w:cs="Arial"/>
          <w:sz w:val="18"/>
          <w:szCs w:val="18"/>
          <w:lang w:val="en-GB"/>
        </w:rPr>
        <w:t>non-financial</w:t>
      </w:r>
      <w:r w:rsidR="00E91061" w:rsidRPr="00C24459">
        <w:rPr>
          <w:rFonts w:cs="Arial"/>
          <w:sz w:val="18"/>
          <w:szCs w:val="18"/>
          <w:lang w:val="en-GB"/>
        </w:rPr>
        <w:t xml:space="preserve"> (lawyers, notaries, tax advisers, </w:t>
      </w:r>
      <w:r w:rsidR="00C24459" w:rsidRPr="00C24459">
        <w:rPr>
          <w:rFonts w:cs="Arial"/>
          <w:sz w:val="18"/>
          <w:szCs w:val="18"/>
          <w:lang w:val="en-GB"/>
        </w:rPr>
        <w:t>virtual</w:t>
      </w:r>
      <w:r w:rsidR="00E91061" w:rsidRPr="00C24459">
        <w:rPr>
          <w:rFonts w:cs="Arial"/>
          <w:sz w:val="18"/>
          <w:szCs w:val="18"/>
          <w:lang w:val="en-GB"/>
        </w:rPr>
        <w:t xml:space="preserve"> currencies service providers, real estate)</w:t>
      </w:r>
      <w:r w:rsidRPr="00C24459">
        <w:rPr>
          <w:sz w:val="18"/>
          <w:szCs w:val="18"/>
          <w:lang w:val="en-GB"/>
        </w:rPr>
        <w:t>.</w:t>
      </w:r>
    </w:p>
  </w:footnote>
  <w:footnote w:id="3">
    <w:p w14:paraId="747AE9E5" w14:textId="669CEBA9" w:rsidR="00322214" w:rsidRPr="00C24459" w:rsidRDefault="00322214" w:rsidP="00322214">
      <w:pPr>
        <w:pStyle w:val="Sprotnaopomba-besedilo"/>
        <w:rPr>
          <w:sz w:val="18"/>
          <w:szCs w:val="18"/>
          <w:lang w:val="en-GB"/>
        </w:rPr>
      </w:pPr>
      <w:r w:rsidRPr="00C24459">
        <w:rPr>
          <w:rStyle w:val="Sprotnaopomba-sklic"/>
          <w:lang w:val="en-GB"/>
        </w:rPr>
        <w:footnoteRef/>
      </w:r>
      <w:r w:rsidRPr="00C24459">
        <w:rPr>
          <w:lang w:val="en-GB"/>
        </w:rPr>
        <w:t xml:space="preserve"> </w:t>
      </w:r>
      <w:r w:rsidR="00C105E5" w:rsidRPr="006104FB">
        <w:rPr>
          <w:sz w:val="18"/>
          <w:szCs w:val="18"/>
          <w:lang w:val="en-GB"/>
        </w:rPr>
        <w:t xml:space="preserve">The activities of the OMLP </w:t>
      </w:r>
      <w:proofErr w:type="gramStart"/>
      <w:r w:rsidR="00C105E5" w:rsidRPr="006104FB">
        <w:rPr>
          <w:sz w:val="18"/>
          <w:szCs w:val="18"/>
          <w:lang w:val="en-GB"/>
        </w:rPr>
        <w:t>in the area of</w:t>
      </w:r>
      <w:proofErr w:type="gramEnd"/>
      <w:r w:rsidR="00C105E5" w:rsidRPr="006104FB">
        <w:rPr>
          <w:sz w:val="18"/>
          <w:szCs w:val="18"/>
          <w:lang w:val="en-GB"/>
        </w:rPr>
        <w:t xml:space="preserve"> prevention of money laundering and terrorist </w:t>
      </w:r>
      <w:r w:rsidR="00C24459" w:rsidRPr="006104FB">
        <w:rPr>
          <w:sz w:val="18"/>
          <w:szCs w:val="18"/>
          <w:lang w:val="en-GB"/>
        </w:rPr>
        <w:t>financing</w:t>
      </w:r>
      <w:r w:rsidR="00C105E5" w:rsidRPr="006104FB">
        <w:rPr>
          <w:sz w:val="18"/>
          <w:szCs w:val="18"/>
          <w:lang w:val="en-GB"/>
        </w:rPr>
        <w:t xml:space="preserve"> are proposal</w:t>
      </w:r>
      <w:r w:rsidR="00697263">
        <w:rPr>
          <w:sz w:val="18"/>
          <w:szCs w:val="18"/>
          <w:lang w:val="en-GB"/>
        </w:rPr>
        <w:t>s</w:t>
      </w:r>
      <w:r w:rsidR="00C105E5" w:rsidRPr="006104FB">
        <w:rPr>
          <w:sz w:val="18"/>
          <w:szCs w:val="18"/>
          <w:lang w:val="en-GB"/>
        </w:rPr>
        <w:t xml:space="preserve"> of acts amendments</w:t>
      </w:r>
      <w:r w:rsidR="00315B63" w:rsidRPr="006104FB">
        <w:rPr>
          <w:sz w:val="18"/>
          <w:szCs w:val="18"/>
          <w:lang w:val="en-GB"/>
        </w:rPr>
        <w:t xml:space="preserve">, preparation of guidelines for obliged entities, cooperation in preparation of indicators to detect suspicious transactions, cooperation </w:t>
      </w:r>
      <w:r w:rsidR="006104FB" w:rsidRPr="006104FB">
        <w:rPr>
          <w:sz w:val="18"/>
          <w:szCs w:val="18"/>
          <w:lang w:val="en-GB"/>
        </w:rPr>
        <w:t>i</w:t>
      </w:r>
      <w:r w:rsidR="00315B63" w:rsidRPr="006104FB">
        <w:rPr>
          <w:sz w:val="18"/>
          <w:szCs w:val="18"/>
          <w:lang w:val="en-GB"/>
        </w:rPr>
        <w:t xml:space="preserve">n </w:t>
      </w:r>
      <w:r w:rsidR="00C24459" w:rsidRPr="006104FB">
        <w:rPr>
          <w:sz w:val="18"/>
          <w:szCs w:val="18"/>
          <w:lang w:val="en-GB"/>
        </w:rPr>
        <w:t>training</w:t>
      </w:r>
      <w:r w:rsidR="00315B63" w:rsidRPr="006104FB">
        <w:rPr>
          <w:sz w:val="18"/>
          <w:szCs w:val="18"/>
          <w:lang w:val="en-GB"/>
        </w:rPr>
        <w:t xml:space="preserve"> of obliged entities, following trend and typologies</w:t>
      </w:r>
      <w:r w:rsidRPr="006104FB">
        <w:rPr>
          <w:sz w:val="18"/>
          <w:szCs w:val="18"/>
          <w:lang w:val="en-GB"/>
        </w:rPr>
        <w:t>.</w:t>
      </w:r>
    </w:p>
  </w:footnote>
  <w:footnote w:id="4">
    <w:p w14:paraId="65D690A7" w14:textId="7A858E01" w:rsidR="006A2ADF" w:rsidRPr="00C24459" w:rsidRDefault="006A2ADF">
      <w:pPr>
        <w:pStyle w:val="Sprotnaopomba-besedilo"/>
        <w:rPr>
          <w:sz w:val="18"/>
          <w:szCs w:val="18"/>
          <w:lang w:val="en-GB"/>
        </w:rPr>
      </w:pPr>
      <w:r w:rsidRPr="00C24459">
        <w:rPr>
          <w:rStyle w:val="Sprotnaopomba-sklic"/>
          <w:lang w:val="en-GB"/>
        </w:rPr>
        <w:footnoteRef/>
      </w:r>
      <w:r w:rsidRPr="00C24459">
        <w:rPr>
          <w:lang w:val="en-GB"/>
        </w:rPr>
        <w:t xml:space="preserve"> </w:t>
      </w:r>
      <w:r w:rsidRPr="00C24459">
        <w:rPr>
          <w:sz w:val="18"/>
          <w:szCs w:val="18"/>
          <w:lang w:val="en-GB"/>
        </w:rPr>
        <w:t>(</w:t>
      </w:r>
      <w:r w:rsidR="005A2168" w:rsidRPr="00C24459">
        <w:rPr>
          <w:sz w:val="18"/>
          <w:szCs w:val="18"/>
          <w:lang w:val="en-GB"/>
        </w:rPr>
        <w:t>Official Gazette of the Republic of Slovenia No.:</w:t>
      </w:r>
      <w:r w:rsidRPr="00C24459">
        <w:rPr>
          <w:sz w:val="18"/>
          <w:szCs w:val="18"/>
          <w:lang w:val="en-GB"/>
        </w:rPr>
        <w:t xml:space="preserve"> 63/07 – </w:t>
      </w:r>
      <w:r w:rsidR="00C24459" w:rsidRPr="00C24459">
        <w:rPr>
          <w:sz w:val="18"/>
          <w:szCs w:val="18"/>
          <w:lang w:val="en-GB"/>
        </w:rPr>
        <w:t>officially</w:t>
      </w:r>
      <w:r w:rsidR="005A2168" w:rsidRPr="00C24459">
        <w:rPr>
          <w:sz w:val="18"/>
          <w:szCs w:val="18"/>
          <w:lang w:val="en-GB"/>
        </w:rPr>
        <w:t xml:space="preserve"> consolidated text</w:t>
      </w:r>
      <w:r w:rsidRPr="00C24459">
        <w:rPr>
          <w:sz w:val="18"/>
          <w:szCs w:val="18"/>
          <w:lang w:val="en-GB"/>
        </w:rPr>
        <w:t xml:space="preserve">, 65/08, 69/08 – </w:t>
      </w:r>
      <w:r w:rsidR="005A2168" w:rsidRPr="00C24459">
        <w:rPr>
          <w:rFonts w:cs="Arial"/>
          <w:sz w:val="18"/>
          <w:szCs w:val="18"/>
          <w:shd w:val="clear" w:color="auto" w:fill="FFFFFF"/>
          <w:lang w:val="en-GB"/>
        </w:rPr>
        <w:t>Market in Financial Instruments Act</w:t>
      </w:r>
      <w:r w:rsidRPr="00C24459">
        <w:rPr>
          <w:sz w:val="18"/>
          <w:szCs w:val="18"/>
          <w:lang w:val="en-GB"/>
        </w:rPr>
        <w:t xml:space="preserve">, 69/08 – </w:t>
      </w:r>
      <w:r w:rsidR="005A2168" w:rsidRPr="00C24459">
        <w:rPr>
          <w:rFonts w:cs="Arial"/>
          <w:sz w:val="18"/>
          <w:szCs w:val="18"/>
          <w:shd w:val="clear" w:color="auto" w:fill="FFFFFF"/>
          <w:lang w:val="en-GB"/>
        </w:rPr>
        <w:t>Insurance Act</w:t>
      </w:r>
      <w:r w:rsidRPr="00C24459">
        <w:rPr>
          <w:sz w:val="18"/>
          <w:szCs w:val="18"/>
          <w:lang w:val="en-GB"/>
        </w:rPr>
        <w:t xml:space="preserve">, 40/12 – </w:t>
      </w:r>
      <w:r w:rsidR="005A2168" w:rsidRPr="00C24459">
        <w:rPr>
          <w:rFonts w:cs="Arial"/>
          <w:sz w:val="18"/>
          <w:szCs w:val="18"/>
          <w:shd w:val="clear" w:color="auto" w:fill="FFFFFF"/>
          <w:lang w:val="en-GB"/>
        </w:rPr>
        <w:t>Fiscal Balance Act</w:t>
      </w:r>
      <w:r w:rsidRPr="00C24459">
        <w:rPr>
          <w:sz w:val="18"/>
          <w:szCs w:val="18"/>
          <w:lang w:val="en-GB"/>
        </w:rPr>
        <w:t xml:space="preserve">, 158/20 – </w:t>
      </w:r>
      <w:r w:rsidR="005A2168" w:rsidRPr="00C24459">
        <w:rPr>
          <w:rFonts w:cs="Arial"/>
          <w:sz w:val="18"/>
          <w:szCs w:val="18"/>
          <w:shd w:val="clear" w:color="auto" w:fill="FFFFFF"/>
          <w:lang w:val="en-GB"/>
        </w:rPr>
        <w:t>Integrity and Prevention of Corruption Act</w:t>
      </w:r>
      <w:r w:rsidRPr="00C24459">
        <w:rPr>
          <w:sz w:val="18"/>
          <w:szCs w:val="18"/>
          <w:lang w:val="en-GB"/>
        </w:rPr>
        <w:t xml:space="preserve">, 203/20 – </w:t>
      </w:r>
      <w:r w:rsidR="005A2168" w:rsidRPr="00C24459">
        <w:rPr>
          <w:rFonts w:cs="Arial"/>
          <w:sz w:val="18"/>
          <w:szCs w:val="18"/>
          <w:shd w:val="clear" w:color="auto" w:fill="FFFFFF"/>
          <w:lang w:val="en-GB"/>
        </w:rPr>
        <w:t>Act Determining Intervention Measures to Assist in Mitigating the Consequences of the Second Wave of COVID-19 Epidemic</w:t>
      </w:r>
      <w:r w:rsidRPr="00C24459">
        <w:rPr>
          <w:sz w:val="18"/>
          <w:szCs w:val="18"/>
          <w:lang w:val="en-GB"/>
        </w:rPr>
        <w:t xml:space="preserve">, 202/21 – </w:t>
      </w:r>
      <w:r w:rsidR="005A2168" w:rsidRPr="00C24459">
        <w:rPr>
          <w:sz w:val="18"/>
          <w:szCs w:val="18"/>
          <w:lang w:val="en-GB"/>
        </w:rPr>
        <w:t xml:space="preserve">Decision of the </w:t>
      </w:r>
      <w:r w:rsidR="00C24459" w:rsidRPr="00C24459">
        <w:rPr>
          <w:sz w:val="18"/>
          <w:szCs w:val="18"/>
          <w:lang w:val="en-GB"/>
        </w:rPr>
        <w:t>Constitutional</w:t>
      </w:r>
      <w:r w:rsidR="005A2168" w:rsidRPr="00C24459">
        <w:rPr>
          <w:sz w:val="18"/>
          <w:szCs w:val="18"/>
          <w:lang w:val="en-GB"/>
        </w:rPr>
        <w:t xml:space="preserve"> Court</w:t>
      </w:r>
      <w:r w:rsidRPr="00C24459">
        <w:rPr>
          <w:sz w:val="18"/>
          <w:szCs w:val="18"/>
          <w:lang w:val="en-GB"/>
        </w:rPr>
        <w:t>).</w:t>
      </w:r>
    </w:p>
  </w:footnote>
  <w:footnote w:id="5">
    <w:p w14:paraId="035801E6" w14:textId="059D31A1" w:rsidR="002E51B6" w:rsidRPr="00C24459" w:rsidRDefault="002E51B6" w:rsidP="002E51B6">
      <w:pPr>
        <w:pStyle w:val="Sprotnaopomba-besedilo"/>
        <w:rPr>
          <w:sz w:val="18"/>
          <w:szCs w:val="18"/>
          <w:lang w:val="en-GB"/>
        </w:rPr>
      </w:pPr>
      <w:r w:rsidRPr="00C24459">
        <w:rPr>
          <w:rStyle w:val="Sprotnaopomba-sklic"/>
          <w:lang w:val="en-GB"/>
        </w:rPr>
        <w:footnoteRef/>
      </w:r>
      <w:r w:rsidRPr="00C24459">
        <w:rPr>
          <w:lang w:val="en-GB"/>
        </w:rPr>
        <w:t xml:space="preserve"> </w:t>
      </w:r>
      <w:r w:rsidRPr="00C24459">
        <w:rPr>
          <w:sz w:val="18"/>
          <w:szCs w:val="18"/>
          <w:lang w:val="en-GB"/>
        </w:rPr>
        <w:t>(Official Gazette</w:t>
      </w:r>
      <w:r w:rsidR="00C24459">
        <w:rPr>
          <w:sz w:val="18"/>
          <w:szCs w:val="18"/>
          <w:lang w:val="en-GB"/>
        </w:rPr>
        <w:t xml:space="preserve"> </w:t>
      </w:r>
      <w:r w:rsidRPr="00C24459">
        <w:rPr>
          <w:sz w:val="18"/>
          <w:szCs w:val="18"/>
          <w:lang w:val="en-GB"/>
        </w:rPr>
        <w:t xml:space="preserve">of the Republic of Slovenia No.: 58/03, 81/03, 109/03, 43/04, 58/04 – </w:t>
      </w:r>
      <w:r w:rsidR="00C24459" w:rsidRPr="00C24459">
        <w:rPr>
          <w:sz w:val="18"/>
          <w:szCs w:val="18"/>
          <w:lang w:val="en-GB"/>
        </w:rPr>
        <w:t>amendment</w:t>
      </w:r>
      <w:r w:rsidRPr="00C24459">
        <w:rPr>
          <w:sz w:val="18"/>
          <w:szCs w:val="18"/>
          <w:lang w:val="en-GB"/>
        </w:rPr>
        <w:t>, 138/04, 35/05, 60/05, 72/05, 112/05, 49/06, 140/06, 9/07, 33/08, 66/08, 88/08, 8/09, 63/09, 73/09, 11/10, 42/10, 82/10, 17/11, 14/12, 17/12, 23/12, 98/12, 16/13, 18/13, 36/13, 51/13, 59/13, 14/14, 28/14, 43/14, 76/14, 91/14, 36/15, 57/15, 4/16, 44/16, 58/16, 84/16, 8/17, 40/17, 41/17, 11/19, 25/19, 54/19, 67/19, 89/20, 104/20, 118/20, 168/20, 31/21, 54/21, 203/21).</w:t>
      </w:r>
    </w:p>
  </w:footnote>
  <w:footnote w:id="6">
    <w:p w14:paraId="23ED4BC3" w14:textId="6BE5AA7F" w:rsidR="006C1BCF" w:rsidRPr="00C24459" w:rsidRDefault="006C1BCF" w:rsidP="006C1BCF">
      <w:pPr>
        <w:pStyle w:val="Sprotnaopomba-besedilo"/>
        <w:rPr>
          <w:i/>
          <w:sz w:val="16"/>
          <w:szCs w:val="16"/>
          <w:lang w:val="en-GB"/>
        </w:rPr>
      </w:pPr>
      <w:r w:rsidRPr="00174D35">
        <w:rPr>
          <w:rStyle w:val="Sprotnaopomba-sklic"/>
          <w:rFonts w:cs="Arial"/>
          <w:i/>
          <w:sz w:val="16"/>
          <w:szCs w:val="16"/>
        </w:rPr>
        <w:footnoteRef/>
      </w:r>
      <w:r w:rsidR="0009234A" w:rsidRPr="00C24459">
        <w:rPr>
          <w:i/>
          <w:sz w:val="16"/>
          <w:szCs w:val="16"/>
          <w:lang w:val="en-GB"/>
        </w:rPr>
        <w:t xml:space="preserve">The obliged entities send the data on prescribed forms, one form can contain more </w:t>
      </w:r>
      <w:r w:rsidR="00AE039F" w:rsidRPr="00C24459">
        <w:rPr>
          <w:i/>
          <w:sz w:val="16"/>
          <w:szCs w:val="16"/>
          <w:lang w:val="en-GB"/>
        </w:rPr>
        <w:t>transactions, of which the sum exceeds</w:t>
      </w:r>
      <w:r w:rsidRPr="00C24459">
        <w:rPr>
          <w:i/>
          <w:sz w:val="16"/>
          <w:szCs w:val="16"/>
          <w:lang w:val="en-GB"/>
        </w:rPr>
        <w:t xml:space="preserve"> 15.000 EUR.</w:t>
      </w:r>
    </w:p>
  </w:footnote>
  <w:footnote w:id="7">
    <w:p w14:paraId="67231787" w14:textId="30C57C13" w:rsidR="00AE039F" w:rsidRPr="00B92DED" w:rsidRDefault="00AE039F" w:rsidP="00AE039F">
      <w:pPr>
        <w:pStyle w:val="Sprotnaopomba-besedilo"/>
        <w:rPr>
          <w:sz w:val="18"/>
          <w:szCs w:val="18"/>
        </w:rPr>
      </w:pPr>
      <w:r>
        <w:rPr>
          <w:rStyle w:val="Sprotnaopomba-sklic"/>
        </w:rPr>
        <w:footnoteRef/>
      </w:r>
      <w:r>
        <w:t xml:space="preserve"> </w:t>
      </w:r>
      <w:r w:rsidR="005A2168" w:rsidRPr="00AA708C">
        <w:rPr>
          <w:sz w:val="18"/>
          <w:szCs w:val="18"/>
        </w:rPr>
        <w:t xml:space="preserve">In </w:t>
      </w:r>
      <w:r w:rsidR="005A2168" w:rsidRPr="00AA708C">
        <w:rPr>
          <w:sz w:val="18"/>
          <w:szCs w:val="18"/>
          <w:lang w:val="en-GB"/>
        </w:rPr>
        <w:t>the report these transactions are referred to</w:t>
      </w:r>
      <w:r w:rsidRPr="00AA708C">
        <w:rPr>
          <w:sz w:val="18"/>
          <w:szCs w:val="18"/>
          <w:lang w:val="en-GB"/>
        </w:rPr>
        <w:t xml:space="preserve"> »</w:t>
      </w:r>
      <w:r w:rsidR="005A2168" w:rsidRPr="00AA708C">
        <w:rPr>
          <w:sz w:val="18"/>
          <w:szCs w:val="18"/>
          <w:lang w:val="en-GB"/>
        </w:rPr>
        <w:t xml:space="preserve">transfers </w:t>
      </w:r>
      <w:r w:rsidR="008038AA" w:rsidRPr="00AA708C">
        <w:rPr>
          <w:sz w:val="18"/>
          <w:szCs w:val="18"/>
          <w:lang w:val="en-GB"/>
        </w:rPr>
        <w:t>referring</w:t>
      </w:r>
      <w:r w:rsidR="005A2168" w:rsidRPr="00AA708C">
        <w:rPr>
          <w:sz w:val="18"/>
          <w:szCs w:val="18"/>
          <w:lang w:val="en-GB"/>
        </w:rPr>
        <w:t xml:space="preserve"> to risk countries</w:t>
      </w:r>
      <w:r w:rsidRPr="00AA708C">
        <w:rPr>
          <w:sz w:val="18"/>
          <w:szCs w:val="18"/>
        </w:rPr>
        <w:t>«.</w:t>
      </w:r>
    </w:p>
  </w:footnote>
  <w:footnote w:id="8">
    <w:p w14:paraId="66F3A44C" w14:textId="7185EC27" w:rsidR="005C3E99" w:rsidRDefault="005C3E99">
      <w:pPr>
        <w:pStyle w:val="Sprotnaopomba-besedilo"/>
      </w:pPr>
      <w:r>
        <w:rPr>
          <w:rStyle w:val="Sprotnaopomba-sklic"/>
        </w:rPr>
        <w:footnoteRef/>
      </w:r>
      <w:r w:rsidR="00AE039F">
        <w:rPr>
          <w:sz w:val="18"/>
          <w:szCs w:val="18"/>
        </w:rPr>
        <w:t xml:space="preserve"> </w:t>
      </w:r>
      <w:bookmarkStart w:id="8" w:name="_Hlk147308159"/>
      <w:r w:rsidR="0009234A" w:rsidRPr="008038AA">
        <w:rPr>
          <w:sz w:val="18"/>
          <w:szCs w:val="18"/>
          <w:lang w:val="en-GB"/>
        </w:rPr>
        <w:t>The number</w:t>
      </w:r>
      <w:r w:rsidR="00FD7347" w:rsidRPr="008038AA">
        <w:rPr>
          <w:sz w:val="18"/>
          <w:szCs w:val="18"/>
          <w:lang w:val="en-GB"/>
        </w:rPr>
        <w:t xml:space="preserve"> in this column is the number of written notifications or information of the OMLP to the foreign counterpart, that is smaller than the number of investigated cases, as the OMLP can investigate more subjects in one written notifications or information.</w:t>
      </w:r>
      <w:r w:rsidR="00FD7347">
        <w:t xml:space="preserve"> </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21C9"/>
    <w:multiLevelType w:val="hybridMultilevel"/>
    <w:tmpl w:val="C61A53A8"/>
    <w:lvl w:ilvl="0" w:tplc="3D4E3404">
      <w:numFmt w:val="bullet"/>
      <w:pStyle w:val="Odstavekseznama"/>
      <w:lvlText w:val="–"/>
      <w:lvlJc w:val="left"/>
      <w:pPr>
        <w:ind w:left="1440" w:hanging="360"/>
      </w:pPr>
      <w:rPr>
        <w:rFonts w:ascii="Calibri" w:eastAsiaTheme="minorHAns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16C112A1"/>
    <w:multiLevelType w:val="hybridMultilevel"/>
    <w:tmpl w:val="A8CAC3C2"/>
    <w:lvl w:ilvl="0" w:tplc="D98C6122">
      <w:numFmt w:val="bullet"/>
      <w:pStyle w:val="Oznaenseznam2"/>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626DD2"/>
    <w:multiLevelType w:val="hybridMultilevel"/>
    <w:tmpl w:val="5D5CE5A4"/>
    <w:lvl w:ilvl="0" w:tplc="B658C7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4E2574"/>
    <w:multiLevelType w:val="hybridMultilevel"/>
    <w:tmpl w:val="51AEF066"/>
    <w:lvl w:ilvl="0" w:tplc="3C34132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EF4778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4C86772C"/>
    <w:multiLevelType w:val="hybridMultilevel"/>
    <w:tmpl w:val="01BCE196"/>
    <w:lvl w:ilvl="0" w:tplc="76AC1A70">
      <w:start w:val="49"/>
      <w:numFmt w:val="bullet"/>
      <w:lvlText w:val=""/>
      <w:lvlJc w:val="left"/>
      <w:pPr>
        <w:ind w:left="1440" w:hanging="360"/>
      </w:pPr>
      <w:rPr>
        <w:rFonts w:ascii="Symbol" w:eastAsia="Times New Roman" w:hAnsi="Symbol"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5DC217AA"/>
    <w:multiLevelType w:val="hybridMultilevel"/>
    <w:tmpl w:val="0ED0C114"/>
    <w:lvl w:ilvl="0" w:tplc="029A16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69F1104D"/>
    <w:multiLevelType w:val="hybridMultilevel"/>
    <w:tmpl w:val="FFBEE64C"/>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7A51B8"/>
    <w:multiLevelType w:val="hybridMultilevel"/>
    <w:tmpl w:val="6F60222C"/>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256263">
    <w:abstractNumId w:val="4"/>
  </w:num>
  <w:num w:numId="2" w16cid:durableId="978656938">
    <w:abstractNumId w:val="0"/>
  </w:num>
  <w:num w:numId="3" w16cid:durableId="1010445678">
    <w:abstractNumId w:val="1"/>
  </w:num>
  <w:num w:numId="4" w16cid:durableId="1027483068">
    <w:abstractNumId w:val="8"/>
  </w:num>
  <w:num w:numId="5" w16cid:durableId="1142504343">
    <w:abstractNumId w:val="2"/>
  </w:num>
  <w:num w:numId="6" w16cid:durableId="1531138853">
    <w:abstractNumId w:val="7"/>
  </w:num>
  <w:num w:numId="7" w16cid:durableId="7983788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7477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626688">
    <w:abstractNumId w:val="0"/>
  </w:num>
  <w:num w:numId="10" w16cid:durableId="102381623">
    <w:abstractNumId w:val="0"/>
  </w:num>
  <w:num w:numId="11" w16cid:durableId="2052725681">
    <w:abstractNumId w:val="0"/>
  </w:num>
  <w:num w:numId="12" w16cid:durableId="1969505293">
    <w:abstractNumId w:val="0"/>
  </w:num>
  <w:num w:numId="13" w16cid:durableId="790049232">
    <w:abstractNumId w:val="0"/>
  </w:num>
  <w:num w:numId="14" w16cid:durableId="1264263269">
    <w:abstractNumId w:val="4"/>
  </w:num>
  <w:num w:numId="15" w16cid:durableId="112795799">
    <w:abstractNumId w:val="4"/>
  </w:num>
  <w:num w:numId="16" w16cid:durableId="300693302">
    <w:abstractNumId w:val="5"/>
  </w:num>
  <w:num w:numId="17" w16cid:durableId="365377576">
    <w:abstractNumId w:val="0"/>
  </w:num>
  <w:num w:numId="18" w16cid:durableId="81070869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09"/>
    <w:rsid w:val="000009DA"/>
    <w:rsid w:val="00002527"/>
    <w:rsid w:val="000030B5"/>
    <w:rsid w:val="00004AD1"/>
    <w:rsid w:val="00006164"/>
    <w:rsid w:val="00006168"/>
    <w:rsid w:val="0000765E"/>
    <w:rsid w:val="000119D7"/>
    <w:rsid w:val="00013719"/>
    <w:rsid w:val="00013A71"/>
    <w:rsid w:val="00022F7A"/>
    <w:rsid w:val="00023944"/>
    <w:rsid w:val="00024513"/>
    <w:rsid w:val="00031AC5"/>
    <w:rsid w:val="00034615"/>
    <w:rsid w:val="00034F43"/>
    <w:rsid w:val="000370F8"/>
    <w:rsid w:val="000420CA"/>
    <w:rsid w:val="00045EE0"/>
    <w:rsid w:val="0005037C"/>
    <w:rsid w:val="00057AD5"/>
    <w:rsid w:val="00063697"/>
    <w:rsid w:val="00063AFD"/>
    <w:rsid w:val="0006709A"/>
    <w:rsid w:val="0007162F"/>
    <w:rsid w:val="00080612"/>
    <w:rsid w:val="000806DB"/>
    <w:rsid w:val="00080FE3"/>
    <w:rsid w:val="0008493C"/>
    <w:rsid w:val="0009234A"/>
    <w:rsid w:val="00092A2E"/>
    <w:rsid w:val="00093162"/>
    <w:rsid w:val="00095A8D"/>
    <w:rsid w:val="00096FDD"/>
    <w:rsid w:val="000A194F"/>
    <w:rsid w:val="000A24CF"/>
    <w:rsid w:val="000A3A65"/>
    <w:rsid w:val="000A69C0"/>
    <w:rsid w:val="000B07E1"/>
    <w:rsid w:val="000B513A"/>
    <w:rsid w:val="000C0135"/>
    <w:rsid w:val="000C0C16"/>
    <w:rsid w:val="000C1AAA"/>
    <w:rsid w:val="000C4DF0"/>
    <w:rsid w:val="000C5B5B"/>
    <w:rsid w:val="000D16EE"/>
    <w:rsid w:val="000D4F5B"/>
    <w:rsid w:val="000E0325"/>
    <w:rsid w:val="000E08BB"/>
    <w:rsid w:val="000E0C80"/>
    <w:rsid w:val="000E41FC"/>
    <w:rsid w:val="000F0441"/>
    <w:rsid w:val="000F1CE9"/>
    <w:rsid w:val="000F2C3B"/>
    <w:rsid w:val="000F473B"/>
    <w:rsid w:val="000F6AC0"/>
    <w:rsid w:val="001033F2"/>
    <w:rsid w:val="0010404B"/>
    <w:rsid w:val="00107E23"/>
    <w:rsid w:val="0011001C"/>
    <w:rsid w:val="0011169A"/>
    <w:rsid w:val="0011580A"/>
    <w:rsid w:val="001177EE"/>
    <w:rsid w:val="001179BD"/>
    <w:rsid w:val="00120342"/>
    <w:rsid w:val="0012068D"/>
    <w:rsid w:val="00121B94"/>
    <w:rsid w:val="0012436D"/>
    <w:rsid w:val="001265D7"/>
    <w:rsid w:val="00126BB1"/>
    <w:rsid w:val="001317D0"/>
    <w:rsid w:val="00131AFF"/>
    <w:rsid w:val="00133831"/>
    <w:rsid w:val="00141C31"/>
    <w:rsid w:val="00142ED7"/>
    <w:rsid w:val="00150ACE"/>
    <w:rsid w:val="00154D55"/>
    <w:rsid w:val="00155EF3"/>
    <w:rsid w:val="00155FF9"/>
    <w:rsid w:val="001605E4"/>
    <w:rsid w:val="00160F2B"/>
    <w:rsid w:val="001611A5"/>
    <w:rsid w:val="00163459"/>
    <w:rsid w:val="00164995"/>
    <w:rsid w:val="0017540B"/>
    <w:rsid w:val="0017609A"/>
    <w:rsid w:val="00177DD5"/>
    <w:rsid w:val="00177F71"/>
    <w:rsid w:val="00183A0B"/>
    <w:rsid w:val="00185B52"/>
    <w:rsid w:val="00192D79"/>
    <w:rsid w:val="0019433A"/>
    <w:rsid w:val="00194AB4"/>
    <w:rsid w:val="00195284"/>
    <w:rsid w:val="00197360"/>
    <w:rsid w:val="001A3F4B"/>
    <w:rsid w:val="001A643D"/>
    <w:rsid w:val="001A6A13"/>
    <w:rsid w:val="001B16E8"/>
    <w:rsid w:val="001B2CF5"/>
    <w:rsid w:val="001B442C"/>
    <w:rsid w:val="001B64CE"/>
    <w:rsid w:val="001C0152"/>
    <w:rsid w:val="001C2C18"/>
    <w:rsid w:val="001C6973"/>
    <w:rsid w:val="001C6CBB"/>
    <w:rsid w:val="001D3236"/>
    <w:rsid w:val="001D3CC6"/>
    <w:rsid w:val="001D4280"/>
    <w:rsid w:val="001D5BC1"/>
    <w:rsid w:val="001D7E25"/>
    <w:rsid w:val="001E41D8"/>
    <w:rsid w:val="001E6FD5"/>
    <w:rsid w:val="001F18C7"/>
    <w:rsid w:val="001F1AB9"/>
    <w:rsid w:val="001F4215"/>
    <w:rsid w:val="001F5A66"/>
    <w:rsid w:val="002006BA"/>
    <w:rsid w:val="002016E2"/>
    <w:rsid w:val="002031BE"/>
    <w:rsid w:val="002053DC"/>
    <w:rsid w:val="002101CD"/>
    <w:rsid w:val="002118CF"/>
    <w:rsid w:val="00211C74"/>
    <w:rsid w:val="0021402B"/>
    <w:rsid w:val="0021555E"/>
    <w:rsid w:val="00217995"/>
    <w:rsid w:val="00220DE5"/>
    <w:rsid w:val="00225E9E"/>
    <w:rsid w:val="00227EFD"/>
    <w:rsid w:val="002314A6"/>
    <w:rsid w:val="00255371"/>
    <w:rsid w:val="0025768C"/>
    <w:rsid w:val="00260D17"/>
    <w:rsid w:val="002620A9"/>
    <w:rsid w:val="002644A5"/>
    <w:rsid w:val="00267AD8"/>
    <w:rsid w:val="00267E3A"/>
    <w:rsid w:val="00271045"/>
    <w:rsid w:val="00271BC6"/>
    <w:rsid w:val="00273A96"/>
    <w:rsid w:val="002741ED"/>
    <w:rsid w:val="00275BE2"/>
    <w:rsid w:val="00275F52"/>
    <w:rsid w:val="00277073"/>
    <w:rsid w:val="00277AC3"/>
    <w:rsid w:val="002843F2"/>
    <w:rsid w:val="00284DA4"/>
    <w:rsid w:val="002866FD"/>
    <w:rsid w:val="00291E84"/>
    <w:rsid w:val="00294BDD"/>
    <w:rsid w:val="002959F0"/>
    <w:rsid w:val="00296C54"/>
    <w:rsid w:val="002A7197"/>
    <w:rsid w:val="002A79CC"/>
    <w:rsid w:val="002B214C"/>
    <w:rsid w:val="002B35D0"/>
    <w:rsid w:val="002B5DE0"/>
    <w:rsid w:val="002C4978"/>
    <w:rsid w:val="002C51D3"/>
    <w:rsid w:val="002D113B"/>
    <w:rsid w:val="002D2D5D"/>
    <w:rsid w:val="002D316E"/>
    <w:rsid w:val="002D33E7"/>
    <w:rsid w:val="002D3A23"/>
    <w:rsid w:val="002D3C3A"/>
    <w:rsid w:val="002D6D7C"/>
    <w:rsid w:val="002D71A5"/>
    <w:rsid w:val="002E154D"/>
    <w:rsid w:val="002E19D7"/>
    <w:rsid w:val="002E3CCF"/>
    <w:rsid w:val="002E4876"/>
    <w:rsid w:val="002E51B6"/>
    <w:rsid w:val="002F10E0"/>
    <w:rsid w:val="002F4061"/>
    <w:rsid w:val="002F6777"/>
    <w:rsid w:val="002F7C2D"/>
    <w:rsid w:val="00301DCA"/>
    <w:rsid w:val="003047F1"/>
    <w:rsid w:val="00307CE8"/>
    <w:rsid w:val="00310995"/>
    <w:rsid w:val="003127AB"/>
    <w:rsid w:val="00313624"/>
    <w:rsid w:val="00315B63"/>
    <w:rsid w:val="00322214"/>
    <w:rsid w:val="00322542"/>
    <w:rsid w:val="00322B74"/>
    <w:rsid w:val="00325377"/>
    <w:rsid w:val="003264D6"/>
    <w:rsid w:val="00336E39"/>
    <w:rsid w:val="0033781E"/>
    <w:rsid w:val="00345525"/>
    <w:rsid w:val="00345B35"/>
    <w:rsid w:val="00345CF6"/>
    <w:rsid w:val="00351115"/>
    <w:rsid w:val="0035326B"/>
    <w:rsid w:val="00354BD9"/>
    <w:rsid w:val="00354EF7"/>
    <w:rsid w:val="00356100"/>
    <w:rsid w:val="00356C14"/>
    <w:rsid w:val="003602DC"/>
    <w:rsid w:val="003632F5"/>
    <w:rsid w:val="00364F8F"/>
    <w:rsid w:val="003650A6"/>
    <w:rsid w:val="00366EF9"/>
    <w:rsid w:val="00373ABE"/>
    <w:rsid w:val="003772F9"/>
    <w:rsid w:val="00380965"/>
    <w:rsid w:val="003854EF"/>
    <w:rsid w:val="003871F6"/>
    <w:rsid w:val="003909FC"/>
    <w:rsid w:val="003929F5"/>
    <w:rsid w:val="0039693D"/>
    <w:rsid w:val="0039741E"/>
    <w:rsid w:val="003A13EF"/>
    <w:rsid w:val="003A3852"/>
    <w:rsid w:val="003A5C93"/>
    <w:rsid w:val="003B0A97"/>
    <w:rsid w:val="003B4675"/>
    <w:rsid w:val="003B4B15"/>
    <w:rsid w:val="003B6BC3"/>
    <w:rsid w:val="003B7244"/>
    <w:rsid w:val="003B7E1C"/>
    <w:rsid w:val="003C2A48"/>
    <w:rsid w:val="003C5CCA"/>
    <w:rsid w:val="003C642C"/>
    <w:rsid w:val="003C6ACC"/>
    <w:rsid w:val="003D0189"/>
    <w:rsid w:val="003D5A12"/>
    <w:rsid w:val="003E574D"/>
    <w:rsid w:val="003E7F36"/>
    <w:rsid w:val="003F01C5"/>
    <w:rsid w:val="003F3061"/>
    <w:rsid w:val="003F3990"/>
    <w:rsid w:val="003F781B"/>
    <w:rsid w:val="004041BC"/>
    <w:rsid w:val="00404BAB"/>
    <w:rsid w:val="00405BD0"/>
    <w:rsid w:val="00405C9E"/>
    <w:rsid w:val="00414309"/>
    <w:rsid w:val="004147CD"/>
    <w:rsid w:val="004152C9"/>
    <w:rsid w:val="004202BB"/>
    <w:rsid w:val="00420819"/>
    <w:rsid w:val="00423CE5"/>
    <w:rsid w:val="0042479C"/>
    <w:rsid w:val="004266BB"/>
    <w:rsid w:val="00431EC1"/>
    <w:rsid w:val="00432301"/>
    <w:rsid w:val="004348B0"/>
    <w:rsid w:val="0043591A"/>
    <w:rsid w:val="00443A72"/>
    <w:rsid w:val="0045290E"/>
    <w:rsid w:val="00455663"/>
    <w:rsid w:val="00457566"/>
    <w:rsid w:val="00457A36"/>
    <w:rsid w:val="004608A4"/>
    <w:rsid w:val="0046274D"/>
    <w:rsid w:val="00463ADD"/>
    <w:rsid w:val="00464527"/>
    <w:rsid w:val="00465532"/>
    <w:rsid w:val="00470FC8"/>
    <w:rsid w:val="004722C2"/>
    <w:rsid w:val="00472498"/>
    <w:rsid w:val="00472A01"/>
    <w:rsid w:val="004748D8"/>
    <w:rsid w:val="0047635C"/>
    <w:rsid w:val="00480533"/>
    <w:rsid w:val="004808B2"/>
    <w:rsid w:val="00483CF5"/>
    <w:rsid w:val="00490BC2"/>
    <w:rsid w:val="00491AF8"/>
    <w:rsid w:val="00492B2A"/>
    <w:rsid w:val="00493160"/>
    <w:rsid w:val="004939EA"/>
    <w:rsid w:val="00494D5C"/>
    <w:rsid w:val="004A103E"/>
    <w:rsid w:val="004A4A8C"/>
    <w:rsid w:val="004A6BC1"/>
    <w:rsid w:val="004B1415"/>
    <w:rsid w:val="004B2B69"/>
    <w:rsid w:val="004B5767"/>
    <w:rsid w:val="004C0938"/>
    <w:rsid w:val="004C4FB7"/>
    <w:rsid w:val="004D26FD"/>
    <w:rsid w:val="004D295B"/>
    <w:rsid w:val="004D6314"/>
    <w:rsid w:val="004E45B2"/>
    <w:rsid w:val="004F187B"/>
    <w:rsid w:val="004F463D"/>
    <w:rsid w:val="004F79A9"/>
    <w:rsid w:val="004F7A5F"/>
    <w:rsid w:val="00500006"/>
    <w:rsid w:val="0050109E"/>
    <w:rsid w:val="00502B31"/>
    <w:rsid w:val="00503FB1"/>
    <w:rsid w:val="00507680"/>
    <w:rsid w:val="005108FB"/>
    <w:rsid w:val="00510DFB"/>
    <w:rsid w:val="00512550"/>
    <w:rsid w:val="00514D62"/>
    <w:rsid w:val="0051750E"/>
    <w:rsid w:val="00520BB9"/>
    <w:rsid w:val="005216C6"/>
    <w:rsid w:val="0052239F"/>
    <w:rsid w:val="00530216"/>
    <w:rsid w:val="0053241E"/>
    <w:rsid w:val="00534103"/>
    <w:rsid w:val="0053420D"/>
    <w:rsid w:val="00534B89"/>
    <w:rsid w:val="0054063D"/>
    <w:rsid w:val="005451A3"/>
    <w:rsid w:val="005457CC"/>
    <w:rsid w:val="00546DE7"/>
    <w:rsid w:val="00552405"/>
    <w:rsid w:val="00552F54"/>
    <w:rsid w:val="005543F3"/>
    <w:rsid w:val="00557AA1"/>
    <w:rsid w:val="0056055A"/>
    <w:rsid w:val="00560AD7"/>
    <w:rsid w:val="005623AC"/>
    <w:rsid w:val="0056542B"/>
    <w:rsid w:val="00570088"/>
    <w:rsid w:val="00572701"/>
    <w:rsid w:val="00572791"/>
    <w:rsid w:val="005737A4"/>
    <w:rsid w:val="00575719"/>
    <w:rsid w:val="00576507"/>
    <w:rsid w:val="00576DF4"/>
    <w:rsid w:val="00583B8E"/>
    <w:rsid w:val="00593CE9"/>
    <w:rsid w:val="0059544E"/>
    <w:rsid w:val="00595C33"/>
    <w:rsid w:val="005970CD"/>
    <w:rsid w:val="00597A8E"/>
    <w:rsid w:val="00597DB9"/>
    <w:rsid w:val="005A0CAB"/>
    <w:rsid w:val="005A1E59"/>
    <w:rsid w:val="005A2168"/>
    <w:rsid w:val="005B446E"/>
    <w:rsid w:val="005B48E4"/>
    <w:rsid w:val="005B6989"/>
    <w:rsid w:val="005B7643"/>
    <w:rsid w:val="005C0800"/>
    <w:rsid w:val="005C3E99"/>
    <w:rsid w:val="005C427F"/>
    <w:rsid w:val="005D4ABA"/>
    <w:rsid w:val="005E1C24"/>
    <w:rsid w:val="005E2E1A"/>
    <w:rsid w:val="005E5941"/>
    <w:rsid w:val="005F125C"/>
    <w:rsid w:val="005F3C70"/>
    <w:rsid w:val="005F42F5"/>
    <w:rsid w:val="00601090"/>
    <w:rsid w:val="006017AE"/>
    <w:rsid w:val="00601B52"/>
    <w:rsid w:val="0060201F"/>
    <w:rsid w:val="00605D32"/>
    <w:rsid w:val="006066DE"/>
    <w:rsid w:val="00606A89"/>
    <w:rsid w:val="006104FB"/>
    <w:rsid w:val="00610BB2"/>
    <w:rsid w:val="00610BC1"/>
    <w:rsid w:val="00610E75"/>
    <w:rsid w:val="006143C3"/>
    <w:rsid w:val="00616213"/>
    <w:rsid w:val="00624A80"/>
    <w:rsid w:val="006274B9"/>
    <w:rsid w:val="006308DF"/>
    <w:rsid w:val="006331D8"/>
    <w:rsid w:val="0063438C"/>
    <w:rsid w:val="00634D6B"/>
    <w:rsid w:val="00635143"/>
    <w:rsid w:val="00637054"/>
    <w:rsid w:val="00640368"/>
    <w:rsid w:val="00640FFA"/>
    <w:rsid w:val="006463A1"/>
    <w:rsid w:val="006503BD"/>
    <w:rsid w:val="006508E1"/>
    <w:rsid w:val="00650A7E"/>
    <w:rsid w:val="00651083"/>
    <w:rsid w:val="006516EA"/>
    <w:rsid w:val="00660D76"/>
    <w:rsid w:val="00663E3E"/>
    <w:rsid w:val="00665B4C"/>
    <w:rsid w:val="00667557"/>
    <w:rsid w:val="0067136C"/>
    <w:rsid w:val="006716DF"/>
    <w:rsid w:val="00672ACE"/>
    <w:rsid w:val="00672C8E"/>
    <w:rsid w:val="00672CDB"/>
    <w:rsid w:val="006764B7"/>
    <w:rsid w:val="00677B84"/>
    <w:rsid w:val="00680300"/>
    <w:rsid w:val="00680499"/>
    <w:rsid w:val="00682C33"/>
    <w:rsid w:val="00683F3C"/>
    <w:rsid w:val="00685030"/>
    <w:rsid w:val="00685591"/>
    <w:rsid w:val="00693BCA"/>
    <w:rsid w:val="00697263"/>
    <w:rsid w:val="00697EEB"/>
    <w:rsid w:val="006A01B9"/>
    <w:rsid w:val="006A0CA8"/>
    <w:rsid w:val="006A126B"/>
    <w:rsid w:val="006A1459"/>
    <w:rsid w:val="006A23F1"/>
    <w:rsid w:val="006A23F3"/>
    <w:rsid w:val="006A2968"/>
    <w:rsid w:val="006A2ADF"/>
    <w:rsid w:val="006A3B96"/>
    <w:rsid w:val="006A4B5D"/>
    <w:rsid w:val="006B05F1"/>
    <w:rsid w:val="006B224F"/>
    <w:rsid w:val="006B7204"/>
    <w:rsid w:val="006C17AE"/>
    <w:rsid w:val="006C1BCF"/>
    <w:rsid w:val="006C2995"/>
    <w:rsid w:val="006C2AE1"/>
    <w:rsid w:val="006C33D8"/>
    <w:rsid w:val="006E0FFB"/>
    <w:rsid w:val="006E1169"/>
    <w:rsid w:val="006E157F"/>
    <w:rsid w:val="006E5CB3"/>
    <w:rsid w:val="006E61B7"/>
    <w:rsid w:val="006E65CB"/>
    <w:rsid w:val="006F0001"/>
    <w:rsid w:val="006F3CFC"/>
    <w:rsid w:val="006F551F"/>
    <w:rsid w:val="006F6403"/>
    <w:rsid w:val="006F7F74"/>
    <w:rsid w:val="0070033C"/>
    <w:rsid w:val="00703DC1"/>
    <w:rsid w:val="007051A0"/>
    <w:rsid w:val="007053F8"/>
    <w:rsid w:val="00707C07"/>
    <w:rsid w:val="007101F9"/>
    <w:rsid w:val="0071188D"/>
    <w:rsid w:val="00712B87"/>
    <w:rsid w:val="007217CC"/>
    <w:rsid w:val="00721E6A"/>
    <w:rsid w:val="00731EF6"/>
    <w:rsid w:val="00733D73"/>
    <w:rsid w:val="00736D28"/>
    <w:rsid w:val="00737ED9"/>
    <w:rsid w:val="00744498"/>
    <w:rsid w:val="00745A21"/>
    <w:rsid w:val="00750E14"/>
    <w:rsid w:val="007516AC"/>
    <w:rsid w:val="00756FA6"/>
    <w:rsid w:val="0075740D"/>
    <w:rsid w:val="0075795B"/>
    <w:rsid w:val="00767568"/>
    <w:rsid w:val="0077511B"/>
    <w:rsid w:val="00775DAC"/>
    <w:rsid w:val="00776F73"/>
    <w:rsid w:val="00777E07"/>
    <w:rsid w:val="00782722"/>
    <w:rsid w:val="00783FFD"/>
    <w:rsid w:val="007905D7"/>
    <w:rsid w:val="00791FC0"/>
    <w:rsid w:val="007945DD"/>
    <w:rsid w:val="00795C25"/>
    <w:rsid w:val="007A0DAD"/>
    <w:rsid w:val="007A369F"/>
    <w:rsid w:val="007A53D5"/>
    <w:rsid w:val="007A689C"/>
    <w:rsid w:val="007A703D"/>
    <w:rsid w:val="007B0E26"/>
    <w:rsid w:val="007B1A45"/>
    <w:rsid w:val="007B334A"/>
    <w:rsid w:val="007B67CF"/>
    <w:rsid w:val="007B6EF6"/>
    <w:rsid w:val="007C2A03"/>
    <w:rsid w:val="007C3F0D"/>
    <w:rsid w:val="007C5B9C"/>
    <w:rsid w:val="007C5DCA"/>
    <w:rsid w:val="007C6BCA"/>
    <w:rsid w:val="007D2F4B"/>
    <w:rsid w:val="007D3735"/>
    <w:rsid w:val="007D6837"/>
    <w:rsid w:val="007D73FD"/>
    <w:rsid w:val="007E026D"/>
    <w:rsid w:val="007E2359"/>
    <w:rsid w:val="007E570D"/>
    <w:rsid w:val="007F2712"/>
    <w:rsid w:val="007F6EEF"/>
    <w:rsid w:val="007F77DB"/>
    <w:rsid w:val="007F7E93"/>
    <w:rsid w:val="008002A6"/>
    <w:rsid w:val="0080184B"/>
    <w:rsid w:val="008038AA"/>
    <w:rsid w:val="0080483A"/>
    <w:rsid w:val="00810113"/>
    <w:rsid w:val="008116FB"/>
    <w:rsid w:val="0082183E"/>
    <w:rsid w:val="008246A6"/>
    <w:rsid w:val="00826AA8"/>
    <w:rsid w:val="00834747"/>
    <w:rsid w:val="00834907"/>
    <w:rsid w:val="008442F5"/>
    <w:rsid w:val="00845090"/>
    <w:rsid w:val="00845B81"/>
    <w:rsid w:val="00845E62"/>
    <w:rsid w:val="00854DEC"/>
    <w:rsid w:val="008556CA"/>
    <w:rsid w:val="00855CEB"/>
    <w:rsid w:val="00857EBD"/>
    <w:rsid w:val="00861415"/>
    <w:rsid w:val="008641D9"/>
    <w:rsid w:val="00867B39"/>
    <w:rsid w:val="00870922"/>
    <w:rsid w:val="00872B96"/>
    <w:rsid w:val="00873298"/>
    <w:rsid w:val="0087346C"/>
    <w:rsid w:val="00874FE6"/>
    <w:rsid w:val="008835FA"/>
    <w:rsid w:val="00885D44"/>
    <w:rsid w:val="00887011"/>
    <w:rsid w:val="00891754"/>
    <w:rsid w:val="0089252D"/>
    <w:rsid w:val="00895B6C"/>
    <w:rsid w:val="00897CFA"/>
    <w:rsid w:val="008A07DD"/>
    <w:rsid w:val="008A14FC"/>
    <w:rsid w:val="008A2B86"/>
    <w:rsid w:val="008A3CD8"/>
    <w:rsid w:val="008A4A68"/>
    <w:rsid w:val="008A5F39"/>
    <w:rsid w:val="008A7C39"/>
    <w:rsid w:val="008B1173"/>
    <w:rsid w:val="008B1D4B"/>
    <w:rsid w:val="008B26D0"/>
    <w:rsid w:val="008B47A9"/>
    <w:rsid w:val="008B796F"/>
    <w:rsid w:val="008C0B3C"/>
    <w:rsid w:val="008C646A"/>
    <w:rsid w:val="008D1E32"/>
    <w:rsid w:val="008D2795"/>
    <w:rsid w:val="008D5255"/>
    <w:rsid w:val="008D58B1"/>
    <w:rsid w:val="008E1767"/>
    <w:rsid w:val="008E3760"/>
    <w:rsid w:val="008E7972"/>
    <w:rsid w:val="008F2670"/>
    <w:rsid w:val="008F28D9"/>
    <w:rsid w:val="008F5012"/>
    <w:rsid w:val="008F5107"/>
    <w:rsid w:val="00903170"/>
    <w:rsid w:val="00905829"/>
    <w:rsid w:val="009133AC"/>
    <w:rsid w:val="00914358"/>
    <w:rsid w:val="00916D45"/>
    <w:rsid w:val="00916F26"/>
    <w:rsid w:val="0092484D"/>
    <w:rsid w:val="00926CB3"/>
    <w:rsid w:val="00930752"/>
    <w:rsid w:val="00931C55"/>
    <w:rsid w:val="00942C34"/>
    <w:rsid w:val="00945D3A"/>
    <w:rsid w:val="00947066"/>
    <w:rsid w:val="0095067E"/>
    <w:rsid w:val="00954E99"/>
    <w:rsid w:val="009569B1"/>
    <w:rsid w:val="00956BF0"/>
    <w:rsid w:val="009602EA"/>
    <w:rsid w:val="0096505D"/>
    <w:rsid w:val="00965FBA"/>
    <w:rsid w:val="009700C2"/>
    <w:rsid w:val="009700D4"/>
    <w:rsid w:val="009754F7"/>
    <w:rsid w:val="00975C05"/>
    <w:rsid w:val="009822DC"/>
    <w:rsid w:val="0098611F"/>
    <w:rsid w:val="009876E6"/>
    <w:rsid w:val="00990A04"/>
    <w:rsid w:val="009946A3"/>
    <w:rsid w:val="00995313"/>
    <w:rsid w:val="00995C21"/>
    <w:rsid w:val="009A11DF"/>
    <w:rsid w:val="009A20A1"/>
    <w:rsid w:val="009A3265"/>
    <w:rsid w:val="009A349D"/>
    <w:rsid w:val="009A6286"/>
    <w:rsid w:val="009A754C"/>
    <w:rsid w:val="009B1F97"/>
    <w:rsid w:val="009B1FFF"/>
    <w:rsid w:val="009B48C9"/>
    <w:rsid w:val="009B4BA9"/>
    <w:rsid w:val="009B6F2F"/>
    <w:rsid w:val="009B79D6"/>
    <w:rsid w:val="009C1182"/>
    <w:rsid w:val="009C2990"/>
    <w:rsid w:val="009C2E7F"/>
    <w:rsid w:val="009C4613"/>
    <w:rsid w:val="009C7992"/>
    <w:rsid w:val="009D1138"/>
    <w:rsid w:val="009D3000"/>
    <w:rsid w:val="009D34B2"/>
    <w:rsid w:val="009D434E"/>
    <w:rsid w:val="009D4A53"/>
    <w:rsid w:val="009E11F4"/>
    <w:rsid w:val="009E1636"/>
    <w:rsid w:val="009E181E"/>
    <w:rsid w:val="009E26C2"/>
    <w:rsid w:val="009E3619"/>
    <w:rsid w:val="009E4431"/>
    <w:rsid w:val="009E4A48"/>
    <w:rsid w:val="009E4CB3"/>
    <w:rsid w:val="009F2524"/>
    <w:rsid w:val="009F3239"/>
    <w:rsid w:val="009F52D9"/>
    <w:rsid w:val="00A023F7"/>
    <w:rsid w:val="00A058D7"/>
    <w:rsid w:val="00A10D81"/>
    <w:rsid w:val="00A12698"/>
    <w:rsid w:val="00A13122"/>
    <w:rsid w:val="00A1376B"/>
    <w:rsid w:val="00A15375"/>
    <w:rsid w:val="00A16466"/>
    <w:rsid w:val="00A2315C"/>
    <w:rsid w:val="00A2491F"/>
    <w:rsid w:val="00A27878"/>
    <w:rsid w:val="00A27D71"/>
    <w:rsid w:val="00A33A8C"/>
    <w:rsid w:val="00A4201B"/>
    <w:rsid w:val="00A43FDF"/>
    <w:rsid w:val="00A46371"/>
    <w:rsid w:val="00A4642E"/>
    <w:rsid w:val="00A46504"/>
    <w:rsid w:val="00A50257"/>
    <w:rsid w:val="00A5029D"/>
    <w:rsid w:val="00A519D0"/>
    <w:rsid w:val="00A52DBE"/>
    <w:rsid w:val="00A54395"/>
    <w:rsid w:val="00A55E9D"/>
    <w:rsid w:val="00A60B83"/>
    <w:rsid w:val="00A60C49"/>
    <w:rsid w:val="00A63B50"/>
    <w:rsid w:val="00A66AFD"/>
    <w:rsid w:val="00A726AE"/>
    <w:rsid w:val="00A75696"/>
    <w:rsid w:val="00A75875"/>
    <w:rsid w:val="00A76A8A"/>
    <w:rsid w:val="00A84BD5"/>
    <w:rsid w:val="00A8586E"/>
    <w:rsid w:val="00A86AF3"/>
    <w:rsid w:val="00A9101E"/>
    <w:rsid w:val="00A91356"/>
    <w:rsid w:val="00A91DB3"/>
    <w:rsid w:val="00A94757"/>
    <w:rsid w:val="00A9516B"/>
    <w:rsid w:val="00A97525"/>
    <w:rsid w:val="00A97A4E"/>
    <w:rsid w:val="00AA0051"/>
    <w:rsid w:val="00AA0B67"/>
    <w:rsid w:val="00AA2DE4"/>
    <w:rsid w:val="00AA3D50"/>
    <w:rsid w:val="00AA4B2D"/>
    <w:rsid w:val="00AA708C"/>
    <w:rsid w:val="00AB2696"/>
    <w:rsid w:val="00AB3726"/>
    <w:rsid w:val="00AC0412"/>
    <w:rsid w:val="00AC0CFF"/>
    <w:rsid w:val="00AC2C05"/>
    <w:rsid w:val="00AC3E78"/>
    <w:rsid w:val="00AC7644"/>
    <w:rsid w:val="00AD07A2"/>
    <w:rsid w:val="00AD4433"/>
    <w:rsid w:val="00AD4836"/>
    <w:rsid w:val="00AD4AE2"/>
    <w:rsid w:val="00AD7A14"/>
    <w:rsid w:val="00AE039F"/>
    <w:rsid w:val="00AE3AC4"/>
    <w:rsid w:val="00AE7DFF"/>
    <w:rsid w:val="00AF18C5"/>
    <w:rsid w:val="00AF19B6"/>
    <w:rsid w:val="00AF1E3B"/>
    <w:rsid w:val="00AF436C"/>
    <w:rsid w:val="00AF59B5"/>
    <w:rsid w:val="00AF61AE"/>
    <w:rsid w:val="00AF65C0"/>
    <w:rsid w:val="00AF6BC5"/>
    <w:rsid w:val="00B01022"/>
    <w:rsid w:val="00B021CB"/>
    <w:rsid w:val="00B035D0"/>
    <w:rsid w:val="00B04B08"/>
    <w:rsid w:val="00B058E4"/>
    <w:rsid w:val="00B05A11"/>
    <w:rsid w:val="00B07B1A"/>
    <w:rsid w:val="00B1209F"/>
    <w:rsid w:val="00B16D33"/>
    <w:rsid w:val="00B20CBE"/>
    <w:rsid w:val="00B22FEE"/>
    <w:rsid w:val="00B23BD7"/>
    <w:rsid w:val="00B24B83"/>
    <w:rsid w:val="00B25898"/>
    <w:rsid w:val="00B266C1"/>
    <w:rsid w:val="00B31BF5"/>
    <w:rsid w:val="00B35993"/>
    <w:rsid w:val="00B3667A"/>
    <w:rsid w:val="00B37015"/>
    <w:rsid w:val="00B44216"/>
    <w:rsid w:val="00B44A2B"/>
    <w:rsid w:val="00B4616A"/>
    <w:rsid w:val="00B46640"/>
    <w:rsid w:val="00B47411"/>
    <w:rsid w:val="00B479B0"/>
    <w:rsid w:val="00B51090"/>
    <w:rsid w:val="00B5158B"/>
    <w:rsid w:val="00B51B6A"/>
    <w:rsid w:val="00B523E1"/>
    <w:rsid w:val="00B541CC"/>
    <w:rsid w:val="00B57A4B"/>
    <w:rsid w:val="00B60701"/>
    <w:rsid w:val="00B63536"/>
    <w:rsid w:val="00B65A09"/>
    <w:rsid w:val="00B67C67"/>
    <w:rsid w:val="00B7135F"/>
    <w:rsid w:val="00B75EEE"/>
    <w:rsid w:val="00B7640E"/>
    <w:rsid w:val="00B76D1D"/>
    <w:rsid w:val="00B869AE"/>
    <w:rsid w:val="00B87896"/>
    <w:rsid w:val="00B90219"/>
    <w:rsid w:val="00B90AF7"/>
    <w:rsid w:val="00B90AFC"/>
    <w:rsid w:val="00B92DED"/>
    <w:rsid w:val="00B947B0"/>
    <w:rsid w:val="00BA4590"/>
    <w:rsid w:val="00BA67D8"/>
    <w:rsid w:val="00BB1C1D"/>
    <w:rsid w:val="00BB4C31"/>
    <w:rsid w:val="00BB67F7"/>
    <w:rsid w:val="00BB721D"/>
    <w:rsid w:val="00BC05FB"/>
    <w:rsid w:val="00BC157A"/>
    <w:rsid w:val="00BC183C"/>
    <w:rsid w:val="00BC33C8"/>
    <w:rsid w:val="00BC3D55"/>
    <w:rsid w:val="00BC656E"/>
    <w:rsid w:val="00BC6615"/>
    <w:rsid w:val="00BC7D47"/>
    <w:rsid w:val="00BD02FB"/>
    <w:rsid w:val="00BD1F1D"/>
    <w:rsid w:val="00BD2614"/>
    <w:rsid w:val="00BD335D"/>
    <w:rsid w:val="00BD40C5"/>
    <w:rsid w:val="00BD49C7"/>
    <w:rsid w:val="00BD6548"/>
    <w:rsid w:val="00BE47EC"/>
    <w:rsid w:val="00BF2A4D"/>
    <w:rsid w:val="00BF3224"/>
    <w:rsid w:val="00C02AF1"/>
    <w:rsid w:val="00C034BC"/>
    <w:rsid w:val="00C04BFF"/>
    <w:rsid w:val="00C05BD5"/>
    <w:rsid w:val="00C105E5"/>
    <w:rsid w:val="00C11FF0"/>
    <w:rsid w:val="00C124DE"/>
    <w:rsid w:val="00C14753"/>
    <w:rsid w:val="00C17642"/>
    <w:rsid w:val="00C2245F"/>
    <w:rsid w:val="00C24459"/>
    <w:rsid w:val="00C2455B"/>
    <w:rsid w:val="00C30578"/>
    <w:rsid w:val="00C3383D"/>
    <w:rsid w:val="00C34878"/>
    <w:rsid w:val="00C44145"/>
    <w:rsid w:val="00C44A62"/>
    <w:rsid w:val="00C44C01"/>
    <w:rsid w:val="00C47629"/>
    <w:rsid w:val="00C52229"/>
    <w:rsid w:val="00C52499"/>
    <w:rsid w:val="00C55968"/>
    <w:rsid w:val="00C55A05"/>
    <w:rsid w:val="00C5682E"/>
    <w:rsid w:val="00C56BAF"/>
    <w:rsid w:val="00C63F16"/>
    <w:rsid w:val="00C65DDD"/>
    <w:rsid w:val="00C720FC"/>
    <w:rsid w:val="00C72904"/>
    <w:rsid w:val="00C741C5"/>
    <w:rsid w:val="00C7456D"/>
    <w:rsid w:val="00C74CAF"/>
    <w:rsid w:val="00C765E8"/>
    <w:rsid w:val="00C77F17"/>
    <w:rsid w:val="00C808E0"/>
    <w:rsid w:val="00C83D8C"/>
    <w:rsid w:val="00C87C33"/>
    <w:rsid w:val="00C90E58"/>
    <w:rsid w:val="00C922B4"/>
    <w:rsid w:val="00C9655E"/>
    <w:rsid w:val="00CA44B9"/>
    <w:rsid w:val="00CA6A69"/>
    <w:rsid w:val="00CB1EFA"/>
    <w:rsid w:val="00CB301F"/>
    <w:rsid w:val="00CB3F55"/>
    <w:rsid w:val="00CB6CC5"/>
    <w:rsid w:val="00CC47BC"/>
    <w:rsid w:val="00CC7832"/>
    <w:rsid w:val="00CD0EC0"/>
    <w:rsid w:val="00CD0F97"/>
    <w:rsid w:val="00CD3E1A"/>
    <w:rsid w:val="00CD6A0F"/>
    <w:rsid w:val="00CE52E7"/>
    <w:rsid w:val="00CE65AC"/>
    <w:rsid w:val="00CE73A7"/>
    <w:rsid w:val="00CF1970"/>
    <w:rsid w:val="00CF22D3"/>
    <w:rsid w:val="00CF2B6E"/>
    <w:rsid w:val="00CF7711"/>
    <w:rsid w:val="00D003E7"/>
    <w:rsid w:val="00D00D08"/>
    <w:rsid w:val="00D02847"/>
    <w:rsid w:val="00D06887"/>
    <w:rsid w:val="00D1339D"/>
    <w:rsid w:val="00D14D30"/>
    <w:rsid w:val="00D1556D"/>
    <w:rsid w:val="00D16B63"/>
    <w:rsid w:val="00D1720B"/>
    <w:rsid w:val="00D17594"/>
    <w:rsid w:val="00D22B13"/>
    <w:rsid w:val="00D24AB6"/>
    <w:rsid w:val="00D24CDB"/>
    <w:rsid w:val="00D3135C"/>
    <w:rsid w:val="00D31FA4"/>
    <w:rsid w:val="00D338DB"/>
    <w:rsid w:val="00D33A8A"/>
    <w:rsid w:val="00D344AC"/>
    <w:rsid w:val="00D34B67"/>
    <w:rsid w:val="00D35508"/>
    <w:rsid w:val="00D35B1A"/>
    <w:rsid w:val="00D36326"/>
    <w:rsid w:val="00D36CF2"/>
    <w:rsid w:val="00D37CB1"/>
    <w:rsid w:val="00D4302B"/>
    <w:rsid w:val="00D44A88"/>
    <w:rsid w:val="00D513D5"/>
    <w:rsid w:val="00D52972"/>
    <w:rsid w:val="00D555D3"/>
    <w:rsid w:val="00D55CF6"/>
    <w:rsid w:val="00D55D21"/>
    <w:rsid w:val="00D5707B"/>
    <w:rsid w:val="00D57129"/>
    <w:rsid w:val="00D6217C"/>
    <w:rsid w:val="00D62FFA"/>
    <w:rsid w:val="00D63187"/>
    <w:rsid w:val="00D6351D"/>
    <w:rsid w:val="00D64E07"/>
    <w:rsid w:val="00D64E43"/>
    <w:rsid w:val="00D67EEB"/>
    <w:rsid w:val="00D73A37"/>
    <w:rsid w:val="00D744E6"/>
    <w:rsid w:val="00D8156B"/>
    <w:rsid w:val="00D849F0"/>
    <w:rsid w:val="00D8554A"/>
    <w:rsid w:val="00D86119"/>
    <w:rsid w:val="00D94831"/>
    <w:rsid w:val="00DA06D1"/>
    <w:rsid w:val="00DA74E5"/>
    <w:rsid w:val="00DB00C7"/>
    <w:rsid w:val="00DB1529"/>
    <w:rsid w:val="00DB3CAB"/>
    <w:rsid w:val="00DC16C7"/>
    <w:rsid w:val="00DC4EE7"/>
    <w:rsid w:val="00DC5080"/>
    <w:rsid w:val="00DC5222"/>
    <w:rsid w:val="00DC76AD"/>
    <w:rsid w:val="00DC7B6C"/>
    <w:rsid w:val="00DD6F82"/>
    <w:rsid w:val="00DD7DF0"/>
    <w:rsid w:val="00DE2BBD"/>
    <w:rsid w:val="00DE4E77"/>
    <w:rsid w:val="00DE5D2B"/>
    <w:rsid w:val="00DE6709"/>
    <w:rsid w:val="00DF5B16"/>
    <w:rsid w:val="00DF76DE"/>
    <w:rsid w:val="00E02BEB"/>
    <w:rsid w:val="00E04A8E"/>
    <w:rsid w:val="00E14B81"/>
    <w:rsid w:val="00E24EDA"/>
    <w:rsid w:val="00E250C9"/>
    <w:rsid w:val="00E26F1E"/>
    <w:rsid w:val="00E33909"/>
    <w:rsid w:val="00E37E96"/>
    <w:rsid w:val="00E41471"/>
    <w:rsid w:val="00E4181C"/>
    <w:rsid w:val="00E44525"/>
    <w:rsid w:val="00E5507E"/>
    <w:rsid w:val="00E61DFF"/>
    <w:rsid w:val="00E62EAF"/>
    <w:rsid w:val="00E640C3"/>
    <w:rsid w:val="00E6495A"/>
    <w:rsid w:val="00E7494A"/>
    <w:rsid w:val="00E83D3D"/>
    <w:rsid w:val="00E84D61"/>
    <w:rsid w:val="00E853BB"/>
    <w:rsid w:val="00E85C28"/>
    <w:rsid w:val="00E90ADA"/>
    <w:rsid w:val="00E91061"/>
    <w:rsid w:val="00E91473"/>
    <w:rsid w:val="00E917B2"/>
    <w:rsid w:val="00E92156"/>
    <w:rsid w:val="00E93D0B"/>
    <w:rsid w:val="00E9405C"/>
    <w:rsid w:val="00E943E8"/>
    <w:rsid w:val="00E96D43"/>
    <w:rsid w:val="00EA213D"/>
    <w:rsid w:val="00EA29F2"/>
    <w:rsid w:val="00EA4441"/>
    <w:rsid w:val="00EA665D"/>
    <w:rsid w:val="00EA6CB1"/>
    <w:rsid w:val="00EA7300"/>
    <w:rsid w:val="00EA7A1D"/>
    <w:rsid w:val="00EB043F"/>
    <w:rsid w:val="00EB2AA4"/>
    <w:rsid w:val="00EB5090"/>
    <w:rsid w:val="00EB5CFB"/>
    <w:rsid w:val="00EC053E"/>
    <w:rsid w:val="00EC142A"/>
    <w:rsid w:val="00EC1A05"/>
    <w:rsid w:val="00EC1C1B"/>
    <w:rsid w:val="00EC2F52"/>
    <w:rsid w:val="00EC4FBC"/>
    <w:rsid w:val="00ED07DC"/>
    <w:rsid w:val="00ED0AA6"/>
    <w:rsid w:val="00ED14CA"/>
    <w:rsid w:val="00ED751B"/>
    <w:rsid w:val="00EE47A9"/>
    <w:rsid w:val="00EE600B"/>
    <w:rsid w:val="00EF04EB"/>
    <w:rsid w:val="00EF5BB1"/>
    <w:rsid w:val="00F019EC"/>
    <w:rsid w:val="00F020CB"/>
    <w:rsid w:val="00F02D79"/>
    <w:rsid w:val="00F033EF"/>
    <w:rsid w:val="00F03CE9"/>
    <w:rsid w:val="00F06E38"/>
    <w:rsid w:val="00F07D43"/>
    <w:rsid w:val="00F11AF0"/>
    <w:rsid w:val="00F1507D"/>
    <w:rsid w:val="00F156D5"/>
    <w:rsid w:val="00F15DF2"/>
    <w:rsid w:val="00F162B2"/>
    <w:rsid w:val="00F17EEE"/>
    <w:rsid w:val="00F22316"/>
    <w:rsid w:val="00F23E04"/>
    <w:rsid w:val="00F270AB"/>
    <w:rsid w:val="00F32498"/>
    <w:rsid w:val="00F337FC"/>
    <w:rsid w:val="00F338AD"/>
    <w:rsid w:val="00F343AA"/>
    <w:rsid w:val="00F34C7C"/>
    <w:rsid w:val="00F34F72"/>
    <w:rsid w:val="00F35424"/>
    <w:rsid w:val="00F4018C"/>
    <w:rsid w:val="00F43DC5"/>
    <w:rsid w:val="00F444AC"/>
    <w:rsid w:val="00F474BE"/>
    <w:rsid w:val="00F53DA1"/>
    <w:rsid w:val="00F569C7"/>
    <w:rsid w:val="00F5715B"/>
    <w:rsid w:val="00F617D1"/>
    <w:rsid w:val="00F6274A"/>
    <w:rsid w:val="00F6344E"/>
    <w:rsid w:val="00F66AC7"/>
    <w:rsid w:val="00F66FAB"/>
    <w:rsid w:val="00F7059E"/>
    <w:rsid w:val="00F70CFC"/>
    <w:rsid w:val="00F70FDA"/>
    <w:rsid w:val="00F7320C"/>
    <w:rsid w:val="00F73FE9"/>
    <w:rsid w:val="00F742C4"/>
    <w:rsid w:val="00F74F79"/>
    <w:rsid w:val="00F80C00"/>
    <w:rsid w:val="00F81D0B"/>
    <w:rsid w:val="00F829AE"/>
    <w:rsid w:val="00F83EC9"/>
    <w:rsid w:val="00F87246"/>
    <w:rsid w:val="00F927F2"/>
    <w:rsid w:val="00FA151C"/>
    <w:rsid w:val="00FA1893"/>
    <w:rsid w:val="00FA26F5"/>
    <w:rsid w:val="00FA4CD1"/>
    <w:rsid w:val="00FA7958"/>
    <w:rsid w:val="00FB26D1"/>
    <w:rsid w:val="00FB32C0"/>
    <w:rsid w:val="00FB5247"/>
    <w:rsid w:val="00FB5DCE"/>
    <w:rsid w:val="00FC325D"/>
    <w:rsid w:val="00FC702A"/>
    <w:rsid w:val="00FC7122"/>
    <w:rsid w:val="00FD04CB"/>
    <w:rsid w:val="00FD2076"/>
    <w:rsid w:val="00FD3BB6"/>
    <w:rsid w:val="00FD71FE"/>
    <w:rsid w:val="00FD7347"/>
    <w:rsid w:val="00FE03A9"/>
    <w:rsid w:val="00FE0AE9"/>
    <w:rsid w:val="00FE0F7D"/>
    <w:rsid w:val="00FE1566"/>
    <w:rsid w:val="00FE2EDA"/>
    <w:rsid w:val="00FE3B79"/>
    <w:rsid w:val="00FE3E4E"/>
    <w:rsid w:val="00FE79F2"/>
    <w:rsid w:val="00FF29A4"/>
    <w:rsid w:val="00FF6B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DB9CA"/>
  <w15:docId w15:val="{194F3FEB-E79D-4007-AF26-12E5C4CC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0368"/>
    <w:pPr>
      <w:jc w:val="both"/>
    </w:pPr>
    <w:rPr>
      <w:rFonts w:ascii="Arial" w:hAnsi="Arial"/>
      <w:sz w:val="20"/>
    </w:rPr>
  </w:style>
  <w:style w:type="paragraph" w:styleId="Naslov1">
    <w:name w:val="heading 1"/>
    <w:basedOn w:val="Navaden"/>
    <w:next w:val="Navaden"/>
    <w:link w:val="Naslov1Znak"/>
    <w:uiPriority w:val="9"/>
    <w:qFormat/>
    <w:rsid w:val="00D52972"/>
    <w:pPr>
      <w:keepNext/>
      <w:keepLines/>
      <w:numPr>
        <w:numId w:val="1"/>
      </w:numPr>
      <w:pBdr>
        <w:top w:val="single" w:sz="4" w:space="1" w:color="auto"/>
        <w:bottom w:val="single" w:sz="4" w:space="1" w:color="auto"/>
      </w:pBdr>
      <w:shd w:val="clear" w:color="auto" w:fill="F2F2F2" w:themeFill="background1" w:themeFillShade="F2"/>
      <w:spacing w:before="240" w:after="0"/>
      <w:outlineLvl w:val="0"/>
    </w:pPr>
    <w:rPr>
      <w:rFonts w:eastAsiaTheme="majorEastAsia" w:cstheme="majorBidi"/>
      <w:color w:val="0070C0"/>
      <w:sz w:val="28"/>
      <w:szCs w:val="32"/>
    </w:rPr>
  </w:style>
  <w:style w:type="paragraph" w:styleId="Naslov2">
    <w:name w:val="heading 2"/>
    <w:basedOn w:val="Navaden"/>
    <w:next w:val="Navaden"/>
    <w:link w:val="Naslov2Znak"/>
    <w:uiPriority w:val="99"/>
    <w:unhideWhenUsed/>
    <w:qFormat/>
    <w:rsid w:val="00D52972"/>
    <w:pPr>
      <w:keepNext/>
      <w:keepLines/>
      <w:numPr>
        <w:ilvl w:val="1"/>
        <w:numId w:val="1"/>
      </w:numPr>
      <w:spacing w:before="40" w:after="0"/>
      <w:outlineLvl w:val="1"/>
    </w:pPr>
    <w:rPr>
      <w:rFonts w:eastAsiaTheme="majorEastAsia" w:cstheme="majorBidi"/>
      <w:color w:val="0070C0"/>
      <w:sz w:val="24"/>
      <w:szCs w:val="26"/>
    </w:rPr>
  </w:style>
  <w:style w:type="paragraph" w:styleId="Naslov3">
    <w:name w:val="heading 3"/>
    <w:basedOn w:val="Navaden"/>
    <w:next w:val="Navaden"/>
    <w:link w:val="Naslov3Znak"/>
    <w:uiPriority w:val="9"/>
    <w:unhideWhenUsed/>
    <w:qFormat/>
    <w:rsid w:val="00D52972"/>
    <w:pPr>
      <w:keepNext/>
      <w:keepLines/>
      <w:numPr>
        <w:ilvl w:val="2"/>
        <w:numId w:val="1"/>
      </w:numPr>
      <w:spacing w:before="40" w:after="0"/>
      <w:outlineLvl w:val="2"/>
    </w:pPr>
    <w:rPr>
      <w:rFonts w:eastAsiaTheme="majorEastAsia" w:cstheme="majorBidi"/>
      <w:color w:val="0070C0"/>
      <w:sz w:val="24"/>
      <w:szCs w:val="24"/>
    </w:rPr>
  </w:style>
  <w:style w:type="paragraph" w:styleId="Naslov4">
    <w:name w:val="heading 4"/>
    <w:basedOn w:val="Navaden"/>
    <w:next w:val="Navaden"/>
    <w:link w:val="Naslov4Znak"/>
    <w:uiPriority w:val="9"/>
    <w:unhideWhenUsed/>
    <w:qFormat/>
    <w:rsid w:val="007B1A45"/>
    <w:pPr>
      <w:keepNext/>
      <w:keepLines/>
      <w:numPr>
        <w:ilvl w:val="3"/>
        <w:numId w:val="1"/>
      </w:numPr>
      <w:spacing w:before="40" w:after="0"/>
      <w:outlineLvl w:val="3"/>
    </w:pPr>
    <w:rPr>
      <w:rFonts w:eastAsiaTheme="majorEastAsia" w:cstheme="majorBidi"/>
      <w:iCs/>
      <w:color w:val="0070C0"/>
      <w:sz w:val="22"/>
    </w:rPr>
  </w:style>
  <w:style w:type="paragraph" w:styleId="Naslov5">
    <w:name w:val="heading 5"/>
    <w:basedOn w:val="Navaden"/>
    <w:next w:val="Navaden"/>
    <w:link w:val="Naslov5Znak"/>
    <w:uiPriority w:val="9"/>
    <w:semiHidden/>
    <w:unhideWhenUsed/>
    <w:qFormat/>
    <w:rsid w:val="00B65A0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B65A0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B65A0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B65A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B65A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52972"/>
    <w:rPr>
      <w:rFonts w:ascii="Arial" w:eastAsiaTheme="majorEastAsia" w:hAnsi="Arial" w:cstheme="majorBidi"/>
      <w:color w:val="0070C0"/>
      <w:sz w:val="28"/>
      <w:szCs w:val="32"/>
      <w:shd w:val="clear" w:color="auto" w:fill="F2F2F2" w:themeFill="background1" w:themeFillShade="F2"/>
    </w:rPr>
  </w:style>
  <w:style w:type="character" w:customStyle="1" w:styleId="Naslov2Znak">
    <w:name w:val="Naslov 2 Znak"/>
    <w:basedOn w:val="Privzetapisavaodstavka"/>
    <w:link w:val="Naslov2"/>
    <w:uiPriority w:val="99"/>
    <w:rsid w:val="00D52972"/>
    <w:rPr>
      <w:rFonts w:ascii="Arial" w:eastAsiaTheme="majorEastAsia" w:hAnsi="Arial" w:cstheme="majorBidi"/>
      <w:color w:val="0070C0"/>
      <w:sz w:val="24"/>
      <w:szCs w:val="26"/>
    </w:rPr>
  </w:style>
  <w:style w:type="character" w:customStyle="1" w:styleId="Naslov3Znak">
    <w:name w:val="Naslov 3 Znak"/>
    <w:basedOn w:val="Privzetapisavaodstavka"/>
    <w:link w:val="Naslov3"/>
    <w:uiPriority w:val="9"/>
    <w:rsid w:val="00D52972"/>
    <w:rPr>
      <w:rFonts w:ascii="Arial" w:eastAsiaTheme="majorEastAsia" w:hAnsi="Arial" w:cstheme="majorBidi"/>
      <w:color w:val="0070C0"/>
      <w:sz w:val="24"/>
      <w:szCs w:val="24"/>
    </w:rPr>
  </w:style>
  <w:style w:type="character" w:customStyle="1" w:styleId="Naslov4Znak">
    <w:name w:val="Naslov 4 Znak"/>
    <w:basedOn w:val="Privzetapisavaodstavka"/>
    <w:link w:val="Naslov4"/>
    <w:uiPriority w:val="9"/>
    <w:rsid w:val="007B1A45"/>
    <w:rPr>
      <w:rFonts w:ascii="Arial" w:eastAsiaTheme="majorEastAsia" w:hAnsi="Arial" w:cstheme="majorBidi"/>
      <w:iCs/>
      <w:color w:val="0070C0"/>
    </w:rPr>
  </w:style>
  <w:style w:type="character" w:customStyle="1" w:styleId="Naslov5Znak">
    <w:name w:val="Naslov 5 Znak"/>
    <w:basedOn w:val="Privzetapisavaodstavka"/>
    <w:link w:val="Naslov5"/>
    <w:uiPriority w:val="9"/>
    <w:semiHidden/>
    <w:rsid w:val="00B65A09"/>
    <w:rPr>
      <w:rFonts w:asciiTheme="majorHAnsi" w:eastAsiaTheme="majorEastAsia" w:hAnsiTheme="majorHAnsi" w:cstheme="majorBidi"/>
      <w:color w:val="2F5496" w:themeColor="accent1" w:themeShade="BF"/>
      <w:sz w:val="20"/>
    </w:rPr>
  </w:style>
  <w:style w:type="character" w:customStyle="1" w:styleId="Naslov6Znak">
    <w:name w:val="Naslov 6 Znak"/>
    <w:basedOn w:val="Privzetapisavaodstavka"/>
    <w:link w:val="Naslov6"/>
    <w:uiPriority w:val="9"/>
    <w:semiHidden/>
    <w:rsid w:val="00B65A09"/>
    <w:rPr>
      <w:rFonts w:asciiTheme="majorHAnsi" w:eastAsiaTheme="majorEastAsia" w:hAnsiTheme="majorHAnsi" w:cstheme="majorBidi"/>
      <w:color w:val="1F3763" w:themeColor="accent1" w:themeShade="7F"/>
      <w:sz w:val="20"/>
    </w:rPr>
  </w:style>
  <w:style w:type="character" w:customStyle="1" w:styleId="Naslov7Znak">
    <w:name w:val="Naslov 7 Znak"/>
    <w:basedOn w:val="Privzetapisavaodstavka"/>
    <w:link w:val="Naslov7"/>
    <w:uiPriority w:val="9"/>
    <w:semiHidden/>
    <w:rsid w:val="00B65A09"/>
    <w:rPr>
      <w:rFonts w:asciiTheme="majorHAnsi" w:eastAsiaTheme="majorEastAsia" w:hAnsiTheme="majorHAnsi" w:cstheme="majorBidi"/>
      <w:i/>
      <w:iCs/>
      <w:color w:val="1F3763" w:themeColor="accent1" w:themeShade="7F"/>
      <w:sz w:val="20"/>
    </w:rPr>
  </w:style>
  <w:style w:type="character" w:customStyle="1" w:styleId="Naslov8Znak">
    <w:name w:val="Naslov 8 Znak"/>
    <w:basedOn w:val="Privzetapisavaodstavka"/>
    <w:link w:val="Naslov8"/>
    <w:uiPriority w:val="9"/>
    <w:semiHidden/>
    <w:rsid w:val="00B65A09"/>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B65A09"/>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345B35"/>
    <w:pPr>
      <w:numPr>
        <w:numId w:val="0"/>
      </w:numPr>
      <w:outlineLvl w:val="9"/>
    </w:pPr>
    <w:rPr>
      <w:lang w:eastAsia="sl-SI"/>
    </w:rPr>
  </w:style>
  <w:style w:type="paragraph" w:styleId="Kazalovsebine1">
    <w:name w:val="toc 1"/>
    <w:basedOn w:val="Navaden"/>
    <w:next w:val="Navaden"/>
    <w:autoRedefine/>
    <w:uiPriority w:val="39"/>
    <w:unhideWhenUsed/>
    <w:rsid w:val="002B5DE0"/>
    <w:pPr>
      <w:spacing w:after="100"/>
      <w:ind w:left="454" w:right="454" w:hanging="454"/>
    </w:pPr>
    <w:rPr>
      <w:b/>
    </w:rPr>
  </w:style>
  <w:style w:type="paragraph" w:styleId="Kazalovsebine2">
    <w:name w:val="toc 2"/>
    <w:basedOn w:val="Navaden"/>
    <w:next w:val="Navaden"/>
    <w:autoRedefine/>
    <w:uiPriority w:val="39"/>
    <w:unhideWhenUsed/>
    <w:rsid w:val="00640368"/>
    <w:pPr>
      <w:spacing w:after="100"/>
      <w:ind w:left="851" w:right="454" w:hanging="567"/>
    </w:pPr>
  </w:style>
  <w:style w:type="paragraph" w:styleId="Kazalovsebine3">
    <w:name w:val="toc 3"/>
    <w:basedOn w:val="Navaden"/>
    <w:next w:val="Navaden"/>
    <w:autoRedefine/>
    <w:uiPriority w:val="39"/>
    <w:unhideWhenUsed/>
    <w:rsid w:val="00FF6B53"/>
    <w:pPr>
      <w:tabs>
        <w:tab w:val="right" w:leader="dot" w:pos="9061"/>
      </w:tabs>
      <w:spacing w:after="100"/>
      <w:ind w:left="1134" w:right="454" w:hanging="680"/>
    </w:pPr>
  </w:style>
  <w:style w:type="character" w:styleId="Hiperpovezava">
    <w:name w:val="Hyperlink"/>
    <w:basedOn w:val="Privzetapisavaodstavka"/>
    <w:uiPriority w:val="99"/>
    <w:unhideWhenUsed/>
    <w:rsid w:val="00345B35"/>
    <w:rPr>
      <w:color w:val="0563C1" w:themeColor="hyperlink"/>
      <w:u w:val="single"/>
    </w:rPr>
  </w:style>
  <w:style w:type="paragraph" w:styleId="Odstavekseznama">
    <w:name w:val="List Paragraph"/>
    <w:basedOn w:val="Navaden"/>
    <w:link w:val="OdstavekseznamaZnak"/>
    <w:uiPriority w:val="34"/>
    <w:qFormat/>
    <w:rsid w:val="00D52972"/>
    <w:pPr>
      <w:numPr>
        <w:numId w:val="2"/>
      </w:numPr>
      <w:spacing w:after="120" w:line="240" w:lineRule="auto"/>
    </w:pPr>
  </w:style>
  <w:style w:type="character" w:styleId="Pripombasklic">
    <w:name w:val="annotation reference"/>
    <w:basedOn w:val="Privzetapisavaodstavka"/>
    <w:uiPriority w:val="99"/>
    <w:semiHidden/>
    <w:unhideWhenUsed/>
    <w:rsid w:val="009B6F2F"/>
    <w:rPr>
      <w:sz w:val="16"/>
      <w:szCs w:val="16"/>
    </w:rPr>
  </w:style>
  <w:style w:type="paragraph" w:styleId="Pripombabesedilo">
    <w:name w:val="annotation text"/>
    <w:basedOn w:val="Navaden"/>
    <w:link w:val="PripombabesediloZnak"/>
    <w:uiPriority w:val="99"/>
    <w:unhideWhenUsed/>
    <w:rsid w:val="009B6F2F"/>
    <w:pPr>
      <w:spacing w:line="240" w:lineRule="auto"/>
    </w:pPr>
    <w:rPr>
      <w:szCs w:val="20"/>
    </w:rPr>
  </w:style>
  <w:style w:type="character" w:customStyle="1" w:styleId="PripombabesediloZnak">
    <w:name w:val="Pripomba – besedilo Znak"/>
    <w:basedOn w:val="Privzetapisavaodstavka"/>
    <w:link w:val="Pripombabesedilo"/>
    <w:uiPriority w:val="99"/>
    <w:rsid w:val="009B6F2F"/>
    <w:rPr>
      <w:sz w:val="20"/>
      <w:szCs w:val="20"/>
    </w:rPr>
  </w:style>
  <w:style w:type="paragraph" w:styleId="Zadevapripombe">
    <w:name w:val="annotation subject"/>
    <w:basedOn w:val="Pripombabesedilo"/>
    <w:next w:val="Pripombabesedilo"/>
    <w:link w:val="ZadevapripombeZnak"/>
    <w:uiPriority w:val="99"/>
    <w:semiHidden/>
    <w:unhideWhenUsed/>
    <w:rsid w:val="009B6F2F"/>
    <w:rPr>
      <w:b/>
      <w:bCs/>
    </w:rPr>
  </w:style>
  <w:style w:type="character" w:customStyle="1" w:styleId="ZadevapripombeZnak">
    <w:name w:val="Zadeva pripombe Znak"/>
    <w:basedOn w:val="PripombabesediloZnak"/>
    <w:link w:val="Zadevapripombe"/>
    <w:uiPriority w:val="99"/>
    <w:semiHidden/>
    <w:rsid w:val="009B6F2F"/>
    <w:rPr>
      <w:b/>
      <w:bCs/>
      <w:sz w:val="20"/>
      <w:szCs w:val="20"/>
    </w:rPr>
  </w:style>
  <w:style w:type="paragraph" w:styleId="Sprotnaopomba-besedilo">
    <w:name w:val="footnote text"/>
    <w:basedOn w:val="Navaden"/>
    <w:link w:val="Sprotnaopomba-besediloZnak"/>
    <w:unhideWhenUsed/>
    <w:rsid w:val="00FA1893"/>
    <w:pPr>
      <w:spacing w:after="0" w:line="240" w:lineRule="auto"/>
    </w:pPr>
    <w:rPr>
      <w:szCs w:val="20"/>
    </w:rPr>
  </w:style>
  <w:style w:type="character" w:customStyle="1" w:styleId="Sprotnaopomba-besediloZnak">
    <w:name w:val="Sprotna opomba - besedilo Znak"/>
    <w:basedOn w:val="Privzetapisavaodstavka"/>
    <w:link w:val="Sprotnaopomba-besedilo"/>
    <w:rsid w:val="00FA1893"/>
    <w:rPr>
      <w:sz w:val="20"/>
      <w:szCs w:val="20"/>
    </w:rPr>
  </w:style>
  <w:style w:type="character" w:styleId="Sprotnaopomba-sklic">
    <w:name w:val="footnote reference"/>
    <w:basedOn w:val="Privzetapisavaodstavka"/>
    <w:semiHidden/>
    <w:unhideWhenUsed/>
    <w:rsid w:val="00FA1893"/>
    <w:rPr>
      <w:vertAlign w:val="superscript"/>
    </w:rPr>
  </w:style>
  <w:style w:type="paragraph" w:styleId="Kazalovsebine4">
    <w:name w:val="toc 4"/>
    <w:basedOn w:val="Navaden"/>
    <w:next w:val="Navaden"/>
    <w:autoRedefine/>
    <w:uiPriority w:val="39"/>
    <w:unhideWhenUsed/>
    <w:rsid w:val="007B1A45"/>
    <w:pPr>
      <w:tabs>
        <w:tab w:val="left" w:pos="1540"/>
        <w:tab w:val="right" w:leader="dot" w:pos="9062"/>
      </w:tabs>
      <w:spacing w:after="100"/>
      <w:ind w:left="1475" w:right="454" w:hanging="851"/>
      <w:jc w:val="left"/>
    </w:pPr>
    <w:rPr>
      <w:rFonts w:eastAsiaTheme="minorEastAsia"/>
      <w:noProof/>
      <w:lang w:eastAsia="sl-SI"/>
    </w:rPr>
  </w:style>
  <w:style w:type="paragraph" w:styleId="Kazalovsebine5">
    <w:name w:val="toc 5"/>
    <w:basedOn w:val="Navaden"/>
    <w:next w:val="Navaden"/>
    <w:autoRedefine/>
    <w:uiPriority w:val="39"/>
    <w:unhideWhenUsed/>
    <w:rsid w:val="006A23F1"/>
    <w:pPr>
      <w:spacing w:after="100"/>
      <w:ind w:left="880"/>
      <w:jc w:val="left"/>
    </w:pPr>
    <w:rPr>
      <w:rFonts w:asciiTheme="minorHAnsi" w:eastAsiaTheme="minorEastAsia" w:hAnsiTheme="minorHAnsi"/>
      <w:sz w:val="22"/>
      <w:lang w:eastAsia="sl-SI"/>
    </w:rPr>
  </w:style>
  <w:style w:type="paragraph" w:styleId="Kazalovsebine6">
    <w:name w:val="toc 6"/>
    <w:basedOn w:val="Navaden"/>
    <w:next w:val="Navaden"/>
    <w:autoRedefine/>
    <w:uiPriority w:val="39"/>
    <w:unhideWhenUsed/>
    <w:rsid w:val="006A23F1"/>
    <w:pPr>
      <w:spacing w:after="100"/>
      <w:ind w:left="1100"/>
      <w:jc w:val="left"/>
    </w:pPr>
    <w:rPr>
      <w:rFonts w:asciiTheme="minorHAnsi" w:eastAsiaTheme="minorEastAsia" w:hAnsiTheme="minorHAnsi"/>
      <w:sz w:val="22"/>
      <w:lang w:eastAsia="sl-SI"/>
    </w:rPr>
  </w:style>
  <w:style w:type="paragraph" w:styleId="Kazalovsebine7">
    <w:name w:val="toc 7"/>
    <w:basedOn w:val="Navaden"/>
    <w:next w:val="Navaden"/>
    <w:autoRedefine/>
    <w:uiPriority w:val="39"/>
    <w:unhideWhenUsed/>
    <w:rsid w:val="006A23F1"/>
    <w:pPr>
      <w:spacing w:after="100"/>
      <w:ind w:left="1320"/>
      <w:jc w:val="left"/>
    </w:pPr>
    <w:rPr>
      <w:rFonts w:asciiTheme="minorHAnsi" w:eastAsiaTheme="minorEastAsia" w:hAnsiTheme="minorHAnsi"/>
      <w:sz w:val="22"/>
      <w:lang w:eastAsia="sl-SI"/>
    </w:rPr>
  </w:style>
  <w:style w:type="paragraph" w:styleId="Kazalovsebine8">
    <w:name w:val="toc 8"/>
    <w:basedOn w:val="Navaden"/>
    <w:next w:val="Navaden"/>
    <w:autoRedefine/>
    <w:uiPriority w:val="39"/>
    <w:unhideWhenUsed/>
    <w:rsid w:val="006A23F1"/>
    <w:pPr>
      <w:spacing w:after="100"/>
      <w:ind w:left="1540"/>
      <w:jc w:val="left"/>
    </w:pPr>
    <w:rPr>
      <w:rFonts w:asciiTheme="minorHAnsi" w:eastAsiaTheme="minorEastAsia" w:hAnsiTheme="minorHAnsi"/>
      <w:sz w:val="22"/>
      <w:lang w:eastAsia="sl-SI"/>
    </w:rPr>
  </w:style>
  <w:style w:type="paragraph" w:styleId="Kazalovsebine9">
    <w:name w:val="toc 9"/>
    <w:basedOn w:val="Navaden"/>
    <w:next w:val="Navaden"/>
    <w:autoRedefine/>
    <w:uiPriority w:val="39"/>
    <w:unhideWhenUsed/>
    <w:rsid w:val="006A23F1"/>
    <w:pPr>
      <w:spacing w:after="100"/>
      <w:ind w:left="1760"/>
      <w:jc w:val="left"/>
    </w:pPr>
    <w:rPr>
      <w:rFonts w:asciiTheme="minorHAnsi" w:eastAsiaTheme="minorEastAsia" w:hAnsiTheme="minorHAnsi"/>
      <w:sz w:val="22"/>
      <w:lang w:eastAsia="sl-SI"/>
    </w:rPr>
  </w:style>
  <w:style w:type="character" w:styleId="Nerazreenaomemba">
    <w:name w:val="Unresolved Mention"/>
    <w:basedOn w:val="Privzetapisavaodstavka"/>
    <w:uiPriority w:val="99"/>
    <w:semiHidden/>
    <w:unhideWhenUsed/>
    <w:rsid w:val="006A23F1"/>
    <w:rPr>
      <w:color w:val="605E5C"/>
      <w:shd w:val="clear" w:color="auto" w:fill="E1DFDD"/>
    </w:rPr>
  </w:style>
  <w:style w:type="paragraph" w:styleId="Glava">
    <w:name w:val="header"/>
    <w:basedOn w:val="Navaden"/>
    <w:link w:val="GlavaZnak"/>
    <w:unhideWhenUsed/>
    <w:rsid w:val="006A23F1"/>
    <w:pPr>
      <w:tabs>
        <w:tab w:val="center" w:pos="4536"/>
        <w:tab w:val="right" w:pos="9072"/>
      </w:tabs>
      <w:spacing w:after="0" w:line="240" w:lineRule="auto"/>
    </w:pPr>
  </w:style>
  <w:style w:type="character" w:customStyle="1" w:styleId="GlavaZnak">
    <w:name w:val="Glava Znak"/>
    <w:basedOn w:val="Privzetapisavaodstavka"/>
    <w:link w:val="Glava"/>
    <w:uiPriority w:val="99"/>
    <w:rsid w:val="006A23F1"/>
    <w:rPr>
      <w:rFonts w:ascii="Arial" w:hAnsi="Arial"/>
      <w:sz w:val="20"/>
    </w:rPr>
  </w:style>
  <w:style w:type="paragraph" w:styleId="Noga">
    <w:name w:val="footer"/>
    <w:basedOn w:val="Navaden"/>
    <w:link w:val="NogaZnak"/>
    <w:uiPriority w:val="99"/>
    <w:unhideWhenUsed/>
    <w:rsid w:val="006A23F1"/>
    <w:pPr>
      <w:tabs>
        <w:tab w:val="center" w:pos="4536"/>
        <w:tab w:val="right" w:pos="9072"/>
      </w:tabs>
      <w:spacing w:after="0" w:line="240" w:lineRule="auto"/>
    </w:pPr>
  </w:style>
  <w:style w:type="character" w:customStyle="1" w:styleId="NogaZnak">
    <w:name w:val="Noga Znak"/>
    <w:basedOn w:val="Privzetapisavaodstavka"/>
    <w:link w:val="Noga"/>
    <w:uiPriority w:val="99"/>
    <w:rsid w:val="006A23F1"/>
    <w:rPr>
      <w:rFonts w:ascii="Arial" w:hAnsi="Arial"/>
      <w:sz w:val="20"/>
    </w:rPr>
  </w:style>
  <w:style w:type="character" w:customStyle="1" w:styleId="OdstavekseznamaZnak">
    <w:name w:val="Odstavek seznama Znak"/>
    <w:link w:val="Odstavekseznama"/>
    <w:uiPriority w:val="34"/>
    <w:locked/>
    <w:rsid w:val="00313624"/>
    <w:rPr>
      <w:rFonts w:ascii="Arial" w:hAnsi="Arial"/>
      <w:sz w:val="20"/>
    </w:rPr>
  </w:style>
  <w:style w:type="paragraph" w:styleId="Telobesedila">
    <w:name w:val="Body Text"/>
    <w:basedOn w:val="Navaden"/>
    <w:link w:val="TelobesedilaZnak"/>
    <w:uiPriority w:val="99"/>
    <w:rsid w:val="00AD7A14"/>
    <w:pPr>
      <w:spacing w:after="0" w:line="240" w:lineRule="auto"/>
      <w:ind w:right="-766"/>
    </w:pPr>
    <w:rPr>
      <w:rFonts w:ascii="Times New Roman" w:eastAsia="Times New Roman" w:hAnsi="Times New Roman" w:cs="Arial"/>
      <w:sz w:val="24"/>
      <w:szCs w:val="20"/>
    </w:rPr>
  </w:style>
  <w:style w:type="character" w:customStyle="1" w:styleId="TelobesedilaZnak">
    <w:name w:val="Telo besedila Znak"/>
    <w:basedOn w:val="Privzetapisavaodstavka"/>
    <w:link w:val="Telobesedila"/>
    <w:uiPriority w:val="99"/>
    <w:rsid w:val="00AD7A14"/>
    <w:rPr>
      <w:rFonts w:ascii="Times New Roman" w:eastAsia="Times New Roman" w:hAnsi="Times New Roman" w:cs="Arial"/>
      <w:sz w:val="24"/>
      <w:szCs w:val="20"/>
    </w:rPr>
  </w:style>
  <w:style w:type="paragraph" w:styleId="Telobesedila2">
    <w:name w:val="Body Text 2"/>
    <w:basedOn w:val="Navaden"/>
    <w:link w:val="Telobesedila2Znak"/>
    <w:uiPriority w:val="99"/>
    <w:unhideWhenUsed/>
    <w:rsid w:val="006F551F"/>
    <w:pPr>
      <w:spacing w:after="120" w:line="480" w:lineRule="auto"/>
    </w:pPr>
  </w:style>
  <w:style w:type="character" w:customStyle="1" w:styleId="Telobesedila2Znak">
    <w:name w:val="Telo besedila 2 Znak"/>
    <w:basedOn w:val="Privzetapisavaodstavka"/>
    <w:link w:val="Telobesedila2"/>
    <w:uiPriority w:val="99"/>
    <w:rsid w:val="006F551F"/>
    <w:rPr>
      <w:rFonts w:ascii="Arial" w:hAnsi="Arial"/>
      <w:sz w:val="20"/>
    </w:rPr>
  </w:style>
  <w:style w:type="paragraph" w:styleId="Konnaopomba-besedilo">
    <w:name w:val="endnote text"/>
    <w:basedOn w:val="Navaden"/>
    <w:link w:val="Konnaopomba-besediloZnak"/>
    <w:uiPriority w:val="99"/>
    <w:semiHidden/>
    <w:unhideWhenUsed/>
    <w:rsid w:val="009133AC"/>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9133AC"/>
    <w:rPr>
      <w:rFonts w:ascii="Arial" w:hAnsi="Arial"/>
      <w:sz w:val="20"/>
      <w:szCs w:val="20"/>
    </w:rPr>
  </w:style>
  <w:style w:type="character" w:styleId="Konnaopomba-sklic">
    <w:name w:val="endnote reference"/>
    <w:basedOn w:val="Privzetapisavaodstavka"/>
    <w:uiPriority w:val="99"/>
    <w:semiHidden/>
    <w:unhideWhenUsed/>
    <w:rsid w:val="009133AC"/>
    <w:rPr>
      <w:vertAlign w:val="superscript"/>
    </w:rPr>
  </w:style>
  <w:style w:type="table" w:styleId="Tabelatemnamrea5poudarek5">
    <w:name w:val="Grid Table 5 Dark Accent 5"/>
    <w:basedOn w:val="Navadnatabela"/>
    <w:uiPriority w:val="50"/>
    <w:rsid w:val="00432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temnamrea5poudarek4">
    <w:name w:val="Grid Table 5 Dark Accent 4"/>
    <w:basedOn w:val="Navadnatabela"/>
    <w:uiPriority w:val="50"/>
    <w:rsid w:val="00432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mrea">
    <w:name w:val="Table Grid"/>
    <w:basedOn w:val="Navadnatabela"/>
    <w:uiPriority w:val="39"/>
    <w:rsid w:val="0063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temnamrea5poudarek1">
    <w:name w:val="Grid Table 5 Dark Accent 1"/>
    <w:basedOn w:val="Navadnatabela"/>
    <w:uiPriority w:val="50"/>
    <w:rsid w:val="00897C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eznam3poudarek5">
    <w:name w:val="List Table 3 Accent 5"/>
    <w:basedOn w:val="Navadnatabela"/>
    <w:uiPriority w:val="48"/>
    <w:rsid w:val="00897CF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seznam4poudarek5">
    <w:name w:val="List Table 4 Accent 5"/>
    <w:basedOn w:val="Navadnatabela"/>
    <w:uiPriority w:val="49"/>
    <w:rsid w:val="00897C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temenseznam5poudarek5">
    <w:name w:val="List Table 5 Dark Accent 5"/>
    <w:basedOn w:val="Navadnatabela"/>
    <w:uiPriority w:val="50"/>
    <w:rsid w:val="00897CF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Oznaenseznam2">
    <w:name w:val="List Bullet 2"/>
    <w:basedOn w:val="Navaden"/>
    <w:autoRedefine/>
    <w:rsid w:val="00AB3726"/>
    <w:pPr>
      <w:widowControl w:val="0"/>
      <w:numPr>
        <w:numId w:val="3"/>
      </w:numPr>
      <w:tabs>
        <w:tab w:val="num" w:pos="720"/>
      </w:tabs>
      <w:snapToGrid w:val="0"/>
      <w:spacing w:after="0" w:line="240" w:lineRule="auto"/>
    </w:pPr>
    <w:rPr>
      <w:rFonts w:ascii="Times New Roman" w:eastAsia="Times New Roman" w:hAnsi="Times New Roman" w:cs="Times New Roman"/>
      <w:sz w:val="24"/>
      <w:szCs w:val="20"/>
      <w:lang w:val="en-GB"/>
    </w:rPr>
  </w:style>
  <w:style w:type="paragraph" w:customStyle="1" w:styleId="oj-doc-ti">
    <w:name w:val="oj-doc-ti"/>
    <w:basedOn w:val="Navaden"/>
    <w:rsid w:val="00B75EEE"/>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oj-bold">
    <w:name w:val="oj-bold"/>
    <w:basedOn w:val="Privzetapisavaodstavka"/>
    <w:rsid w:val="001C6973"/>
  </w:style>
  <w:style w:type="paragraph" w:customStyle="1" w:styleId="doc-ti">
    <w:name w:val="doc-ti"/>
    <w:basedOn w:val="Navaden"/>
    <w:rsid w:val="00572701"/>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Revizija">
    <w:name w:val="Revision"/>
    <w:hidden/>
    <w:uiPriority w:val="99"/>
    <w:semiHidden/>
    <w:rsid w:val="007905D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9161">
      <w:bodyDiv w:val="1"/>
      <w:marLeft w:val="0"/>
      <w:marRight w:val="0"/>
      <w:marTop w:val="0"/>
      <w:marBottom w:val="0"/>
      <w:divBdr>
        <w:top w:val="none" w:sz="0" w:space="0" w:color="auto"/>
        <w:left w:val="none" w:sz="0" w:space="0" w:color="auto"/>
        <w:bottom w:val="none" w:sz="0" w:space="0" w:color="auto"/>
        <w:right w:val="none" w:sz="0" w:space="0" w:color="auto"/>
      </w:divBdr>
    </w:div>
    <w:div w:id="759983574">
      <w:bodyDiv w:val="1"/>
      <w:marLeft w:val="0"/>
      <w:marRight w:val="0"/>
      <w:marTop w:val="0"/>
      <w:marBottom w:val="0"/>
      <w:divBdr>
        <w:top w:val="none" w:sz="0" w:space="0" w:color="auto"/>
        <w:left w:val="none" w:sz="0" w:space="0" w:color="auto"/>
        <w:bottom w:val="none" w:sz="0" w:space="0" w:color="auto"/>
        <w:right w:val="none" w:sz="0" w:space="0" w:color="auto"/>
      </w:divBdr>
    </w:div>
    <w:div w:id="843279639">
      <w:bodyDiv w:val="1"/>
      <w:marLeft w:val="0"/>
      <w:marRight w:val="0"/>
      <w:marTop w:val="0"/>
      <w:marBottom w:val="0"/>
      <w:divBdr>
        <w:top w:val="none" w:sz="0" w:space="0" w:color="auto"/>
        <w:left w:val="none" w:sz="0" w:space="0" w:color="auto"/>
        <w:bottom w:val="none" w:sz="0" w:space="0" w:color="auto"/>
        <w:right w:val="none" w:sz="0" w:space="0" w:color="auto"/>
      </w:divBdr>
    </w:div>
    <w:div w:id="1215389984">
      <w:bodyDiv w:val="1"/>
      <w:marLeft w:val="0"/>
      <w:marRight w:val="0"/>
      <w:marTop w:val="0"/>
      <w:marBottom w:val="0"/>
      <w:divBdr>
        <w:top w:val="none" w:sz="0" w:space="0" w:color="auto"/>
        <w:left w:val="none" w:sz="0" w:space="0" w:color="auto"/>
        <w:bottom w:val="none" w:sz="0" w:space="0" w:color="auto"/>
        <w:right w:val="none" w:sz="0" w:space="0" w:color="auto"/>
      </w:divBdr>
    </w:div>
    <w:div w:id="169511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71EEDB-A42C-491C-B239-DB6EA597C06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4B69D42E-376F-4950-A3CA-2AF6FD6FCA25}">
      <dgm:prSet phldrT="[Text]" custT="1"/>
      <dgm:spPr>
        <a:solidFill>
          <a:srgbClr val="285A6E"/>
        </a:solidFill>
      </dgm:spPr>
      <dgm:t>
        <a:bodyPr/>
        <a:lstStyle/>
        <a:p>
          <a:pPr>
            <a:lnSpc>
              <a:spcPct val="100000"/>
            </a:lnSpc>
            <a:spcAft>
              <a:spcPts val="0"/>
            </a:spcAft>
          </a:pPr>
          <a:r>
            <a:rPr lang="sl-SI" sz="800" b="0"/>
            <a:t>OFFICE FOR MONEY LAUNDERING PREVENTION OF THE REPUBLIC OF SLOVENIA </a:t>
          </a:r>
        </a:p>
      </dgm:t>
    </dgm:pt>
    <dgm:pt modelId="{64924D47-EFFC-4F58-B9D9-E1277F32FD57}" type="parTrans" cxnId="{0CC0D719-8B34-4583-A5A3-C5A3436DB5B6}">
      <dgm:prSet/>
      <dgm:spPr/>
      <dgm:t>
        <a:bodyPr/>
        <a:lstStyle/>
        <a:p>
          <a:endParaRPr lang="sl-SI"/>
        </a:p>
      </dgm:t>
    </dgm:pt>
    <dgm:pt modelId="{1D521FF9-EEFC-4D49-A3E9-5B1CAC5E29C7}" type="sibTrans" cxnId="{0CC0D719-8B34-4583-A5A3-C5A3436DB5B6}">
      <dgm:prSet/>
      <dgm:spPr/>
      <dgm:t>
        <a:bodyPr/>
        <a:lstStyle/>
        <a:p>
          <a:endParaRPr lang="sl-SI"/>
        </a:p>
      </dgm:t>
    </dgm:pt>
    <dgm:pt modelId="{6D1D99D6-9972-4BAF-AB49-5CCA638FF973}">
      <dgm:prSet phldrT="[Text]" custT="1"/>
      <dgm:spPr>
        <a:solidFill>
          <a:srgbClr val="285A6E"/>
        </a:solidFill>
      </dgm:spPr>
      <dgm:t>
        <a:bodyPr/>
        <a:lstStyle/>
        <a:p>
          <a:pPr>
            <a:lnSpc>
              <a:spcPct val="100000"/>
            </a:lnSpc>
            <a:spcAft>
              <a:spcPts val="0"/>
            </a:spcAft>
          </a:pPr>
          <a:r>
            <a:rPr lang="sl-SI" sz="800" b="0"/>
            <a:t>GENERAL AFFAIRS DIVISION AND IT SUPPORT</a:t>
          </a:r>
        </a:p>
      </dgm:t>
    </dgm:pt>
    <dgm:pt modelId="{57F896C1-04A8-47B7-9211-3403E4C04F84}" type="parTrans" cxnId="{CBDC038B-E505-41A6-B7EE-53022C1B363B}">
      <dgm:prSet/>
      <dgm:spPr/>
      <dgm:t>
        <a:bodyPr/>
        <a:lstStyle/>
        <a:p>
          <a:endParaRPr lang="sl-SI"/>
        </a:p>
      </dgm:t>
    </dgm:pt>
    <dgm:pt modelId="{320AAEBD-5BFC-4A16-B90E-3BB29F5FFFBA}" type="sibTrans" cxnId="{CBDC038B-E505-41A6-B7EE-53022C1B363B}">
      <dgm:prSet/>
      <dgm:spPr/>
      <dgm:t>
        <a:bodyPr/>
        <a:lstStyle/>
        <a:p>
          <a:endParaRPr lang="sl-SI"/>
        </a:p>
      </dgm:t>
    </dgm:pt>
    <dgm:pt modelId="{06D45869-8193-4D83-9F51-00A80F044C6E}">
      <dgm:prSet phldrT="[Text]" custT="1"/>
      <dgm:spPr>
        <a:solidFill>
          <a:srgbClr val="285A6E"/>
        </a:solidFill>
      </dgm:spPr>
      <dgm:t>
        <a:bodyPr/>
        <a:lstStyle/>
        <a:p>
          <a:pPr>
            <a:lnSpc>
              <a:spcPct val="100000"/>
            </a:lnSpc>
            <a:spcAft>
              <a:spcPts val="0"/>
            </a:spcAft>
          </a:pPr>
          <a:r>
            <a:rPr lang="sl-SI" sz="800" b="0"/>
            <a:t>DIVISION OF INTERNATIONAL AFFAIRS AND PREVENTION</a:t>
          </a:r>
        </a:p>
      </dgm:t>
    </dgm:pt>
    <dgm:pt modelId="{70071DB5-B3BD-4D08-AD28-3FBC5D84BD35}" type="parTrans" cxnId="{03DA271A-B029-48C9-AE51-62BE4CF18B07}">
      <dgm:prSet/>
      <dgm:spPr/>
      <dgm:t>
        <a:bodyPr/>
        <a:lstStyle/>
        <a:p>
          <a:endParaRPr lang="sl-SI"/>
        </a:p>
      </dgm:t>
    </dgm:pt>
    <dgm:pt modelId="{66DD66B8-6D61-4887-80CA-C0BFC9D16E68}" type="sibTrans" cxnId="{03DA271A-B029-48C9-AE51-62BE4CF18B07}">
      <dgm:prSet/>
      <dgm:spPr/>
      <dgm:t>
        <a:bodyPr/>
        <a:lstStyle/>
        <a:p>
          <a:endParaRPr lang="sl-SI"/>
        </a:p>
      </dgm:t>
    </dgm:pt>
    <dgm:pt modelId="{945F105C-D374-431E-A19E-D693C7093FF9}">
      <dgm:prSet phldrT="[Text]" custT="1"/>
      <dgm:spPr>
        <a:solidFill>
          <a:srgbClr val="285A6E"/>
        </a:solidFill>
      </dgm:spPr>
      <dgm:t>
        <a:bodyPr/>
        <a:lstStyle/>
        <a:p>
          <a:pPr>
            <a:lnSpc>
              <a:spcPct val="100000"/>
            </a:lnSpc>
            <a:spcAft>
              <a:spcPts val="0"/>
            </a:spcAft>
          </a:pPr>
          <a:r>
            <a:rPr lang="sl-SI" sz="800"/>
            <a:t>INSPECTION</a:t>
          </a:r>
        </a:p>
      </dgm:t>
    </dgm:pt>
    <dgm:pt modelId="{70F52B5B-858D-4611-AB58-9B53B2F30601}" type="parTrans" cxnId="{BE39EC49-33AC-4037-840C-0DCE41A34EDE}">
      <dgm:prSet/>
      <dgm:spPr/>
      <dgm:t>
        <a:bodyPr/>
        <a:lstStyle/>
        <a:p>
          <a:endParaRPr lang="sl-SI"/>
        </a:p>
      </dgm:t>
    </dgm:pt>
    <dgm:pt modelId="{49089008-F57A-4AA5-8848-A13E30357DD2}" type="sibTrans" cxnId="{BE39EC49-33AC-4037-840C-0DCE41A34EDE}">
      <dgm:prSet/>
      <dgm:spPr/>
      <dgm:t>
        <a:bodyPr/>
        <a:lstStyle/>
        <a:p>
          <a:endParaRPr lang="sl-SI"/>
        </a:p>
      </dgm:t>
    </dgm:pt>
    <dgm:pt modelId="{FABF1ABA-50BF-427D-B925-6024B17AB4C5}">
      <dgm:prSet phldrT="[Text]" custT="1"/>
      <dgm:spPr>
        <a:solidFill>
          <a:srgbClr val="285A6E"/>
        </a:solidFill>
      </dgm:spPr>
      <dgm:t>
        <a:bodyPr/>
        <a:lstStyle/>
        <a:p>
          <a:pPr>
            <a:lnSpc>
              <a:spcPct val="100000"/>
            </a:lnSpc>
            <a:spcAft>
              <a:spcPts val="0"/>
            </a:spcAft>
          </a:pPr>
          <a:r>
            <a:rPr lang="sl-SI" sz="800" b="0"/>
            <a:t>LEGAL AFFAIRS DIVISION</a:t>
          </a:r>
        </a:p>
      </dgm:t>
    </dgm:pt>
    <dgm:pt modelId="{505F886A-710B-49A9-BF23-4E0B11910B07}" type="parTrans" cxnId="{007CAE65-2D2B-4474-B072-4E2B8AE15680}">
      <dgm:prSet/>
      <dgm:spPr/>
      <dgm:t>
        <a:bodyPr/>
        <a:lstStyle/>
        <a:p>
          <a:endParaRPr lang="sl-SI"/>
        </a:p>
      </dgm:t>
    </dgm:pt>
    <dgm:pt modelId="{7A359032-AD39-4215-AA2F-0584EC172695}" type="sibTrans" cxnId="{007CAE65-2D2B-4474-B072-4E2B8AE15680}">
      <dgm:prSet/>
      <dgm:spPr/>
      <dgm:t>
        <a:bodyPr/>
        <a:lstStyle/>
        <a:p>
          <a:endParaRPr lang="sl-SI"/>
        </a:p>
      </dgm:t>
    </dgm:pt>
    <dgm:pt modelId="{7077E773-9EF8-474A-A0DD-35FFA4E490F4}">
      <dgm:prSet phldrT="[Text]" custT="1"/>
      <dgm:spPr>
        <a:solidFill>
          <a:srgbClr val="285A6E"/>
        </a:solidFill>
      </dgm:spPr>
      <dgm:t>
        <a:bodyPr/>
        <a:lstStyle/>
        <a:p>
          <a:pPr>
            <a:lnSpc>
              <a:spcPct val="100000"/>
            </a:lnSpc>
            <a:spcAft>
              <a:spcPts val="0"/>
            </a:spcAft>
          </a:pPr>
          <a:r>
            <a:rPr lang="sl-SI" sz="800" b="0"/>
            <a:t>DIVISION FOR MONITORING, ANALYSIS AND SUPERVISION</a:t>
          </a:r>
        </a:p>
      </dgm:t>
    </dgm:pt>
    <dgm:pt modelId="{3BD4581D-2697-4AB4-99C6-8120ADC78D6A}" type="parTrans" cxnId="{73E5E6C9-BECB-4071-94D1-A58D98BE037A}">
      <dgm:prSet/>
      <dgm:spPr/>
      <dgm:t>
        <a:bodyPr/>
        <a:lstStyle/>
        <a:p>
          <a:endParaRPr lang="sl-SI"/>
        </a:p>
      </dgm:t>
    </dgm:pt>
    <dgm:pt modelId="{E25F795F-7564-40A0-812E-33BFEB62067D}" type="sibTrans" cxnId="{73E5E6C9-BECB-4071-94D1-A58D98BE037A}">
      <dgm:prSet/>
      <dgm:spPr/>
      <dgm:t>
        <a:bodyPr/>
        <a:lstStyle/>
        <a:p>
          <a:endParaRPr lang="sl-SI"/>
        </a:p>
      </dgm:t>
    </dgm:pt>
    <dgm:pt modelId="{A56E67CE-9A33-4FEB-B039-6E33940E5BE8}" type="pres">
      <dgm:prSet presAssocID="{A271EEDB-A42C-491C-B239-DB6EA597C06E}" presName="hierChild1" presStyleCnt="0">
        <dgm:presLayoutVars>
          <dgm:orgChart val="1"/>
          <dgm:chPref val="1"/>
          <dgm:dir/>
          <dgm:animOne val="branch"/>
          <dgm:animLvl val="lvl"/>
          <dgm:resizeHandles/>
        </dgm:presLayoutVars>
      </dgm:prSet>
      <dgm:spPr/>
    </dgm:pt>
    <dgm:pt modelId="{7A4A45D4-BBF5-489D-8661-2010F2289496}" type="pres">
      <dgm:prSet presAssocID="{4B69D42E-376F-4950-A3CA-2AF6FD6FCA25}" presName="hierRoot1" presStyleCnt="0">
        <dgm:presLayoutVars>
          <dgm:hierBranch val="init"/>
        </dgm:presLayoutVars>
      </dgm:prSet>
      <dgm:spPr/>
    </dgm:pt>
    <dgm:pt modelId="{E702CB47-F393-4516-89D4-C4B2877E284D}" type="pres">
      <dgm:prSet presAssocID="{4B69D42E-376F-4950-A3CA-2AF6FD6FCA25}" presName="rootComposite1" presStyleCnt="0"/>
      <dgm:spPr/>
    </dgm:pt>
    <dgm:pt modelId="{401413CB-79BD-42F7-851B-359E40C9D963}" type="pres">
      <dgm:prSet presAssocID="{4B69D42E-376F-4950-A3CA-2AF6FD6FCA25}" presName="rootText1" presStyleLbl="node0" presStyleIdx="0" presStyleCnt="1" custScaleX="231528" custScaleY="232620" custLinFactNeighborX="-70845" custLinFactNeighborY="1115">
        <dgm:presLayoutVars>
          <dgm:chPref val="3"/>
        </dgm:presLayoutVars>
      </dgm:prSet>
      <dgm:spPr/>
    </dgm:pt>
    <dgm:pt modelId="{49E0E39F-8845-4F52-8DA3-6A9B0242DCF0}" type="pres">
      <dgm:prSet presAssocID="{4B69D42E-376F-4950-A3CA-2AF6FD6FCA25}" presName="rootConnector1" presStyleLbl="node1" presStyleIdx="0" presStyleCnt="0"/>
      <dgm:spPr/>
    </dgm:pt>
    <dgm:pt modelId="{B65B8251-519A-4093-A3FE-B61E6728E94F}" type="pres">
      <dgm:prSet presAssocID="{4B69D42E-376F-4950-A3CA-2AF6FD6FCA25}" presName="hierChild2" presStyleCnt="0"/>
      <dgm:spPr/>
    </dgm:pt>
    <dgm:pt modelId="{0CC627DA-DEE2-4ABA-8B45-EDA0790A0E41}" type="pres">
      <dgm:prSet presAssocID="{57F896C1-04A8-47B7-9211-3403E4C04F84}" presName="Name37" presStyleLbl="parChTrans1D2" presStyleIdx="0" presStyleCnt="5"/>
      <dgm:spPr/>
    </dgm:pt>
    <dgm:pt modelId="{6EDE4EB0-C26E-4D3C-85B4-F83E1CA156AC}" type="pres">
      <dgm:prSet presAssocID="{6D1D99D6-9972-4BAF-AB49-5CCA638FF973}" presName="hierRoot2" presStyleCnt="0">
        <dgm:presLayoutVars>
          <dgm:hierBranch val="init"/>
        </dgm:presLayoutVars>
      </dgm:prSet>
      <dgm:spPr/>
    </dgm:pt>
    <dgm:pt modelId="{A371CFD6-CCEE-4B10-8B53-05DEF5691C19}" type="pres">
      <dgm:prSet presAssocID="{6D1D99D6-9972-4BAF-AB49-5CCA638FF973}" presName="rootComposite" presStyleCnt="0"/>
      <dgm:spPr/>
    </dgm:pt>
    <dgm:pt modelId="{740B7BC4-D394-4334-A1D7-CA68764AB02C}" type="pres">
      <dgm:prSet presAssocID="{6D1D99D6-9972-4BAF-AB49-5CCA638FF973}" presName="rootText" presStyleLbl="node2" presStyleIdx="0" presStyleCnt="5" custScaleX="189183" custScaleY="219697">
        <dgm:presLayoutVars>
          <dgm:chPref val="3"/>
        </dgm:presLayoutVars>
      </dgm:prSet>
      <dgm:spPr/>
    </dgm:pt>
    <dgm:pt modelId="{B5417743-58E0-4EC7-A5F3-DB145D0B864C}" type="pres">
      <dgm:prSet presAssocID="{6D1D99D6-9972-4BAF-AB49-5CCA638FF973}" presName="rootConnector" presStyleLbl="node2" presStyleIdx="0" presStyleCnt="5"/>
      <dgm:spPr/>
    </dgm:pt>
    <dgm:pt modelId="{E6A4760A-35D7-40A6-993C-D0AA24F8C816}" type="pres">
      <dgm:prSet presAssocID="{6D1D99D6-9972-4BAF-AB49-5CCA638FF973}" presName="hierChild4" presStyleCnt="0"/>
      <dgm:spPr/>
    </dgm:pt>
    <dgm:pt modelId="{F04D7993-AF66-40E8-9B4E-2B069918749F}" type="pres">
      <dgm:prSet presAssocID="{6D1D99D6-9972-4BAF-AB49-5CCA638FF973}" presName="hierChild5" presStyleCnt="0"/>
      <dgm:spPr/>
    </dgm:pt>
    <dgm:pt modelId="{63740187-EB24-41DC-979B-15929C7388FF}" type="pres">
      <dgm:prSet presAssocID="{70071DB5-B3BD-4D08-AD28-3FBC5D84BD35}" presName="Name37" presStyleLbl="parChTrans1D2" presStyleIdx="1" presStyleCnt="5"/>
      <dgm:spPr/>
    </dgm:pt>
    <dgm:pt modelId="{D1C6DADC-A7ED-4D48-8274-53D0E01025B4}" type="pres">
      <dgm:prSet presAssocID="{06D45869-8193-4D83-9F51-00A80F044C6E}" presName="hierRoot2" presStyleCnt="0">
        <dgm:presLayoutVars>
          <dgm:hierBranch val="init"/>
        </dgm:presLayoutVars>
      </dgm:prSet>
      <dgm:spPr/>
    </dgm:pt>
    <dgm:pt modelId="{5EE6E589-25AA-4FE3-AA8D-93CE12DE8761}" type="pres">
      <dgm:prSet presAssocID="{06D45869-8193-4D83-9F51-00A80F044C6E}" presName="rootComposite" presStyleCnt="0"/>
      <dgm:spPr/>
    </dgm:pt>
    <dgm:pt modelId="{892E0F3C-8137-4F90-B1EA-307ABAEB2A45}" type="pres">
      <dgm:prSet presAssocID="{06D45869-8193-4D83-9F51-00A80F044C6E}" presName="rootText" presStyleLbl="node2" presStyleIdx="1" presStyleCnt="5" custScaleX="219339" custScaleY="219697">
        <dgm:presLayoutVars>
          <dgm:chPref val="3"/>
        </dgm:presLayoutVars>
      </dgm:prSet>
      <dgm:spPr/>
    </dgm:pt>
    <dgm:pt modelId="{0CF1DB5E-FC84-4894-951E-2A22EB90B114}" type="pres">
      <dgm:prSet presAssocID="{06D45869-8193-4D83-9F51-00A80F044C6E}" presName="rootConnector" presStyleLbl="node2" presStyleIdx="1" presStyleCnt="5"/>
      <dgm:spPr/>
    </dgm:pt>
    <dgm:pt modelId="{26B9B1ED-01A9-4BCE-8937-FFCAA32A0D8B}" type="pres">
      <dgm:prSet presAssocID="{06D45869-8193-4D83-9F51-00A80F044C6E}" presName="hierChild4" presStyleCnt="0"/>
      <dgm:spPr/>
    </dgm:pt>
    <dgm:pt modelId="{D5D0C98A-873D-4BEB-89A7-B13FB120D74F}" type="pres">
      <dgm:prSet presAssocID="{06D45869-8193-4D83-9F51-00A80F044C6E}" presName="hierChild5" presStyleCnt="0"/>
      <dgm:spPr/>
    </dgm:pt>
    <dgm:pt modelId="{B2953A09-C6BB-4CA3-B027-0F4A5236821D}" type="pres">
      <dgm:prSet presAssocID="{70F52B5B-858D-4611-AB58-9B53B2F30601}" presName="Name37" presStyleLbl="parChTrans1D2" presStyleIdx="2" presStyleCnt="5"/>
      <dgm:spPr/>
    </dgm:pt>
    <dgm:pt modelId="{22B6D528-24B5-451C-9FC5-2239C0F76557}" type="pres">
      <dgm:prSet presAssocID="{945F105C-D374-431E-A19E-D693C7093FF9}" presName="hierRoot2" presStyleCnt="0">
        <dgm:presLayoutVars>
          <dgm:hierBranch val="init"/>
        </dgm:presLayoutVars>
      </dgm:prSet>
      <dgm:spPr/>
    </dgm:pt>
    <dgm:pt modelId="{E168F069-ECEE-4CD4-A97C-36C7BF24D8C8}" type="pres">
      <dgm:prSet presAssocID="{945F105C-D374-431E-A19E-D693C7093FF9}" presName="rootComposite" presStyleCnt="0"/>
      <dgm:spPr/>
    </dgm:pt>
    <dgm:pt modelId="{38823397-D531-4180-9A42-80D2B2339D4A}" type="pres">
      <dgm:prSet presAssocID="{945F105C-D374-431E-A19E-D693C7093FF9}" presName="rootText" presStyleLbl="node2" presStyleIdx="2" presStyleCnt="5" custScaleX="188339" custScaleY="219697" custLinFactNeighborX="4662">
        <dgm:presLayoutVars>
          <dgm:chPref val="3"/>
        </dgm:presLayoutVars>
      </dgm:prSet>
      <dgm:spPr/>
    </dgm:pt>
    <dgm:pt modelId="{1FC72B53-351C-46D0-B3C8-8100EF487DE8}" type="pres">
      <dgm:prSet presAssocID="{945F105C-D374-431E-A19E-D693C7093FF9}" presName="rootConnector" presStyleLbl="node2" presStyleIdx="2" presStyleCnt="5"/>
      <dgm:spPr/>
    </dgm:pt>
    <dgm:pt modelId="{6765A9C8-3A11-4910-81EF-454885A13FB9}" type="pres">
      <dgm:prSet presAssocID="{945F105C-D374-431E-A19E-D693C7093FF9}" presName="hierChild4" presStyleCnt="0"/>
      <dgm:spPr/>
    </dgm:pt>
    <dgm:pt modelId="{702B8937-8184-4E8E-B91E-D755A9AAB1B2}" type="pres">
      <dgm:prSet presAssocID="{945F105C-D374-431E-A19E-D693C7093FF9}" presName="hierChild5" presStyleCnt="0"/>
      <dgm:spPr/>
    </dgm:pt>
    <dgm:pt modelId="{27A0F852-AC6C-4C64-B683-5E1AFD35D46B}" type="pres">
      <dgm:prSet presAssocID="{505F886A-710B-49A9-BF23-4E0B11910B07}" presName="Name37" presStyleLbl="parChTrans1D2" presStyleIdx="3" presStyleCnt="5"/>
      <dgm:spPr/>
    </dgm:pt>
    <dgm:pt modelId="{537D6F30-920D-41C9-B9D6-4E7481EB5831}" type="pres">
      <dgm:prSet presAssocID="{FABF1ABA-50BF-427D-B925-6024B17AB4C5}" presName="hierRoot2" presStyleCnt="0">
        <dgm:presLayoutVars>
          <dgm:hierBranch val="init"/>
        </dgm:presLayoutVars>
      </dgm:prSet>
      <dgm:spPr/>
    </dgm:pt>
    <dgm:pt modelId="{98255501-42B1-4E71-BA81-6A3B8A7164FA}" type="pres">
      <dgm:prSet presAssocID="{FABF1ABA-50BF-427D-B925-6024B17AB4C5}" presName="rootComposite" presStyleCnt="0"/>
      <dgm:spPr/>
    </dgm:pt>
    <dgm:pt modelId="{2204ACE8-559F-45DB-92EF-5DF5FC62CF01}" type="pres">
      <dgm:prSet presAssocID="{FABF1ABA-50BF-427D-B925-6024B17AB4C5}" presName="rootText" presStyleLbl="node2" presStyleIdx="3" presStyleCnt="5" custScaleX="187781" custScaleY="219697">
        <dgm:presLayoutVars>
          <dgm:chPref val="3"/>
        </dgm:presLayoutVars>
      </dgm:prSet>
      <dgm:spPr/>
    </dgm:pt>
    <dgm:pt modelId="{A5608101-71FE-423F-8CD6-85736B9682E3}" type="pres">
      <dgm:prSet presAssocID="{FABF1ABA-50BF-427D-B925-6024B17AB4C5}" presName="rootConnector" presStyleLbl="node2" presStyleIdx="3" presStyleCnt="5"/>
      <dgm:spPr/>
    </dgm:pt>
    <dgm:pt modelId="{B7EE79FC-7BAD-40CB-B0CB-50646B76447F}" type="pres">
      <dgm:prSet presAssocID="{FABF1ABA-50BF-427D-B925-6024B17AB4C5}" presName="hierChild4" presStyleCnt="0"/>
      <dgm:spPr/>
    </dgm:pt>
    <dgm:pt modelId="{2F734DFA-193C-41A9-B7AF-5C365667D630}" type="pres">
      <dgm:prSet presAssocID="{FABF1ABA-50BF-427D-B925-6024B17AB4C5}" presName="hierChild5" presStyleCnt="0"/>
      <dgm:spPr/>
    </dgm:pt>
    <dgm:pt modelId="{A10E10A3-DB74-4C95-A31F-EBACDA971779}" type="pres">
      <dgm:prSet presAssocID="{3BD4581D-2697-4AB4-99C6-8120ADC78D6A}" presName="Name37" presStyleLbl="parChTrans1D2" presStyleIdx="4" presStyleCnt="5"/>
      <dgm:spPr/>
    </dgm:pt>
    <dgm:pt modelId="{EB1B0347-31C5-4A4D-B7C7-08962E60273B}" type="pres">
      <dgm:prSet presAssocID="{7077E773-9EF8-474A-A0DD-35FFA4E490F4}" presName="hierRoot2" presStyleCnt="0">
        <dgm:presLayoutVars>
          <dgm:hierBranch val="init"/>
        </dgm:presLayoutVars>
      </dgm:prSet>
      <dgm:spPr/>
    </dgm:pt>
    <dgm:pt modelId="{623F50D0-88B2-4970-93BE-212EE4E04631}" type="pres">
      <dgm:prSet presAssocID="{7077E773-9EF8-474A-A0DD-35FFA4E490F4}" presName="rootComposite" presStyleCnt="0"/>
      <dgm:spPr/>
    </dgm:pt>
    <dgm:pt modelId="{B33856D3-5218-4220-A347-B50FB8CB9F88}" type="pres">
      <dgm:prSet presAssocID="{7077E773-9EF8-474A-A0DD-35FFA4E490F4}" presName="rootText" presStyleLbl="node2" presStyleIdx="4" presStyleCnt="5" custScaleX="198983" custScaleY="219697">
        <dgm:presLayoutVars>
          <dgm:chPref val="3"/>
        </dgm:presLayoutVars>
      </dgm:prSet>
      <dgm:spPr/>
    </dgm:pt>
    <dgm:pt modelId="{28725461-E6BE-45C7-BE36-B661658823D4}" type="pres">
      <dgm:prSet presAssocID="{7077E773-9EF8-474A-A0DD-35FFA4E490F4}" presName="rootConnector" presStyleLbl="node2" presStyleIdx="4" presStyleCnt="5"/>
      <dgm:spPr/>
    </dgm:pt>
    <dgm:pt modelId="{95A67F76-73BA-4E90-8B62-45E7D6094593}" type="pres">
      <dgm:prSet presAssocID="{7077E773-9EF8-474A-A0DD-35FFA4E490F4}" presName="hierChild4" presStyleCnt="0"/>
      <dgm:spPr/>
    </dgm:pt>
    <dgm:pt modelId="{5A00DD2F-07BF-4586-9014-EADC36B45726}" type="pres">
      <dgm:prSet presAssocID="{7077E773-9EF8-474A-A0DD-35FFA4E490F4}" presName="hierChild5" presStyleCnt="0"/>
      <dgm:spPr/>
    </dgm:pt>
    <dgm:pt modelId="{913D2955-B388-4AEC-9E93-2C5147E05C8A}" type="pres">
      <dgm:prSet presAssocID="{4B69D42E-376F-4950-A3CA-2AF6FD6FCA25}" presName="hierChild3" presStyleCnt="0"/>
      <dgm:spPr/>
    </dgm:pt>
  </dgm:ptLst>
  <dgm:cxnLst>
    <dgm:cxn modelId="{72556C0A-5512-40C5-9793-AAEE99574DD2}" type="presOf" srcId="{06D45869-8193-4D83-9F51-00A80F044C6E}" destId="{892E0F3C-8137-4F90-B1EA-307ABAEB2A45}" srcOrd="0" destOrd="0" presId="urn:microsoft.com/office/officeart/2005/8/layout/orgChart1"/>
    <dgm:cxn modelId="{0A35B513-EE1E-4A73-A36C-7DD25E5B3A0E}" type="presOf" srcId="{4B69D42E-376F-4950-A3CA-2AF6FD6FCA25}" destId="{49E0E39F-8845-4F52-8DA3-6A9B0242DCF0}" srcOrd="1" destOrd="0" presId="urn:microsoft.com/office/officeart/2005/8/layout/orgChart1"/>
    <dgm:cxn modelId="{0CC0D719-8B34-4583-A5A3-C5A3436DB5B6}" srcId="{A271EEDB-A42C-491C-B239-DB6EA597C06E}" destId="{4B69D42E-376F-4950-A3CA-2AF6FD6FCA25}" srcOrd="0" destOrd="0" parTransId="{64924D47-EFFC-4F58-B9D9-E1277F32FD57}" sibTransId="{1D521FF9-EEFC-4D49-A3E9-5B1CAC5E29C7}"/>
    <dgm:cxn modelId="{03DA271A-B029-48C9-AE51-62BE4CF18B07}" srcId="{4B69D42E-376F-4950-A3CA-2AF6FD6FCA25}" destId="{06D45869-8193-4D83-9F51-00A80F044C6E}" srcOrd="1" destOrd="0" parTransId="{70071DB5-B3BD-4D08-AD28-3FBC5D84BD35}" sibTransId="{66DD66B8-6D61-4887-80CA-C0BFC9D16E68}"/>
    <dgm:cxn modelId="{FFBA2E20-7DDE-40FD-8D3C-812C0D4EF725}" type="presOf" srcId="{57F896C1-04A8-47B7-9211-3403E4C04F84}" destId="{0CC627DA-DEE2-4ABA-8B45-EDA0790A0E41}" srcOrd="0" destOrd="0" presId="urn:microsoft.com/office/officeart/2005/8/layout/orgChart1"/>
    <dgm:cxn modelId="{6A68C922-E766-4D3C-AF4D-99B21554F597}" type="presOf" srcId="{945F105C-D374-431E-A19E-D693C7093FF9}" destId="{38823397-D531-4180-9A42-80D2B2339D4A}" srcOrd="0" destOrd="0" presId="urn:microsoft.com/office/officeart/2005/8/layout/orgChart1"/>
    <dgm:cxn modelId="{9F233930-2742-4E53-8551-43B276117D57}" type="presOf" srcId="{FABF1ABA-50BF-427D-B925-6024B17AB4C5}" destId="{2204ACE8-559F-45DB-92EF-5DF5FC62CF01}" srcOrd="0" destOrd="0" presId="urn:microsoft.com/office/officeart/2005/8/layout/orgChart1"/>
    <dgm:cxn modelId="{B26B993A-52EC-4091-BCF4-01897EC41E8B}" type="presOf" srcId="{4B69D42E-376F-4950-A3CA-2AF6FD6FCA25}" destId="{401413CB-79BD-42F7-851B-359E40C9D963}" srcOrd="0" destOrd="0" presId="urn:microsoft.com/office/officeart/2005/8/layout/orgChart1"/>
    <dgm:cxn modelId="{CDCA613E-67CB-47D2-B6A4-974CC5C22789}" type="presOf" srcId="{06D45869-8193-4D83-9F51-00A80F044C6E}" destId="{0CF1DB5E-FC84-4894-951E-2A22EB90B114}" srcOrd="1" destOrd="0" presId="urn:microsoft.com/office/officeart/2005/8/layout/orgChart1"/>
    <dgm:cxn modelId="{6344A43E-B0CF-409A-98EF-14315658052E}" type="presOf" srcId="{6D1D99D6-9972-4BAF-AB49-5CCA638FF973}" destId="{B5417743-58E0-4EC7-A5F3-DB145D0B864C}" srcOrd="1" destOrd="0" presId="urn:microsoft.com/office/officeart/2005/8/layout/orgChart1"/>
    <dgm:cxn modelId="{9C067160-8CC6-466D-8F74-C6AE32EFEC27}" type="presOf" srcId="{7077E773-9EF8-474A-A0DD-35FFA4E490F4}" destId="{B33856D3-5218-4220-A347-B50FB8CB9F88}" srcOrd="0" destOrd="0" presId="urn:microsoft.com/office/officeart/2005/8/layout/orgChart1"/>
    <dgm:cxn modelId="{007CAE65-2D2B-4474-B072-4E2B8AE15680}" srcId="{4B69D42E-376F-4950-A3CA-2AF6FD6FCA25}" destId="{FABF1ABA-50BF-427D-B925-6024B17AB4C5}" srcOrd="3" destOrd="0" parTransId="{505F886A-710B-49A9-BF23-4E0B11910B07}" sibTransId="{7A359032-AD39-4215-AA2F-0584EC172695}"/>
    <dgm:cxn modelId="{BE39EC49-33AC-4037-840C-0DCE41A34EDE}" srcId="{4B69D42E-376F-4950-A3CA-2AF6FD6FCA25}" destId="{945F105C-D374-431E-A19E-D693C7093FF9}" srcOrd="2" destOrd="0" parTransId="{70F52B5B-858D-4611-AB58-9B53B2F30601}" sibTransId="{49089008-F57A-4AA5-8848-A13E30357DD2}"/>
    <dgm:cxn modelId="{21D2714A-9D60-4165-B90B-121D239B92C9}" type="presOf" srcId="{505F886A-710B-49A9-BF23-4E0B11910B07}" destId="{27A0F852-AC6C-4C64-B683-5E1AFD35D46B}" srcOrd="0" destOrd="0" presId="urn:microsoft.com/office/officeart/2005/8/layout/orgChart1"/>
    <dgm:cxn modelId="{E1EB474C-74FC-48A2-A781-3C202DD93E01}" type="presOf" srcId="{7077E773-9EF8-474A-A0DD-35FFA4E490F4}" destId="{28725461-E6BE-45C7-BE36-B661658823D4}" srcOrd="1" destOrd="0" presId="urn:microsoft.com/office/officeart/2005/8/layout/orgChart1"/>
    <dgm:cxn modelId="{00E62E55-0217-44C8-88FC-B2F2AEC761D6}" type="presOf" srcId="{70071DB5-B3BD-4D08-AD28-3FBC5D84BD35}" destId="{63740187-EB24-41DC-979B-15929C7388FF}" srcOrd="0" destOrd="0" presId="urn:microsoft.com/office/officeart/2005/8/layout/orgChart1"/>
    <dgm:cxn modelId="{B0F34F5A-BBE8-44CF-B625-181217DDC83A}" type="presOf" srcId="{A271EEDB-A42C-491C-B239-DB6EA597C06E}" destId="{A56E67CE-9A33-4FEB-B039-6E33940E5BE8}" srcOrd="0" destOrd="0" presId="urn:microsoft.com/office/officeart/2005/8/layout/orgChart1"/>
    <dgm:cxn modelId="{DFE5497C-54D7-4FF1-BAA4-8E95392D8AFF}" type="presOf" srcId="{70F52B5B-858D-4611-AB58-9B53B2F30601}" destId="{B2953A09-C6BB-4CA3-B027-0F4A5236821D}" srcOrd="0" destOrd="0" presId="urn:microsoft.com/office/officeart/2005/8/layout/orgChart1"/>
    <dgm:cxn modelId="{BAB68B87-E7CF-4B80-BB51-248A4CD2A42A}" type="presOf" srcId="{3BD4581D-2697-4AB4-99C6-8120ADC78D6A}" destId="{A10E10A3-DB74-4C95-A31F-EBACDA971779}" srcOrd="0" destOrd="0" presId="urn:microsoft.com/office/officeart/2005/8/layout/orgChart1"/>
    <dgm:cxn modelId="{CBDC038B-E505-41A6-B7EE-53022C1B363B}" srcId="{4B69D42E-376F-4950-A3CA-2AF6FD6FCA25}" destId="{6D1D99D6-9972-4BAF-AB49-5CCA638FF973}" srcOrd="0" destOrd="0" parTransId="{57F896C1-04A8-47B7-9211-3403E4C04F84}" sibTransId="{320AAEBD-5BFC-4A16-B90E-3BB29F5FFFBA}"/>
    <dgm:cxn modelId="{BBDC51A8-5B6F-4346-B7D5-1A0607BEB8E5}" type="presOf" srcId="{945F105C-D374-431E-A19E-D693C7093FF9}" destId="{1FC72B53-351C-46D0-B3C8-8100EF487DE8}" srcOrd="1" destOrd="0" presId="urn:microsoft.com/office/officeart/2005/8/layout/orgChart1"/>
    <dgm:cxn modelId="{E703BAB3-A56E-48FE-8E6E-D31C2AEFFAA1}" type="presOf" srcId="{FABF1ABA-50BF-427D-B925-6024B17AB4C5}" destId="{A5608101-71FE-423F-8CD6-85736B9682E3}" srcOrd="1" destOrd="0" presId="urn:microsoft.com/office/officeart/2005/8/layout/orgChart1"/>
    <dgm:cxn modelId="{A6F666C2-8ECD-48EE-8F65-E7936226365F}" type="presOf" srcId="{6D1D99D6-9972-4BAF-AB49-5CCA638FF973}" destId="{740B7BC4-D394-4334-A1D7-CA68764AB02C}" srcOrd="0" destOrd="0" presId="urn:microsoft.com/office/officeart/2005/8/layout/orgChart1"/>
    <dgm:cxn modelId="{73E5E6C9-BECB-4071-94D1-A58D98BE037A}" srcId="{4B69D42E-376F-4950-A3CA-2AF6FD6FCA25}" destId="{7077E773-9EF8-474A-A0DD-35FFA4E490F4}" srcOrd="4" destOrd="0" parTransId="{3BD4581D-2697-4AB4-99C6-8120ADC78D6A}" sibTransId="{E25F795F-7564-40A0-812E-33BFEB62067D}"/>
    <dgm:cxn modelId="{AB0899E3-4DE9-4D2E-8752-8925FEFA20CC}" type="presParOf" srcId="{A56E67CE-9A33-4FEB-B039-6E33940E5BE8}" destId="{7A4A45D4-BBF5-489D-8661-2010F2289496}" srcOrd="0" destOrd="0" presId="urn:microsoft.com/office/officeart/2005/8/layout/orgChart1"/>
    <dgm:cxn modelId="{E3B940EB-4444-4B57-A66B-8E449FDABC24}" type="presParOf" srcId="{7A4A45D4-BBF5-489D-8661-2010F2289496}" destId="{E702CB47-F393-4516-89D4-C4B2877E284D}" srcOrd="0" destOrd="0" presId="urn:microsoft.com/office/officeart/2005/8/layout/orgChart1"/>
    <dgm:cxn modelId="{BC185A17-355E-4465-8F4E-C45DE91CAF69}" type="presParOf" srcId="{E702CB47-F393-4516-89D4-C4B2877E284D}" destId="{401413CB-79BD-42F7-851B-359E40C9D963}" srcOrd="0" destOrd="0" presId="urn:microsoft.com/office/officeart/2005/8/layout/orgChart1"/>
    <dgm:cxn modelId="{2A3C4BE7-62E0-4D8C-9CB3-7E64116CC72A}" type="presParOf" srcId="{E702CB47-F393-4516-89D4-C4B2877E284D}" destId="{49E0E39F-8845-4F52-8DA3-6A9B0242DCF0}" srcOrd="1" destOrd="0" presId="urn:microsoft.com/office/officeart/2005/8/layout/orgChart1"/>
    <dgm:cxn modelId="{6A300BB9-9CC8-454C-B985-383781D3110D}" type="presParOf" srcId="{7A4A45D4-BBF5-489D-8661-2010F2289496}" destId="{B65B8251-519A-4093-A3FE-B61E6728E94F}" srcOrd="1" destOrd="0" presId="urn:microsoft.com/office/officeart/2005/8/layout/orgChart1"/>
    <dgm:cxn modelId="{7887B3A7-BAFA-497B-A6D1-F7A65C8EE687}" type="presParOf" srcId="{B65B8251-519A-4093-A3FE-B61E6728E94F}" destId="{0CC627DA-DEE2-4ABA-8B45-EDA0790A0E41}" srcOrd="0" destOrd="0" presId="urn:microsoft.com/office/officeart/2005/8/layout/orgChart1"/>
    <dgm:cxn modelId="{F310CC46-65B8-46BF-949A-2B68D8ACCA40}" type="presParOf" srcId="{B65B8251-519A-4093-A3FE-B61E6728E94F}" destId="{6EDE4EB0-C26E-4D3C-85B4-F83E1CA156AC}" srcOrd="1" destOrd="0" presId="urn:microsoft.com/office/officeart/2005/8/layout/orgChart1"/>
    <dgm:cxn modelId="{2515609D-63FE-4EB7-9540-CF591C05913E}" type="presParOf" srcId="{6EDE4EB0-C26E-4D3C-85B4-F83E1CA156AC}" destId="{A371CFD6-CCEE-4B10-8B53-05DEF5691C19}" srcOrd="0" destOrd="0" presId="urn:microsoft.com/office/officeart/2005/8/layout/orgChart1"/>
    <dgm:cxn modelId="{550F7C81-8A80-405B-9DC5-C164D9A4DBB7}" type="presParOf" srcId="{A371CFD6-CCEE-4B10-8B53-05DEF5691C19}" destId="{740B7BC4-D394-4334-A1D7-CA68764AB02C}" srcOrd="0" destOrd="0" presId="urn:microsoft.com/office/officeart/2005/8/layout/orgChart1"/>
    <dgm:cxn modelId="{B5C73FD7-F4B6-4079-B243-793FB7AA9E20}" type="presParOf" srcId="{A371CFD6-CCEE-4B10-8B53-05DEF5691C19}" destId="{B5417743-58E0-4EC7-A5F3-DB145D0B864C}" srcOrd="1" destOrd="0" presId="urn:microsoft.com/office/officeart/2005/8/layout/orgChart1"/>
    <dgm:cxn modelId="{7A0452CC-63C8-4C79-8D6A-97FB08350875}" type="presParOf" srcId="{6EDE4EB0-C26E-4D3C-85B4-F83E1CA156AC}" destId="{E6A4760A-35D7-40A6-993C-D0AA24F8C816}" srcOrd="1" destOrd="0" presId="urn:microsoft.com/office/officeart/2005/8/layout/orgChart1"/>
    <dgm:cxn modelId="{926C0951-0757-4187-82FA-775FB910DFBA}" type="presParOf" srcId="{6EDE4EB0-C26E-4D3C-85B4-F83E1CA156AC}" destId="{F04D7993-AF66-40E8-9B4E-2B069918749F}" srcOrd="2" destOrd="0" presId="urn:microsoft.com/office/officeart/2005/8/layout/orgChart1"/>
    <dgm:cxn modelId="{35E0F52D-E71A-49FE-A4EA-11F9DF70680F}" type="presParOf" srcId="{B65B8251-519A-4093-A3FE-B61E6728E94F}" destId="{63740187-EB24-41DC-979B-15929C7388FF}" srcOrd="2" destOrd="0" presId="urn:microsoft.com/office/officeart/2005/8/layout/orgChart1"/>
    <dgm:cxn modelId="{9E180904-5D6D-401C-AF15-CFF068275F52}" type="presParOf" srcId="{B65B8251-519A-4093-A3FE-B61E6728E94F}" destId="{D1C6DADC-A7ED-4D48-8274-53D0E01025B4}" srcOrd="3" destOrd="0" presId="urn:microsoft.com/office/officeart/2005/8/layout/orgChart1"/>
    <dgm:cxn modelId="{26A7D96A-ADD3-41AD-8626-AF3FDEFFA2DB}" type="presParOf" srcId="{D1C6DADC-A7ED-4D48-8274-53D0E01025B4}" destId="{5EE6E589-25AA-4FE3-AA8D-93CE12DE8761}" srcOrd="0" destOrd="0" presId="urn:microsoft.com/office/officeart/2005/8/layout/orgChart1"/>
    <dgm:cxn modelId="{754176B9-B401-4F3A-A31B-96D041524985}" type="presParOf" srcId="{5EE6E589-25AA-4FE3-AA8D-93CE12DE8761}" destId="{892E0F3C-8137-4F90-B1EA-307ABAEB2A45}" srcOrd="0" destOrd="0" presId="urn:microsoft.com/office/officeart/2005/8/layout/orgChart1"/>
    <dgm:cxn modelId="{F4170482-AE53-472A-A6BE-B3D707A2A271}" type="presParOf" srcId="{5EE6E589-25AA-4FE3-AA8D-93CE12DE8761}" destId="{0CF1DB5E-FC84-4894-951E-2A22EB90B114}" srcOrd="1" destOrd="0" presId="urn:microsoft.com/office/officeart/2005/8/layout/orgChart1"/>
    <dgm:cxn modelId="{5B6C47D0-26A8-48BF-814E-80781FD77C46}" type="presParOf" srcId="{D1C6DADC-A7ED-4D48-8274-53D0E01025B4}" destId="{26B9B1ED-01A9-4BCE-8937-FFCAA32A0D8B}" srcOrd="1" destOrd="0" presId="urn:microsoft.com/office/officeart/2005/8/layout/orgChart1"/>
    <dgm:cxn modelId="{04BAB07A-A77D-49A7-BF94-460079258BCD}" type="presParOf" srcId="{D1C6DADC-A7ED-4D48-8274-53D0E01025B4}" destId="{D5D0C98A-873D-4BEB-89A7-B13FB120D74F}" srcOrd="2" destOrd="0" presId="urn:microsoft.com/office/officeart/2005/8/layout/orgChart1"/>
    <dgm:cxn modelId="{B006C0A7-826F-4918-A906-0A952CABDDB6}" type="presParOf" srcId="{B65B8251-519A-4093-A3FE-B61E6728E94F}" destId="{B2953A09-C6BB-4CA3-B027-0F4A5236821D}" srcOrd="4" destOrd="0" presId="urn:microsoft.com/office/officeart/2005/8/layout/orgChart1"/>
    <dgm:cxn modelId="{D2122B9A-A8ED-4E6E-AB69-2E4277344DF1}" type="presParOf" srcId="{B65B8251-519A-4093-A3FE-B61E6728E94F}" destId="{22B6D528-24B5-451C-9FC5-2239C0F76557}" srcOrd="5" destOrd="0" presId="urn:microsoft.com/office/officeart/2005/8/layout/orgChart1"/>
    <dgm:cxn modelId="{1FA9E359-5F8E-4359-AC5A-CC157DF8A98A}" type="presParOf" srcId="{22B6D528-24B5-451C-9FC5-2239C0F76557}" destId="{E168F069-ECEE-4CD4-A97C-36C7BF24D8C8}" srcOrd="0" destOrd="0" presId="urn:microsoft.com/office/officeart/2005/8/layout/orgChart1"/>
    <dgm:cxn modelId="{1D734817-DC57-40B3-B2B3-FD7884B963BA}" type="presParOf" srcId="{E168F069-ECEE-4CD4-A97C-36C7BF24D8C8}" destId="{38823397-D531-4180-9A42-80D2B2339D4A}" srcOrd="0" destOrd="0" presId="urn:microsoft.com/office/officeart/2005/8/layout/orgChart1"/>
    <dgm:cxn modelId="{0221E4FD-EBD0-403E-A7EF-25503D4F6B42}" type="presParOf" srcId="{E168F069-ECEE-4CD4-A97C-36C7BF24D8C8}" destId="{1FC72B53-351C-46D0-B3C8-8100EF487DE8}" srcOrd="1" destOrd="0" presId="urn:microsoft.com/office/officeart/2005/8/layout/orgChart1"/>
    <dgm:cxn modelId="{C6440CAF-0EE5-42DC-9124-4490A0CCB251}" type="presParOf" srcId="{22B6D528-24B5-451C-9FC5-2239C0F76557}" destId="{6765A9C8-3A11-4910-81EF-454885A13FB9}" srcOrd="1" destOrd="0" presId="urn:microsoft.com/office/officeart/2005/8/layout/orgChart1"/>
    <dgm:cxn modelId="{0B33A2C4-E10B-483D-B678-1FDD8479F602}" type="presParOf" srcId="{22B6D528-24B5-451C-9FC5-2239C0F76557}" destId="{702B8937-8184-4E8E-B91E-D755A9AAB1B2}" srcOrd="2" destOrd="0" presId="urn:microsoft.com/office/officeart/2005/8/layout/orgChart1"/>
    <dgm:cxn modelId="{6BFA776F-EA45-4832-B4CD-13984DC2C341}" type="presParOf" srcId="{B65B8251-519A-4093-A3FE-B61E6728E94F}" destId="{27A0F852-AC6C-4C64-B683-5E1AFD35D46B}" srcOrd="6" destOrd="0" presId="urn:microsoft.com/office/officeart/2005/8/layout/orgChart1"/>
    <dgm:cxn modelId="{FF16CB7A-C903-4B56-A1C0-9838AFDEB03F}" type="presParOf" srcId="{B65B8251-519A-4093-A3FE-B61E6728E94F}" destId="{537D6F30-920D-41C9-B9D6-4E7481EB5831}" srcOrd="7" destOrd="0" presId="urn:microsoft.com/office/officeart/2005/8/layout/orgChart1"/>
    <dgm:cxn modelId="{25E663F4-5315-4DCD-87D1-326F88B20EF7}" type="presParOf" srcId="{537D6F30-920D-41C9-B9D6-4E7481EB5831}" destId="{98255501-42B1-4E71-BA81-6A3B8A7164FA}" srcOrd="0" destOrd="0" presId="urn:microsoft.com/office/officeart/2005/8/layout/orgChart1"/>
    <dgm:cxn modelId="{8F3582DB-7F3E-4EA9-843B-3E9C9B5D690C}" type="presParOf" srcId="{98255501-42B1-4E71-BA81-6A3B8A7164FA}" destId="{2204ACE8-559F-45DB-92EF-5DF5FC62CF01}" srcOrd="0" destOrd="0" presId="urn:microsoft.com/office/officeart/2005/8/layout/orgChart1"/>
    <dgm:cxn modelId="{C37F87A1-E31E-43A5-9E38-6DECA75979A1}" type="presParOf" srcId="{98255501-42B1-4E71-BA81-6A3B8A7164FA}" destId="{A5608101-71FE-423F-8CD6-85736B9682E3}" srcOrd="1" destOrd="0" presId="urn:microsoft.com/office/officeart/2005/8/layout/orgChart1"/>
    <dgm:cxn modelId="{742F9BE6-D148-4960-BE19-56B7F47FFF29}" type="presParOf" srcId="{537D6F30-920D-41C9-B9D6-4E7481EB5831}" destId="{B7EE79FC-7BAD-40CB-B0CB-50646B76447F}" srcOrd="1" destOrd="0" presId="urn:microsoft.com/office/officeart/2005/8/layout/orgChart1"/>
    <dgm:cxn modelId="{2EFF9B5F-C415-4154-8A95-7D8C36990C33}" type="presParOf" srcId="{537D6F30-920D-41C9-B9D6-4E7481EB5831}" destId="{2F734DFA-193C-41A9-B7AF-5C365667D630}" srcOrd="2" destOrd="0" presId="urn:microsoft.com/office/officeart/2005/8/layout/orgChart1"/>
    <dgm:cxn modelId="{A82F9A7B-FDD4-4796-B64F-5D8D47C348BE}" type="presParOf" srcId="{B65B8251-519A-4093-A3FE-B61E6728E94F}" destId="{A10E10A3-DB74-4C95-A31F-EBACDA971779}" srcOrd="8" destOrd="0" presId="urn:microsoft.com/office/officeart/2005/8/layout/orgChart1"/>
    <dgm:cxn modelId="{B5019555-7590-4B3B-B50A-86A39BBC9356}" type="presParOf" srcId="{B65B8251-519A-4093-A3FE-B61E6728E94F}" destId="{EB1B0347-31C5-4A4D-B7C7-08962E60273B}" srcOrd="9" destOrd="0" presId="urn:microsoft.com/office/officeart/2005/8/layout/orgChart1"/>
    <dgm:cxn modelId="{2477D447-ADD9-451C-9270-1FC56F2BB6AB}" type="presParOf" srcId="{EB1B0347-31C5-4A4D-B7C7-08962E60273B}" destId="{623F50D0-88B2-4970-93BE-212EE4E04631}" srcOrd="0" destOrd="0" presId="urn:microsoft.com/office/officeart/2005/8/layout/orgChart1"/>
    <dgm:cxn modelId="{9FB10644-AADC-43C8-A914-7F9F2528F3FF}" type="presParOf" srcId="{623F50D0-88B2-4970-93BE-212EE4E04631}" destId="{B33856D3-5218-4220-A347-B50FB8CB9F88}" srcOrd="0" destOrd="0" presId="urn:microsoft.com/office/officeart/2005/8/layout/orgChart1"/>
    <dgm:cxn modelId="{451822CF-721E-4892-933B-D0EEF4AB62F8}" type="presParOf" srcId="{623F50D0-88B2-4970-93BE-212EE4E04631}" destId="{28725461-E6BE-45C7-BE36-B661658823D4}" srcOrd="1" destOrd="0" presId="urn:microsoft.com/office/officeart/2005/8/layout/orgChart1"/>
    <dgm:cxn modelId="{858BD461-DF9A-4AA0-8F4F-E3F10D7B04D7}" type="presParOf" srcId="{EB1B0347-31C5-4A4D-B7C7-08962E60273B}" destId="{95A67F76-73BA-4E90-8B62-45E7D6094593}" srcOrd="1" destOrd="0" presId="urn:microsoft.com/office/officeart/2005/8/layout/orgChart1"/>
    <dgm:cxn modelId="{270A0E80-A39C-4E1C-B93C-E0203AA36722}" type="presParOf" srcId="{EB1B0347-31C5-4A4D-B7C7-08962E60273B}" destId="{5A00DD2F-07BF-4586-9014-EADC36B45726}" srcOrd="2" destOrd="0" presId="urn:microsoft.com/office/officeart/2005/8/layout/orgChart1"/>
    <dgm:cxn modelId="{7D0EC86E-3C96-42DA-8C8D-88C967197704}" type="presParOf" srcId="{7A4A45D4-BBF5-489D-8661-2010F2289496}" destId="{913D2955-B388-4AEC-9E93-2C5147E05C8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0E10A3-DB74-4C95-A31F-EBACDA971779}">
      <dsp:nvSpPr>
        <dsp:cNvPr id="0" name=""/>
        <dsp:cNvSpPr/>
      </dsp:nvSpPr>
      <dsp:spPr>
        <a:xfrm>
          <a:off x="2498621" y="973484"/>
          <a:ext cx="2722020" cy="110151"/>
        </a:xfrm>
        <a:custGeom>
          <a:avLst/>
          <a:gdLst/>
          <a:ahLst/>
          <a:cxnLst/>
          <a:rect l="0" t="0" r="0" b="0"/>
          <a:pathLst>
            <a:path>
              <a:moveTo>
                <a:pt x="0" y="0"/>
              </a:moveTo>
              <a:lnTo>
                <a:pt x="0" y="53573"/>
              </a:lnTo>
              <a:lnTo>
                <a:pt x="2722020" y="53573"/>
              </a:lnTo>
              <a:lnTo>
                <a:pt x="2722020"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A0F852-AC6C-4C64-B683-5E1AFD35D46B}">
      <dsp:nvSpPr>
        <dsp:cNvPr id="0" name=""/>
        <dsp:cNvSpPr/>
      </dsp:nvSpPr>
      <dsp:spPr>
        <a:xfrm>
          <a:off x="2498621" y="973484"/>
          <a:ext cx="1566851" cy="110151"/>
        </a:xfrm>
        <a:custGeom>
          <a:avLst/>
          <a:gdLst/>
          <a:ahLst/>
          <a:cxnLst/>
          <a:rect l="0" t="0" r="0" b="0"/>
          <a:pathLst>
            <a:path>
              <a:moveTo>
                <a:pt x="0" y="0"/>
              </a:moveTo>
              <a:lnTo>
                <a:pt x="0" y="53573"/>
              </a:lnTo>
              <a:lnTo>
                <a:pt x="1566851" y="53573"/>
              </a:lnTo>
              <a:lnTo>
                <a:pt x="1566851"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953A09-C6BB-4CA3-B027-0F4A5236821D}">
      <dsp:nvSpPr>
        <dsp:cNvPr id="0" name=""/>
        <dsp:cNvSpPr/>
      </dsp:nvSpPr>
      <dsp:spPr>
        <a:xfrm>
          <a:off x="2498621" y="973484"/>
          <a:ext cx="465479" cy="110151"/>
        </a:xfrm>
        <a:custGeom>
          <a:avLst/>
          <a:gdLst/>
          <a:ahLst/>
          <a:cxnLst/>
          <a:rect l="0" t="0" r="0" b="0"/>
          <a:pathLst>
            <a:path>
              <a:moveTo>
                <a:pt x="0" y="0"/>
              </a:moveTo>
              <a:lnTo>
                <a:pt x="0" y="53573"/>
              </a:lnTo>
              <a:lnTo>
                <a:pt x="465479" y="53573"/>
              </a:lnTo>
              <a:lnTo>
                <a:pt x="465479"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740187-EB24-41DC-979B-15929C7388FF}">
      <dsp:nvSpPr>
        <dsp:cNvPr id="0" name=""/>
        <dsp:cNvSpPr/>
      </dsp:nvSpPr>
      <dsp:spPr>
        <a:xfrm>
          <a:off x="1727464" y="973484"/>
          <a:ext cx="771156" cy="110151"/>
        </a:xfrm>
        <a:custGeom>
          <a:avLst/>
          <a:gdLst/>
          <a:ahLst/>
          <a:cxnLst/>
          <a:rect l="0" t="0" r="0" b="0"/>
          <a:pathLst>
            <a:path>
              <a:moveTo>
                <a:pt x="771156" y="0"/>
              </a:moveTo>
              <a:lnTo>
                <a:pt x="771156" y="53573"/>
              </a:lnTo>
              <a:lnTo>
                <a:pt x="0" y="53573"/>
              </a:lnTo>
              <a:lnTo>
                <a:pt x="0"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C627DA-DEE2-4ABA-8B45-EDA0790A0E41}">
      <dsp:nvSpPr>
        <dsp:cNvPr id="0" name=""/>
        <dsp:cNvSpPr/>
      </dsp:nvSpPr>
      <dsp:spPr>
        <a:xfrm>
          <a:off x="513675" y="973484"/>
          <a:ext cx="1984945" cy="110151"/>
        </a:xfrm>
        <a:custGeom>
          <a:avLst/>
          <a:gdLst/>
          <a:ahLst/>
          <a:cxnLst/>
          <a:rect l="0" t="0" r="0" b="0"/>
          <a:pathLst>
            <a:path>
              <a:moveTo>
                <a:pt x="1984945" y="0"/>
              </a:moveTo>
              <a:lnTo>
                <a:pt x="1984945" y="53573"/>
              </a:lnTo>
              <a:lnTo>
                <a:pt x="0" y="53573"/>
              </a:lnTo>
              <a:lnTo>
                <a:pt x="0" y="110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1413CB-79BD-42F7-851B-359E40C9D963}">
      <dsp:nvSpPr>
        <dsp:cNvPr id="0" name=""/>
        <dsp:cNvSpPr/>
      </dsp:nvSpPr>
      <dsp:spPr>
        <a:xfrm>
          <a:off x="1874841" y="346763"/>
          <a:ext cx="1247558" cy="626721"/>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sl-SI" sz="800" b="0" kern="1200"/>
            <a:t>OFFICE FOR MONEY LAUNDERING PREVENTION OF THE REPUBLIC OF SLOVENIA </a:t>
          </a:r>
        </a:p>
      </dsp:txBody>
      <dsp:txXfrm>
        <a:off x="1874841" y="346763"/>
        <a:ext cx="1247558" cy="626721"/>
      </dsp:txXfrm>
    </dsp:sp>
    <dsp:sp modelId="{740B7BC4-D394-4334-A1D7-CA68764AB02C}">
      <dsp:nvSpPr>
        <dsp:cNvPr id="0" name=""/>
        <dsp:cNvSpPr/>
      </dsp:nvSpPr>
      <dsp:spPr>
        <a:xfrm>
          <a:off x="3981" y="1083636"/>
          <a:ext cx="1019387"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sl-SI" sz="800" b="0" kern="1200"/>
            <a:t>GENERAL AFFAIRS DIVISION AND IT SUPPORT</a:t>
          </a:r>
        </a:p>
      </dsp:txBody>
      <dsp:txXfrm>
        <a:off x="3981" y="1083636"/>
        <a:ext cx="1019387" cy="591904"/>
      </dsp:txXfrm>
    </dsp:sp>
    <dsp:sp modelId="{892E0F3C-8137-4F90-B1EA-307ABAEB2A45}">
      <dsp:nvSpPr>
        <dsp:cNvPr id="0" name=""/>
        <dsp:cNvSpPr/>
      </dsp:nvSpPr>
      <dsp:spPr>
        <a:xfrm>
          <a:off x="1136524" y="1083636"/>
          <a:ext cx="1181879"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sl-SI" sz="800" b="0" kern="1200"/>
            <a:t>DIVISION OF INTERNATIONAL AFFAIRS AND PREVENTION</a:t>
          </a:r>
        </a:p>
      </dsp:txBody>
      <dsp:txXfrm>
        <a:off x="1136524" y="1083636"/>
        <a:ext cx="1181879" cy="591904"/>
      </dsp:txXfrm>
    </dsp:sp>
    <dsp:sp modelId="{38823397-D531-4180-9A42-80D2B2339D4A}">
      <dsp:nvSpPr>
        <dsp:cNvPr id="0" name=""/>
        <dsp:cNvSpPr/>
      </dsp:nvSpPr>
      <dsp:spPr>
        <a:xfrm>
          <a:off x="2456680" y="1083636"/>
          <a:ext cx="1014839"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sl-SI" sz="800" kern="1200"/>
            <a:t>INSPECTION</a:t>
          </a:r>
        </a:p>
      </dsp:txBody>
      <dsp:txXfrm>
        <a:off x="2456680" y="1083636"/>
        <a:ext cx="1014839" cy="591904"/>
      </dsp:txXfrm>
    </dsp:sp>
    <dsp:sp modelId="{2204ACE8-559F-45DB-92EF-5DF5FC62CF01}">
      <dsp:nvSpPr>
        <dsp:cNvPr id="0" name=""/>
        <dsp:cNvSpPr/>
      </dsp:nvSpPr>
      <dsp:spPr>
        <a:xfrm>
          <a:off x="3559555" y="1083636"/>
          <a:ext cx="1011833"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sl-SI" sz="800" b="0" kern="1200"/>
            <a:t>LEGAL AFFAIRS DIVISION</a:t>
          </a:r>
        </a:p>
      </dsp:txBody>
      <dsp:txXfrm>
        <a:off x="3559555" y="1083636"/>
        <a:ext cx="1011833" cy="591904"/>
      </dsp:txXfrm>
    </dsp:sp>
    <dsp:sp modelId="{B33856D3-5218-4220-A347-B50FB8CB9F88}">
      <dsp:nvSpPr>
        <dsp:cNvPr id="0" name=""/>
        <dsp:cNvSpPr/>
      </dsp:nvSpPr>
      <dsp:spPr>
        <a:xfrm>
          <a:off x="4684544" y="1083636"/>
          <a:ext cx="1072193" cy="591904"/>
        </a:xfrm>
        <a:prstGeom prst="rect">
          <a:avLst/>
        </a:prstGeom>
        <a:solidFill>
          <a:srgbClr val="285A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sl-SI" sz="800" b="0" kern="1200"/>
            <a:t>DIVISION FOR MONITORING, ANALYSIS AND SUPERVISION</a:t>
          </a:r>
        </a:p>
      </dsp:txBody>
      <dsp:txXfrm>
        <a:off x="4684544" y="1083636"/>
        <a:ext cx="1072193" cy="591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D15A04-968E-46EF-8015-63A783F4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11408</Words>
  <Characters>65026</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Frlec</dc:creator>
  <cp:keywords/>
  <dc:description/>
  <cp:lastModifiedBy>UPPD</cp:lastModifiedBy>
  <cp:revision>7</cp:revision>
  <cp:lastPrinted>2022-11-15T09:17:00Z</cp:lastPrinted>
  <dcterms:created xsi:type="dcterms:W3CDTF">2023-11-16T08:39:00Z</dcterms:created>
  <dcterms:modified xsi:type="dcterms:W3CDTF">2023-11-16T09:21:00Z</dcterms:modified>
</cp:coreProperties>
</file>