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D016" w14:textId="2FD4C34E" w:rsidR="00164DBB" w:rsidRPr="006E20A2" w:rsidRDefault="003B40A3" w:rsidP="00D21F86">
      <w:pPr>
        <w:pStyle w:val="Glava"/>
        <w:tabs>
          <w:tab w:val="clear" w:pos="4153"/>
          <w:tab w:val="clear" w:pos="8306"/>
        </w:tabs>
        <w:spacing w:line="276" w:lineRule="auto"/>
        <w:rPr>
          <w:rFonts w:ascii="Arial" w:hAnsi="Arial"/>
          <w:sz w:val="20"/>
          <w:lang w:val="en-US"/>
        </w:rPr>
      </w:pPr>
      <w:r w:rsidRPr="006E20A2">
        <w:rPr>
          <w:rFonts w:ascii="Arial" w:hAnsi="Arial"/>
          <w:noProof/>
          <w:sz w:val="20"/>
          <w:lang w:val="en-US"/>
        </w:rPr>
        <w:drawing>
          <wp:inline distT="0" distB="0" distL="0" distR="0" wp14:anchorId="2AD7D3F3" wp14:editId="30E57817">
            <wp:extent cx="4322445" cy="1341120"/>
            <wp:effectExtent l="0" t="0" r="1905" b="0"/>
            <wp:docPr id="1" name="Slika 1" descr="Head of the document with the coat of arms of the Republic of Slovenia and the full title of the Office for Money Laundering Prevention of the Republic of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Head of the document with the coat of arms of the Republic of Slovenia and the full title of the Office for Money Laundering Prevention of the Republic of Slove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2445" cy="1341120"/>
                    </a:xfrm>
                    <a:prstGeom prst="rect">
                      <a:avLst/>
                    </a:prstGeom>
                    <a:noFill/>
                  </pic:spPr>
                </pic:pic>
              </a:graphicData>
            </a:graphic>
          </wp:inline>
        </w:drawing>
      </w:r>
    </w:p>
    <w:p w14:paraId="08DBBC94" w14:textId="42ED46FA" w:rsidR="00851C49" w:rsidRPr="006E20A2" w:rsidRDefault="00851C49" w:rsidP="00D21F86">
      <w:pPr>
        <w:pStyle w:val="Glava"/>
        <w:tabs>
          <w:tab w:val="clear" w:pos="4153"/>
          <w:tab w:val="clear" w:pos="8306"/>
        </w:tabs>
        <w:spacing w:line="276" w:lineRule="auto"/>
        <w:rPr>
          <w:rFonts w:ascii="Arial" w:hAnsi="Arial"/>
          <w:sz w:val="20"/>
          <w:lang w:val="en-US"/>
        </w:rPr>
      </w:pPr>
    </w:p>
    <w:p w14:paraId="338B0BAC" w14:textId="30241720" w:rsidR="00851C49" w:rsidRPr="00EA124A" w:rsidRDefault="00851C49" w:rsidP="00D21F86">
      <w:pPr>
        <w:spacing w:line="276" w:lineRule="auto"/>
        <w:rPr>
          <w:rFonts w:ascii="Arial" w:hAnsi="Arial"/>
          <w:sz w:val="20"/>
          <w:lang w:val="it-IT"/>
        </w:rPr>
      </w:pPr>
      <w:r w:rsidRPr="00EA124A">
        <w:rPr>
          <w:rFonts w:ascii="Arial" w:hAnsi="Arial"/>
          <w:sz w:val="20"/>
          <w:lang w:val="it-IT"/>
        </w:rPr>
        <w:t xml:space="preserve">     </w:t>
      </w:r>
      <w:r w:rsidR="00A60717">
        <w:rPr>
          <w:rFonts w:ascii="Arial" w:hAnsi="Arial"/>
          <w:sz w:val="20"/>
          <w:lang w:val="it-IT"/>
        </w:rPr>
        <w:t xml:space="preserve">                         </w:t>
      </w:r>
      <w:r w:rsidRPr="00EA124A">
        <w:rPr>
          <w:rFonts w:ascii="Arial" w:hAnsi="Arial"/>
          <w:sz w:val="20"/>
          <w:lang w:val="it-IT"/>
        </w:rPr>
        <w:t xml:space="preserve"> </w:t>
      </w:r>
      <w:proofErr w:type="spellStart"/>
      <w:r w:rsidRPr="00EA124A">
        <w:rPr>
          <w:rFonts w:ascii="Arial" w:hAnsi="Arial"/>
          <w:sz w:val="20"/>
          <w:lang w:val="it-IT"/>
        </w:rPr>
        <w:t>Cankarjeva</w:t>
      </w:r>
      <w:proofErr w:type="spellEnd"/>
      <w:r w:rsidRPr="00EA124A">
        <w:rPr>
          <w:rFonts w:ascii="Arial" w:hAnsi="Arial"/>
          <w:sz w:val="20"/>
          <w:lang w:val="it-IT"/>
        </w:rPr>
        <w:t xml:space="preserve"> </w:t>
      </w:r>
      <w:r w:rsidR="000B6751" w:rsidRPr="00EA124A">
        <w:rPr>
          <w:rFonts w:ascii="Arial" w:hAnsi="Arial"/>
          <w:sz w:val="20"/>
          <w:lang w:val="it-IT"/>
        </w:rPr>
        <w:t xml:space="preserve">cesta </w:t>
      </w:r>
      <w:r w:rsidRPr="00EA124A">
        <w:rPr>
          <w:rFonts w:ascii="Arial" w:hAnsi="Arial"/>
          <w:sz w:val="20"/>
          <w:lang w:val="it-IT"/>
        </w:rPr>
        <w:t>5, p.</w:t>
      </w:r>
      <w:r w:rsidR="001071BA" w:rsidRPr="00EA124A">
        <w:rPr>
          <w:rFonts w:ascii="Arial" w:hAnsi="Arial"/>
          <w:sz w:val="20"/>
          <w:lang w:val="it-IT"/>
        </w:rPr>
        <w:t> </w:t>
      </w:r>
      <w:r w:rsidRPr="00EA124A">
        <w:rPr>
          <w:rFonts w:ascii="Arial" w:hAnsi="Arial"/>
          <w:sz w:val="20"/>
          <w:lang w:val="it-IT"/>
        </w:rPr>
        <w:t>p.</w:t>
      </w:r>
      <w:r w:rsidR="001071BA" w:rsidRPr="00EA124A">
        <w:rPr>
          <w:rFonts w:ascii="Arial" w:hAnsi="Arial"/>
          <w:sz w:val="20"/>
          <w:lang w:val="it-IT"/>
        </w:rPr>
        <w:t> </w:t>
      </w:r>
      <w:r w:rsidRPr="00EA124A">
        <w:rPr>
          <w:rFonts w:ascii="Arial" w:hAnsi="Arial"/>
          <w:sz w:val="20"/>
          <w:lang w:val="it-IT"/>
        </w:rPr>
        <w:t xml:space="preserve">1696, 1001 </w:t>
      </w:r>
      <w:proofErr w:type="spellStart"/>
      <w:r w:rsidRPr="00EA124A">
        <w:rPr>
          <w:rFonts w:ascii="Arial" w:hAnsi="Arial"/>
          <w:sz w:val="20"/>
          <w:lang w:val="it-IT"/>
        </w:rPr>
        <w:t>Ljubljana</w:t>
      </w:r>
      <w:proofErr w:type="spellEnd"/>
      <w:r w:rsidRPr="00EA124A">
        <w:rPr>
          <w:rFonts w:ascii="Arial" w:hAnsi="Arial"/>
          <w:sz w:val="20"/>
          <w:lang w:val="it-IT"/>
        </w:rPr>
        <w:t xml:space="preserve">          </w:t>
      </w:r>
      <w:r w:rsidRPr="00EA124A">
        <w:rPr>
          <w:rFonts w:ascii="Arial" w:hAnsi="Arial"/>
          <w:sz w:val="20"/>
          <w:lang w:val="it-IT"/>
        </w:rPr>
        <w:tab/>
        <w:t>T: 01 425 41 89</w:t>
      </w:r>
    </w:p>
    <w:p w14:paraId="784BA6AA" w14:textId="6B3F2942" w:rsidR="00851C49" w:rsidRPr="00EA124A" w:rsidRDefault="00A60717" w:rsidP="00D21F86">
      <w:pPr>
        <w:spacing w:line="276" w:lineRule="auto"/>
        <w:ind w:left="4320" w:firstLine="720"/>
        <w:rPr>
          <w:rFonts w:ascii="Arial" w:hAnsi="Arial"/>
          <w:sz w:val="20"/>
          <w:lang w:val="it-IT"/>
        </w:rPr>
      </w:pPr>
      <w:r>
        <w:rPr>
          <w:rFonts w:ascii="Arial" w:hAnsi="Arial"/>
          <w:sz w:val="20"/>
          <w:lang w:val="it-IT"/>
        </w:rPr>
        <w:t xml:space="preserve">                          </w:t>
      </w:r>
      <w:r w:rsidR="00851C49" w:rsidRPr="00EA124A">
        <w:rPr>
          <w:rFonts w:ascii="Arial" w:hAnsi="Arial"/>
          <w:sz w:val="20"/>
          <w:lang w:val="it-IT"/>
        </w:rPr>
        <w:t>F: 01 425 20 87</w:t>
      </w:r>
    </w:p>
    <w:p w14:paraId="0945B827" w14:textId="12651B13" w:rsidR="00851C49" w:rsidRPr="00EA124A" w:rsidRDefault="00851C49" w:rsidP="00A60717">
      <w:pPr>
        <w:spacing w:line="276" w:lineRule="auto"/>
        <w:ind w:left="5760" w:firstLine="720"/>
        <w:rPr>
          <w:rFonts w:ascii="Arial" w:hAnsi="Arial"/>
          <w:sz w:val="20"/>
          <w:lang w:val="it-IT"/>
        </w:rPr>
      </w:pPr>
      <w:r w:rsidRPr="00EA124A">
        <w:rPr>
          <w:rFonts w:ascii="Arial" w:hAnsi="Arial"/>
          <w:sz w:val="20"/>
          <w:lang w:val="it-IT"/>
        </w:rPr>
        <w:t xml:space="preserve">E: </w:t>
      </w:r>
      <w:hyperlink r:id="rId9" w:history="1">
        <w:r w:rsidR="00D262B3" w:rsidRPr="00EA124A">
          <w:rPr>
            <w:rStyle w:val="Hiperpovezava"/>
            <w:rFonts w:ascii="Arial" w:hAnsi="Arial" w:cs="Arial"/>
            <w:sz w:val="20"/>
            <w:lang w:val="it-IT"/>
          </w:rPr>
          <w:t>mf.uppd@gov.si</w:t>
        </w:r>
      </w:hyperlink>
      <w:r w:rsidR="00D262B3" w:rsidRPr="00EA124A">
        <w:rPr>
          <w:rFonts w:ascii="Arial" w:hAnsi="Arial"/>
          <w:sz w:val="20"/>
          <w:lang w:val="it-IT"/>
        </w:rPr>
        <w:t xml:space="preserve"> </w:t>
      </w:r>
      <w:r w:rsidRPr="00EA124A">
        <w:rPr>
          <w:rFonts w:ascii="Arial" w:hAnsi="Arial"/>
          <w:sz w:val="20"/>
          <w:lang w:val="it-IT"/>
        </w:rPr>
        <w:tab/>
      </w:r>
      <w:r w:rsidRPr="00EA124A">
        <w:rPr>
          <w:rFonts w:ascii="Arial" w:hAnsi="Arial"/>
          <w:sz w:val="20"/>
          <w:lang w:val="it-IT"/>
        </w:rPr>
        <w:tab/>
      </w:r>
      <w:hyperlink r:id="rId10" w:history="1">
        <w:r w:rsidR="00A60717" w:rsidRPr="00742F28">
          <w:rPr>
            <w:rStyle w:val="Hiperpovezava"/>
            <w:rFonts w:ascii="Arial" w:hAnsi="Arial" w:cs="Arial"/>
            <w:sz w:val="20"/>
            <w:lang w:val="it-IT"/>
          </w:rPr>
          <w:t>www.uppd.gov.si</w:t>
        </w:r>
      </w:hyperlink>
      <w:r w:rsidR="00D262B3" w:rsidRPr="00EA124A">
        <w:rPr>
          <w:rFonts w:ascii="Arial" w:hAnsi="Arial"/>
          <w:sz w:val="20"/>
          <w:lang w:val="it-IT"/>
        </w:rPr>
        <w:t xml:space="preserve"> </w:t>
      </w:r>
    </w:p>
    <w:p w14:paraId="52B67553" w14:textId="77777777" w:rsidR="00851C49" w:rsidRPr="00EA124A" w:rsidRDefault="00851C49" w:rsidP="00D21F86">
      <w:pPr>
        <w:spacing w:line="276" w:lineRule="auto"/>
        <w:rPr>
          <w:rFonts w:ascii="Arial" w:hAnsi="Arial"/>
          <w:sz w:val="20"/>
          <w:lang w:val="it-IT"/>
        </w:rPr>
      </w:pPr>
    </w:p>
    <w:p w14:paraId="3CBFE418" w14:textId="77777777" w:rsidR="00851C49" w:rsidRPr="00EA124A" w:rsidRDefault="00851C49" w:rsidP="00D21F86">
      <w:pPr>
        <w:pStyle w:val="Naslov"/>
        <w:spacing w:line="276" w:lineRule="auto"/>
        <w:rPr>
          <w:rFonts w:ascii="Arial" w:hAnsi="Arial"/>
          <w:sz w:val="20"/>
          <w:lang w:val="it-IT"/>
        </w:rPr>
      </w:pPr>
    </w:p>
    <w:p w14:paraId="289E389F" w14:textId="77777777" w:rsidR="00851C49" w:rsidRPr="00EA124A" w:rsidRDefault="00851C49" w:rsidP="00D21F86">
      <w:pPr>
        <w:pStyle w:val="Naslov"/>
        <w:spacing w:line="276" w:lineRule="auto"/>
        <w:rPr>
          <w:rFonts w:ascii="Arial" w:hAnsi="Arial"/>
          <w:sz w:val="20"/>
          <w:lang w:val="it-IT"/>
        </w:rPr>
      </w:pPr>
    </w:p>
    <w:p w14:paraId="58EF05AD" w14:textId="77777777" w:rsidR="00851C49" w:rsidRPr="00EA124A" w:rsidRDefault="00851C49" w:rsidP="00D21F86">
      <w:pPr>
        <w:pStyle w:val="Naslov"/>
        <w:spacing w:line="276" w:lineRule="auto"/>
        <w:rPr>
          <w:rFonts w:ascii="Arial" w:hAnsi="Arial"/>
          <w:sz w:val="20"/>
          <w:lang w:val="it-IT"/>
        </w:rPr>
      </w:pPr>
    </w:p>
    <w:p w14:paraId="64B9967C" w14:textId="77777777" w:rsidR="00851C49" w:rsidRPr="00EA124A" w:rsidRDefault="00851C49" w:rsidP="00D21F86">
      <w:pPr>
        <w:pStyle w:val="Naslov"/>
        <w:spacing w:line="276" w:lineRule="auto"/>
        <w:rPr>
          <w:rFonts w:ascii="Arial" w:hAnsi="Arial"/>
          <w:sz w:val="20"/>
          <w:lang w:val="it-IT"/>
        </w:rPr>
      </w:pPr>
    </w:p>
    <w:p w14:paraId="3ECF0EAE" w14:textId="77777777" w:rsidR="00851C49" w:rsidRPr="00EA124A" w:rsidRDefault="00851C49" w:rsidP="00D21F86">
      <w:pPr>
        <w:pStyle w:val="Naslov"/>
        <w:spacing w:line="276" w:lineRule="auto"/>
        <w:rPr>
          <w:rFonts w:ascii="Arial" w:hAnsi="Arial"/>
          <w:sz w:val="20"/>
          <w:lang w:val="it-IT"/>
        </w:rPr>
      </w:pPr>
    </w:p>
    <w:p w14:paraId="2872F7D0" w14:textId="77777777" w:rsidR="00851C49" w:rsidRPr="00EA124A" w:rsidRDefault="00851C49" w:rsidP="00D21F86">
      <w:pPr>
        <w:pStyle w:val="Naslov"/>
        <w:spacing w:line="276" w:lineRule="auto"/>
        <w:rPr>
          <w:rFonts w:ascii="Arial" w:hAnsi="Arial"/>
          <w:sz w:val="20"/>
          <w:lang w:val="it-IT"/>
        </w:rPr>
      </w:pPr>
    </w:p>
    <w:p w14:paraId="5D99AECB" w14:textId="77777777" w:rsidR="00851C49" w:rsidRPr="00EA124A" w:rsidRDefault="00851C49" w:rsidP="00D21F86">
      <w:pPr>
        <w:pStyle w:val="Naslov"/>
        <w:spacing w:line="276" w:lineRule="auto"/>
        <w:rPr>
          <w:rFonts w:ascii="Arial" w:hAnsi="Arial"/>
          <w:sz w:val="20"/>
          <w:lang w:val="it-IT"/>
        </w:rPr>
      </w:pPr>
    </w:p>
    <w:p w14:paraId="6BD37F7B" w14:textId="77777777" w:rsidR="00851C49" w:rsidRPr="00EA124A" w:rsidRDefault="00851C49" w:rsidP="00D21F86">
      <w:pPr>
        <w:pStyle w:val="Naslov"/>
        <w:spacing w:line="276" w:lineRule="auto"/>
        <w:rPr>
          <w:rFonts w:ascii="Arial" w:hAnsi="Arial"/>
          <w:sz w:val="20"/>
          <w:lang w:val="it-IT"/>
        </w:rPr>
      </w:pPr>
    </w:p>
    <w:p w14:paraId="2BCE7471" w14:textId="77777777" w:rsidR="00851C49" w:rsidRPr="00EA124A" w:rsidRDefault="00851C49" w:rsidP="00D21F86">
      <w:pPr>
        <w:pStyle w:val="Naslov"/>
        <w:spacing w:line="276" w:lineRule="auto"/>
        <w:rPr>
          <w:rFonts w:ascii="Arial" w:hAnsi="Arial"/>
          <w:sz w:val="20"/>
          <w:lang w:val="it-IT"/>
        </w:rPr>
      </w:pPr>
    </w:p>
    <w:p w14:paraId="2A55D61D" w14:textId="77777777" w:rsidR="00851C49" w:rsidRPr="00EA124A" w:rsidRDefault="00851C49" w:rsidP="00D21F86">
      <w:pPr>
        <w:pStyle w:val="Naslov"/>
        <w:spacing w:line="276" w:lineRule="auto"/>
        <w:rPr>
          <w:rFonts w:ascii="Arial" w:hAnsi="Arial"/>
          <w:sz w:val="20"/>
          <w:lang w:val="it-IT"/>
        </w:rPr>
      </w:pPr>
    </w:p>
    <w:p w14:paraId="3A03DFD1" w14:textId="77777777" w:rsidR="00851C49" w:rsidRPr="00EA124A" w:rsidRDefault="00851C49" w:rsidP="00D21F86">
      <w:pPr>
        <w:pStyle w:val="Naslov"/>
        <w:spacing w:line="276" w:lineRule="auto"/>
        <w:rPr>
          <w:rFonts w:ascii="Arial" w:hAnsi="Arial"/>
          <w:sz w:val="20"/>
          <w:lang w:val="it-IT"/>
        </w:rPr>
      </w:pPr>
    </w:p>
    <w:p w14:paraId="41AE2121" w14:textId="77777777" w:rsidR="00851C49" w:rsidRPr="00EA124A" w:rsidRDefault="00851C49" w:rsidP="00D21F86">
      <w:pPr>
        <w:pStyle w:val="Naslov"/>
        <w:spacing w:line="276" w:lineRule="auto"/>
        <w:rPr>
          <w:rFonts w:ascii="Arial" w:hAnsi="Arial"/>
          <w:sz w:val="20"/>
          <w:lang w:val="it-IT"/>
        </w:rPr>
      </w:pPr>
    </w:p>
    <w:p w14:paraId="2402C2D7" w14:textId="002C8216" w:rsidR="00830BC1" w:rsidRDefault="00830BC1" w:rsidP="00830BC1">
      <w:pPr>
        <w:jc w:val="center"/>
        <w:rPr>
          <w:rFonts w:ascii="Arial" w:hAnsi="Arial"/>
          <w:b/>
          <w:szCs w:val="24"/>
          <w:lang w:val="en-US"/>
        </w:rPr>
      </w:pPr>
      <w:r w:rsidRPr="006E20A2">
        <w:rPr>
          <w:rFonts w:ascii="Arial" w:hAnsi="Arial"/>
          <w:b/>
          <w:szCs w:val="24"/>
          <w:lang w:val="en-US"/>
        </w:rPr>
        <w:t>THE REPORT ON ACTIVITIES OF THE OFFICE FOR MONEY LAUNDERING PREVENTION OF THE REPUBLIC OF SLOVENIA FOR THE YEAR 2020</w:t>
      </w:r>
    </w:p>
    <w:p w14:paraId="46873605" w14:textId="4C304837" w:rsidR="00791BE2" w:rsidRDefault="00791BE2" w:rsidP="00830BC1">
      <w:pPr>
        <w:jc w:val="center"/>
        <w:rPr>
          <w:rFonts w:ascii="Arial" w:hAnsi="Arial"/>
          <w:b/>
          <w:szCs w:val="24"/>
          <w:lang w:val="en-US"/>
        </w:rPr>
      </w:pPr>
    </w:p>
    <w:p w14:paraId="734F4B81" w14:textId="3ACB426F" w:rsidR="00791BE2" w:rsidRPr="006E20A2" w:rsidRDefault="00791BE2" w:rsidP="00830BC1">
      <w:pPr>
        <w:jc w:val="center"/>
        <w:rPr>
          <w:rFonts w:ascii="Arial" w:hAnsi="Arial"/>
          <w:b/>
          <w:bCs/>
          <w:szCs w:val="24"/>
          <w:lang w:val="en-US"/>
        </w:rPr>
      </w:pPr>
      <w:r>
        <w:rPr>
          <w:rFonts w:ascii="Arial" w:hAnsi="Arial"/>
          <w:b/>
          <w:szCs w:val="24"/>
          <w:lang w:val="en-US"/>
        </w:rPr>
        <w:t>Unofficial translation</w:t>
      </w:r>
    </w:p>
    <w:p w14:paraId="16684087" w14:textId="306EC184" w:rsidR="00851C49" w:rsidRPr="006E20A2" w:rsidRDefault="00851C49" w:rsidP="00D21F86">
      <w:pPr>
        <w:pStyle w:val="Naslov"/>
        <w:spacing w:line="276" w:lineRule="auto"/>
        <w:rPr>
          <w:rFonts w:ascii="Arial" w:hAnsi="Arial"/>
          <w:spacing w:val="10"/>
          <w:sz w:val="24"/>
          <w:szCs w:val="24"/>
          <w:lang w:val="en-US"/>
        </w:rPr>
      </w:pPr>
    </w:p>
    <w:p w14:paraId="38803B8F" w14:textId="77777777" w:rsidR="00851C49" w:rsidRPr="006E20A2" w:rsidRDefault="00851C49" w:rsidP="00D21F86">
      <w:pPr>
        <w:spacing w:line="276" w:lineRule="auto"/>
        <w:rPr>
          <w:rFonts w:ascii="Arial" w:hAnsi="Arial"/>
          <w:sz w:val="20"/>
          <w:lang w:val="en-US"/>
        </w:rPr>
      </w:pPr>
    </w:p>
    <w:p w14:paraId="2A799F7D" w14:textId="77777777" w:rsidR="00851C49" w:rsidRPr="006E20A2" w:rsidRDefault="00851C49" w:rsidP="00D21F86">
      <w:pPr>
        <w:spacing w:line="276" w:lineRule="auto"/>
        <w:rPr>
          <w:rFonts w:ascii="Arial" w:hAnsi="Arial"/>
          <w:sz w:val="20"/>
          <w:lang w:val="en-US"/>
        </w:rPr>
      </w:pPr>
    </w:p>
    <w:p w14:paraId="16E83D47" w14:textId="77777777" w:rsidR="00851C49" w:rsidRPr="006E20A2" w:rsidRDefault="00851C49" w:rsidP="00D21F86">
      <w:pPr>
        <w:spacing w:line="276" w:lineRule="auto"/>
        <w:rPr>
          <w:rFonts w:ascii="Arial" w:hAnsi="Arial"/>
          <w:sz w:val="20"/>
          <w:lang w:val="en-US"/>
        </w:rPr>
      </w:pPr>
    </w:p>
    <w:p w14:paraId="66838F7A" w14:textId="77777777" w:rsidR="00851C49" w:rsidRPr="006E20A2" w:rsidRDefault="00851C49" w:rsidP="00D21F86">
      <w:pPr>
        <w:spacing w:line="276" w:lineRule="auto"/>
        <w:rPr>
          <w:rFonts w:ascii="Arial" w:hAnsi="Arial"/>
          <w:sz w:val="20"/>
          <w:lang w:val="en-US"/>
        </w:rPr>
      </w:pPr>
    </w:p>
    <w:p w14:paraId="60242E7C" w14:textId="77777777" w:rsidR="00851C49" w:rsidRPr="006E20A2" w:rsidRDefault="00851C49" w:rsidP="00D21F86">
      <w:pPr>
        <w:spacing w:line="276" w:lineRule="auto"/>
        <w:rPr>
          <w:rFonts w:ascii="Arial" w:hAnsi="Arial"/>
          <w:sz w:val="20"/>
          <w:lang w:val="en-US"/>
        </w:rPr>
      </w:pPr>
    </w:p>
    <w:p w14:paraId="67182BDA" w14:textId="77777777" w:rsidR="00851C49" w:rsidRPr="006E20A2" w:rsidRDefault="00851C49" w:rsidP="00D21F86">
      <w:pPr>
        <w:pStyle w:val="Uvodnipozdrav"/>
        <w:spacing w:line="276" w:lineRule="auto"/>
        <w:rPr>
          <w:rFonts w:ascii="Arial" w:hAnsi="Arial"/>
          <w:sz w:val="20"/>
          <w:lang w:val="en-US"/>
        </w:rPr>
      </w:pPr>
    </w:p>
    <w:p w14:paraId="25573E1D" w14:textId="77777777" w:rsidR="00851C49" w:rsidRPr="006E20A2" w:rsidRDefault="00851C49" w:rsidP="00D21F86">
      <w:pPr>
        <w:spacing w:line="276" w:lineRule="auto"/>
        <w:rPr>
          <w:rFonts w:ascii="Arial" w:hAnsi="Arial"/>
          <w:sz w:val="20"/>
          <w:lang w:val="en-US"/>
        </w:rPr>
      </w:pPr>
    </w:p>
    <w:p w14:paraId="1EF691F0" w14:textId="77777777" w:rsidR="00851C49" w:rsidRPr="006E20A2" w:rsidRDefault="00972FF3" w:rsidP="00D21F86">
      <w:pPr>
        <w:tabs>
          <w:tab w:val="left" w:pos="1736"/>
        </w:tabs>
        <w:spacing w:line="276" w:lineRule="auto"/>
        <w:rPr>
          <w:rFonts w:ascii="Arial" w:hAnsi="Arial"/>
          <w:sz w:val="20"/>
          <w:lang w:val="en-US"/>
        </w:rPr>
      </w:pPr>
      <w:r w:rsidRPr="006E20A2">
        <w:rPr>
          <w:rFonts w:ascii="Arial" w:hAnsi="Arial"/>
          <w:sz w:val="20"/>
          <w:lang w:val="en-US"/>
        </w:rPr>
        <w:tab/>
      </w:r>
    </w:p>
    <w:p w14:paraId="74496EE3" w14:textId="77777777" w:rsidR="00851C49" w:rsidRPr="006E20A2" w:rsidRDefault="00851C49" w:rsidP="00D21F86">
      <w:pPr>
        <w:spacing w:line="276" w:lineRule="auto"/>
        <w:rPr>
          <w:rFonts w:ascii="Arial" w:hAnsi="Arial"/>
          <w:sz w:val="20"/>
          <w:lang w:val="en-US"/>
        </w:rPr>
      </w:pPr>
    </w:p>
    <w:p w14:paraId="402FFE57" w14:textId="77777777" w:rsidR="00851C49" w:rsidRPr="006E20A2" w:rsidRDefault="00851C49" w:rsidP="00D21F86">
      <w:pPr>
        <w:spacing w:line="276" w:lineRule="auto"/>
        <w:rPr>
          <w:rFonts w:ascii="Arial" w:hAnsi="Arial"/>
          <w:sz w:val="20"/>
          <w:lang w:val="en-US"/>
        </w:rPr>
      </w:pPr>
    </w:p>
    <w:p w14:paraId="0C3D1D76" w14:textId="77777777" w:rsidR="00851C49" w:rsidRPr="006E20A2" w:rsidRDefault="00851C49" w:rsidP="00D21F86">
      <w:pPr>
        <w:spacing w:line="276" w:lineRule="auto"/>
        <w:rPr>
          <w:rFonts w:ascii="Arial" w:hAnsi="Arial"/>
          <w:sz w:val="20"/>
          <w:lang w:val="en-US"/>
        </w:rPr>
      </w:pPr>
    </w:p>
    <w:p w14:paraId="1F9FE0C8" w14:textId="77777777" w:rsidR="00851C49" w:rsidRPr="006E20A2" w:rsidRDefault="00851C49" w:rsidP="00D21F86">
      <w:pPr>
        <w:spacing w:line="276" w:lineRule="auto"/>
        <w:rPr>
          <w:rFonts w:ascii="Arial" w:hAnsi="Arial"/>
          <w:sz w:val="20"/>
          <w:lang w:val="en-US"/>
        </w:rPr>
      </w:pPr>
    </w:p>
    <w:p w14:paraId="537F12E0" w14:textId="77777777" w:rsidR="00851C49" w:rsidRPr="006E20A2" w:rsidRDefault="00851C49" w:rsidP="00D21F86">
      <w:pPr>
        <w:spacing w:line="276" w:lineRule="auto"/>
        <w:rPr>
          <w:rFonts w:ascii="Arial" w:hAnsi="Arial"/>
          <w:sz w:val="20"/>
          <w:lang w:val="en-US"/>
        </w:rPr>
      </w:pPr>
    </w:p>
    <w:p w14:paraId="4D03FA62" w14:textId="77777777" w:rsidR="00851C49" w:rsidRPr="006E20A2" w:rsidRDefault="00851C49" w:rsidP="00D21F86">
      <w:pPr>
        <w:spacing w:line="276" w:lineRule="auto"/>
        <w:rPr>
          <w:rFonts w:ascii="Arial" w:hAnsi="Arial"/>
          <w:sz w:val="20"/>
          <w:lang w:val="en-US"/>
        </w:rPr>
      </w:pPr>
    </w:p>
    <w:p w14:paraId="2CA967BB" w14:textId="77777777" w:rsidR="00851C49" w:rsidRPr="006E20A2" w:rsidRDefault="00851C49" w:rsidP="00D21F86">
      <w:pPr>
        <w:spacing w:line="276" w:lineRule="auto"/>
        <w:rPr>
          <w:rFonts w:ascii="Arial" w:hAnsi="Arial"/>
          <w:sz w:val="20"/>
          <w:lang w:val="en-US"/>
        </w:rPr>
      </w:pPr>
    </w:p>
    <w:p w14:paraId="79FD3A83" w14:textId="77777777" w:rsidR="00851C49" w:rsidRPr="006E20A2" w:rsidRDefault="00851C49" w:rsidP="00D21F86">
      <w:pPr>
        <w:spacing w:line="276" w:lineRule="auto"/>
        <w:rPr>
          <w:rFonts w:ascii="Arial" w:hAnsi="Arial"/>
          <w:sz w:val="20"/>
          <w:lang w:val="en-US"/>
        </w:rPr>
      </w:pPr>
    </w:p>
    <w:p w14:paraId="02BA9BAB" w14:textId="77777777" w:rsidR="00851C49" w:rsidRPr="006E20A2" w:rsidRDefault="00851C49" w:rsidP="00D21F86">
      <w:pPr>
        <w:spacing w:line="276" w:lineRule="auto"/>
        <w:rPr>
          <w:rFonts w:ascii="Arial" w:hAnsi="Arial"/>
          <w:sz w:val="20"/>
          <w:lang w:val="en-US"/>
        </w:rPr>
      </w:pPr>
    </w:p>
    <w:p w14:paraId="4BF2AE23" w14:textId="54B6363D" w:rsidR="00851C49" w:rsidRPr="006E20A2" w:rsidRDefault="00C6632E" w:rsidP="00C6632E">
      <w:pPr>
        <w:tabs>
          <w:tab w:val="left" w:pos="5407"/>
        </w:tabs>
        <w:spacing w:line="276" w:lineRule="auto"/>
        <w:rPr>
          <w:rFonts w:ascii="Arial" w:hAnsi="Arial"/>
          <w:sz w:val="20"/>
          <w:lang w:val="en-US"/>
        </w:rPr>
      </w:pPr>
      <w:r w:rsidRPr="006E20A2">
        <w:rPr>
          <w:rFonts w:ascii="Arial" w:hAnsi="Arial"/>
          <w:sz w:val="20"/>
          <w:lang w:val="en-US"/>
        </w:rPr>
        <w:tab/>
      </w:r>
    </w:p>
    <w:p w14:paraId="380F4557" w14:textId="77777777" w:rsidR="00851C49" w:rsidRPr="006E20A2" w:rsidRDefault="00851C49" w:rsidP="00D21F86">
      <w:pPr>
        <w:spacing w:line="276" w:lineRule="auto"/>
        <w:rPr>
          <w:rFonts w:ascii="Arial" w:hAnsi="Arial"/>
          <w:sz w:val="20"/>
          <w:lang w:val="en-US"/>
        </w:rPr>
      </w:pPr>
    </w:p>
    <w:p w14:paraId="3CE3F62B" w14:textId="77777777" w:rsidR="00851C49" w:rsidRPr="006E20A2" w:rsidRDefault="00851C49" w:rsidP="00D21F86">
      <w:pPr>
        <w:spacing w:line="276" w:lineRule="auto"/>
        <w:rPr>
          <w:rFonts w:ascii="Arial" w:hAnsi="Arial"/>
          <w:sz w:val="20"/>
          <w:lang w:val="en-US"/>
        </w:rPr>
      </w:pPr>
    </w:p>
    <w:p w14:paraId="1067A81D" w14:textId="77777777" w:rsidR="00851C49" w:rsidRPr="006E20A2" w:rsidRDefault="00851C49" w:rsidP="00D21F86">
      <w:pPr>
        <w:spacing w:line="276" w:lineRule="auto"/>
        <w:rPr>
          <w:rFonts w:ascii="Arial" w:hAnsi="Arial"/>
          <w:sz w:val="20"/>
          <w:lang w:val="en-US"/>
        </w:rPr>
      </w:pPr>
    </w:p>
    <w:p w14:paraId="73A927DD" w14:textId="77777777" w:rsidR="00851C49" w:rsidRPr="006E20A2" w:rsidRDefault="00851C49" w:rsidP="00D21F86">
      <w:pPr>
        <w:spacing w:line="276" w:lineRule="auto"/>
        <w:rPr>
          <w:rFonts w:ascii="Arial" w:hAnsi="Arial"/>
          <w:sz w:val="20"/>
          <w:lang w:val="en-US"/>
        </w:rPr>
      </w:pPr>
    </w:p>
    <w:p w14:paraId="3B6B467E" w14:textId="77777777" w:rsidR="00851C49" w:rsidRPr="006E20A2" w:rsidRDefault="00851C49" w:rsidP="00A47FBE">
      <w:pPr>
        <w:spacing w:line="276" w:lineRule="auto"/>
        <w:jc w:val="center"/>
        <w:rPr>
          <w:rFonts w:ascii="Arial" w:hAnsi="Arial"/>
          <w:sz w:val="20"/>
          <w:lang w:val="en-US"/>
        </w:rPr>
      </w:pPr>
    </w:p>
    <w:p w14:paraId="1D7C1755" w14:textId="77777777" w:rsidR="00D21F86" w:rsidRPr="006E20A2" w:rsidRDefault="00D21F86" w:rsidP="00D21F86">
      <w:pPr>
        <w:spacing w:line="276" w:lineRule="auto"/>
        <w:rPr>
          <w:rFonts w:ascii="Arial" w:hAnsi="Arial"/>
          <w:sz w:val="20"/>
          <w:lang w:val="en-US"/>
        </w:rPr>
      </w:pPr>
    </w:p>
    <w:p w14:paraId="3C97DD43" w14:textId="77777777" w:rsidR="00851C49" w:rsidRPr="006E20A2" w:rsidRDefault="00851C49" w:rsidP="00D21F86">
      <w:pPr>
        <w:spacing w:line="276" w:lineRule="auto"/>
        <w:rPr>
          <w:rFonts w:ascii="Arial" w:hAnsi="Arial"/>
          <w:sz w:val="20"/>
          <w:lang w:val="en-US"/>
        </w:rPr>
      </w:pPr>
    </w:p>
    <w:p w14:paraId="291034D3" w14:textId="76A4ED2C" w:rsidR="00851C49" w:rsidRPr="006E20A2" w:rsidRDefault="00851C49" w:rsidP="00D21F86">
      <w:pPr>
        <w:spacing w:line="276" w:lineRule="auto"/>
        <w:jc w:val="center"/>
        <w:rPr>
          <w:rFonts w:ascii="Arial" w:hAnsi="Arial"/>
          <w:sz w:val="20"/>
          <w:lang w:val="en-US"/>
        </w:rPr>
      </w:pPr>
      <w:r w:rsidRPr="006E20A2">
        <w:rPr>
          <w:rFonts w:ascii="Arial" w:hAnsi="Arial"/>
          <w:sz w:val="20"/>
          <w:lang w:val="en-US"/>
        </w:rPr>
        <w:t xml:space="preserve">Ljubljana, </w:t>
      </w:r>
      <w:r w:rsidR="00370C8F" w:rsidRPr="006E20A2">
        <w:rPr>
          <w:rFonts w:ascii="Arial" w:hAnsi="Arial"/>
          <w:sz w:val="20"/>
          <w:lang w:val="en-US"/>
        </w:rPr>
        <w:t>1</w:t>
      </w:r>
      <w:r w:rsidR="0065683E" w:rsidRPr="006E20A2">
        <w:rPr>
          <w:rFonts w:ascii="Arial" w:hAnsi="Arial"/>
          <w:sz w:val="20"/>
          <w:lang w:val="en-US"/>
        </w:rPr>
        <w:t>2</w:t>
      </w:r>
      <w:r w:rsidR="00830BC1" w:rsidRPr="006E20A2">
        <w:rPr>
          <w:rFonts w:ascii="Arial" w:hAnsi="Arial"/>
          <w:sz w:val="20"/>
          <w:lang w:val="en-US"/>
        </w:rPr>
        <w:t>th July</w:t>
      </w:r>
      <w:r w:rsidR="00720FF0" w:rsidRPr="006E20A2">
        <w:rPr>
          <w:rFonts w:ascii="Arial" w:hAnsi="Arial"/>
          <w:sz w:val="20"/>
          <w:lang w:val="en-US"/>
        </w:rPr>
        <w:t xml:space="preserve"> </w:t>
      </w:r>
      <w:r w:rsidRPr="006E20A2">
        <w:rPr>
          <w:rFonts w:ascii="Arial" w:hAnsi="Arial"/>
          <w:sz w:val="20"/>
          <w:lang w:val="en-US"/>
        </w:rPr>
        <w:t>20</w:t>
      </w:r>
      <w:r w:rsidR="00D262B3" w:rsidRPr="006E20A2">
        <w:rPr>
          <w:rFonts w:ascii="Arial" w:hAnsi="Arial"/>
          <w:sz w:val="20"/>
          <w:lang w:val="en-US"/>
        </w:rPr>
        <w:t>2</w:t>
      </w:r>
      <w:r w:rsidR="00720FF0" w:rsidRPr="006E20A2">
        <w:rPr>
          <w:rFonts w:ascii="Arial" w:hAnsi="Arial"/>
          <w:sz w:val="20"/>
          <w:lang w:val="en-US"/>
        </w:rPr>
        <w:t>1</w:t>
      </w:r>
    </w:p>
    <w:p w14:paraId="6DC74230" w14:textId="77777777" w:rsidR="00CD676B" w:rsidRPr="006E20A2" w:rsidRDefault="00CD676B" w:rsidP="00D21F86">
      <w:pPr>
        <w:spacing w:line="276" w:lineRule="auto"/>
        <w:jc w:val="center"/>
        <w:rPr>
          <w:rFonts w:ascii="Arial" w:hAnsi="Arial"/>
          <w:sz w:val="20"/>
          <w:lang w:val="en-US"/>
        </w:rPr>
      </w:pPr>
    </w:p>
    <w:p w14:paraId="7F700BBC" w14:textId="69166CFA" w:rsidR="00851C49" w:rsidRPr="006E20A2" w:rsidRDefault="00830BC1" w:rsidP="00636B18">
      <w:pPr>
        <w:pStyle w:val="Naslov1"/>
        <w:numPr>
          <w:ilvl w:val="0"/>
          <w:numId w:val="4"/>
        </w:numPr>
        <w:spacing w:line="276" w:lineRule="auto"/>
        <w:rPr>
          <w:rFonts w:ascii="Arial" w:hAnsi="Arial"/>
          <w:sz w:val="20"/>
          <w:lang w:val="en-US"/>
        </w:rPr>
      </w:pPr>
      <w:bookmarkStart w:id="0" w:name="_Hlk73528225"/>
      <w:r w:rsidRPr="006E20A2">
        <w:rPr>
          <w:rFonts w:ascii="Arial" w:hAnsi="Arial"/>
          <w:sz w:val="20"/>
          <w:lang w:val="en-US"/>
        </w:rPr>
        <w:lastRenderedPageBreak/>
        <w:t>PREAMBLE</w:t>
      </w:r>
    </w:p>
    <w:p w14:paraId="48397192" w14:textId="14C6F317" w:rsidR="001B7B42" w:rsidRPr="006E20A2" w:rsidRDefault="001B7B42" w:rsidP="0089137A">
      <w:pPr>
        <w:pStyle w:val="Telobesedila"/>
        <w:spacing w:line="276" w:lineRule="auto"/>
        <w:ind w:right="-44"/>
        <w:rPr>
          <w:rFonts w:ascii="Arial" w:hAnsi="Arial"/>
          <w:b/>
          <w:i/>
          <w:sz w:val="20"/>
          <w:lang w:val="en-US"/>
        </w:rPr>
      </w:pPr>
    </w:p>
    <w:p w14:paraId="74CD1BCF" w14:textId="4A123A9A" w:rsidR="001B7B42" w:rsidRPr="00B033EC" w:rsidRDefault="001B7B42" w:rsidP="001B7B42">
      <w:pPr>
        <w:pStyle w:val="Telobesedila"/>
        <w:spacing w:line="276" w:lineRule="auto"/>
        <w:ind w:right="-44"/>
        <w:rPr>
          <w:rFonts w:ascii="Arial" w:hAnsi="Arial"/>
          <w:b/>
          <w:i/>
          <w:sz w:val="20"/>
          <w:lang w:val="en-US"/>
        </w:rPr>
      </w:pPr>
      <w:r w:rsidRPr="00B033EC">
        <w:rPr>
          <w:rFonts w:ascii="Arial" w:hAnsi="Arial"/>
          <w:b/>
          <w:i/>
          <w:sz w:val="20"/>
          <w:lang w:val="en-US"/>
        </w:rPr>
        <w:t xml:space="preserve">The Act on the Prevention of Money Laundering and Terrorist Financing (Official Gazette of the Republic of Slovenia No. </w:t>
      </w:r>
      <w:r w:rsidR="00B033EC" w:rsidRPr="00B033EC">
        <w:rPr>
          <w:rFonts w:ascii="Arial" w:hAnsi="Arial"/>
          <w:b/>
          <w:i/>
          <w:sz w:val="20"/>
          <w:lang w:val="en-US"/>
        </w:rPr>
        <w:t>48</w:t>
      </w:r>
      <w:r w:rsidRPr="00B033EC">
        <w:rPr>
          <w:rFonts w:ascii="Arial" w:hAnsi="Arial"/>
          <w:b/>
          <w:i/>
          <w:sz w:val="20"/>
          <w:lang w:val="en-US"/>
        </w:rPr>
        <w:t xml:space="preserve">/22 - hereinafter: APMLFT-2) entered into force on 5th April 2022 and in its Article 130 stipulates that the Office for Money Laundering Prevention (hereinafter: OMLP) shall submit to the Government of the Republic of Slovenia a report on its activities at least once annually. </w:t>
      </w:r>
      <w:r w:rsidR="00B033EC" w:rsidRPr="00B033EC">
        <w:rPr>
          <w:rFonts w:ascii="Arial" w:hAnsi="Arial"/>
          <w:b/>
          <w:i/>
          <w:sz w:val="20"/>
          <w:lang w:val="en-US"/>
        </w:rPr>
        <w:t xml:space="preserve">The previous Act on the Prevention of Money Laundering and Terrorist Financing (Official Gazette of the Republic of Slovenia No. 68/16, 81/19, 91/20 and 2/21 - hereinafter: APMLFT-1) </w:t>
      </w:r>
      <w:r w:rsidR="00B033EC">
        <w:rPr>
          <w:rFonts w:ascii="Arial" w:hAnsi="Arial"/>
          <w:b/>
          <w:i/>
          <w:sz w:val="20"/>
          <w:lang w:val="en-US"/>
        </w:rPr>
        <w:t>provided the same obligation in Article 119</w:t>
      </w:r>
      <w:r w:rsidR="00B033EC" w:rsidRPr="00B033EC">
        <w:rPr>
          <w:rFonts w:ascii="Arial" w:hAnsi="Arial"/>
          <w:b/>
          <w:i/>
          <w:sz w:val="20"/>
          <w:lang w:val="en-US"/>
        </w:rPr>
        <w:t>.</w:t>
      </w:r>
    </w:p>
    <w:p w14:paraId="2F6880EA" w14:textId="77777777" w:rsidR="001B7B42" w:rsidRPr="006E20A2" w:rsidRDefault="001B7B42" w:rsidP="0089137A">
      <w:pPr>
        <w:pStyle w:val="Telobesedila"/>
        <w:spacing w:line="276" w:lineRule="auto"/>
        <w:ind w:right="-44"/>
        <w:rPr>
          <w:rFonts w:ascii="Arial" w:hAnsi="Arial"/>
          <w:b/>
          <w:i/>
          <w:sz w:val="20"/>
          <w:lang w:val="en-US"/>
        </w:rPr>
      </w:pPr>
    </w:p>
    <w:p w14:paraId="5ACE5B5A" w14:textId="41D37AFF" w:rsidR="001B7B42" w:rsidRPr="006E20A2" w:rsidRDefault="001B7B42" w:rsidP="001B7B42">
      <w:pPr>
        <w:pStyle w:val="Telobesedila"/>
        <w:spacing w:line="276" w:lineRule="auto"/>
        <w:ind w:right="-44"/>
        <w:rPr>
          <w:rFonts w:ascii="Arial" w:hAnsi="Arial"/>
          <w:b/>
          <w:i/>
          <w:sz w:val="20"/>
          <w:lang w:val="en-US"/>
        </w:rPr>
      </w:pPr>
      <w:r w:rsidRPr="006E20A2">
        <w:rPr>
          <w:rFonts w:ascii="Arial" w:hAnsi="Arial"/>
          <w:b/>
          <w:i/>
          <w:sz w:val="20"/>
          <w:lang w:val="en-US"/>
        </w:rPr>
        <w:t>The report on the activities of the OMLP for the year 2020</w:t>
      </w:r>
      <w:r w:rsidR="00EA124A">
        <w:rPr>
          <w:rFonts w:ascii="Arial" w:hAnsi="Arial"/>
          <w:b/>
          <w:i/>
          <w:sz w:val="20"/>
          <w:lang w:val="en-US"/>
        </w:rPr>
        <w:t xml:space="preserve"> </w:t>
      </w:r>
      <w:r w:rsidRPr="006E20A2">
        <w:rPr>
          <w:rFonts w:ascii="Arial" w:hAnsi="Arial"/>
          <w:b/>
          <w:i/>
          <w:sz w:val="20"/>
          <w:lang w:val="en-US"/>
        </w:rPr>
        <w:t>has already been the twenty-fifth report to the Government and refers to the period from 1 January 2020 until 31 December 2020. The stated period has been shown separately regarding statistical and other numerical data; to allow for year-by-year comparison also certain data from previous years has been stated in the report. and its attachments.</w:t>
      </w:r>
    </w:p>
    <w:p w14:paraId="2DA2E80F" w14:textId="77777777" w:rsidR="001B7B42" w:rsidRPr="006E20A2" w:rsidRDefault="001B7B42" w:rsidP="00D21F86">
      <w:pPr>
        <w:pStyle w:val="Telobesedila"/>
        <w:spacing w:line="276" w:lineRule="auto"/>
        <w:ind w:right="-44"/>
        <w:rPr>
          <w:rFonts w:ascii="Arial" w:hAnsi="Arial"/>
          <w:b/>
          <w:i/>
          <w:sz w:val="20"/>
          <w:lang w:val="en-US"/>
        </w:rPr>
      </w:pPr>
    </w:p>
    <w:p w14:paraId="3527E7BE" w14:textId="77777777" w:rsidR="00BF40D0" w:rsidRPr="006E20A2" w:rsidRDefault="00BF40D0" w:rsidP="00D21F86">
      <w:pPr>
        <w:pStyle w:val="Telobesedila"/>
        <w:spacing w:line="276" w:lineRule="auto"/>
        <w:ind w:right="-22"/>
        <w:rPr>
          <w:rFonts w:ascii="Arial" w:hAnsi="Arial"/>
          <w:sz w:val="20"/>
          <w:lang w:val="en-US"/>
        </w:rPr>
      </w:pPr>
    </w:p>
    <w:p w14:paraId="56F2389E" w14:textId="385F0973" w:rsidR="00851C49" w:rsidRPr="006E20A2" w:rsidRDefault="00B033EC">
      <w:pPr>
        <w:pStyle w:val="Naslov2"/>
        <w:rPr>
          <w:lang w:val="en-US"/>
        </w:rPr>
      </w:pPr>
      <w:r w:rsidRPr="006E20A2">
        <w:rPr>
          <w:lang w:val="en-US"/>
        </w:rPr>
        <w:t>ORGANI</w:t>
      </w:r>
      <w:r>
        <w:rPr>
          <w:lang w:val="en-US"/>
        </w:rPr>
        <w:t>Z</w:t>
      </w:r>
      <w:r w:rsidRPr="006E20A2">
        <w:rPr>
          <w:lang w:val="en-US"/>
        </w:rPr>
        <w:t xml:space="preserve">ATIONAL </w:t>
      </w:r>
      <w:r w:rsidR="001B7B42" w:rsidRPr="006E20A2">
        <w:rPr>
          <w:lang w:val="en-US"/>
        </w:rPr>
        <w:t>CHART OF THE OMLP</w:t>
      </w:r>
    </w:p>
    <w:p w14:paraId="4355540C" w14:textId="77777777" w:rsidR="00851C49" w:rsidRPr="006E20A2" w:rsidRDefault="00851C49" w:rsidP="00D21F86">
      <w:pPr>
        <w:tabs>
          <w:tab w:val="left" w:pos="6096"/>
        </w:tabs>
        <w:spacing w:line="276" w:lineRule="auto"/>
        <w:rPr>
          <w:rFonts w:ascii="Arial" w:hAnsi="Arial"/>
          <w:sz w:val="20"/>
          <w:lang w:val="en-US"/>
        </w:rPr>
      </w:pPr>
    </w:p>
    <w:p w14:paraId="16495710" w14:textId="2AAC6D47" w:rsidR="00B426F6" w:rsidRPr="006E20A2" w:rsidRDefault="00B426F6" w:rsidP="00B426F6">
      <w:pPr>
        <w:spacing w:line="276" w:lineRule="auto"/>
        <w:rPr>
          <w:rFonts w:ascii="Arial" w:hAnsi="Arial"/>
          <w:b/>
          <w:sz w:val="20"/>
          <w:lang w:val="en-US"/>
        </w:rPr>
      </w:pPr>
      <w:r w:rsidRPr="006E20A2">
        <w:rPr>
          <w:rFonts w:ascii="Arial" w:hAnsi="Arial"/>
          <w:sz w:val="20"/>
          <w:lang w:val="en-US"/>
        </w:rPr>
        <w:t xml:space="preserve">With the implementation of preventive measures in the fight against money laundering and terrorist financing </w:t>
      </w:r>
      <w:r w:rsidR="00851C49" w:rsidRPr="006E20A2">
        <w:rPr>
          <w:rStyle w:val="Sprotnaopomba-sklic"/>
          <w:rFonts w:ascii="Arial" w:hAnsi="Arial" w:cs="Arial"/>
          <w:sz w:val="20"/>
          <w:lang w:val="en-US"/>
        </w:rPr>
        <w:footnoteReference w:id="1"/>
      </w:r>
      <w:r w:rsidR="00851C49" w:rsidRPr="006E20A2">
        <w:rPr>
          <w:rFonts w:ascii="Arial" w:hAnsi="Arial"/>
          <w:sz w:val="20"/>
          <w:lang w:val="en-US"/>
        </w:rPr>
        <w:t xml:space="preserve"> </w:t>
      </w:r>
      <w:r w:rsidRPr="006E20A2">
        <w:rPr>
          <w:rFonts w:ascii="Arial" w:hAnsi="Arial"/>
          <w:sz w:val="20"/>
          <w:lang w:val="en-US"/>
        </w:rPr>
        <w:t xml:space="preserve">and by establishment of the offices for money laundering prevention 26 years ago, the system of detection of money laundering has intended a special role also to the obliged entities (financial and non-financial institutions) and afore mentioned offices as well. The international expression for those offices is </w:t>
      </w:r>
      <w:r w:rsidRPr="006E20A2">
        <w:rPr>
          <w:rFonts w:ascii="Arial" w:hAnsi="Arial"/>
          <w:b/>
          <w:bCs/>
          <w:sz w:val="20"/>
          <w:lang w:val="en-US"/>
        </w:rPr>
        <w:t>“Financial Intelligence Unit – FIU”</w:t>
      </w:r>
      <w:r w:rsidRPr="006E20A2">
        <w:rPr>
          <w:rFonts w:ascii="Arial" w:hAnsi="Arial"/>
          <w:sz w:val="20"/>
          <w:lang w:val="en-US"/>
        </w:rPr>
        <w:t xml:space="preserve">, meaning that one of its duties is receiving, </w:t>
      </w:r>
      <w:proofErr w:type="gramStart"/>
      <w:r w:rsidR="006E20A2" w:rsidRPr="006E20A2">
        <w:rPr>
          <w:rFonts w:ascii="Arial" w:hAnsi="Arial"/>
          <w:sz w:val="20"/>
          <w:lang w:val="en-US"/>
        </w:rPr>
        <w:t>analyzing</w:t>
      </w:r>
      <w:proofErr w:type="gramEnd"/>
      <w:r w:rsidRPr="006E20A2">
        <w:rPr>
          <w:rFonts w:ascii="Arial" w:hAnsi="Arial"/>
          <w:sz w:val="20"/>
          <w:lang w:val="en-US"/>
        </w:rPr>
        <w:t xml:space="preserve"> and sending financial and other intelligence to the competent authorities. This duty has been stipulated by the definition of the Financial Action Task Force (FATF), according to which the office for money laundering prevention is the “</w:t>
      </w:r>
      <w:r w:rsidRPr="006E20A2">
        <w:rPr>
          <w:rFonts w:ascii="Arial" w:hAnsi="Arial"/>
          <w:bCs/>
          <w:sz w:val="20"/>
          <w:lang w:val="en-US"/>
        </w:rPr>
        <w:t xml:space="preserve">central national unit for receiving, </w:t>
      </w:r>
      <w:r w:rsidR="006E20A2" w:rsidRPr="006E20A2">
        <w:rPr>
          <w:rFonts w:ascii="Arial" w:hAnsi="Arial"/>
          <w:bCs/>
          <w:sz w:val="20"/>
          <w:lang w:val="en-US"/>
        </w:rPr>
        <w:t>analyzing</w:t>
      </w:r>
      <w:r w:rsidRPr="006E20A2">
        <w:rPr>
          <w:rFonts w:ascii="Arial" w:hAnsi="Arial"/>
          <w:bCs/>
          <w:sz w:val="20"/>
          <w:lang w:val="en-US"/>
        </w:rPr>
        <w:t xml:space="preserve"> and informing the competent authorities on suspicious transaction reports and other information relevant to money laundering or terrorist financing”.</w:t>
      </w:r>
      <w:r w:rsidRPr="006E20A2">
        <w:rPr>
          <w:rFonts w:ascii="Arial" w:hAnsi="Arial"/>
          <w:b/>
          <w:sz w:val="20"/>
          <w:lang w:val="en-US"/>
        </w:rPr>
        <w:t xml:space="preserve"> </w:t>
      </w:r>
    </w:p>
    <w:p w14:paraId="2521D74C" w14:textId="77777777" w:rsidR="00851C49" w:rsidRPr="006E20A2" w:rsidRDefault="00851C49" w:rsidP="00D21F86">
      <w:pPr>
        <w:tabs>
          <w:tab w:val="left" w:pos="6096"/>
        </w:tabs>
        <w:spacing w:line="276" w:lineRule="auto"/>
        <w:rPr>
          <w:rFonts w:ascii="Arial" w:hAnsi="Arial"/>
          <w:iCs/>
          <w:sz w:val="20"/>
          <w:lang w:val="en-US"/>
        </w:rPr>
      </w:pPr>
    </w:p>
    <w:p w14:paraId="45B4BE06" w14:textId="77777777" w:rsidR="00B426F6" w:rsidRPr="006E20A2" w:rsidRDefault="00B426F6" w:rsidP="00E673F3">
      <w:pPr>
        <w:pStyle w:val="Telobesedila"/>
        <w:spacing w:line="276" w:lineRule="auto"/>
        <w:ind w:right="-44"/>
        <w:rPr>
          <w:rFonts w:ascii="Arial" w:hAnsi="Arial"/>
          <w:sz w:val="20"/>
          <w:lang w:val="en-US"/>
        </w:rPr>
      </w:pPr>
      <w:r w:rsidRPr="006E20A2">
        <w:rPr>
          <w:rFonts w:ascii="Arial" w:hAnsi="Arial"/>
          <w:sz w:val="20"/>
          <w:lang w:val="en-US"/>
        </w:rPr>
        <w:t>The FIUs can be administrative, police, judicial/</w:t>
      </w:r>
      <w:proofErr w:type="gramStart"/>
      <w:r w:rsidRPr="006E20A2">
        <w:rPr>
          <w:rFonts w:ascii="Arial" w:hAnsi="Arial"/>
          <w:sz w:val="20"/>
          <w:lang w:val="en-US"/>
        </w:rPr>
        <w:t>court</w:t>
      </w:r>
      <w:proofErr w:type="gramEnd"/>
      <w:r w:rsidRPr="006E20A2">
        <w:rPr>
          <w:rFonts w:ascii="Arial" w:hAnsi="Arial"/>
          <w:sz w:val="20"/>
          <w:lang w:val="en-US"/>
        </w:rPr>
        <w:t xml:space="preserve"> and hybrid types, however the majority of them are administrative. Almost half of the FIUs from EU Member States are administrative FIUs. Slovenia has also decided for the administrative type of the FIU, which does not have police competences, but has a special role in the detection and prevention of money laundering and terrorist financing. </w:t>
      </w:r>
      <w:r w:rsidR="00851C49" w:rsidRPr="006E20A2">
        <w:rPr>
          <w:rStyle w:val="Sprotnaopomba-sklic"/>
          <w:rFonts w:ascii="Arial" w:hAnsi="Arial" w:cs="Arial"/>
          <w:sz w:val="20"/>
          <w:lang w:val="en-US"/>
        </w:rPr>
        <w:footnoteReference w:id="2"/>
      </w:r>
      <w:r w:rsidR="00851C49" w:rsidRPr="006E20A2">
        <w:rPr>
          <w:rFonts w:ascii="Arial" w:hAnsi="Arial"/>
          <w:sz w:val="20"/>
          <w:lang w:val="en-US"/>
        </w:rPr>
        <w:t xml:space="preserve"> </w:t>
      </w:r>
      <w:r w:rsidRPr="006E20A2">
        <w:rPr>
          <w:rFonts w:ascii="Arial" w:hAnsi="Arial"/>
          <w:sz w:val="20"/>
          <w:lang w:val="en-US"/>
        </w:rPr>
        <w:t xml:space="preserve">The advantage of such FIUs is also the possibility to develop trust and cooperation of the FIU with financial institutions, especially banks. </w:t>
      </w:r>
    </w:p>
    <w:p w14:paraId="13E31805" w14:textId="41EACB57" w:rsidR="009426E5" w:rsidRPr="006E20A2" w:rsidRDefault="009426E5" w:rsidP="00D21F86">
      <w:pPr>
        <w:tabs>
          <w:tab w:val="left" w:pos="6096"/>
        </w:tabs>
        <w:spacing w:line="276" w:lineRule="auto"/>
        <w:rPr>
          <w:rFonts w:ascii="Arial" w:hAnsi="Arial"/>
          <w:sz w:val="20"/>
          <w:lang w:val="en-US"/>
        </w:rPr>
      </w:pPr>
    </w:p>
    <w:p w14:paraId="597647EE" w14:textId="68B6E835" w:rsidR="00E673F3" w:rsidRPr="006E20A2" w:rsidRDefault="00E673F3" w:rsidP="00E673F3">
      <w:pPr>
        <w:spacing w:line="276" w:lineRule="auto"/>
        <w:rPr>
          <w:lang w:val="en-US"/>
        </w:rPr>
      </w:pPr>
      <w:r w:rsidRPr="006E20A2">
        <w:rPr>
          <w:rFonts w:ascii="Arial" w:hAnsi="Arial"/>
          <w:sz w:val="20"/>
          <w:lang w:val="en-US"/>
        </w:rPr>
        <w:t xml:space="preserve">Namely, the OMLP </w:t>
      </w:r>
      <w:r w:rsidRPr="006E20A2">
        <w:rPr>
          <w:rFonts w:ascii="Arial" w:hAnsi="Arial"/>
          <w:b/>
          <w:bCs/>
          <w:sz w:val="20"/>
          <w:lang w:val="en-US"/>
        </w:rPr>
        <w:t>is an administrative office within the Ministry of Finance</w:t>
      </w:r>
      <w:r w:rsidRPr="006E20A2">
        <w:rPr>
          <w:rFonts w:ascii="Arial" w:hAnsi="Arial"/>
          <w:sz w:val="20"/>
          <w:lang w:val="en-US"/>
        </w:rPr>
        <w:t xml:space="preserve"> and acts as a clearing house between the financial institutions and law enforcement authorities. Within its competences, OMLP analyses suspicious transactions sent by the obliged entities and if it establishes </w:t>
      </w:r>
      <w:r w:rsidR="009B1630">
        <w:rPr>
          <w:rFonts w:ascii="Arial" w:hAnsi="Arial"/>
          <w:sz w:val="20"/>
          <w:lang w:val="en-US"/>
        </w:rPr>
        <w:t>grounds</w:t>
      </w:r>
      <w:r w:rsidR="009B1630" w:rsidRPr="006E20A2">
        <w:rPr>
          <w:rFonts w:ascii="Arial" w:hAnsi="Arial"/>
          <w:sz w:val="20"/>
          <w:lang w:val="en-US"/>
        </w:rPr>
        <w:t xml:space="preserve"> </w:t>
      </w:r>
      <w:r w:rsidRPr="006E20A2">
        <w:rPr>
          <w:rFonts w:ascii="Arial" w:hAnsi="Arial"/>
          <w:sz w:val="20"/>
          <w:lang w:val="en-US"/>
        </w:rPr>
        <w:t xml:space="preserve">for suspicion of money laundering, terrorist financing or other criminal offences, it forwards its </w:t>
      </w:r>
      <w:r w:rsidR="009B1630" w:rsidRPr="006E20A2">
        <w:rPr>
          <w:rFonts w:ascii="Arial" w:hAnsi="Arial"/>
          <w:sz w:val="20"/>
          <w:lang w:val="en-US"/>
        </w:rPr>
        <w:t>analys</w:t>
      </w:r>
      <w:r w:rsidR="009B1630">
        <w:rPr>
          <w:rFonts w:ascii="Arial" w:hAnsi="Arial"/>
          <w:sz w:val="20"/>
          <w:lang w:val="en-US"/>
        </w:rPr>
        <w:t>i</w:t>
      </w:r>
      <w:r w:rsidR="009B1630" w:rsidRPr="006E20A2">
        <w:rPr>
          <w:rFonts w:ascii="Arial" w:hAnsi="Arial"/>
          <w:sz w:val="20"/>
          <w:lang w:val="en-US"/>
        </w:rPr>
        <w:t xml:space="preserve">s </w:t>
      </w:r>
      <w:r w:rsidRPr="006E20A2">
        <w:rPr>
          <w:rFonts w:ascii="Arial" w:hAnsi="Arial"/>
          <w:sz w:val="20"/>
          <w:lang w:val="en-US"/>
        </w:rPr>
        <w:t>of gathered data as a notification or information to the competent authorities (Police, State Prosecutor Office) for further investigation. Regarding the notifications of OMLP it is necessary to point out, that these are intelligence data containing analysis of financial and other data, and not criminal reports in the sense of the Criminal Procedure Act</w:t>
      </w:r>
      <w:r w:rsidRPr="006E20A2">
        <w:rPr>
          <w:lang w:val="en-US"/>
        </w:rPr>
        <w:t xml:space="preserve">. </w:t>
      </w:r>
    </w:p>
    <w:p w14:paraId="1C044E91" w14:textId="77777777" w:rsidR="005D0781" w:rsidRPr="006E20A2" w:rsidRDefault="005D0781" w:rsidP="00D21F86">
      <w:pPr>
        <w:tabs>
          <w:tab w:val="left" w:pos="6096"/>
        </w:tabs>
        <w:spacing w:line="276" w:lineRule="auto"/>
        <w:rPr>
          <w:rFonts w:ascii="Arial" w:hAnsi="Arial"/>
          <w:sz w:val="20"/>
          <w:lang w:val="en-US"/>
        </w:rPr>
      </w:pPr>
    </w:p>
    <w:p w14:paraId="339712CB" w14:textId="4BF72F6A" w:rsidR="00501D8A" w:rsidRPr="006E20A2" w:rsidRDefault="00501D8A" w:rsidP="00501D8A">
      <w:pPr>
        <w:pStyle w:val="Telobesedila"/>
        <w:ind w:right="-44"/>
        <w:rPr>
          <w:rFonts w:ascii="Arial" w:hAnsi="Arial"/>
          <w:sz w:val="20"/>
          <w:lang w:val="en-US"/>
        </w:rPr>
      </w:pPr>
      <w:proofErr w:type="gramStart"/>
      <w:r w:rsidRPr="006E20A2">
        <w:rPr>
          <w:rFonts w:ascii="Arial" w:hAnsi="Arial"/>
          <w:sz w:val="20"/>
          <w:lang w:val="en-US"/>
        </w:rPr>
        <w:t>With regard to</w:t>
      </w:r>
      <w:proofErr w:type="gramEnd"/>
      <w:r w:rsidRPr="006E20A2">
        <w:rPr>
          <w:rFonts w:ascii="Arial" w:hAnsi="Arial"/>
          <w:sz w:val="20"/>
          <w:lang w:val="en-US"/>
        </w:rPr>
        <w:t xml:space="preserve"> the notifications of</w:t>
      </w:r>
      <w:r w:rsidRPr="006E20A2">
        <w:rPr>
          <w:rFonts w:ascii="Arial" w:hAnsi="Arial"/>
          <w:b/>
          <w:sz w:val="20"/>
          <w:lang w:val="en-US"/>
        </w:rPr>
        <w:t xml:space="preserve"> </w:t>
      </w:r>
      <w:r w:rsidRPr="006E20A2">
        <w:rPr>
          <w:rFonts w:ascii="Arial" w:hAnsi="Arial"/>
          <w:sz w:val="20"/>
          <w:lang w:val="en-US"/>
        </w:rPr>
        <w:t>OMLP it</w:t>
      </w:r>
      <w:r w:rsidRPr="006E20A2">
        <w:rPr>
          <w:rFonts w:ascii="Arial" w:hAnsi="Arial"/>
          <w:b/>
          <w:sz w:val="20"/>
          <w:lang w:val="en-US"/>
        </w:rPr>
        <w:t xml:space="preserve"> </w:t>
      </w:r>
      <w:r w:rsidRPr="006E20A2">
        <w:rPr>
          <w:rFonts w:ascii="Arial" w:hAnsi="Arial"/>
          <w:sz w:val="20"/>
          <w:lang w:val="en-US"/>
        </w:rPr>
        <w:t xml:space="preserve">is necessary to point out, that these are intelligence data containing </w:t>
      </w:r>
      <w:r w:rsidR="009B1630" w:rsidRPr="006E20A2">
        <w:rPr>
          <w:rFonts w:ascii="Arial" w:hAnsi="Arial"/>
          <w:sz w:val="20"/>
          <w:lang w:val="en-US"/>
        </w:rPr>
        <w:t>analys</w:t>
      </w:r>
      <w:r w:rsidR="009B1630">
        <w:rPr>
          <w:rFonts w:ascii="Arial" w:hAnsi="Arial"/>
          <w:sz w:val="20"/>
          <w:lang w:val="en-US"/>
        </w:rPr>
        <w:t>e</w:t>
      </w:r>
      <w:r w:rsidR="009B1630" w:rsidRPr="006E20A2">
        <w:rPr>
          <w:rFonts w:ascii="Arial" w:hAnsi="Arial"/>
          <w:sz w:val="20"/>
          <w:lang w:val="en-US"/>
        </w:rPr>
        <w:t xml:space="preserve">s </w:t>
      </w:r>
      <w:r w:rsidRPr="006E20A2">
        <w:rPr>
          <w:rFonts w:ascii="Arial" w:hAnsi="Arial"/>
          <w:sz w:val="20"/>
          <w:lang w:val="en-US"/>
        </w:rPr>
        <w:t xml:space="preserve">of financial and other data, and not criminal reports in the sense of the Criminal Procedure Act. </w:t>
      </w:r>
    </w:p>
    <w:p w14:paraId="74E51B0C" w14:textId="77777777" w:rsidR="00851C49" w:rsidRPr="006E20A2" w:rsidRDefault="00851C49" w:rsidP="00D21F86">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ind w:left="31"/>
        <w:jc w:val="center"/>
        <w:rPr>
          <w:rFonts w:ascii="Arial" w:hAnsi="Arial"/>
          <w:b/>
          <w:bCs/>
          <w:i/>
          <w:sz w:val="20"/>
          <w:lang w:val="en-US"/>
        </w:rPr>
      </w:pPr>
    </w:p>
    <w:p w14:paraId="792FBCB7" w14:textId="26CA2410" w:rsidR="00501D8A" w:rsidRDefault="00501D8A" w:rsidP="006B2538">
      <w:pPr>
        <w:pStyle w:val="Telobesedila"/>
        <w:spacing w:line="276" w:lineRule="auto"/>
        <w:ind w:right="-22"/>
        <w:rPr>
          <w:rFonts w:ascii="Arial" w:hAnsi="Arial"/>
          <w:sz w:val="20"/>
          <w:lang w:val="en-US"/>
        </w:rPr>
      </w:pPr>
      <w:r w:rsidRPr="006E20A2">
        <w:rPr>
          <w:rFonts w:ascii="Arial" w:hAnsi="Arial"/>
          <w:sz w:val="20"/>
          <w:lang w:val="en-US"/>
        </w:rPr>
        <w:t xml:space="preserve">The </w:t>
      </w:r>
      <w:r w:rsidR="006E20A2" w:rsidRPr="006E20A2">
        <w:rPr>
          <w:rFonts w:ascii="Arial" w:hAnsi="Arial"/>
          <w:sz w:val="20"/>
          <w:lang w:val="en-US"/>
        </w:rPr>
        <w:t>organizational</w:t>
      </w:r>
      <w:r w:rsidRPr="006E20A2">
        <w:rPr>
          <w:rFonts w:ascii="Arial" w:hAnsi="Arial"/>
          <w:sz w:val="20"/>
          <w:lang w:val="en-US"/>
        </w:rPr>
        <w:t xml:space="preserve"> chart of the OMLP changed</w:t>
      </w:r>
      <w:r w:rsidR="00C0204A" w:rsidRPr="006E20A2">
        <w:rPr>
          <w:rFonts w:ascii="Arial" w:hAnsi="Arial"/>
          <w:sz w:val="20"/>
          <w:lang w:val="en-US"/>
        </w:rPr>
        <w:t xml:space="preserve"> only slightly since</w:t>
      </w:r>
      <w:r w:rsidRPr="006E20A2">
        <w:rPr>
          <w:rFonts w:ascii="Arial" w:hAnsi="Arial"/>
          <w:sz w:val="20"/>
          <w:lang w:val="en-US"/>
        </w:rPr>
        <w:t xml:space="preserve"> 20</w:t>
      </w:r>
      <w:r w:rsidR="00C0204A" w:rsidRPr="006E20A2">
        <w:rPr>
          <w:rFonts w:ascii="Arial" w:hAnsi="Arial"/>
          <w:sz w:val="20"/>
          <w:lang w:val="en-US"/>
        </w:rPr>
        <w:t>0</w:t>
      </w:r>
      <w:r w:rsidRPr="006E20A2">
        <w:rPr>
          <w:rFonts w:ascii="Arial" w:hAnsi="Arial"/>
          <w:sz w:val="20"/>
          <w:lang w:val="en-US"/>
        </w:rPr>
        <w:t xml:space="preserve">4 in accordance </w:t>
      </w:r>
      <w:r w:rsidR="00280706" w:rsidRPr="006E20A2">
        <w:rPr>
          <w:rFonts w:ascii="Arial" w:hAnsi="Arial"/>
          <w:sz w:val="20"/>
          <w:lang w:val="en-US"/>
        </w:rPr>
        <w:t>with</w:t>
      </w:r>
      <w:r w:rsidRPr="006E20A2">
        <w:rPr>
          <w:rFonts w:ascii="Arial" w:hAnsi="Arial"/>
          <w:sz w:val="20"/>
          <w:lang w:val="en-US"/>
        </w:rPr>
        <w:t xml:space="preserve"> </w:t>
      </w:r>
      <w:r w:rsidR="009B1630">
        <w:rPr>
          <w:rFonts w:ascii="Arial" w:hAnsi="Arial"/>
          <w:sz w:val="20"/>
          <w:lang w:val="en-US"/>
        </w:rPr>
        <w:t xml:space="preserve">the </w:t>
      </w:r>
      <w:r w:rsidR="00280706" w:rsidRPr="006E20A2">
        <w:rPr>
          <w:rFonts w:ascii="Arial" w:hAnsi="Arial"/>
          <w:sz w:val="20"/>
          <w:lang w:val="en-US"/>
        </w:rPr>
        <w:t xml:space="preserve">Public Employees Act (Official Gazette of the Republic of Slovenia No. 56/02) and </w:t>
      </w:r>
      <w:r w:rsidR="009B1630">
        <w:rPr>
          <w:rFonts w:ascii="Arial" w:hAnsi="Arial"/>
          <w:sz w:val="20"/>
          <w:lang w:val="en-US"/>
        </w:rPr>
        <w:t xml:space="preserve">the </w:t>
      </w:r>
      <w:r w:rsidR="00280706" w:rsidRPr="006E20A2">
        <w:rPr>
          <w:rFonts w:ascii="Arial" w:hAnsi="Arial"/>
          <w:sz w:val="20"/>
          <w:shd w:val="clear" w:color="auto" w:fill="FFFFFF"/>
          <w:lang w:val="en-US"/>
        </w:rPr>
        <w:t xml:space="preserve">Decree on the internal </w:t>
      </w:r>
      <w:r w:rsidR="006E20A2" w:rsidRPr="006E20A2">
        <w:rPr>
          <w:rFonts w:ascii="Arial" w:hAnsi="Arial"/>
          <w:sz w:val="20"/>
          <w:shd w:val="clear" w:color="auto" w:fill="FFFFFF"/>
          <w:lang w:val="en-US"/>
        </w:rPr>
        <w:t>organization</w:t>
      </w:r>
      <w:r w:rsidR="00280706" w:rsidRPr="006E20A2">
        <w:rPr>
          <w:rFonts w:ascii="Arial" w:hAnsi="Arial"/>
          <w:sz w:val="20"/>
          <w:shd w:val="clear" w:color="auto" w:fill="FFFFFF"/>
          <w:lang w:val="en-US"/>
        </w:rPr>
        <w:t xml:space="preserve">, job classification, posts and titles in public administration and judicial bodies </w:t>
      </w:r>
      <w:r w:rsidR="00280706" w:rsidRPr="006E20A2">
        <w:rPr>
          <w:rFonts w:ascii="Arial" w:hAnsi="Arial"/>
          <w:sz w:val="20"/>
          <w:lang w:val="en-US"/>
        </w:rPr>
        <w:t xml:space="preserve">(Official </w:t>
      </w:r>
      <w:r w:rsidR="00280706" w:rsidRPr="006E20A2">
        <w:rPr>
          <w:rFonts w:ascii="Arial" w:hAnsi="Arial"/>
          <w:sz w:val="20"/>
          <w:lang w:val="en-US"/>
        </w:rPr>
        <w:lastRenderedPageBreak/>
        <w:t xml:space="preserve">Gazette of the Republic of Slovenia </w:t>
      </w:r>
      <w:r w:rsidR="009B1630">
        <w:rPr>
          <w:rFonts w:ascii="Arial" w:hAnsi="Arial"/>
          <w:sz w:val="20"/>
          <w:lang w:val="en-US"/>
        </w:rPr>
        <w:t xml:space="preserve">No. </w:t>
      </w:r>
      <w:r w:rsidR="00280706" w:rsidRPr="006E20A2">
        <w:rPr>
          <w:rFonts w:ascii="Arial" w:hAnsi="Arial"/>
          <w:sz w:val="20"/>
          <w:lang w:val="en-US"/>
        </w:rPr>
        <w:t>58/2003)</w:t>
      </w:r>
      <w:r w:rsidR="00C0204A" w:rsidRPr="006E20A2">
        <w:rPr>
          <w:rFonts w:ascii="Arial" w:hAnsi="Arial"/>
          <w:sz w:val="20"/>
          <w:lang w:val="en-US"/>
        </w:rPr>
        <w:t>. In 2014</w:t>
      </w:r>
      <w:r w:rsidR="00EA124A">
        <w:rPr>
          <w:rFonts w:ascii="Arial" w:hAnsi="Arial"/>
          <w:sz w:val="20"/>
          <w:lang w:val="en-US"/>
        </w:rPr>
        <w:t xml:space="preserve">, </w:t>
      </w:r>
      <w:r w:rsidRPr="006E20A2">
        <w:rPr>
          <w:rFonts w:ascii="Arial" w:hAnsi="Arial"/>
          <w:sz w:val="20"/>
          <w:lang w:val="en-US"/>
        </w:rPr>
        <w:t>the Analytics Service was abolished. Its duties were taken over by the Department for Suspicious Transactions</w:t>
      </w:r>
      <w:r w:rsidR="00EA124A">
        <w:rPr>
          <w:rFonts w:ascii="Arial" w:hAnsi="Arial"/>
          <w:sz w:val="20"/>
          <w:lang w:val="en-US"/>
        </w:rPr>
        <w:t>.</w:t>
      </w:r>
      <w:r w:rsidRPr="006E20A2">
        <w:rPr>
          <w:rFonts w:ascii="Arial" w:hAnsi="Arial"/>
          <w:sz w:val="20"/>
          <w:lang w:val="en-US"/>
        </w:rPr>
        <w:t xml:space="preserve"> The organizational structure of the OMLP is now as follows:</w:t>
      </w:r>
    </w:p>
    <w:p w14:paraId="33D6329C" w14:textId="3B605860" w:rsidR="00822727" w:rsidRDefault="00822727" w:rsidP="006B2538">
      <w:pPr>
        <w:pStyle w:val="Telobesedila"/>
        <w:spacing w:line="276" w:lineRule="auto"/>
        <w:ind w:right="-22"/>
        <w:rPr>
          <w:rFonts w:ascii="Arial" w:hAnsi="Arial"/>
          <w:sz w:val="20"/>
          <w:lang w:val="en-US"/>
        </w:rPr>
      </w:pPr>
    </w:p>
    <w:p w14:paraId="7A2B1C36" w14:textId="54F7E298" w:rsidR="00822727" w:rsidRPr="00822727" w:rsidRDefault="00822727" w:rsidP="006B2538">
      <w:pPr>
        <w:pStyle w:val="Telobesedila"/>
        <w:spacing w:line="276" w:lineRule="auto"/>
        <w:ind w:right="-22"/>
        <w:rPr>
          <w:rFonts w:ascii="Arial" w:hAnsi="Arial"/>
          <w:b/>
          <w:bCs/>
          <w:sz w:val="20"/>
          <w:lang w:val="en-US"/>
        </w:rPr>
      </w:pPr>
      <w:r w:rsidRPr="00822727">
        <w:rPr>
          <w:rFonts w:ascii="Arial" w:hAnsi="Arial"/>
          <w:b/>
          <w:bCs/>
          <w:sz w:val="20"/>
          <w:lang w:val="en-US"/>
        </w:rPr>
        <w:t>Organizational structure of the OMLP</w:t>
      </w:r>
    </w:p>
    <w:p w14:paraId="51753909" w14:textId="77777777" w:rsidR="0018542F" w:rsidRPr="006E20A2" w:rsidRDefault="0018542F" w:rsidP="00D21F86">
      <w:pPr>
        <w:spacing w:line="276" w:lineRule="auto"/>
        <w:rPr>
          <w:rFonts w:ascii="Arial" w:hAnsi="Arial"/>
          <w:b/>
          <w:bCs/>
          <w:sz w:val="20"/>
          <w:lang w:val="en-US"/>
        </w:rPr>
      </w:pPr>
    </w:p>
    <w:p w14:paraId="1919F12D" w14:textId="77777777" w:rsidR="00851C49" w:rsidRPr="006E20A2" w:rsidRDefault="0018542F" w:rsidP="00D21F86">
      <w:pPr>
        <w:spacing w:line="276" w:lineRule="auto"/>
        <w:rPr>
          <w:rFonts w:ascii="Arial" w:hAnsi="Arial"/>
          <w:b/>
          <w:bCs/>
          <w:sz w:val="20"/>
          <w:lang w:val="en-US"/>
        </w:rPr>
      </w:pPr>
      <w:r w:rsidRPr="006E20A2">
        <w:rPr>
          <w:rFonts w:ascii="Arial" w:hAnsi="Arial"/>
          <w:b/>
          <w:bCs/>
          <w:noProof/>
          <w:sz w:val="20"/>
          <w:lang w:val="en-US" w:eastAsia="sl-SI"/>
        </w:rPr>
        <w:drawing>
          <wp:inline distT="0" distB="0" distL="0" distR="0" wp14:anchorId="6F372C95" wp14:editId="3E152170">
            <wp:extent cx="4603898" cy="1828800"/>
            <wp:effectExtent l="0" t="0" r="25400" b="19050"/>
            <wp:docPr id="10" name="Diagram 2" descr="Organizational structure of the OMLP."/>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3461C33" w14:textId="77777777" w:rsidR="0018542F" w:rsidRPr="006E20A2" w:rsidRDefault="0018542F" w:rsidP="00D21F86">
      <w:pPr>
        <w:widowControl/>
        <w:spacing w:line="276" w:lineRule="auto"/>
        <w:jc w:val="left"/>
        <w:rPr>
          <w:rFonts w:ascii="Arial" w:hAnsi="Arial"/>
          <w:sz w:val="20"/>
          <w:lang w:val="en-US"/>
        </w:rPr>
      </w:pPr>
      <w:bookmarkStart w:id="1" w:name="_Toc43532544"/>
    </w:p>
    <w:p w14:paraId="070B7ACB" w14:textId="479768C6" w:rsidR="000426B5" w:rsidRPr="006E20A2" w:rsidRDefault="000426B5" w:rsidP="000426B5">
      <w:pPr>
        <w:pStyle w:val="Telobesedila"/>
        <w:ind w:left="31" w:right="-22"/>
        <w:rPr>
          <w:rFonts w:ascii="Arial" w:hAnsi="Arial"/>
          <w:sz w:val="20"/>
          <w:lang w:val="en-US"/>
        </w:rPr>
      </w:pPr>
      <w:bookmarkStart w:id="2" w:name="_Toc135206709"/>
      <w:bookmarkStart w:id="3" w:name="_Toc200524128"/>
      <w:bookmarkStart w:id="4" w:name="_Toc113535447"/>
      <w:bookmarkEnd w:id="0"/>
      <w:bookmarkEnd w:id="1"/>
      <w:r w:rsidRPr="006E20A2">
        <w:rPr>
          <w:rFonts w:ascii="Arial" w:hAnsi="Arial"/>
          <w:sz w:val="20"/>
          <w:lang w:val="en-US"/>
        </w:rPr>
        <w:t xml:space="preserve">Beside the management, the OMLP consists </w:t>
      </w:r>
      <w:r w:rsidR="006E20A2" w:rsidRPr="006E20A2">
        <w:rPr>
          <w:rFonts w:ascii="Arial" w:hAnsi="Arial"/>
          <w:sz w:val="20"/>
          <w:lang w:val="en-US"/>
        </w:rPr>
        <w:t>of</w:t>
      </w:r>
      <w:r w:rsidRPr="006E20A2">
        <w:rPr>
          <w:rFonts w:ascii="Arial" w:hAnsi="Arial"/>
          <w:sz w:val="20"/>
          <w:lang w:val="en-US"/>
        </w:rPr>
        <w:t xml:space="preserve"> 4 organizational units, namely:</w:t>
      </w:r>
    </w:p>
    <w:p w14:paraId="003AF1D3" w14:textId="77777777" w:rsidR="000426B5" w:rsidRPr="006E20A2" w:rsidRDefault="000426B5" w:rsidP="000426B5">
      <w:pPr>
        <w:pStyle w:val="Telobesedila"/>
        <w:ind w:left="31" w:right="-22"/>
        <w:rPr>
          <w:rFonts w:ascii="Arial" w:hAnsi="Arial"/>
          <w:sz w:val="20"/>
          <w:lang w:val="en-US"/>
        </w:rPr>
      </w:pPr>
    </w:p>
    <w:p w14:paraId="5E7283F4" w14:textId="77777777" w:rsidR="000426B5" w:rsidRPr="006E20A2" w:rsidRDefault="000426B5" w:rsidP="00636B18">
      <w:pPr>
        <w:pStyle w:val="Telobesedila"/>
        <w:numPr>
          <w:ilvl w:val="0"/>
          <w:numId w:val="13"/>
        </w:numPr>
        <w:ind w:right="-22"/>
        <w:rPr>
          <w:rFonts w:ascii="Arial" w:hAnsi="Arial"/>
          <w:sz w:val="20"/>
          <w:lang w:val="en-US"/>
        </w:rPr>
      </w:pPr>
      <w:r w:rsidRPr="006E20A2">
        <w:rPr>
          <w:rFonts w:ascii="Arial" w:hAnsi="Arial"/>
          <w:sz w:val="20"/>
          <w:lang w:val="en-US"/>
        </w:rPr>
        <w:t>Department for suspicious transactions</w:t>
      </w:r>
    </w:p>
    <w:p w14:paraId="6A3D090C" w14:textId="77777777" w:rsidR="000426B5" w:rsidRPr="006E20A2" w:rsidRDefault="000426B5" w:rsidP="00636B18">
      <w:pPr>
        <w:pStyle w:val="Telobesedila"/>
        <w:numPr>
          <w:ilvl w:val="0"/>
          <w:numId w:val="13"/>
        </w:numPr>
        <w:ind w:right="-22"/>
        <w:rPr>
          <w:rFonts w:ascii="Arial" w:hAnsi="Arial"/>
          <w:sz w:val="20"/>
          <w:lang w:val="en-US"/>
        </w:rPr>
      </w:pPr>
      <w:r w:rsidRPr="006E20A2">
        <w:rPr>
          <w:rFonts w:ascii="Arial" w:hAnsi="Arial"/>
          <w:sz w:val="20"/>
          <w:lang w:val="en-US"/>
        </w:rPr>
        <w:t>Department for Prevention and Supervision</w:t>
      </w:r>
    </w:p>
    <w:p w14:paraId="4290F04B" w14:textId="77777777" w:rsidR="000426B5" w:rsidRPr="006E20A2" w:rsidRDefault="000426B5" w:rsidP="00636B18">
      <w:pPr>
        <w:pStyle w:val="Telobesedila"/>
        <w:numPr>
          <w:ilvl w:val="0"/>
          <w:numId w:val="13"/>
        </w:numPr>
        <w:ind w:right="-22"/>
        <w:rPr>
          <w:rFonts w:ascii="Arial" w:hAnsi="Arial"/>
          <w:sz w:val="20"/>
          <w:lang w:val="en-US"/>
        </w:rPr>
      </w:pPr>
      <w:r w:rsidRPr="006E20A2">
        <w:rPr>
          <w:rFonts w:ascii="Arial" w:hAnsi="Arial"/>
          <w:sz w:val="20"/>
          <w:lang w:val="en-US"/>
        </w:rPr>
        <w:t>International Cooperation Service</w:t>
      </w:r>
    </w:p>
    <w:p w14:paraId="4D5F4C68" w14:textId="77777777" w:rsidR="000426B5" w:rsidRPr="006E20A2" w:rsidRDefault="000426B5" w:rsidP="00636B18">
      <w:pPr>
        <w:pStyle w:val="Telobesedila"/>
        <w:numPr>
          <w:ilvl w:val="0"/>
          <w:numId w:val="13"/>
        </w:numPr>
        <w:ind w:right="-22"/>
        <w:rPr>
          <w:rFonts w:ascii="Arial" w:hAnsi="Arial"/>
          <w:sz w:val="20"/>
          <w:lang w:val="en-US"/>
        </w:rPr>
      </w:pPr>
      <w:r w:rsidRPr="006E20A2">
        <w:rPr>
          <w:rFonts w:ascii="Arial" w:hAnsi="Arial"/>
          <w:sz w:val="20"/>
          <w:lang w:val="en-US"/>
        </w:rPr>
        <w:t xml:space="preserve">IT Service. </w:t>
      </w:r>
    </w:p>
    <w:p w14:paraId="5D20AF5B" w14:textId="4C75B41D" w:rsidR="00851C49" w:rsidRPr="006E20A2" w:rsidRDefault="000426B5" w:rsidP="00636B18">
      <w:pPr>
        <w:pStyle w:val="Naslov1"/>
        <w:numPr>
          <w:ilvl w:val="0"/>
          <w:numId w:val="4"/>
        </w:numPr>
        <w:spacing w:line="276" w:lineRule="auto"/>
        <w:rPr>
          <w:rFonts w:ascii="Arial" w:hAnsi="Arial"/>
          <w:sz w:val="20"/>
          <w:lang w:val="en-US"/>
        </w:rPr>
      </w:pPr>
      <w:r w:rsidRPr="006E20A2">
        <w:rPr>
          <w:rFonts w:ascii="Arial" w:hAnsi="Arial"/>
          <w:sz w:val="20"/>
          <w:lang w:val="en-US"/>
        </w:rPr>
        <w:t>ACTIVITIES OF THE OMLP IN THE FIELD OF TRANSACTIONS EXCEEDING CERTAIN AMOUNT</w:t>
      </w:r>
      <w:bookmarkEnd w:id="2"/>
      <w:bookmarkEnd w:id="3"/>
      <w:bookmarkEnd w:id="4"/>
    </w:p>
    <w:p w14:paraId="49F42567" w14:textId="77777777" w:rsidR="00851C49" w:rsidRPr="006E20A2" w:rsidRDefault="00851C49" w:rsidP="00D21F86">
      <w:pPr>
        <w:spacing w:line="276" w:lineRule="auto"/>
        <w:rPr>
          <w:rFonts w:ascii="Arial" w:hAnsi="Arial"/>
          <w:sz w:val="20"/>
          <w:lang w:val="en-US"/>
        </w:rPr>
      </w:pPr>
      <w:bookmarkStart w:id="5" w:name="_Toc107306485"/>
      <w:bookmarkStart w:id="6" w:name="_Toc74461944"/>
    </w:p>
    <w:p w14:paraId="42DF9368" w14:textId="77777777" w:rsidR="000426B5" w:rsidRPr="006E20A2" w:rsidRDefault="000426B5" w:rsidP="000426B5">
      <w:pPr>
        <w:pStyle w:val="Telobesedila"/>
        <w:spacing w:line="276" w:lineRule="auto"/>
        <w:ind w:right="-22"/>
        <w:rPr>
          <w:rFonts w:ascii="Arial" w:hAnsi="Arial"/>
          <w:sz w:val="20"/>
          <w:lang w:val="en-US"/>
        </w:rPr>
      </w:pPr>
      <w:r w:rsidRPr="006E20A2">
        <w:rPr>
          <w:rFonts w:ascii="Arial" w:hAnsi="Arial"/>
          <w:sz w:val="20"/>
          <w:lang w:val="en-US"/>
        </w:rPr>
        <w:t xml:space="preserve">Since 19 November 2016, when the APMLFT-1 came into force, the OMLP received from obliged entities according to Article 4 of the APMLTF-1 data on all transactions exceeding certain thresholds, namely: </w:t>
      </w:r>
    </w:p>
    <w:p w14:paraId="1626DCC4" w14:textId="77777777" w:rsidR="000426B5" w:rsidRPr="006E20A2" w:rsidRDefault="000426B5" w:rsidP="00636B18">
      <w:pPr>
        <w:pStyle w:val="Telobesedila"/>
        <w:numPr>
          <w:ilvl w:val="0"/>
          <w:numId w:val="14"/>
        </w:numPr>
        <w:spacing w:line="276" w:lineRule="auto"/>
        <w:ind w:right="-22"/>
        <w:rPr>
          <w:rFonts w:ascii="Arial" w:hAnsi="Arial"/>
          <w:sz w:val="20"/>
          <w:lang w:val="en-US"/>
        </w:rPr>
      </w:pPr>
      <w:r w:rsidRPr="006E20A2">
        <w:rPr>
          <w:rFonts w:ascii="Arial" w:hAnsi="Arial"/>
          <w:sz w:val="20"/>
          <w:lang w:val="en-US"/>
        </w:rPr>
        <w:t>data on all cash transactions exceeding 15.000 EUR (hereinafter: cash transactions)</w:t>
      </w:r>
    </w:p>
    <w:p w14:paraId="6BF018D4" w14:textId="77777777" w:rsidR="000426B5" w:rsidRPr="006E20A2" w:rsidRDefault="000426B5" w:rsidP="00636B18">
      <w:pPr>
        <w:pStyle w:val="Telobesedila"/>
        <w:numPr>
          <w:ilvl w:val="0"/>
          <w:numId w:val="14"/>
        </w:numPr>
        <w:spacing w:line="276" w:lineRule="auto"/>
        <w:ind w:right="-22"/>
        <w:rPr>
          <w:rFonts w:ascii="Arial" w:hAnsi="Arial"/>
          <w:sz w:val="20"/>
          <w:lang w:val="en-US"/>
        </w:rPr>
      </w:pPr>
      <w:r w:rsidRPr="006E20A2">
        <w:rPr>
          <w:rFonts w:ascii="Arial" w:hAnsi="Arial"/>
          <w:sz w:val="20"/>
          <w:lang w:val="en-US"/>
        </w:rPr>
        <w:t xml:space="preserve">data on all transfers exceeding 15.000 EUR, which were </w:t>
      </w:r>
      <w:proofErr w:type="gramStart"/>
      <w:r w:rsidRPr="006E20A2">
        <w:rPr>
          <w:rFonts w:ascii="Arial" w:hAnsi="Arial"/>
          <w:sz w:val="20"/>
          <w:lang w:val="en-US"/>
        </w:rPr>
        <w:t>on the basis of</w:t>
      </w:r>
      <w:proofErr w:type="gramEnd"/>
      <w:r w:rsidRPr="006E20A2">
        <w:rPr>
          <w:rFonts w:ascii="Arial" w:hAnsi="Arial"/>
          <w:sz w:val="20"/>
          <w:lang w:val="en-US"/>
        </w:rPr>
        <w:t xml:space="preserve"> the customer`s demand performed to countries or accounts of natural persons and legal persons with residence or headquarters in jurisdictions with a higher risk of money laundering and terrorist financing (hereinafter: transfers referring to risk countries)</w:t>
      </w:r>
    </w:p>
    <w:p w14:paraId="74F55DBF" w14:textId="77777777" w:rsidR="000426B5" w:rsidRPr="006E20A2" w:rsidRDefault="000426B5" w:rsidP="00636B18">
      <w:pPr>
        <w:pStyle w:val="Telobesedila"/>
        <w:numPr>
          <w:ilvl w:val="0"/>
          <w:numId w:val="14"/>
        </w:numPr>
        <w:spacing w:line="276" w:lineRule="auto"/>
        <w:ind w:right="-22"/>
        <w:rPr>
          <w:rFonts w:ascii="Arial" w:hAnsi="Arial"/>
          <w:sz w:val="20"/>
          <w:lang w:val="en-US"/>
        </w:rPr>
      </w:pPr>
      <w:r w:rsidRPr="006E20A2">
        <w:rPr>
          <w:rFonts w:ascii="Arial" w:hAnsi="Arial"/>
          <w:sz w:val="20"/>
          <w:lang w:val="en-US"/>
        </w:rPr>
        <w:t xml:space="preserve">data on transfers of cash equal or exceeding 10.000 EUR when crossing the Slovenian part of the EU border, according to the Regulation of the European Parliament and of the Council on controls of cash entering or leaving the Community (hereinafter: cash transfers crossing the EU borders). </w:t>
      </w:r>
    </w:p>
    <w:p w14:paraId="3854E209" w14:textId="77777777" w:rsidR="00570F35" w:rsidRPr="006E20A2" w:rsidRDefault="00570F35" w:rsidP="00D21F86">
      <w:pPr>
        <w:pStyle w:val="Odstavekseznama"/>
        <w:widowControl w:val="0"/>
        <w:spacing w:line="276" w:lineRule="auto"/>
        <w:jc w:val="both"/>
        <w:rPr>
          <w:rFonts w:ascii="Arial" w:hAnsi="Arial" w:cs="Arial"/>
          <w:sz w:val="20"/>
          <w:szCs w:val="20"/>
          <w:lang w:val="en-US"/>
        </w:rPr>
      </w:pPr>
    </w:p>
    <w:p w14:paraId="2B705235" w14:textId="3A212095" w:rsidR="00851C49" w:rsidRPr="006E20A2" w:rsidRDefault="00C71ACB">
      <w:pPr>
        <w:pStyle w:val="Naslov2"/>
        <w:rPr>
          <w:lang w:val="en-US"/>
        </w:rPr>
      </w:pPr>
      <w:bookmarkStart w:id="7" w:name="_Toc227744114"/>
      <w:bookmarkStart w:id="8" w:name="_Toc263770898"/>
      <w:bookmarkStart w:id="9" w:name="_Toc113535448"/>
      <w:r w:rsidRPr="006E20A2">
        <w:rPr>
          <w:lang w:val="en-US"/>
        </w:rPr>
        <w:t xml:space="preserve">CASH TRANSACTIONS EXCEEDING </w:t>
      </w:r>
      <w:r w:rsidR="008C62E5" w:rsidRPr="006E20A2">
        <w:rPr>
          <w:lang w:val="en-US"/>
        </w:rPr>
        <w:t>15</w:t>
      </w:r>
      <w:r w:rsidR="00851C49" w:rsidRPr="006E20A2">
        <w:rPr>
          <w:lang w:val="en-US"/>
        </w:rPr>
        <w:t>.000 EUR</w:t>
      </w:r>
      <w:bookmarkEnd w:id="7"/>
      <w:bookmarkEnd w:id="8"/>
      <w:bookmarkEnd w:id="9"/>
    </w:p>
    <w:p w14:paraId="0BE2B87D" w14:textId="13CC4DA2" w:rsidR="00C71ACB" w:rsidRPr="006E20A2" w:rsidRDefault="00C71ACB" w:rsidP="008231A8">
      <w:pPr>
        <w:spacing w:line="276" w:lineRule="auto"/>
        <w:rPr>
          <w:rFonts w:ascii="Arial" w:hAnsi="Arial"/>
          <w:sz w:val="20"/>
          <w:lang w:val="en-US"/>
        </w:rPr>
      </w:pPr>
    </w:p>
    <w:p w14:paraId="72436D8A" w14:textId="77777777" w:rsidR="00C71ACB" w:rsidRPr="006E20A2" w:rsidRDefault="00C71ACB" w:rsidP="00C71ACB">
      <w:pPr>
        <w:spacing w:line="276" w:lineRule="auto"/>
        <w:rPr>
          <w:rFonts w:ascii="Arial" w:hAnsi="Arial"/>
          <w:sz w:val="20"/>
          <w:lang w:val="en-US"/>
        </w:rPr>
      </w:pPr>
      <w:r w:rsidRPr="006E20A2">
        <w:rPr>
          <w:rFonts w:ascii="Arial" w:hAnsi="Arial"/>
          <w:sz w:val="20"/>
          <w:lang w:val="en-US"/>
        </w:rPr>
        <w:t xml:space="preserve">Since 19 November 2016, according to Article 68 of APMLFT-1, obliged entities </w:t>
      </w:r>
      <w:proofErr w:type="gramStart"/>
      <w:r w:rsidRPr="006E20A2">
        <w:rPr>
          <w:rFonts w:ascii="Arial" w:hAnsi="Arial"/>
          <w:sz w:val="20"/>
          <w:lang w:val="en-US"/>
        </w:rPr>
        <w:t>have to</w:t>
      </w:r>
      <w:proofErr w:type="gramEnd"/>
      <w:r w:rsidRPr="006E20A2">
        <w:rPr>
          <w:rFonts w:ascii="Arial" w:hAnsi="Arial"/>
          <w:sz w:val="20"/>
          <w:lang w:val="en-US"/>
        </w:rPr>
        <w:t xml:space="preserve"> send to the OMLP reports on cash transactions exceeding 15.000 EUR. Since 1 September 2017, when the Rules on the method of reporting data to the OMLP (Official Gazette of the Republic of Slovenia No. 32/17) came into force, the obliged entities </w:t>
      </w:r>
      <w:proofErr w:type="gramStart"/>
      <w:r w:rsidRPr="006E20A2">
        <w:rPr>
          <w:rFonts w:ascii="Arial" w:hAnsi="Arial"/>
          <w:sz w:val="20"/>
          <w:lang w:val="en-US"/>
        </w:rPr>
        <w:t>have to</w:t>
      </w:r>
      <w:proofErr w:type="gramEnd"/>
      <w:r w:rsidRPr="006E20A2">
        <w:rPr>
          <w:rFonts w:ascii="Arial" w:hAnsi="Arial"/>
          <w:sz w:val="20"/>
          <w:lang w:val="en-US"/>
        </w:rPr>
        <w:t xml:space="preserve"> send data on cash transactions via protected electronic connection. </w:t>
      </w:r>
    </w:p>
    <w:p w14:paraId="435AB09E" w14:textId="77777777" w:rsidR="00C71ACB" w:rsidRPr="006E20A2" w:rsidRDefault="00C71ACB" w:rsidP="00C71ACB">
      <w:pPr>
        <w:spacing w:line="276" w:lineRule="auto"/>
        <w:rPr>
          <w:rFonts w:ascii="Arial" w:hAnsi="Arial"/>
          <w:sz w:val="20"/>
          <w:lang w:val="en-US"/>
        </w:rPr>
      </w:pPr>
    </w:p>
    <w:p w14:paraId="03402360" w14:textId="5A1774E8" w:rsidR="00C71ACB" w:rsidRPr="006E20A2" w:rsidRDefault="00C71ACB" w:rsidP="00C71ACB">
      <w:pPr>
        <w:pStyle w:val="Telobesedila"/>
        <w:ind w:right="-22"/>
        <w:rPr>
          <w:rFonts w:ascii="Arial" w:hAnsi="Arial"/>
          <w:b/>
          <w:sz w:val="20"/>
          <w:lang w:val="en-US"/>
        </w:rPr>
      </w:pPr>
      <w:r w:rsidRPr="006E20A2">
        <w:rPr>
          <w:rFonts w:ascii="Arial" w:hAnsi="Arial"/>
          <w:b/>
          <w:sz w:val="20"/>
          <w:lang w:val="en-US"/>
        </w:rPr>
        <w:t>In 2020, the OMLP received data (via protected electronic connection) from obliged entities on 36</w:t>
      </w:r>
      <w:r w:rsidRPr="006E20A2">
        <w:rPr>
          <w:rFonts w:ascii="Arial" w:hAnsi="Arial"/>
          <w:b/>
          <w:sz w:val="20"/>
          <w:lang w:val="en-US" w:eastAsia="sl-SI"/>
        </w:rPr>
        <w:t>.195</w:t>
      </w:r>
      <w:r w:rsidRPr="006E20A2">
        <w:rPr>
          <w:rFonts w:ascii="Arial" w:hAnsi="Arial"/>
          <w:b/>
          <w:color w:val="000000"/>
          <w:sz w:val="20"/>
          <w:lang w:val="en-US" w:eastAsia="sl-SI"/>
        </w:rPr>
        <w:t xml:space="preserve"> </w:t>
      </w:r>
      <w:r w:rsidRPr="006E20A2">
        <w:rPr>
          <w:rFonts w:ascii="Arial" w:hAnsi="Arial"/>
          <w:b/>
          <w:sz w:val="20"/>
          <w:lang w:val="en-US"/>
        </w:rPr>
        <w:t>cash transactions exceeding</w:t>
      </w:r>
      <w:r w:rsidR="008413C0" w:rsidRPr="00424274">
        <w:rPr>
          <w:rFonts w:ascii="Arial" w:hAnsi="Arial" w:cs="Times New Roman"/>
          <w:b/>
          <w:sz w:val="20"/>
          <w:vertAlign w:val="superscript"/>
        </w:rPr>
        <w:footnoteReference w:id="3"/>
      </w:r>
      <w:r w:rsidRPr="006E20A2">
        <w:rPr>
          <w:rFonts w:ascii="Arial" w:hAnsi="Arial"/>
          <w:b/>
          <w:sz w:val="20"/>
          <w:lang w:val="en-US"/>
        </w:rPr>
        <w:t xml:space="preserve"> 15.000 EUR in the total amount of 1.280.791.830 </w:t>
      </w:r>
      <w:r w:rsidRPr="006E20A2">
        <w:rPr>
          <w:rFonts w:ascii="Arial" w:hAnsi="Arial"/>
          <w:b/>
          <w:sz w:val="20"/>
          <w:lang w:val="en-US" w:eastAsia="sl-SI"/>
        </w:rPr>
        <w:t>EUR</w:t>
      </w:r>
      <w:r w:rsidRPr="006E20A2">
        <w:rPr>
          <w:rFonts w:ascii="Arial" w:hAnsi="Arial"/>
          <w:b/>
          <w:sz w:val="20"/>
          <w:lang w:val="en-US"/>
        </w:rPr>
        <w:t>.</w:t>
      </w:r>
    </w:p>
    <w:p w14:paraId="45E44613" w14:textId="61612C47" w:rsidR="00C71ACB" w:rsidRPr="006E20A2" w:rsidRDefault="00C71ACB" w:rsidP="00C71ACB">
      <w:pPr>
        <w:pStyle w:val="Telobesedila"/>
        <w:ind w:right="-22"/>
        <w:rPr>
          <w:rFonts w:ascii="Arial" w:hAnsi="Arial"/>
          <w:b/>
          <w:sz w:val="20"/>
          <w:lang w:val="en-US"/>
        </w:rPr>
      </w:pPr>
    </w:p>
    <w:p w14:paraId="40279989" w14:textId="32396CE9" w:rsidR="00C71ACB" w:rsidRPr="006E20A2" w:rsidRDefault="00C71ACB" w:rsidP="00C71ACB">
      <w:pPr>
        <w:pStyle w:val="Telobesedila"/>
        <w:spacing w:line="276" w:lineRule="auto"/>
        <w:ind w:right="-22"/>
        <w:rPr>
          <w:rFonts w:ascii="Arial" w:hAnsi="Arial"/>
          <w:b/>
          <w:bCs/>
          <w:sz w:val="20"/>
          <w:lang w:val="en-US"/>
        </w:rPr>
      </w:pPr>
      <w:r w:rsidRPr="006E20A2">
        <w:rPr>
          <w:rFonts w:ascii="Arial" w:hAnsi="Arial"/>
          <w:sz w:val="20"/>
          <w:lang w:val="en-US"/>
        </w:rPr>
        <w:t xml:space="preserve">The share of reported cash transactions by sectors has been similar as in previous years, where we (according to the APMLFT-1) jointly display the number of reported cash transactions for casinos together with gaming saloons and savings houses with savings and loan services. </w:t>
      </w:r>
      <w:r w:rsidRPr="006E20A2">
        <w:rPr>
          <w:rFonts w:ascii="Arial" w:hAnsi="Arial"/>
          <w:b/>
          <w:bCs/>
          <w:sz w:val="20"/>
          <w:lang w:val="en-US"/>
        </w:rPr>
        <w:t xml:space="preserve">It has been established, that – in comparison with the year 2019 </w:t>
      </w:r>
      <w:r w:rsidR="009B1630">
        <w:rPr>
          <w:rFonts w:ascii="Arial" w:hAnsi="Arial"/>
          <w:b/>
          <w:bCs/>
          <w:sz w:val="20"/>
          <w:lang w:val="en-US"/>
        </w:rPr>
        <w:t>–</w:t>
      </w:r>
      <w:r w:rsidRPr="006E20A2">
        <w:rPr>
          <w:rFonts w:ascii="Arial" w:hAnsi="Arial"/>
          <w:b/>
          <w:bCs/>
          <w:sz w:val="20"/>
          <w:lang w:val="en-US"/>
        </w:rPr>
        <w:t xml:space="preserve"> the total amount of funds in all reported </w:t>
      </w:r>
      <w:r w:rsidRPr="006E20A2">
        <w:rPr>
          <w:rFonts w:ascii="Arial" w:hAnsi="Arial"/>
          <w:b/>
          <w:bCs/>
          <w:sz w:val="20"/>
          <w:lang w:val="en-US"/>
        </w:rPr>
        <w:lastRenderedPageBreak/>
        <w:t xml:space="preserve">cash transactions decreased for </w:t>
      </w:r>
      <w:r w:rsidRPr="006E20A2">
        <w:rPr>
          <w:rFonts w:ascii="Arial" w:hAnsi="Arial"/>
          <w:b/>
          <w:sz w:val="20"/>
          <w:lang w:val="en-US" w:eastAsia="sl-SI"/>
        </w:rPr>
        <w:t>16,5 %</w:t>
      </w:r>
      <w:r w:rsidRPr="006E20A2">
        <w:rPr>
          <w:rFonts w:ascii="Arial" w:hAnsi="Arial"/>
          <w:b/>
          <w:bCs/>
          <w:sz w:val="20"/>
          <w:lang w:val="en-US"/>
        </w:rPr>
        <w:t xml:space="preserve">, whereas the number of transactions themselves decreased for </w:t>
      </w:r>
      <w:r w:rsidRPr="006E20A2">
        <w:rPr>
          <w:rFonts w:ascii="Arial" w:hAnsi="Arial"/>
          <w:b/>
          <w:sz w:val="20"/>
          <w:lang w:val="en-US" w:eastAsia="sl-SI"/>
        </w:rPr>
        <w:t>15,5 %.</w:t>
      </w:r>
    </w:p>
    <w:p w14:paraId="0E009C88" w14:textId="77777777" w:rsidR="00635403" w:rsidRPr="006E20A2" w:rsidRDefault="00635403" w:rsidP="00D21F86">
      <w:pPr>
        <w:spacing w:line="276" w:lineRule="auto"/>
        <w:rPr>
          <w:rFonts w:ascii="Arial" w:hAnsi="Arial"/>
          <w:bCs/>
          <w:sz w:val="20"/>
          <w:lang w:val="en-US"/>
        </w:rPr>
      </w:pPr>
    </w:p>
    <w:p w14:paraId="37B73359" w14:textId="22C05F16" w:rsidR="00F00829" w:rsidRPr="006E20A2" w:rsidRDefault="00C71ACB" w:rsidP="000441D3">
      <w:pPr>
        <w:tabs>
          <w:tab w:val="left" w:pos="-1049"/>
          <w:tab w:val="left" w:pos="-689"/>
          <w:tab w:val="left" w:pos="0"/>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ind w:left="993" w:hanging="993"/>
        <w:rPr>
          <w:rFonts w:ascii="Arial" w:hAnsi="Arial"/>
          <w:b/>
          <w:i/>
          <w:sz w:val="20"/>
          <w:lang w:val="en-US"/>
        </w:rPr>
      </w:pPr>
      <w:r w:rsidRPr="006E20A2">
        <w:rPr>
          <w:rFonts w:ascii="Arial" w:hAnsi="Arial"/>
          <w:b/>
          <w:i/>
          <w:sz w:val="20"/>
          <w:lang w:val="en-US"/>
        </w:rPr>
        <w:t>Table 1</w:t>
      </w:r>
      <w:r w:rsidR="005C4BCD" w:rsidRPr="006E20A2">
        <w:rPr>
          <w:rFonts w:ascii="Arial" w:hAnsi="Arial"/>
          <w:b/>
          <w:i/>
          <w:sz w:val="20"/>
          <w:lang w:val="en-US"/>
        </w:rPr>
        <w:t>:</w:t>
      </w:r>
      <w:r w:rsidR="00D5703F" w:rsidRPr="006E20A2">
        <w:rPr>
          <w:rFonts w:ascii="Arial" w:hAnsi="Arial"/>
          <w:b/>
          <w:i/>
          <w:sz w:val="20"/>
          <w:lang w:val="en-US"/>
        </w:rPr>
        <w:tab/>
      </w:r>
      <w:r w:rsidRPr="006E20A2">
        <w:rPr>
          <w:rFonts w:ascii="Arial" w:hAnsi="Arial"/>
          <w:b/>
          <w:i/>
          <w:sz w:val="20"/>
          <w:lang w:val="en-US"/>
        </w:rPr>
        <w:t xml:space="preserve">Number and share of cash transactions exceeding 15.000 EUR in the period 2018–2020 by obliged </w:t>
      </w:r>
      <w:proofErr w:type="gramStart"/>
      <w:r w:rsidRPr="006E20A2">
        <w:rPr>
          <w:rFonts w:ascii="Arial" w:hAnsi="Arial"/>
          <w:b/>
          <w:i/>
          <w:sz w:val="20"/>
          <w:lang w:val="en-US"/>
        </w:rPr>
        <w:t>entities</w:t>
      </w:r>
      <w:proofErr w:type="gramEnd"/>
    </w:p>
    <w:tbl>
      <w:tblPr>
        <w:tblW w:w="8578" w:type="dxa"/>
        <w:tblInd w:w="70" w:type="dxa"/>
        <w:tblCellMar>
          <w:left w:w="70" w:type="dxa"/>
          <w:right w:w="70" w:type="dxa"/>
        </w:tblCellMar>
        <w:tblLook w:val="04A0" w:firstRow="1" w:lastRow="0" w:firstColumn="1" w:lastColumn="0" w:noHBand="0" w:noVBand="1"/>
      </w:tblPr>
      <w:tblGrid>
        <w:gridCol w:w="3119"/>
        <w:gridCol w:w="874"/>
        <w:gridCol w:w="874"/>
        <w:gridCol w:w="874"/>
        <w:gridCol w:w="874"/>
        <w:gridCol w:w="874"/>
        <w:gridCol w:w="1415"/>
      </w:tblGrid>
      <w:tr w:rsidR="00F00829" w:rsidRPr="006E20A2" w14:paraId="78D3314C" w14:textId="77777777" w:rsidTr="00034CED">
        <w:trPr>
          <w:trHeight w:val="315"/>
        </w:trPr>
        <w:tc>
          <w:tcPr>
            <w:tcW w:w="3119" w:type="dxa"/>
            <w:vMerge w:val="restart"/>
            <w:tcBorders>
              <w:top w:val="single" w:sz="8" w:space="0" w:color="auto"/>
              <w:left w:val="single" w:sz="8" w:space="0" w:color="auto"/>
              <w:bottom w:val="single" w:sz="8" w:space="0" w:color="000000"/>
              <w:right w:val="single" w:sz="4" w:space="0" w:color="auto"/>
            </w:tcBorders>
            <w:shd w:val="clear" w:color="auto" w:fill="33CCFF"/>
            <w:noWrap/>
            <w:vAlign w:val="center"/>
            <w:hideMark/>
          </w:tcPr>
          <w:p w14:paraId="4704B640" w14:textId="1A8B68FE" w:rsidR="00F00829" w:rsidRPr="006E20A2" w:rsidRDefault="003A648B" w:rsidP="00F00829">
            <w:pPr>
              <w:widowControl/>
              <w:jc w:val="center"/>
              <w:rPr>
                <w:rFonts w:ascii="Arial" w:hAnsi="Arial"/>
                <w:b/>
                <w:bCs/>
                <w:color w:val="000000"/>
                <w:sz w:val="20"/>
                <w:lang w:val="en-US" w:eastAsia="sl-SI"/>
              </w:rPr>
            </w:pPr>
            <w:r w:rsidRPr="006E20A2">
              <w:rPr>
                <w:rFonts w:ascii="Arial" w:hAnsi="Arial"/>
                <w:b/>
                <w:bCs/>
                <w:color w:val="000000"/>
                <w:sz w:val="20"/>
                <w:lang w:val="en-US" w:eastAsia="sl-SI"/>
              </w:rPr>
              <w:t>Obliged entities</w:t>
            </w:r>
          </w:p>
        </w:tc>
        <w:tc>
          <w:tcPr>
            <w:tcW w:w="1615" w:type="dxa"/>
            <w:gridSpan w:val="2"/>
            <w:tcBorders>
              <w:top w:val="single" w:sz="8" w:space="0" w:color="auto"/>
              <w:left w:val="nil"/>
              <w:bottom w:val="single" w:sz="4" w:space="0" w:color="auto"/>
              <w:right w:val="single" w:sz="8" w:space="0" w:color="000000"/>
            </w:tcBorders>
            <w:shd w:val="clear" w:color="auto" w:fill="33CCFF"/>
            <w:vAlign w:val="center"/>
          </w:tcPr>
          <w:p w14:paraId="1AD095D6" w14:textId="77777777" w:rsidR="00F00829" w:rsidRPr="006E20A2" w:rsidRDefault="00F00829" w:rsidP="00F00829">
            <w:pPr>
              <w:widowControl/>
              <w:jc w:val="center"/>
              <w:rPr>
                <w:rFonts w:ascii="Arial" w:hAnsi="Arial"/>
                <w:b/>
                <w:bCs/>
                <w:iCs/>
                <w:sz w:val="20"/>
                <w:lang w:val="en-US" w:eastAsia="sl-SI"/>
              </w:rPr>
            </w:pPr>
            <w:r w:rsidRPr="006E20A2">
              <w:rPr>
                <w:rFonts w:ascii="Arial" w:hAnsi="Arial"/>
                <w:b/>
                <w:bCs/>
                <w:iCs/>
                <w:sz w:val="20"/>
                <w:lang w:val="en-US" w:eastAsia="sl-SI"/>
              </w:rPr>
              <w:t>2018</w:t>
            </w:r>
          </w:p>
        </w:tc>
        <w:tc>
          <w:tcPr>
            <w:tcW w:w="1615" w:type="dxa"/>
            <w:gridSpan w:val="2"/>
            <w:tcBorders>
              <w:top w:val="single" w:sz="8" w:space="0" w:color="auto"/>
              <w:left w:val="nil"/>
              <w:bottom w:val="single" w:sz="4" w:space="0" w:color="auto"/>
              <w:right w:val="single" w:sz="8" w:space="0" w:color="000000"/>
            </w:tcBorders>
            <w:shd w:val="clear" w:color="auto" w:fill="33CCFF"/>
            <w:vAlign w:val="center"/>
          </w:tcPr>
          <w:p w14:paraId="4F10EB63" w14:textId="77777777" w:rsidR="00F00829" w:rsidRPr="006E20A2" w:rsidRDefault="00F00829" w:rsidP="00F00829">
            <w:pPr>
              <w:widowControl/>
              <w:jc w:val="center"/>
              <w:rPr>
                <w:rFonts w:ascii="Arial" w:hAnsi="Arial"/>
                <w:b/>
                <w:bCs/>
                <w:iCs/>
                <w:sz w:val="20"/>
                <w:lang w:val="en-US" w:eastAsia="sl-SI"/>
              </w:rPr>
            </w:pPr>
            <w:r w:rsidRPr="006E20A2">
              <w:rPr>
                <w:rFonts w:ascii="Arial" w:hAnsi="Arial"/>
                <w:b/>
                <w:bCs/>
                <w:iCs/>
                <w:sz w:val="20"/>
                <w:lang w:val="en-US" w:eastAsia="sl-SI"/>
              </w:rPr>
              <w:t>2019</w:t>
            </w:r>
          </w:p>
        </w:tc>
        <w:tc>
          <w:tcPr>
            <w:tcW w:w="2229" w:type="dxa"/>
            <w:gridSpan w:val="2"/>
            <w:tcBorders>
              <w:top w:val="single" w:sz="8" w:space="0" w:color="auto"/>
              <w:left w:val="nil"/>
              <w:bottom w:val="single" w:sz="4" w:space="0" w:color="auto"/>
              <w:right w:val="single" w:sz="8" w:space="0" w:color="000000"/>
            </w:tcBorders>
            <w:shd w:val="clear" w:color="auto" w:fill="33CCFF"/>
            <w:vAlign w:val="center"/>
          </w:tcPr>
          <w:p w14:paraId="57231B17" w14:textId="77777777" w:rsidR="00F00829" w:rsidRPr="006E20A2" w:rsidRDefault="00F00829" w:rsidP="00F00829">
            <w:pPr>
              <w:widowControl/>
              <w:jc w:val="center"/>
              <w:rPr>
                <w:rFonts w:ascii="Arial" w:hAnsi="Arial"/>
                <w:b/>
                <w:bCs/>
                <w:iCs/>
                <w:sz w:val="20"/>
                <w:lang w:val="en-US" w:eastAsia="sl-SI"/>
              </w:rPr>
            </w:pPr>
            <w:r w:rsidRPr="006E20A2">
              <w:rPr>
                <w:rFonts w:ascii="Arial" w:hAnsi="Arial"/>
                <w:b/>
                <w:bCs/>
                <w:iCs/>
                <w:sz w:val="20"/>
                <w:lang w:val="en-US" w:eastAsia="sl-SI"/>
              </w:rPr>
              <w:t>2020</w:t>
            </w:r>
          </w:p>
        </w:tc>
      </w:tr>
      <w:tr w:rsidR="00F00829" w:rsidRPr="006E20A2" w14:paraId="76D17129" w14:textId="77777777" w:rsidTr="00034CED">
        <w:trPr>
          <w:trHeight w:val="315"/>
        </w:trPr>
        <w:tc>
          <w:tcPr>
            <w:tcW w:w="3119" w:type="dxa"/>
            <w:vMerge/>
            <w:tcBorders>
              <w:top w:val="single" w:sz="8" w:space="0" w:color="auto"/>
              <w:left w:val="single" w:sz="8" w:space="0" w:color="auto"/>
              <w:bottom w:val="single" w:sz="8" w:space="0" w:color="000000"/>
              <w:right w:val="single" w:sz="4" w:space="0" w:color="auto"/>
            </w:tcBorders>
            <w:shd w:val="clear" w:color="auto" w:fill="33CCFF"/>
            <w:vAlign w:val="center"/>
            <w:hideMark/>
          </w:tcPr>
          <w:p w14:paraId="591718AF" w14:textId="77777777" w:rsidR="00F00829" w:rsidRPr="006E20A2" w:rsidRDefault="00F00829" w:rsidP="00F00829">
            <w:pPr>
              <w:widowControl/>
              <w:jc w:val="left"/>
              <w:rPr>
                <w:rFonts w:ascii="Arial" w:hAnsi="Arial"/>
                <w:b/>
                <w:bCs/>
                <w:color w:val="000000"/>
                <w:sz w:val="20"/>
                <w:lang w:val="en-US" w:eastAsia="sl-SI"/>
              </w:rPr>
            </w:pPr>
          </w:p>
        </w:tc>
        <w:tc>
          <w:tcPr>
            <w:tcW w:w="796" w:type="dxa"/>
            <w:tcBorders>
              <w:top w:val="single" w:sz="4" w:space="0" w:color="auto"/>
              <w:left w:val="single" w:sz="4" w:space="0" w:color="auto"/>
              <w:bottom w:val="single" w:sz="4" w:space="0" w:color="auto"/>
              <w:right w:val="single" w:sz="4" w:space="0" w:color="auto"/>
            </w:tcBorders>
            <w:shd w:val="clear" w:color="auto" w:fill="33CCFF"/>
            <w:vAlign w:val="center"/>
          </w:tcPr>
          <w:p w14:paraId="661AD6F3" w14:textId="1E4CE10B" w:rsidR="00F00829" w:rsidRPr="006E20A2" w:rsidRDefault="00216F1E" w:rsidP="00F00829">
            <w:pPr>
              <w:widowControl/>
              <w:jc w:val="center"/>
              <w:rPr>
                <w:rFonts w:ascii="Arial" w:hAnsi="Arial"/>
                <w:b/>
                <w:bCs/>
                <w:iCs/>
                <w:sz w:val="20"/>
                <w:lang w:val="en-US" w:eastAsia="sl-SI"/>
              </w:rPr>
            </w:pPr>
            <w:r w:rsidRPr="006E20A2">
              <w:rPr>
                <w:rFonts w:ascii="Arial" w:hAnsi="Arial"/>
                <w:b/>
                <w:bCs/>
                <w:iCs/>
                <w:sz w:val="20"/>
                <w:lang w:val="en-US" w:eastAsia="sl-SI"/>
              </w:rPr>
              <w:t>number</w:t>
            </w:r>
          </w:p>
        </w:tc>
        <w:tc>
          <w:tcPr>
            <w:tcW w:w="819" w:type="dxa"/>
            <w:tcBorders>
              <w:top w:val="single" w:sz="4" w:space="0" w:color="auto"/>
              <w:left w:val="single" w:sz="4" w:space="0" w:color="auto"/>
              <w:bottom w:val="single" w:sz="4" w:space="0" w:color="auto"/>
              <w:right w:val="single" w:sz="4" w:space="0" w:color="auto"/>
            </w:tcBorders>
            <w:shd w:val="clear" w:color="auto" w:fill="33CCFF"/>
            <w:vAlign w:val="center"/>
          </w:tcPr>
          <w:p w14:paraId="2EB51F44" w14:textId="43501A01" w:rsidR="00F00829" w:rsidRPr="006E20A2" w:rsidRDefault="00216F1E" w:rsidP="00F00829">
            <w:pPr>
              <w:widowControl/>
              <w:jc w:val="center"/>
              <w:rPr>
                <w:rFonts w:ascii="Arial" w:hAnsi="Arial"/>
                <w:b/>
                <w:bCs/>
                <w:iCs/>
                <w:sz w:val="20"/>
                <w:lang w:val="en-US" w:eastAsia="sl-SI"/>
              </w:rPr>
            </w:pPr>
            <w:r w:rsidRPr="006E20A2">
              <w:rPr>
                <w:rFonts w:ascii="Arial" w:hAnsi="Arial"/>
                <w:b/>
                <w:bCs/>
                <w:iCs/>
                <w:sz w:val="20"/>
                <w:lang w:val="en-US" w:eastAsia="sl-SI"/>
              </w:rPr>
              <w:t>share</w:t>
            </w:r>
          </w:p>
        </w:tc>
        <w:tc>
          <w:tcPr>
            <w:tcW w:w="796" w:type="dxa"/>
            <w:tcBorders>
              <w:top w:val="single" w:sz="4" w:space="0" w:color="auto"/>
              <w:left w:val="single" w:sz="4" w:space="0" w:color="auto"/>
              <w:bottom w:val="single" w:sz="4" w:space="0" w:color="auto"/>
              <w:right w:val="single" w:sz="4" w:space="0" w:color="auto"/>
            </w:tcBorders>
            <w:shd w:val="clear" w:color="auto" w:fill="33CCFF"/>
            <w:vAlign w:val="center"/>
          </w:tcPr>
          <w:p w14:paraId="757D3842" w14:textId="5BA90149" w:rsidR="00F00829" w:rsidRPr="006E20A2" w:rsidRDefault="00216F1E" w:rsidP="00F00829">
            <w:pPr>
              <w:widowControl/>
              <w:jc w:val="center"/>
              <w:rPr>
                <w:rFonts w:ascii="Arial" w:hAnsi="Arial"/>
                <w:b/>
                <w:bCs/>
                <w:iCs/>
                <w:sz w:val="20"/>
                <w:lang w:val="en-US" w:eastAsia="sl-SI"/>
              </w:rPr>
            </w:pPr>
            <w:r w:rsidRPr="006E20A2">
              <w:rPr>
                <w:rFonts w:ascii="Arial" w:hAnsi="Arial"/>
                <w:b/>
                <w:bCs/>
                <w:iCs/>
                <w:sz w:val="20"/>
                <w:lang w:val="en-US" w:eastAsia="sl-SI"/>
              </w:rPr>
              <w:t>number</w:t>
            </w:r>
          </w:p>
        </w:tc>
        <w:tc>
          <w:tcPr>
            <w:tcW w:w="819" w:type="dxa"/>
            <w:tcBorders>
              <w:top w:val="single" w:sz="4" w:space="0" w:color="auto"/>
              <w:left w:val="single" w:sz="4" w:space="0" w:color="auto"/>
              <w:bottom w:val="single" w:sz="4" w:space="0" w:color="auto"/>
              <w:right w:val="single" w:sz="4" w:space="0" w:color="auto"/>
            </w:tcBorders>
            <w:shd w:val="clear" w:color="auto" w:fill="33CCFF"/>
            <w:vAlign w:val="center"/>
          </w:tcPr>
          <w:p w14:paraId="5FE443E5" w14:textId="53E7B1A7" w:rsidR="00F00829" w:rsidRPr="006E20A2" w:rsidRDefault="00216F1E" w:rsidP="00F00829">
            <w:pPr>
              <w:widowControl/>
              <w:jc w:val="center"/>
              <w:rPr>
                <w:rFonts w:ascii="Arial" w:hAnsi="Arial"/>
                <w:b/>
                <w:bCs/>
                <w:iCs/>
                <w:sz w:val="20"/>
                <w:lang w:val="en-US" w:eastAsia="sl-SI"/>
              </w:rPr>
            </w:pPr>
            <w:r w:rsidRPr="006E20A2">
              <w:rPr>
                <w:rFonts w:ascii="Arial" w:hAnsi="Arial"/>
                <w:b/>
                <w:bCs/>
                <w:iCs/>
                <w:sz w:val="20"/>
                <w:lang w:val="en-US" w:eastAsia="sl-SI"/>
              </w:rPr>
              <w:t>share</w:t>
            </w:r>
          </w:p>
        </w:tc>
        <w:tc>
          <w:tcPr>
            <w:tcW w:w="814" w:type="dxa"/>
            <w:tcBorders>
              <w:top w:val="single" w:sz="4" w:space="0" w:color="auto"/>
              <w:left w:val="single" w:sz="4" w:space="0" w:color="auto"/>
              <w:bottom w:val="single" w:sz="4" w:space="0" w:color="auto"/>
              <w:right w:val="single" w:sz="4" w:space="0" w:color="auto"/>
            </w:tcBorders>
            <w:shd w:val="clear" w:color="auto" w:fill="33CCFF"/>
            <w:noWrap/>
            <w:vAlign w:val="center"/>
            <w:hideMark/>
          </w:tcPr>
          <w:p w14:paraId="530D9536" w14:textId="063122F3" w:rsidR="00F00829" w:rsidRPr="006E20A2" w:rsidRDefault="00216F1E" w:rsidP="00F00829">
            <w:pPr>
              <w:widowControl/>
              <w:jc w:val="center"/>
              <w:rPr>
                <w:rFonts w:ascii="Arial" w:hAnsi="Arial"/>
                <w:b/>
                <w:bCs/>
                <w:iCs/>
                <w:sz w:val="20"/>
                <w:lang w:val="en-US" w:eastAsia="sl-SI"/>
              </w:rPr>
            </w:pPr>
            <w:r w:rsidRPr="006E20A2">
              <w:rPr>
                <w:rFonts w:ascii="Arial" w:hAnsi="Arial"/>
                <w:b/>
                <w:bCs/>
                <w:iCs/>
                <w:sz w:val="20"/>
                <w:lang w:val="en-US" w:eastAsia="sl-SI"/>
              </w:rPr>
              <w:t>number</w:t>
            </w:r>
          </w:p>
        </w:tc>
        <w:tc>
          <w:tcPr>
            <w:tcW w:w="1415" w:type="dxa"/>
            <w:tcBorders>
              <w:top w:val="single" w:sz="4" w:space="0" w:color="auto"/>
              <w:left w:val="single" w:sz="4" w:space="0" w:color="auto"/>
              <w:bottom w:val="single" w:sz="4" w:space="0" w:color="auto"/>
              <w:right w:val="single" w:sz="4" w:space="0" w:color="auto"/>
            </w:tcBorders>
            <w:shd w:val="clear" w:color="auto" w:fill="33CCFF"/>
            <w:noWrap/>
            <w:vAlign w:val="center"/>
            <w:hideMark/>
          </w:tcPr>
          <w:p w14:paraId="4B221D78" w14:textId="7047DD36" w:rsidR="00F00829" w:rsidRPr="006E20A2" w:rsidRDefault="00216F1E" w:rsidP="00F00829">
            <w:pPr>
              <w:widowControl/>
              <w:jc w:val="center"/>
              <w:rPr>
                <w:rFonts w:ascii="Arial" w:hAnsi="Arial"/>
                <w:b/>
                <w:bCs/>
                <w:iCs/>
                <w:sz w:val="20"/>
                <w:lang w:val="en-US" w:eastAsia="sl-SI"/>
              </w:rPr>
            </w:pPr>
            <w:r w:rsidRPr="006E20A2">
              <w:rPr>
                <w:rFonts w:ascii="Arial" w:hAnsi="Arial"/>
                <w:b/>
                <w:bCs/>
                <w:iCs/>
                <w:sz w:val="20"/>
                <w:lang w:val="en-US" w:eastAsia="sl-SI"/>
              </w:rPr>
              <w:t>share</w:t>
            </w:r>
          </w:p>
        </w:tc>
      </w:tr>
      <w:tr w:rsidR="00F00829" w:rsidRPr="006E20A2" w14:paraId="630089E4" w14:textId="77777777" w:rsidTr="00034CED">
        <w:trPr>
          <w:trHeight w:val="315"/>
        </w:trPr>
        <w:tc>
          <w:tcPr>
            <w:tcW w:w="3119" w:type="dxa"/>
            <w:tcBorders>
              <w:top w:val="nil"/>
              <w:left w:val="single" w:sz="8" w:space="0" w:color="auto"/>
              <w:bottom w:val="single" w:sz="8" w:space="0" w:color="auto"/>
              <w:right w:val="single" w:sz="4" w:space="0" w:color="auto"/>
            </w:tcBorders>
            <w:shd w:val="clear" w:color="auto" w:fill="99FF33"/>
            <w:noWrap/>
            <w:vAlign w:val="center"/>
            <w:hideMark/>
          </w:tcPr>
          <w:p w14:paraId="5BEF39AA" w14:textId="60F1549C" w:rsidR="00F00829" w:rsidRPr="006E20A2" w:rsidRDefault="00F00829" w:rsidP="00F00829">
            <w:pPr>
              <w:widowControl/>
              <w:jc w:val="left"/>
              <w:rPr>
                <w:rFonts w:ascii="Arial" w:hAnsi="Arial"/>
                <w:color w:val="000000"/>
                <w:sz w:val="20"/>
                <w:lang w:val="en-US" w:eastAsia="sl-SI"/>
              </w:rPr>
            </w:pPr>
            <w:r w:rsidRPr="006E20A2">
              <w:rPr>
                <w:rFonts w:ascii="Arial" w:hAnsi="Arial"/>
                <w:color w:val="000000"/>
                <w:sz w:val="20"/>
                <w:lang w:val="en-US" w:eastAsia="sl-SI"/>
              </w:rPr>
              <w:t>Bank</w:t>
            </w:r>
            <w:r w:rsidR="003A648B" w:rsidRPr="006E20A2">
              <w:rPr>
                <w:rFonts w:ascii="Arial" w:hAnsi="Arial"/>
                <w:color w:val="000000"/>
                <w:sz w:val="20"/>
                <w:lang w:val="en-US" w:eastAsia="sl-SI"/>
              </w:rPr>
              <w:t>s</w:t>
            </w:r>
          </w:p>
        </w:tc>
        <w:tc>
          <w:tcPr>
            <w:tcW w:w="796" w:type="dxa"/>
            <w:tcBorders>
              <w:top w:val="single" w:sz="4" w:space="0" w:color="auto"/>
              <w:left w:val="single" w:sz="4" w:space="0" w:color="auto"/>
              <w:bottom w:val="single" w:sz="4" w:space="0" w:color="auto"/>
              <w:right w:val="single" w:sz="4" w:space="0" w:color="auto"/>
            </w:tcBorders>
            <w:vAlign w:val="center"/>
          </w:tcPr>
          <w:p w14:paraId="03840DB2" w14:textId="77777777" w:rsidR="00F00829" w:rsidRPr="006E20A2" w:rsidRDefault="00F00829" w:rsidP="00F00829">
            <w:pPr>
              <w:widowControl/>
              <w:jc w:val="right"/>
              <w:rPr>
                <w:rFonts w:ascii="Arial" w:hAnsi="Arial"/>
                <w:color w:val="000000"/>
                <w:sz w:val="20"/>
                <w:lang w:val="en-US"/>
              </w:rPr>
            </w:pPr>
            <w:r w:rsidRPr="006E20A2">
              <w:rPr>
                <w:rFonts w:ascii="Arial" w:hAnsi="Arial"/>
                <w:color w:val="000000"/>
                <w:sz w:val="20"/>
                <w:lang w:val="en-US"/>
              </w:rPr>
              <w:t>36.881</w:t>
            </w:r>
          </w:p>
        </w:tc>
        <w:tc>
          <w:tcPr>
            <w:tcW w:w="819" w:type="dxa"/>
            <w:tcBorders>
              <w:top w:val="single" w:sz="4" w:space="0" w:color="auto"/>
              <w:left w:val="nil"/>
              <w:bottom w:val="single" w:sz="4" w:space="0" w:color="auto"/>
              <w:right w:val="nil"/>
            </w:tcBorders>
            <w:shd w:val="clear" w:color="auto" w:fill="auto"/>
            <w:vAlign w:val="center"/>
          </w:tcPr>
          <w:p w14:paraId="7C0E1E75" w14:textId="16E9F8E6"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82,81</w:t>
            </w:r>
            <w:r w:rsidR="00DC1B8F" w:rsidRPr="006E20A2">
              <w:rPr>
                <w:rFonts w:ascii="Arial" w:hAnsi="Arial"/>
                <w:color w:val="000000"/>
                <w:sz w:val="20"/>
                <w:lang w:val="en-US"/>
              </w:rPr>
              <w:t> </w:t>
            </w:r>
            <w:r w:rsidRPr="006E20A2">
              <w:rPr>
                <w:rFonts w:ascii="Arial" w:hAnsi="Arial"/>
                <w:color w:val="000000"/>
                <w:sz w:val="20"/>
                <w:lang w:val="en-US"/>
              </w:rPr>
              <w:t>%</w:t>
            </w:r>
          </w:p>
        </w:tc>
        <w:tc>
          <w:tcPr>
            <w:tcW w:w="796" w:type="dxa"/>
            <w:tcBorders>
              <w:top w:val="single" w:sz="4" w:space="0" w:color="auto"/>
              <w:left w:val="single" w:sz="4" w:space="0" w:color="auto"/>
              <w:bottom w:val="single" w:sz="4" w:space="0" w:color="auto"/>
              <w:right w:val="single" w:sz="4" w:space="0" w:color="auto"/>
            </w:tcBorders>
            <w:vAlign w:val="center"/>
          </w:tcPr>
          <w:p w14:paraId="44B36291"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35.157</w:t>
            </w:r>
          </w:p>
        </w:tc>
        <w:tc>
          <w:tcPr>
            <w:tcW w:w="819" w:type="dxa"/>
            <w:tcBorders>
              <w:top w:val="single" w:sz="4" w:space="0" w:color="auto"/>
              <w:left w:val="nil"/>
              <w:bottom w:val="single" w:sz="4" w:space="0" w:color="auto"/>
              <w:right w:val="nil"/>
            </w:tcBorders>
            <w:shd w:val="clear" w:color="auto" w:fill="auto"/>
            <w:vAlign w:val="center"/>
          </w:tcPr>
          <w:p w14:paraId="30D93C74" w14:textId="2AB89EB2"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82,03</w:t>
            </w:r>
            <w:r w:rsidR="00DC1B8F" w:rsidRPr="006E20A2">
              <w:rPr>
                <w:rFonts w:ascii="Arial" w:hAnsi="Arial"/>
                <w:color w:val="000000"/>
                <w:sz w:val="20"/>
                <w:lang w:val="en-US"/>
              </w:rPr>
              <w:t> </w:t>
            </w:r>
            <w:r w:rsidRPr="006E20A2">
              <w:rPr>
                <w:rFonts w:ascii="Arial" w:hAnsi="Arial"/>
                <w:color w:val="000000"/>
                <w:sz w:val="20"/>
                <w:lang w:val="en-US"/>
              </w:rPr>
              <w:t>%</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0F793" w14:textId="77777777" w:rsidR="00F00829" w:rsidRPr="006E20A2" w:rsidRDefault="00F00829" w:rsidP="00F00829">
            <w:pPr>
              <w:jc w:val="right"/>
              <w:rPr>
                <w:rFonts w:ascii="Arial" w:hAnsi="Arial"/>
                <w:sz w:val="20"/>
                <w:lang w:val="en-US"/>
              </w:rPr>
            </w:pPr>
            <w:r w:rsidRPr="006E20A2">
              <w:rPr>
                <w:rFonts w:ascii="Arial" w:hAnsi="Arial"/>
                <w:sz w:val="20"/>
                <w:lang w:val="en-US"/>
              </w:rPr>
              <w:t>30.769</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6F56762D" w14:textId="75364949" w:rsidR="00F00829" w:rsidRPr="006E20A2" w:rsidRDefault="00F00829" w:rsidP="00F00829">
            <w:pPr>
              <w:jc w:val="right"/>
              <w:rPr>
                <w:rFonts w:ascii="Arial" w:hAnsi="Arial"/>
                <w:sz w:val="20"/>
                <w:lang w:val="en-US"/>
              </w:rPr>
            </w:pPr>
            <w:r w:rsidRPr="006E20A2">
              <w:rPr>
                <w:rFonts w:ascii="Arial" w:hAnsi="Arial"/>
                <w:color w:val="000000"/>
                <w:sz w:val="20"/>
                <w:lang w:val="en-US"/>
              </w:rPr>
              <w:t>85,01</w:t>
            </w:r>
            <w:r w:rsidR="00DC1B8F" w:rsidRPr="006E20A2">
              <w:rPr>
                <w:rFonts w:ascii="Arial" w:hAnsi="Arial"/>
                <w:color w:val="000000"/>
                <w:sz w:val="20"/>
                <w:lang w:val="en-US"/>
              </w:rPr>
              <w:t> </w:t>
            </w:r>
            <w:r w:rsidRPr="006E20A2">
              <w:rPr>
                <w:rFonts w:ascii="Arial" w:hAnsi="Arial"/>
                <w:color w:val="000000"/>
                <w:sz w:val="20"/>
                <w:lang w:val="en-US"/>
              </w:rPr>
              <w:t>%</w:t>
            </w:r>
          </w:p>
        </w:tc>
      </w:tr>
      <w:tr w:rsidR="00F00829" w:rsidRPr="006E20A2" w14:paraId="194D074A" w14:textId="77777777" w:rsidTr="00034CED">
        <w:trPr>
          <w:trHeight w:val="315"/>
        </w:trPr>
        <w:tc>
          <w:tcPr>
            <w:tcW w:w="3119" w:type="dxa"/>
            <w:tcBorders>
              <w:top w:val="nil"/>
              <w:left w:val="single" w:sz="8" w:space="0" w:color="auto"/>
              <w:bottom w:val="single" w:sz="8" w:space="0" w:color="auto"/>
              <w:right w:val="single" w:sz="4" w:space="0" w:color="auto"/>
            </w:tcBorders>
            <w:shd w:val="clear" w:color="auto" w:fill="99FF33"/>
            <w:noWrap/>
            <w:vAlign w:val="center"/>
            <w:hideMark/>
          </w:tcPr>
          <w:p w14:paraId="26B6DF40" w14:textId="0B426B72" w:rsidR="00F00829" w:rsidRPr="006E20A2" w:rsidRDefault="00DE73B3" w:rsidP="00F00829">
            <w:pPr>
              <w:widowControl/>
              <w:jc w:val="left"/>
              <w:rPr>
                <w:rFonts w:ascii="Arial" w:hAnsi="Arial"/>
                <w:color w:val="000000"/>
                <w:sz w:val="20"/>
                <w:lang w:val="en-US" w:eastAsia="sl-SI"/>
              </w:rPr>
            </w:pPr>
            <w:r w:rsidRPr="006E20A2">
              <w:rPr>
                <w:rFonts w:ascii="Arial" w:hAnsi="Arial"/>
                <w:color w:val="000000"/>
                <w:sz w:val="20"/>
                <w:lang w:val="en-US" w:eastAsia="sl-SI"/>
              </w:rPr>
              <w:t>Saving houses</w:t>
            </w:r>
          </w:p>
        </w:tc>
        <w:tc>
          <w:tcPr>
            <w:tcW w:w="796" w:type="dxa"/>
            <w:tcBorders>
              <w:top w:val="single" w:sz="4" w:space="0" w:color="auto"/>
              <w:left w:val="single" w:sz="4" w:space="0" w:color="auto"/>
              <w:bottom w:val="single" w:sz="4" w:space="0" w:color="auto"/>
              <w:right w:val="single" w:sz="4" w:space="0" w:color="auto"/>
            </w:tcBorders>
            <w:vAlign w:val="center"/>
          </w:tcPr>
          <w:p w14:paraId="509F518C" w14:textId="77777777" w:rsidR="00F00829" w:rsidRPr="006E20A2" w:rsidRDefault="00F00829" w:rsidP="00F00829">
            <w:pPr>
              <w:jc w:val="right"/>
              <w:rPr>
                <w:rFonts w:ascii="Arial" w:hAnsi="Arial"/>
                <w:color w:val="000000"/>
                <w:sz w:val="20"/>
                <w:lang w:val="en-US"/>
              </w:rPr>
            </w:pPr>
            <w:r w:rsidRPr="006E20A2">
              <w:rPr>
                <w:rFonts w:ascii="Arial" w:hAnsi="Arial"/>
                <w:sz w:val="20"/>
                <w:lang w:val="en-US"/>
              </w:rPr>
              <w:t>4.843</w:t>
            </w:r>
          </w:p>
        </w:tc>
        <w:tc>
          <w:tcPr>
            <w:tcW w:w="819" w:type="dxa"/>
            <w:tcBorders>
              <w:top w:val="single" w:sz="4" w:space="0" w:color="auto"/>
              <w:left w:val="nil"/>
              <w:bottom w:val="single" w:sz="4" w:space="0" w:color="auto"/>
              <w:right w:val="nil"/>
            </w:tcBorders>
            <w:shd w:val="clear" w:color="auto" w:fill="auto"/>
            <w:vAlign w:val="center"/>
          </w:tcPr>
          <w:p w14:paraId="0B0843A6" w14:textId="28FE563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6,29</w:t>
            </w:r>
            <w:r w:rsidR="00DC1B8F" w:rsidRPr="006E20A2">
              <w:rPr>
                <w:rFonts w:ascii="Arial" w:hAnsi="Arial"/>
                <w:color w:val="000000"/>
                <w:sz w:val="20"/>
                <w:lang w:val="en-US"/>
              </w:rPr>
              <w:t> </w:t>
            </w:r>
            <w:r w:rsidRPr="006E20A2">
              <w:rPr>
                <w:rFonts w:ascii="Arial" w:hAnsi="Arial"/>
                <w:color w:val="000000"/>
                <w:sz w:val="20"/>
                <w:lang w:val="en-US"/>
              </w:rPr>
              <w:t>%</w:t>
            </w:r>
          </w:p>
        </w:tc>
        <w:tc>
          <w:tcPr>
            <w:tcW w:w="796" w:type="dxa"/>
            <w:tcBorders>
              <w:top w:val="single" w:sz="4" w:space="0" w:color="auto"/>
              <w:left w:val="single" w:sz="4" w:space="0" w:color="auto"/>
              <w:bottom w:val="single" w:sz="4" w:space="0" w:color="auto"/>
              <w:right w:val="single" w:sz="4" w:space="0" w:color="auto"/>
            </w:tcBorders>
            <w:vAlign w:val="center"/>
          </w:tcPr>
          <w:p w14:paraId="5717FE56"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4.568</w:t>
            </w:r>
          </w:p>
        </w:tc>
        <w:tc>
          <w:tcPr>
            <w:tcW w:w="819" w:type="dxa"/>
            <w:tcBorders>
              <w:top w:val="single" w:sz="4" w:space="0" w:color="auto"/>
              <w:left w:val="nil"/>
              <w:bottom w:val="single" w:sz="4" w:space="0" w:color="auto"/>
              <w:right w:val="nil"/>
            </w:tcBorders>
            <w:shd w:val="clear" w:color="auto" w:fill="auto"/>
            <w:vAlign w:val="center"/>
          </w:tcPr>
          <w:p w14:paraId="4E850A93" w14:textId="07ACCB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10,66</w:t>
            </w:r>
            <w:r w:rsidR="00DC1B8F" w:rsidRPr="006E20A2">
              <w:rPr>
                <w:rFonts w:ascii="Arial" w:hAnsi="Arial"/>
                <w:color w:val="000000"/>
                <w:sz w:val="20"/>
                <w:lang w:val="en-US"/>
              </w:rPr>
              <w:t> </w:t>
            </w:r>
            <w:r w:rsidRPr="006E20A2">
              <w:rPr>
                <w:rFonts w:ascii="Arial" w:hAnsi="Arial"/>
                <w:color w:val="000000"/>
                <w:sz w:val="20"/>
                <w:lang w:val="en-US"/>
              </w:rPr>
              <w:t>%</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3815E" w14:textId="77777777" w:rsidR="00F00829" w:rsidRPr="006E20A2" w:rsidRDefault="00F00829" w:rsidP="00F00829">
            <w:pPr>
              <w:jc w:val="right"/>
              <w:rPr>
                <w:rFonts w:ascii="Arial" w:hAnsi="Arial"/>
                <w:sz w:val="20"/>
                <w:lang w:val="en-US"/>
              </w:rPr>
            </w:pPr>
            <w:r w:rsidRPr="006E20A2">
              <w:rPr>
                <w:rFonts w:ascii="Arial" w:hAnsi="Arial"/>
                <w:sz w:val="20"/>
                <w:lang w:val="en-US"/>
              </w:rPr>
              <w:t>3.652</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78B6D66D" w14:textId="3EA662B1" w:rsidR="00F00829" w:rsidRPr="006E20A2" w:rsidRDefault="00F00829" w:rsidP="00F00829">
            <w:pPr>
              <w:jc w:val="right"/>
              <w:rPr>
                <w:rFonts w:ascii="Arial" w:hAnsi="Arial"/>
                <w:sz w:val="20"/>
                <w:lang w:val="en-US"/>
              </w:rPr>
            </w:pPr>
            <w:r w:rsidRPr="006E20A2">
              <w:rPr>
                <w:rFonts w:ascii="Arial" w:hAnsi="Arial"/>
                <w:color w:val="000000"/>
                <w:sz w:val="20"/>
                <w:lang w:val="en-US"/>
              </w:rPr>
              <w:t>10,09</w:t>
            </w:r>
            <w:r w:rsidR="00DC1B8F" w:rsidRPr="006E20A2">
              <w:rPr>
                <w:rFonts w:ascii="Arial" w:hAnsi="Arial"/>
                <w:color w:val="000000"/>
                <w:sz w:val="20"/>
                <w:lang w:val="en-US"/>
              </w:rPr>
              <w:t> </w:t>
            </w:r>
            <w:r w:rsidRPr="006E20A2">
              <w:rPr>
                <w:rFonts w:ascii="Arial" w:hAnsi="Arial"/>
                <w:color w:val="000000"/>
                <w:sz w:val="20"/>
                <w:lang w:val="en-US"/>
              </w:rPr>
              <w:t>%</w:t>
            </w:r>
          </w:p>
        </w:tc>
      </w:tr>
      <w:tr w:rsidR="00F00829" w:rsidRPr="006E20A2" w14:paraId="37851F7C" w14:textId="77777777" w:rsidTr="00034CED">
        <w:trPr>
          <w:trHeight w:val="315"/>
        </w:trPr>
        <w:tc>
          <w:tcPr>
            <w:tcW w:w="3119" w:type="dxa"/>
            <w:tcBorders>
              <w:top w:val="nil"/>
              <w:left w:val="single" w:sz="8" w:space="0" w:color="auto"/>
              <w:bottom w:val="single" w:sz="8" w:space="0" w:color="auto"/>
              <w:right w:val="single" w:sz="4" w:space="0" w:color="auto"/>
            </w:tcBorders>
            <w:shd w:val="clear" w:color="auto" w:fill="99FF33"/>
            <w:noWrap/>
            <w:vAlign w:val="center"/>
            <w:hideMark/>
          </w:tcPr>
          <w:p w14:paraId="3B1D66BE" w14:textId="7C1397BF" w:rsidR="00F00829" w:rsidRPr="006E20A2" w:rsidRDefault="00DE73B3" w:rsidP="00F00829">
            <w:pPr>
              <w:widowControl/>
              <w:jc w:val="left"/>
              <w:rPr>
                <w:rFonts w:ascii="Arial" w:hAnsi="Arial"/>
                <w:color w:val="000000"/>
                <w:sz w:val="20"/>
                <w:lang w:val="en-US" w:eastAsia="sl-SI"/>
              </w:rPr>
            </w:pPr>
            <w:r w:rsidRPr="006E20A2">
              <w:rPr>
                <w:rFonts w:ascii="Arial" w:hAnsi="Arial"/>
                <w:color w:val="000000"/>
                <w:sz w:val="20"/>
                <w:lang w:val="en-US" w:eastAsia="sl-SI"/>
              </w:rPr>
              <w:t>Casinos</w:t>
            </w:r>
          </w:p>
        </w:tc>
        <w:tc>
          <w:tcPr>
            <w:tcW w:w="796" w:type="dxa"/>
            <w:tcBorders>
              <w:top w:val="single" w:sz="4" w:space="0" w:color="auto"/>
              <w:left w:val="single" w:sz="4" w:space="0" w:color="auto"/>
              <w:bottom w:val="single" w:sz="4" w:space="0" w:color="auto"/>
              <w:right w:val="single" w:sz="4" w:space="0" w:color="auto"/>
            </w:tcBorders>
            <w:vAlign w:val="center"/>
          </w:tcPr>
          <w:p w14:paraId="71FB5E16"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2.800</w:t>
            </w:r>
          </w:p>
        </w:tc>
        <w:tc>
          <w:tcPr>
            <w:tcW w:w="819" w:type="dxa"/>
            <w:tcBorders>
              <w:top w:val="single" w:sz="4" w:space="0" w:color="auto"/>
              <w:left w:val="nil"/>
              <w:bottom w:val="single" w:sz="4" w:space="0" w:color="auto"/>
              <w:right w:val="nil"/>
            </w:tcBorders>
            <w:shd w:val="clear" w:color="auto" w:fill="auto"/>
            <w:vAlign w:val="center"/>
          </w:tcPr>
          <w:p w14:paraId="535574BE" w14:textId="403E3A79"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10,87</w:t>
            </w:r>
            <w:r w:rsidR="00DC1B8F" w:rsidRPr="006E20A2">
              <w:rPr>
                <w:rFonts w:ascii="Arial" w:hAnsi="Arial"/>
                <w:color w:val="000000"/>
                <w:sz w:val="20"/>
                <w:lang w:val="en-US"/>
              </w:rPr>
              <w:t> </w:t>
            </w:r>
            <w:r w:rsidRPr="006E20A2">
              <w:rPr>
                <w:rFonts w:ascii="Arial" w:hAnsi="Arial"/>
                <w:color w:val="000000"/>
                <w:sz w:val="20"/>
                <w:lang w:val="en-US"/>
              </w:rPr>
              <w:t>%</w:t>
            </w:r>
          </w:p>
        </w:tc>
        <w:tc>
          <w:tcPr>
            <w:tcW w:w="796" w:type="dxa"/>
            <w:tcBorders>
              <w:top w:val="single" w:sz="4" w:space="0" w:color="auto"/>
              <w:left w:val="single" w:sz="4" w:space="0" w:color="auto"/>
              <w:bottom w:val="single" w:sz="4" w:space="0" w:color="auto"/>
              <w:right w:val="single" w:sz="4" w:space="0" w:color="auto"/>
            </w:tcBorders>
            <w:vAlign w:val="center"/>
          </w:tcPr>
          <w:p w14:paraId="106C7584"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3.113</w:t>
            </w:r>
          </w:p>
        </w:tc>
        <w:tc>
          <w:tcPr>
            <w:tcW w:w="819" w:type="dxa"/>
            <w:tcBorders>
              <w:top w:val="single" w:sz="4" w:space="0" w:color="auto"/>
              <w:left w:val="nil"/>
              <w:bottom w:val="single" w:sz="4" w:space="0" w:color="auto"/>
              <w:right w:val="nil"/>
            </w:tcBorders>
            <w:shd w:val="clear" w:color="auto" w:fill="auto"/>
            <w:vAlign w:val="center"/>
          </w:tcPr>
          <w:p w14:paraId="2BE51049" w14:textId="0B063B92"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7,26</w:t>
            </w:r>
            <w:r w:rsidR="00DC1B8F" w:rsidRPr="006E20A2">
              <w:rPr>
                <w:rFonts w:ascii="Arial" w:hAnsi="Arial"/>
                <w:color w:val="000000"/>
                <w:sz w:val="20"/>
                <w:lang w:val="en-US"/>
              </w:rPr>
              <w:t> </w:t>
            </w:r>
            <w:r w:rsidRPr="006E20A2">
              <w:rPr>
                <w:rFonts w:ascii="Arial" w:hAnsi="Arial"/>
                <w:color w:val="000000"/>
                <w:sz w:val="20"/>
                <w:lang w:val="en-US"/>
              </w:rPr>
              <w:t>%</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975D" w14:textId="77777777" w:rsidR="00F00829" w:rsidRPr="006E20A2" w:rsidRDefault="00F00829" w:rsidP="00F00829">
            <w:pPr>
              <w:jc w:val="right"/>
              <w:rPr>
                <w:rFonts w:ascii="Arial" w:hAnsi="Arial"/>
                <w:sz w:val="20"/>
                <w:lang w:val="en-US"/>
              </w:rPr>
            </w:pPr>
            <w:r w:rsidRPr="006E20A2">
              <w:rPr>
                <w:rFonts w:ascii="Arial" w:hAnsi="Arial"/>
                <w:sz w:val="20"/>
                <w:lang w:val="en-US"/>
              </w:rPr>
              <w:t>1.771</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7DF19243" w14:textId="1024ECCE" w:rsidR="00F00829" w:rsidRPr="006E20A2" w:rsidRDefault="00F00829" w:rsidP="00F00829">
            <w:pPr>
              <w:jc w:val="right"/>
              <w:rPr>
                <w:rFonts w:ascii="Arial" w:hAnsi="Arial"/>
                <w:sz w:val="20"/>
                <w:lang w:val="en-US"/>
              </w:rPr>
            </w:pPr>
            <w:r w:rsidRPr="006E20A2">
              <w:rPr>
                <w:rFonts w:ascii="Arial" w:hAnsi="Arial"/>
                <w:color w:val="000000"/>
                <w:sz w:val="20"/>
                <w:lang w:val="en-US"/>
              </w:rPr>
              <w:t>4,89</w:t>
            </w:r>
            <w:r w:rsidR="00DC1B8F" w:rsidRPr="006E20A2">
              <w:rPr>
                <w:rFonts w:ascii="Arial" w:hAnsi="Arial"/>
                <w:color w:val="000000"/>
                <w:sz w:val="20"/>
                <w:lang w:val="en-US"/>
              </w:rPr>
              <w:t> </w:t>
            </w:r>
            <w:r w:rsidRPr="006E20A2">
              <w:rPr>
                <w:rFonts w:ascii="Arial" w:hAnsi="Arial"/>
                <w:color w:val="000000"/>
                <w:sz w:val="20"/>
                <w:lang w:val="en-US"/>
              </w:rPr>
              <w:t>%</w:t>
            </w:r>
          </w:p>
        </w:tc>
      </w:tr>
      <w:tr w:rsidR="00F00829" w:rsidRPr="006E20A2" w14:paraId="4B6FB33F" w14:textId="77777777" w:rsidTr="00034CED">
        <w:trPr>
          <w:trHeight w:val="315"/>
        </w:trPr>
        <w:tc>
          <w:tcPr>
            <w:tcW w:w="3119" w:type="dxa"/>
            <w:tcBorders>
              <w:top w:val="nil"/>
              <w:left w:val="single" w:sz="8" w:space="0" w:color="auto"/>
              <w:bottom w:val="single" w:sz="8" w:space="0" w:color="auto"/>
              <w:right w:val="single" w:sz="4" w:space="0" w:color="auto"/>
            </w:tcBorders>
            <w:shd w:val="clear" w:color="auto" w:fill="99FF33"/>
            <w:noWrap/>
            <w:vAlign w:val="center"/>
            <w:hideMark/>
          </w:tcPr>
          <w:p w14:paraId="0915975D" w14:textId="57013397" w:rsidR="00F00829" w:rsidRPr="006E20A2" w:rsidRDefault="00DE73B3" w:rsidP="00F00829">
            <w:pPr>
              <w:widowControl/>
              <w:jc w:val="left"/>
              <w:rPr>
                <w:rFonts w:ascii="Arial" w:hAnsi="Arial"/>
                <w:color w:val="000000"/>
                <w:sz w:val="20"/>
                <w:lang w:val="en-US" w:eastAsia="sl-SI"/>
              </w:rPr>
            </w:pPr>
            <w:r w:rsidRPr="006E20A2">
              <w:rPr>
                <w:rFonts w:ascii="Arial" w:hAnsi="Arial"/>
                <w:color w:val="000000"/>
                <w:sz w:val="20"/>
                <w:lang w:val="en-US" w:eastAsia="sl-SI"/>
              </w:rPr>
              <w:t>Notaries/la</w:t>
            </w:r>
            <w:r w:rsidR="00216F1E" w:rsidRPr="006E20A2">
              <w:rPr>
                <w:rFonts w:ascii="Arial" w:hAnsi="Arial"/>
                <w:color w:val="000000"/>
                <w:sz w:val="20"/>
                <w:lang w:val="en-US" w:eastAsia="sl-SI"/>
              </w:rPr>
              <w:t>wyers</w:t>
            </w:r>
          </w:p>
        </w:tc>
        <w:tc>
          <w:tcPr>
            <w:tcW w:w="796" w:type="dxa"/>
            <w:tcBorders>
              <w:top w:val="single" w:sz="4" w:space="0" w:color="auto"/>
              <w:left w:val="single" w:sz="4" w:space="0" w:color="auto"/>
              <w:bottom w:val="single" w:sz="4" w:space="0" w:color="auto"/>
              <w:right w:val="single" w:sz="4" w:space="0" w:color="auto"/>
            </w:tcBorders>
            <w:vAlign w:val="center"/>
          </w:tcPr>
          <w:p w14:paraId="1C5C90EC"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5</w:t>
            </w:r>
          </w:p>
        </w:tc>
        <w:tc>
          <w:tcPr>
            <w:tcW w:w="819" w:type="dxa"/>
            <w:tcBorders>
              <w:top w:val="single" w:sz="4" w:space="0" w:color="auto"/>
              <w:left w:val="nil"/>
              <w:bottom w:val="single" w:sz="4" w:space="0" w:color="auto"/>
              <w:right w:val="nil"/>
            </w:tcBorders>
            <w:shd w:val="clear" w:color="auto" w:fill="auto"/>
            <w:vAlign w:val="center"/>
          </w:tcPr>
          <w:p w14:paraId="263061D0" w14:textId="2E55FA2B"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0,01</w:t>
            </w:r>
            <w:r w:rsidR="00DC1B8F" w:rsidRPr="006E20A2">
              <w:rPr>
                <w:rFonts w:ascii="Arial" w:hAnsi="Arial"/>
                <w:color w:val="000000"/>
                <w:sz w:val="20"/>
                <w:lang w:val="en-US"/>
              </w:rPr>
              <w:t> </w:t>
            </w:r>
            <w:r w:rsidRPr="006E20A2">
              <w:rPr>
                <w:rFonts w:ascii="Arial" w:hAnsi="Arial"/>
                <w:color w:val="000000"/>
                <w:sz w:val="20"/>
                <w:lang w:val="en-US"/>
              </w:rPr>
              <w:t>%</w:t>
            </w:r>
          </w:p>
        </w:tc>
        <w:tc>
          <w:tcPr>
            <w:tcW w:w="796" w:type="dxa"/>
            <w:tcBorders>
              <w:top w:val="single" w:sz="4" w:space="0" w:color="auto"/>
              <w:left w:val="single" w:sz="4" w:space="0" w:color="auto"/>
              <w:bottom w:val="single" w:sz="4" w:space="0" w:color="auto"/>
              <w:right w:val="single" w:sz="4" w:space="0" w:color="auto"/>
            </w:tcBorders>
            <w:vAlign w:val="center"/>
          </w:tcPr>
          <w:p w14:paraId="29252542"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17</w:t>
            </w:r>
          </w:p>
        </w:tc>
        <w:tc>
          <w:tcPr>
            <w:tcW w:w="819" w:type="dxa"/>
            <w:tcBorders>
              <w:top w:val="single" w:sz="4" w:space="0" w:color="auto"/>
              <w:left w:val="nil"/>
              <w:bottom w:val="single" w:sz="4" w:space="0" w:color="auto"/>
              <w:right w:val="nil"/>
            </w:tcBorders>
            <w:shd w:val="clear" w:color="auto" w:fill="auto"/>
            <w:vAlign w:val="center"/>
          </w:tcPr>
          <w:p w14:paraId="11130D67" w14:textId="09281161"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0,04</w:t>
            </w:r>
            <w:r w:rsidR="00DC1B8F" w:rsidRPr="006E20A2">
              <w:rPr>
                <w:rFonts w:ascii="Arial" w:hAnsi="Arial"/>
                <w:color w:val="000000"/>
                <w:sz w:val="20"/>
                <w:lang w:val="en-US"/>
              </w:rPr>
              <w:t> </w:t>
            </w:r>
            <w:r w:rsidRPr="006E20A2">
              <w:rPr>
                <w:rFonts w:ascii="Arial" w:hAnsi="Arial"/>
                <w:color w:val="000000"/>
                <w:sz w:val="20"/>
                <w:lang w:val="en-US"/>
              </w:rPr>
              <w:t>%</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5D347"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1</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4BB720BC" w14:textId="739D5FC4"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0,00</w:t>
            </w:r>
            <w:r w:rsidR="00DC1B8F" w:rsidRPr="006E20A2">
              <w:rPr>
                <w:rFonts w:ascii="Arial" w:hAnsi="Arial"/>
                <w:color w:val="000000"/>
                <w:sz w:val="20"/>
                <w:lang w:val="en-US"/>
              </w:rPr>
              <w:t> </w:t>
            </w:r>
            <w:r w:rsidRPr="006E20A2">
              <w:rPr>
                <w:rFonts w:ascii="Arial" w:hAnsi="Arial"/>
                <w:color w:val="000000"/>
                <w:sz w:val="20"/>
                <w:lang w:val="en-US"/>
              </w:rPr>
              <w:t>%</w:t>
            </w:r>
          </w:p>
        </w:tc>
      </w:tr>
      <w:tr w:rsidR="00F00829" w:rsidRPr="006E20A2" w14:paraId="3A1BDF0F" w14:textId="77777777" w:rsidTr="00034CED">
        <w:trPr>
          <w:trHeight w:val="315"/>
        </w:trPr>
        <w:tc>
          <w:tcPr>
            <w:tcW w:w="3119" w:type="dxa"/>
            <w:tcBorders>
              <w:top w:val="nil"/>
              <w:left w:val="single" w:sz="8" w:space="0" w:color="auto"/>
              <w:bottom w:val="single" w:sz="8" w:space="0" w:color="auto"/>
              <w:right w:val="single" w:sz="4" w:space="0" w:color="auto"/>
            </w:tcBorders>
            <w:shd w:val="clear" w:color="auto" w:fill="99FF33"/>
            <w:noWrap/>
            <w:vAlign w:val="center"/>
          </w:tcPr>
          <w:p w14:paraId="173C67C2" w14:textId="19651E89" w:rsidR="00F00829" w:rsidRPr="006E20A2" w:rsidRDefault="00216F1E" w:rsidP="00F00829">
            <w:pPr>
              <w:widowControl/>
              <w:jc w:val="left"/>
              <w:rPr>
                <w:rFonts w:ascii="Arial" w:hAnsi="Arial"/>
                <w:color w:val="000000"/>
                <w:sz w:val="20"/>
                <w:lang w:val="en-US" w:eastAsia="sl-SI"/>
              </w:rPr>
            </w:pPr>
            <w:r w:rsidRPr="006E20A2">
              <w:rPr>
                <w:rFonts w:ascii="Arial" w:hAnsi="Arial"/>
                <w:color w:val="000000"/>
                <w:sz w:val="20"/>
                <w:lang w:val="en-US" w:eastAsia="sl-SI"/>
              </w:rPr>
              <w:t>Other</w:t>
            </w:r>
          </w:p>
        </w:tc>
        <w:tc>
          <w:tcPr>
            <w:tcW w:w="796" w:type="dxa"/>
            <w:tcBorders>
              <w:top w:val="single" w:sz="4" w:space="0" w:color="auto"/>
              <w:left w:val="single" w:sz="4" w:space="0" w:color="auto"/>
              <w:bottom w:val="single" w:sz="4" w:space="0" w:color="auto"/>
              <w:right w:val="single" w:sz="4" w:space="0" w:color="auto"/>
            </w:tcBorders>
            <w:vAlign w:val="center"/>
          </w:tcPr>
          <w:p w14:paraId="03653839"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8</w:t>
            </w:r>
          </w:p>
        </w:tc>
        <w:tc>
          <w:tcPr>
            <w:tcW w:w="819" w:type="dxa"/>
            <w:tcBorders>
              <w:top w:val="single" w:sz="4" w:space="0" w:color="auto"/>
              <w:left w:val="nil"/>
              <w:bottom w:val="single" w:sz="4" w:space="0" w:color="auto"/>
              <w:right w:val="nil"/>
            </w:tcBorders>
            <w:shd w:val="clear" w:color="auto" w:fill="auto"/>
            <w:vAlign w:val="center"/>
          </w:tcPr>
          <w:p w14:paraId="5D2AA5C4" w14:textId="336AFEAA"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0,02</w:t>
            </w:r>
            <w:r w:rsidR="00DC1B8F" w:rsidRPr="006E20A2">
              <w:rPr>
                <w:rFonts w:ascii="Arial" w:hAnsi="Arial"/>
                <w:color w:val="000000"/>
                <w:sz w:val="20"/>
                <w:lang w:val="en-US"/>
              </w:rPr>
              <w:t> </w:t>
            </w:r>
            <w:r w:rsidRPr="006E20A2">
              <w:rPr>
                <w:rFonts w:ascii="Arial" w:hAnsi="Arial"/>
                <w:color w:val="000000"/>
                <w:sz w:val="20"/>
                <w:lang w:val="en-US"/>
              </w:rPr>
              <w:t>%</w:t>
            </w:r>
          </w:p>
        </w:tc>
        <w:tc>
          <w:tcPr>
            <w:tcW w:w="796" w:type="dxa"/>
            <w:tcBorders>
              <w:top w:val="single" w:sz="4" w:space="0" w:color="auto"/>
              <w:left w:val="single" w:sz="4" w:space="0" w:color="auto"/>
              <w:bottom w:val="single" w:sz="4" w:space="0" w:color="auto"/>
              <w:right w:val="single" w:sz="4" w:space="0" w:color="auto"/>
            </w:tcBorders>
            <w:vAlign w:val="center"/>
          </w:tcPr>
          <w:p w14:paraId="48263FD9"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6</w:t>
            </w:r>
          </w:p>
        </w:tc>
        <w:tc>
          <w:tcPr>
            <w:tcW w:w="819" w:type="dxa"/>
            <w:tcBorders>
              <w:top w:val="single" w:sz="4" w:space="0" w:color="auto"/>
              <w:left w:val="nil"/>
              <w:bottom w:val="single" w:sz="4" w:space="0" w:color="auto"/>
              <w:right w:val="nil"/>
            </w:tcBorders>
            <w:shd w:val="clear" w:color="auto" w:fill="auto"/>
            <w:vAlign w:val="center"/>
          </w:tcPr>
          <w:p w14:paraId="7E6C3408" w14:textId="612F78B3"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0,01</w:t>
            </w:r>
            <w:r w:rsidR="00DC1B8F" w:rsidRPr="006E20A2">
              <w:rPr>
                <w:rFonts w:ascii="Arial" w:hAnsi="Arial"/>
                <w:color w:val="000000"/>
                <w:sz w:val="20"/>
                <w:lang w:val="en-US"/>
              </w:rPr>
              <w:t> </w:t>
            </w:r>
            <w:r w:rsidRPr="006E20A2">
              <w:rPr>
                <w:rFonts w:ascii="Arial" w:hAnsi="Arial"/>
                <w:color w:val="000000"/>
                <w:sz w:val="20"/>
                <w:lang w:val="en-US"/>
              </w:rPr>
              <w:t>%</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50CB2" w14:textId="77777777"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2</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7A94D0D1" w14:textId="776FE699" w:rsidR="00F00829" w:rsidRPr="006E20A2" w:rsidRDefault="00F00829" w:rsidP="00F00829">
            <w:pPr>
              <w:jc w:val="right"/>
              <w:rPr>
                <w:rFonts w:ascii="Arial" w:hAnsi="Arial"/>
                <w:color w:val="000000"/>
                <w:sz w:val="20"/>
                <w:lang w:val="en-US"/>
              </w:rPr>
            </w:pPr>
            <w:r w:rsidRPr="006E20A2">
              <w:rPr>
                <w:rFonts w:ascii="Arial" w:hAnsi="Arial"/>
                <w:color w:val="000000"/>
                <w:sz w:val="20"/>
                <w:lang w:val="en-US"/>
              </w:rPr>
              <w:t>0,01</w:t>
            </w:r>
            <w:r w:rsidR="00DC1B8F" w:rsidRPr="006E20A2">
              <w:rPr>
                <w:rFonts w:ascii="Arial" w:hAnsi="Arial"/>
                <w:color w:val="000000"/>
                <w:sz w:val="20"/>
                <w:lang w:val="en-US"/>
              </w:rPr>
              <w:t> </w:t>
            </w:r>
            <w:r w:rsidRPr="006E20A2">
              <w:rPr>
                <w:rFonts w:ascii="Arial" w:hAnsi="Arial"/>
                <w:color w:val="000000"/>
                <w:sz w:val="20"/>
                <w:lang w:val="en-US"/>
              </w:rPr>
              <w:t>%</w:t>
            </w:r>
          </w:p>
        </w:tc>
      </w:tr>
      <w:tr w:rsidR="00F00829" w:rsidRPr="006E20A2" w14:paraId="4C175F50" w14:textId="77777777" w:rsidTr="00034CED">
        <w:trPr>
          <w:trHeight w:val="315"/>
        </w:trPr>
        <w:tc>
          <w:tcPr>
            <w:tcW w:w="3119" w:type="dxa"/>
            <w:tcBorders>
              <w:top w:val="nil"/>
              <w:left w:val="single" w:sz="8" w:space="0" w:color="auto"/>
              <w:bottom w:val="single" w:sz="4" w:space="0" w:color="auto"/>
              <w:right w:val="single" w:sz="4" w:space="0" w:color="auto"/>
            </w:tcBorders>
            <w:shd w:val="clear" w:color="auto" w:fill="33CCFF"/>
            <w:noWrap/>
            <w:vAlign w:val="center"/>
            <w:hideMark/>
          </w:tcPr>
          <w:p w14:paraId="5A49031C" w14:textId="1E5EAEDA" w:rsidR="00F00829" w:rsidRPr="006E20A2" w:rsidRDefault="00216F1E" w:rsidP="00F00829">
            <w:pPr>
              <w:widowControl/>
              <w:jc w:val="left"/>
              <w:rPr>
                <w:rFonts w:ascii="Arial" w:hAnsi="Arial"/>
                <w:b/>
                <w:bCs/>
                <w:color w:val="000000"/>
                <w:sz w:val="20"/>
                <w:lang w:val="en-US" w:eastAsia="sl-SI"/>
              </w:rPr>
            </w:pPr>
            <w:r w:rsidRPr="006E20A2">
              <w:rPr>
                <w:rFonts w:ascii="Arial" w:hAnsi="Arial"/>
                <w:b/>
                <w:bCs/>
                <w:color w:val="000000"/>
                <w:sz w:val="20"/>
                <w:lang w:val="en-US" w:eastAsia="sl-SI"/>
              </w:rPr>
              <w:t>Total cash transactions</w:t>
            </w:r>
          </w:p>
        </w:tc>
        <w:tc>
          <w:tcPr>
            <w:tcW w:w="796" w:type="dxa"/>
            <w:tcBorders>
              <w:top w:val="single" w:sz="4" w:space="0" w:color="auto"/>
              <w:left w:val="single" w:sz="4" w:space="0" w:color="auto"/>
              <w:bottom w:val="single" w:sz="4" w:space="0" w:color="auto"/>
              <w:right w:val="single" w:sz="4" w:space="0" w:color="auto"/>
            </w:tcBorders>
            <w:shd w:val="clear" w:color="auto" w:fill="33CCFF"/>
            <w:vAlign w:val="center"/>
          </w:tcPr>
          <w:p w14:paraId="3E094002" w14:textId="77777777" w:rsidR="00F00829" w:rsidRPr="006E20A2" w:rsidRDefault="00F00829" w:rsidP="00F00829">
            <w:pPr>
              <w:jc w:val="right"/>
              <w:rPr>
                <w:rFonts w:ascii="Arial" w:hAnsi="Arial"/>
                <w:b/>
                <w:bCs/>
                <w:color w:val="000000"/>
                <w:sz w:val="20"/>
                <w:lang w:val="en-US"/>
              </w:rPr>
            </w:pPr>
            <w:r w:rsidRPr="006E20A2">
              <w:rPr>
                <w:rFonts w:ascii="Arial" w:hAnsi="Arial"/>
                <w:b/>
                <w:bCs/>
                <w:color w:val="000000"/>
                <w:sz w:val="20"/>
                <w:lang w:val="en-US"/>
              </w:rPr>
              <w:t>44.537</w:t>
            </w:r>
          </w:p>
        </w:tc>
        <w:tc>
          <w:tcPr>
            <w:tcW w:w="819" w:type="dxa"/>
            <w:tcBorders>
              <w:top w:val="single" w:sz="4" w:space="0" w:color="auto"/>
              <w:left w:val="single" w:sz="4" w:space="0" w:color="auto"/>
              <w:bottom w:val="single" w:sz="4" w:space="0" w:color="auto"/>
              <w:right w:val="single" w:sz="4" w:space="0" w:color="auto"/>
            </w:tcBorders>
            <w:shd w:val="clear" w:color="auto" w:fill="33CCFF"/>
            <w:vAlign w:val="center"/>
          </w:tcPr>
          <w:p w14:paraId="03E969B7" w14:textId="77777777" w:rsidR="00F00829" w:rsidRPr="006E20A2" w:rsidRDefault="00F00829" w:rsidP="00F00829">
            <w:pPr>
              <w:jc w:val="right"/>
              <w:rPr>
                <w:rFonts w:ascii="Arial" w:hAnsi="Arial"/>
                <w:color w:val="000000"/>
                <w:sz w:val="20"/>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33CCFF"/>
            <w:vAlign w:val="center"/>
          </w:tcPr>
          <w:p w14:paraId="2C8954EB" w14:textId="77777777" w:rsidR="00F00829" w:rsidRPr="006E20A2" w:rsidRDefault="00F00829" w:rsidP="00F00829">
            <w:pPr>
              <w:jc w:val="right"/>
              <w:rPr>
                <w:rFonts w:ascii="Arial" w:hAnsi="Arial"/>
                <w:color w:val="000000"/>
                <w:sz w:val="20"/>
                <w:lang w:val="en-US"/>
              </w:rPr>
            </w:pPr>
            <w:r w:rsidRPr="006E20A2">
              <w:rPr>
                <w:rFonts w:ascii="Arial" w:hAnsi="Arial"/>
                <w:b/>
                <w:sz w:val="20"/>
                <w:lang w:val="en-US" w:eastAsia="sl-SI"/>
              </w:rPr>
              <w:t>42.879</w:t>
            </w:r>
          </w:p>
        </w:tc>
        <w:tc>
          <w:tcPr>
            <w:tcW w:w="819" w:type="dxa"/>
            <w:tcBorders>
              <w:top w:val="single" w:sz="4" w:space="0" w:color="auto"/>
              <w:left w:val="single" w:sz="4" w:space="0" w:color="auto"/>
              <w:bottom w:val="single" w:sz="4" w:space="0" w:color="auto"/>
              <w:right w:val="single" w:sz="4" w:space="0" w:color="auto"/>
            </w:tcBorders>
            <w:shd w:val="clear" w:color="auto" w:fill="33CCFF"/>
            <w:vAlign w:val="center"/>
          </w:tcPr>
          <w:p w14:paraId="2B8B8122" w14:textId="77777777" w:rsidR="00F00829" w:rsidRPr="006E20A2" w:rsidRDefault="00F00829" w:rsidP="00F00829">
            <w:pPr>
              <w:jc w:val="right"/>
              <w:rPr>
                <w:rFonts w:ascii="Arial" w:hAnsi="Arial"/>
                <w:color w:val="000000"/>
                <w:sz w:val="20"/>
                <w:lang w:val="en-US"/>
              </w:rPr>
            </w:pPr>
          </w:p>
        </w:tc>
        <w:tc>
          <w:tcPr>
            <w:tcW w:w="814" w:type="dxa"/>
            <w:tcBorders>
              <w:top w:val="single" w:sz="4" w:space="0" w:color="auto"/>
              <w:left w:val="single" w:sz="4" w:space="0" w:color="auto"/>
              <w:bottom w:val="single" w:sz="4" w:space="0" w:color="auto"/>
              <w:right w:val="single" w:sz="4" w:space="0" w:color="auto"/>
            </w:tcBorders>
            <w:shd w:val="clear" w:color="auto" w:fill="33CCFF"/>
            <w:noWrap/>
            <w:vAlign w:val="center"/>
          </w:tcPr>
          <w:p w14:paraId="21E5ACF3" w14:textId="77777777" w:rsidR="00F00829" w:rsidRPr="006E20A2" w:rsidRDefault="00F00829" w:rsidP="00F00829">
            <w:pPr>
              <w:jc w:val="right"/>
              <w:rPr>
                <w:rFonts w:ascii="Arial" w:hAnsi="Arial"/>
                <w:b/>
                <w:bCs/>
                <w:color w:val="000000"/>
                <w:sz w:val="20"/>
                <w:lang w:val="en-US"/>
              </w:rPr>
            </w:pPr>
            <w:r w:rsidRPr="006E20A2">
              <w:rPr>
                <w:rFonts w:ascii="Arial" w:hAnsi="Arial"/>
                <w:b/>
                <w:bCs/>
                <w:color w:val="000000"/>
                <w:sz w:val="20"/>
                <w:lang w:val="en-US"/>
              </w:rPr>
              <w:t>36.195</w:t>
            </w:r>
          </w:p>
        </w:tc>
        <w:tc>
          <w:tcPr>
            <w:tcW w:w="1415" w:type="dxa"/>
            <w:tcBorders>
              <w:top w:val="single" w:sz="4" w:space="0" w:color="auto"/>
              <w:left w:val="single" w:sz="4" w:space="0" w:color="auto"/>
              <w:bottom w:val="single" w:sz="4" w:space="0" w:color="auto"/>
              <w:right w:val="single" w:sz="4" w:space="0" w:color="auto"/>
            </w:tcBorders>
            <w:shd w:val="clear" w:color="auto" w:fill="33CCFF"/>
            <w:noWrap/>
            <w:vAlign w:val="center"/>
          </w:tcPr>
          <w:p w14:paraId="0328B794" w14:textId="77777777" w:rsidR="00F00829" w:rsidRPr="006E20A2" w:rsidRDefault="00F00829" w:rsidP="00F00829">
            <w:pPr>
              <w:jc w:val="right"/>
              <w:rPr>
                <w:rFonts w:ascii="Arial" w:hAnsi="Arial"/>
                <w:color w:val="000000"/>
                <w:sz w:val="20"/>
                <w:lang w:val="en-US"/>
              </w:rPr>
            </w:pPr>
          </w:p>
        </w:tc>
      </w:tr>
      <w:tr w:rsidR="00F00829" w:rsidRPr="006E20A2" w14:paraId="73C2C7D0" w14:textId="77777777" w:rsidTr="00034CED">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33CCFF"/>
            <w:noWrap/>
            <w:vAlign w:val="center"/>
          </w:tcPr>
          <w:p w14:paraId="37B062E5" w14:textId="16A96DDD" w:rsidR="00F00829" w:rsidRPr="006E20A2" w:rsidRDefault="00216F1E" w:rsidP="00F00829">
            <w:pPr>
              <w:widowControl/>
              <w:jc w:val="left"/>
              <w:rPr>
                <w:rFonts w:ascii="Arial" w:hAnsi="Arial"/>
                <w:b/>
                <w:bCs/>
                <w:color w:val="000000"/>
                <w:sz w:val="20"/>
                <w:lang w:val="en-US" w:eastAsia="sl-SI"/>
              </w:rPr>
            </w:pPr>
            <w:r w:rsidRPr="006E20A2">
              <w:rPr>
                <w:rFonts w:ascii="Arial" w:hAnsi="Arial"/>
                <w:b/>
                <w:bCs/>
                <w:color w:val="000000"/>
                <w:sz w:val="20"/>
                <w:lang w:val="en-US" w:eastAsia="sl-SI"/>
              </w:rPr>
              <w:t>Total amount</w:t>
            </w:r>
          </w:p>
        </w:tc>
        <w:tc>
          <w:tcPr>
            <w:tcW w:w="1615" w:type="dxa"/>
            <w:gridSpan w:val="2"/>
            <w:tcBorders>
              <w:top w:val="single" w:sz="4" w:space="0" w:color="auto"/>
              <w:left w:val="single" w:sz="4" w:space="0" w:color="auto"/>
              <w:bottom w:val="single" w:sz="4" w:space="0" w:color="auto"/>
              <w:right w:val="single" w:sz="4" w:space="0" w:color="auto"/>
            </w:tcBorders>
            <w:shd w:val="clear" w:color="auto" w:fill="33CCFF"/>
            <w:vAlign w:val="center"/>
          </w:tcPr>
          <w:p w14:paraId="04CECC14" w14:textId="77777777" w:rsidR="00F00829" w:rsidRPr="006E20A2" w:rsidRDefault="00F00829" w:rsidP="00F00829">
            <w:pPr>
              <w:jc w:val="right"/>
              <w:rPr>
                <w:rFonts w:ascii="Arial" w:hAnsi="Arial"/>
                <w:b/>
                <w:bCs/>
                <w:color w:val="000000"/>
                <w:sz w:val="20"/>
                <w:lang w:val="en-US"/>
              </w:rPr>
            </w:pPr>
            <w:r w:rsidRPr="006E20A2">
              <w:rPr>
                <w:rFonts w:ascii="Arial" w:hAnsi="Arial"/>
                <w:b/>
                <w:sz w:val="20"/>
                <w:lang w:val="en-US" w:eastAsia="sl-SI"/>
              </w:rPr>
              <w:t>1.528.639.650</w:t>
            </w:r>
          </w:p>
        </w:tc>
        <w:tc>
          <w:tcPr>
            <w:tcW w:w="1615" w:type="dxa"/>
            <w:gridSpan w:val="2"/>
            <w:tcBorders>
              <w:top w:val="single" w:sz="4" w:space="0" w:color="auto"/>
              <w:left w:val="single" w:sz="4" w:space="0" w:color="auto"/>
              <w:bottom w:val="single" w:sz="4" w:space="0" w:color="auto"/>
              <w:right w:val="single" w:sz="4" w:space="0" w:color="auto"/>
            </w:tcBorders>
            <w:shd w:val="clear" w:color="auto" w:fill="33CCFF"/>
            <w:vAlign w:val="center"/>
          </w:tcPr>
          <w:p w14:paraId="0C77C96D" w14:textId="77777777" w:rsidR="00F00829" w:rsidRPr="006E20A2" w:rsidRDefault="00F00829" w:rsidP="00F00829">
            <w:pPr>
              <w:jc w:val="right"/>
              <w:rPr>
                <w:rFonts w:ascii="Arial" w:hAnsi="Arial"/>
                <w:b/>
                <w:bCs/>
                <w:color w:val="000000"/>
                <w:sz w:val="20"/>
                <w:lang w:val="en-US"/>
              </w:rPr>
            </w:pPr>
            <w:r w:rsidRPr="006E20A2">
              <w:rPr>
                <w:rFonts w:ascii="Arial" w:hAnsi="Arial"/>
                <w:b/>
                <w:sz w:val="20"/>
                <w:lang w:val="en-US"/>
              </w:rPr>
              <w:t>1.533.261.465</w:t>
            </w:r>
          </w:p>
        </w:tc>
        <w:tc>
          <w:tcPr>
            <w:tcW w:w="2229" w:type="dxa"/>
            <w:gridSpan w:val="2"/>
            <w:tcBorders>
              <w:top w:val="single" w:sz="4" w:space="0" w:color="auto"/>
              <w:left w:val="single" w:sz="4" w:space="0" w:color="auto"/>
              <w:bottom w:val="single" w:sz="4" w:space="0" w:color="auto"/>
              <w:right w:val="single" w:sz="4" w:space="0" w:color="auto"/>
            </w:tcBorders>
            <w:shd w:val="clear" w:color="auto" w:fill="33CCFF"/>
            <w:vAlign w:val="center"/>
          </w:tcPr>
          <w:p w14:paraId="6A7709E0" w14:textId="77777777" w:rsidR="00F00829" w:rsidRPr="006E20A2" w:rsidRDefault="00F00829" w:rsidP="00F00829">
            <w:pPr>
              <w:jc w:val="right"/>
              <w:rPr>
                <w:rFonts w:ascii="Arial" w:hAnsi="Arial"/>
                <w:b/>
                <w:sz w:val="20"/>
                <w:lang w:val="en-US"/>
              </w:rPr>
            </w:pPr>
            <w:r w:rsidRPr="006E20A2">
              <w:rPr>
                <w:rFonts w:ascii="Arial" w:hAnsi="Arial"/>
                <w:b/>
                <w:sz w:val="20"/>
                <w:lang w:val="en-US"/>
              </w:rPr>
              <w:t>1.280.791.830</w:t>
            </w:r>
          </w:p>
        </w:tc>
      </w:tr>
      <w:tr w:rsidR="00F00829" w:rsidRPr="006E20A2" w14:paraId="57841FA7" w14:textId="77777777" w:rsidTr="00034CED">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33CCFF"/>
            <w:noWrap/>
            <w:vAlign w:val="center"/>
          </w:tcPr>
          <w:p w14:paraId="127876EB" w14:textId="7B951338" w:rsidR="00F00829" w:rsidRPr="006E20A2" w:rsidRDefault="00216F1E" w:rsidP="00F00829">
            <w:pPr>
              <w:widowControl/>
              <w:jc w:val="left"/>
              <w:rPr>
                <w:rFonts w:ascii="Arial" w:hAnsi="Arial"/>
                <w:b/>
                <w:bCs/>
                <w:color w:val="000000"/>
                <w:sz w:val="20"/>
                <w:lang w:val="en-US" w:eastAsia="sl-SI"/>
              </w:rPr>
            </w:pPr>
            <w:r w:rsidRPr="006E20A2">
              <w:rPr>
                <w:rFonts w:ascii="Arial" w:hAnsi="Arial"/>
                <w:b/>
                <w:bCs/>
                <w:color w:val="000000"/>
                <w:sz w:val="20"/>
                <w:lang w:val="en-US" w:eastAsia="sl-SI"/>
              </w:rPr>
              <w:t>Amount/transaction</w:t>
            </w:r>
          </w:p>
        </w:tc>
        <w:tc>
          <w:tcPr>
            <w:tcW w:w="1615" w:type="dxa"/>
            <w:gridSpan w:val="2"/>
            <w:tcBorders>
              <w:top w:val="single" w:sz="4" w:space="0" w:color="auto"/>
              <w:left w:val="single" w:sz="4" w:space="0" w:color="auto"/>
              <w:bottom w:val="single" w:sz="4" w:space="0" w:color="auto"/>
              <w:right w:val="single" w:sz="4" w:space="0" w:color="auto"/>
            </w:tcBorders>
            <w:shd w:val="clear" w:color="auto" w:fill="33CCFF"/>
            <w:vAlign w:val="center"/>
          </w:tcPr>
          <w:p w14:paraId="3276CEB1" w14:textId="77777777" w:rsidR="00F00829" w:rsidRPr="006E20A2" w:rsidRDefault="00F00829" w:rsidP="00F00829">
            <w:pPr>
              <w:widowControl/>
              <w:jc w:val="right"/>
              <w:rPr>
                <w:rFonts w:ascii="Arial" w:hAnsi="Arial"/>
                <w:b/>
                <w:bCs/>
                <w:color w:val="000000"/>
                <w:sz w:val="20"/>
                <w:lang w:val="en-US"/>
              </w:rPr>
            </w:pPr>
            <w:r w:rsidRPr="006E20A2">
              <w:rPr>
                <w:rFonts w:ascii="Arial" w:hAnsi="Arial"/>
                <w:b/>
                <w:color w:val="000000"/>
                <w:sz w:val="20"/>
                <w:lang w:val="en-US"/>
              </w:rPr>
              <w:t>34.323</w:t>
            </w:r>
          </w:p>
        </w:tc>
        <w:tc>
          <w:tcPr>
            <w:tcW w:w="1615" w:type="dxa"/>
            <w:gridSpan w:val="2"/>
            <w:tcBorders>
              <w:top w:val="single" w:sz="4" w:space="0" w:color="auto"/>
              <w:left w:val="single" w:sz="4" w:space="0" w:color="auto"/>
              <w:bottom w:val="single" w:sz="4" w:space="0" w:color="auto"/>
              <w:right w:val="single" w:sz="4" w:space="0" w:color="auto"/>
            </w:tcBorders>
            <w:shd w:val="clear" w:color="auto" w:fill="33CCFF"/>
            <w:vAlign w:val="center"/>
          </w:tcPr>
          <w:p w14:paraId="12E4346B" w14:textId="77777777" w:rsidR="00F00829" w:rsidRPr="006E20A2" w:rsidRDefault="00F00829" w:rsidP="00F00829">
            <w:pPr>
              <w:widowControl/>
              <w:jc w:val="right"/>
              <w:rPr>
                <w:rFonts w:ascii="Arial" w:hAnsi="Arial"/>
                <w:b/>
                <w:bCs/>
                <w:color w:val="000000"/>
                <w:sz w:val="20"/>
                <w:lang w:val="en-US"/>
              </w:rPr>
            </w:pPr>
            <w:r w:rsidRPr="006E20A2">
              <w:rPr>
                <w:rFonts w:ascii="Arial" w:hAnsi="Arial"/>
                <w:b/>
                <w:color w:val="000000"/>
                <w:sz w:val="20"/>
                <w:lang w:val="en-US"/>
              </w:rPr>
              <w:t>35.773</w:t>
            </w:r>
          </w:p>
        </w:tc>
        <w:tc>
          <w:tcPr>
            <w:tcW w:w="2229" w:type="dxa"/>
            <w:gridSpan w:val="2"/>
            <w:tcBorders>
              <w:top w:val="single" w:sz="4" w:space="0" w:color="auto"/>
              <w:left w:val="single" w:sz="4" w:space="0" w:color="auto"/>
              <w:bottom w:val="single" w:sz="4" w:space="0" w:color="auto"/>
              <w:right w:val="single" w:sz="4" w:space="0" w:color="auto"/>
            </w:tcBorders>
            <w:shd w:val="clear" w:color="auto" w:fill="33CCFF"/>
            <w:vAlign w:val="center"/>
          </w:tcPr>
          <w:p w14:paraId="57BBB7B9" w14:textId="77777777" w:rsidR="00F00829" w:rsidRPr="006E20A2" w:rsidRDefault="00F00829" w:rsidP="00F00829">
            <w:pPr>
              <w:widowControl/>
              <w:jc w:val="right"/>
              <w:rPr>
                <w:rFonts w:ascii="Arial" w:hAnsi="Arial"/>
                <w:b/>
                <w:bCs/>
                <w:color w:val="000000"/>
                <w:sz w:val="20"/>
                <w:lang w:val="en-US"/>
              </w:rPr>
            </w:pPr>
            <w:r w:rsidRPr="006E20A2">
              <w:rPr>
                <w:rFonts w:ascii="Arial" w:hAnsi="Arial"/>
                <w:b/>
                <w:color w:val="000000"/>
                <w:sz w:val="20"/>
                <w:lang w:val="en-US"/>
              </w:rPr>
              <w:t>35.386</w:t>
            </w:r>
          </w:p>
        </w:tc>
      </w:tr>
    </w:tbl>
    <w:p w14:paraId="3D074210" w14:textId="357F0F84" w:rsidR="00A23AEB" w:rsidRPr="006E20A2" w:rsidRDefault="00A23AEB" w:rsidP="00A23AEB">
      <w:pPr>
        <w:spacing w:line="276" w:lineRule="auto"/>
        <w:rPr>
          <w:rFonts w:ascii="Arial" w:hAnsi="Arial"/>
          <w:b/>
          <w:bCs/>
          <w:iCs/>
          <w:sz w:val="20"/>
          <w:highlight w:val="yellow"/>
          <w:lang w:val="en-US"/>
        </w:rPr>
      </w:pPr>
    </w:p>
    <w:p w14:paraId="78147A9D" w14:textId="1BA0F284" w:rsidR="00216F1E" w:rsidRPr="006E20A2" w:rsidRDefault="00216F1E" w:rsidP="00791BE2">
      <w:pPr>
        <w:pStyle w:val="Telobesedila"/>
        <w:spacing w:line="276" w:lineRule="auto"/>
        <w:ind w:right="-22"/>
        <w:jc w:val="left"/>
        <w:rPr>
          <w:rFonts w:ascii="Arial" w:hAnsi="Arial"/>
          <w:sz w:val="20"/>
          <w:lang w:val="en-US"/>
        </w:rPr>
      </w:pPr>
      <w:r w:rsidRPr="006E20A2">
        <w:rPr>
          <w:rFonts w:ascii="Arial" w:hAnsi="Arial"/>
          <w:sz w:val="20"/>
          <w:lang w:val="en-US"/>
        </w:rPr>
        <w:t xml:space="preserve">As can be seen from </w:t>
      </w:r>
      <w:r w:rsidR="00791BE2">
        <w:rPr>
          <w:rFonts w:ascii="Arial" w:hAnsi="Arial"/>
          <w:sz w:val="20"/>
          <w:lang w:val="en-US"/>
        </w:rPr>
        <w:t>this</w:t>
      </w:r>
      <w:r w:rsidRPr="006E20A2">
        <w:rPr>
          <w:rFonts w:ascii="Arial" w:hAnsi="Arial"/>
          <w:sz w:val="20"/>
          <w:lang w:val="en-US"/>
        </w:rPr>
        <w:t xml:space="preserve"> comparison, the majority of cash transactions w</w:t>
      </w:r>
      <w:r w:rsidR="00791BE2">
        <w:rPr>
          <w:rFonts w:ascii="Arial" w:hAnsi="Arial"/>
          <w:sz w:val="20"/>
          <w:lang w:val="en-US"/>
        </w:rPr>
        <w:t>as</w:t>
      </w:r>
      <w:r w:rsidRPr="006E20A2">
        <w:rPr>
          <w:rFonts w:ascii="Arial" w:hAnsi="Arial"/>
          <w:sz w:val="20"/>
          <w:lang w:val="en-US"/>
        </w:rPr>
        <w:t xml:space="preserve"> reported to OMLP from the</w:t>
      </w:r>
      <w:r w:rsidR="00791BE2">
        <w:rPr>
          <w:rFonts w:ascii="Arial" w:hAnsi="Arial"/>
          <w:sz w:val="20"/>
          <w:lang w:val="en-US"/>
        </w:rPr>
        <w:t xml:space="preserve"> </w:t>
      </w:r>
      <w:r w:rsidRPr="006E20A2">
        <w:rPr>
          <w:rFonts w:ascii="Arial" w:hAnsi="Arial"/>
          <w:sz w:val="20"/>
          <w:lang w:val="en-US"/>
        </w:rPr>
        <w:t xml:space="preserve">banking </w:t>
      </w:r>
      <w:proofErr w:type="gramStart"/>
      <w:r w:rsidRPr="006E20A2">
        <w:rPr>
          <w:rFonts w:ascii="Arial" w:hAnsi="Arial"/>
          <w:sz w:val="20"/>
          <w:lang w:val="en-US"/>
        </w:rPr>
        <w:t xml:space="preserve">sector, </w:t>
      </w:r>
      <w:r w:rsidR="00791BE2">
        <w:rPr>
          <w:rFonts w:ascii="Arial" w:hAnsi="Arial"/>
          <w:sz w:val="20"/>
          <w:lang w:val="en-US"/>
        </w:rPr>
        <w:t xml:space="preserve"> </w:t>
      </w:r>
      <w:r w:rsidRPr="006E20A2">
        <w:rPr>
          <w:rFonts w:ascii="Arial" w:hAnsi="Arial"/>
          <w:sz w:val="20"/>
          <w:lang w:val="en-US"/>
        </w:rPr>
        <w:t>followed</w:t>
      </w:r>
      <w:proofErr w:type="gramEnd"/>
      <w:r w:rsidRPr="006E20A2">
        <w:rPr>
          <w:rFonts w:ascii="Arial" w:hAnsi="Arial"/>
          <w:sz w:val="20"/>
          <w:lang w:val="en-US"/>
        </w:rPr>
        <w:t xml:space="preserve"> by the sector</w:t>
      </w:r>
      <w:r w:rsidR="00791BE2">
        <w:rPr>
          <w:rFonts w:ascii="Arial" w:hAnsi="Arial"/>
          <w:sz w:val="20"/>
          <w:lang w:val="en-US"/>
        </w:rPr>
        <w:t xml:space="preserve"> </w:t>
      </w:r>
      <w:r w:rsidRPr="006E20A2">
        <w:rPr>
          <w:rFonts w:ascii="Arial" w:hAnsi="Arial"/>
          <w:sz w:val="20"/>
          <w:lang w:val="en-US"/>
        </w:rPr>
        <w:t>of savings</w:t>
      </w:r>
      <w:r w:rsidR="00791BE2">
        <w:rPr>
          <w:rFonts w:ascii="Arial" w:hAnsi="Arial"/>
          <w:sz w:val="20"/>
          <w:lang w:val="en-US"/>
        </w:rPr>
        <w:t xml:space="preserve"> </w:t>
      </w:r>
      <w:r w:rsidRPr="006E20A2">
        <w:rPr>
          <w:rFonts w:ascii="Arial" w:hAnsi="Arial"/>
          <w:sz w:val="20"/>
          <w:lang w:val="en-US"/>
        </w:rPr>
        <w:t xml:space="preserve"> houses and casinos, while other obliged </w:t>
      </w:r>
    </w:p>
    <w:p w14:paraId="43E7BE07" w14:textId="6B72EED3" w:rsidR="00216F1E" w:rsidRPr="006E20A2" w:rsidRDefault="00216F1E" w:rsidP="00791BE2">
      <w:pPr>
        <w:pStyle w:val="Telobesedila"/>
        <w:spacing w:line="276" w:lineRule="auto"/>
        <w:ind w:right="-22"/>
        <w:jc w:val="left"/>
        <w:rPr>
          <w:rFonts w:ascii="Arial" w:hAnsi="Arial"/>
          <w:sz w:val="20"/>
          <w:lang w:val="en-US"/>
        </w:rPr>
      </w:pPr>
      <w:r w:rsidRPr="006E20A2">
        <w:rPr>
          <w:rFonts w:ascii="Arial" w:hAnsi="Arial"/>
          <w:sz w:val="20"/>
          <w:lang w:val="en-US"/>
        </w:rPr>
        <w:t>entities (exchange offices, lawyers etc.) sent less</w:t>
      </w:r>
      <w:r w:rsidR="00791BE2">
        <w:rPr>
          <w:rFonts w:ascii="Arial" w:hAnsi="Arial"/>
          <w:sz w:val="20"/>
          <w:lang w:val="en-US"/>
        </w:rPr>
        <w:t xml:space="preserve"> </w:t>
      </w:r>
      <w:r w:rsidRPr="006E20A2">
        <w:rPr>
          <w:rFonts w:ascii="Arial" w:hAnsi="Arial"/>
          <w:sz w:val="20"/>
          <w:lang w:val="en-US"/>
        </w:rPr>
        <w:t xml:space="preserve">than 20 cash transactions per year. The main finding of this comparison showed that in 2020 the number of cash transactions and total amount of transactions decreased. The average amount per cash transaction did not change significantly.    </w:t>
      </w:r>
    </w:p>
    <w:p w14:paraId="6683111E" w14:textId="77777777" w:rsidR="00216F1E" w:rsidRPr="006E20A2" w:rsidRDefault="00216F1E" w:rsidP="00791BE2">
      <w:pPr>
        <w:spacing w:line="276" w:lineRule="auto"/>
        <w:jc w:val="left"/>
        <w:rPr>
          <w:rFonts w:ascii="Arial" w:hAnsi="Arial"/>
          <w:b/>
          <w:bCs/>
          <w:iCs/>
          <w:sz w:val="20"/>
          <w:highlight w:val="yellow"/>
          <w:lang w:val="en-US"/>
        </w:rPr>
      </w:pPr>
    </w:p>
    <w:p w14:paraId="7B088D46" w14:textId="136F5FFF" w:rsidR="00851C49" w:rsidRPr="006E20A2" w:rsidRDefault="008E4F78">
      <w:pPr>
        <w:pStyle w:val="Naslov2"/>
        <w:rPr>
          <w:lang w:val="en-US"/>
        </w:rPr>
      </w:pPr>
      <w:bookmarkStart w:id="10" w:name="_Toc113535449"/>
      <w:r w:rsidRPr="006E20A2">
        <w:rPr>
          <w:lang w:val="en-US"/>
        </w:rPr>
        <w:t>TRANSFER EXCEEDING</w:t>
      </w:r>
      <w:r w:rsidR="00851C49" w:rsidRPr="006E20A2">
        <w:rPr>
          <w:lang w:val="en-US"/>
        </w:rPr>
        <w:t xml:space="preserve"> </w:t>
      </w:r>
      <w:r w:rsidR="0004315C" w:rsidRPr="006E20A2">
        <w:rPr>
          <w:lang w:val="en-US"/>
        </w:rPr>
        <w:t>15</w:t>
      </w:r>
      <w:r w:rsidR="00851C49" w:rsidRPr="006E20A2">
        <w:rPr>
          <w:lang w:val="en-US"/>
        </w:rPr>
        <w:t>.000 EUR</w:t>
      </w:r>
      <w:r w:rsidR="00DC1B8F" w:rsidRPr="006E20A2">
        <w:rPr>
          <w:lang w:val="en-US"/>
        </w:rPr>
        <w:t>,</w:t>
      </w:r>
      <w:r w:rsidR="00851C49" w:rsidRPr="006E20A2">
        <w:rPr>
          <w:lang w:val="en-US"/>
        </w:rPr>
        <w:t xml:space="preserve"> </w:t>
      </w:r>
      <w:r w:rsidRPr="006E20A2">
        <w:rPr>
          <w:lang w:val="en-US"/>
        </w:rPr>
        <w:t>RALATED TO THE RISK COUNTRIES</w:t>
      </w:r>
      <w:bookmarkEnd w:id="10"/>
    </w:p>
    <w:p w14:paraId="1220ADDE" w14:textId="77777777" w:rsidR="00851C49" w:rsidRPr="006E20A2" w:rsidRDefault="00851C49" w:rsidP="00D21F86">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rFonts w:ascii="Arial" w:hAnsi="Arial"/>
          <w:b/>
          <w:bCs/>
          <w:iCs/>
          <w:sz w:val="20"/>
          <w:lang w:val="en-US"/>
        </w:rPr>
      </w:pPr>
    </w:p>
    <w:p w14:paraId="096C10AC" w14:textId="7D6910BD" w:rsidR="008E4F78" w:rsidRPr="006E20A2" w:rsidRDefault="008E4F78" w:rsidP="00BE3A3A">
      <w:pPr>
        <w:pStyle w:val="Telobesedila"/>
        <w:spacing w:line="276" w:lineRule="auto"/>
        <w:ind w:right="-22"/>
        <w:rPr>
          <w:rFonts w:ascii="Arial" w:hAnsi="Arial"/>
          <w:sz w:val="20"/>
          <w:lang w:val="en-US"/>
        </w:rPr>
      </w:pPr>
      <w:r w:rsidRPr="006E20A2">
        <w:rPr>
          <w:rFonts w:ascii="Arial" w:hAnsi="Arial"/>
          <w:sz w:val="20"/>
          <w:lang w:val="en-US"/>
        </w:rPr>
        <w:t>Since 19 November 2016, obliged entities shall according to Article 68 of the APMLFT-1</w:t>
      </w:r>
      <w:r w:rsidR="00BE3A3A">
        <w:rPr>
          <w:rFonts w:ascii="Arial" w:hAnsi="Arial"/>
          <w:sz w:val="20"/>
          <w:lang w:val="en-US"/>
        </w:rPr>
        <w:t xml:space="preserve"> </w:t>
      </w:r>
      <w:r w:rsidRPr="006E20A2">
        <w:rPr>
          <w:rFonts w:ascii="Arial" w:hAnsi="Arial"/>
          <w:sz w:val="20"/>
          <w:lang w:val="en-US"/>
        </w:rPr>
        <w:t xml:space="preserve">in three days at the latest, report to the OMLP data on every transfer exceeding 15.000 EUR, which was </w:t>
      </w:r>
      <w:proofErr w:type="gramStart"/>
      <w:r w:rsidRPr="006E20A2">
        <w:rPr>
          <w:rFonts w:ascii="Arial" w:hAnsi="Arial"/>
          <w:sz w:val="20"/>
          <w:lang w:val="en-US"/>
        </w:rPr>
        <w:t>on the basis of</w:t>
      </w:r>
      <w:proofErr w:type="gramEnd"/>
      <w:r w:rsidRPr="006E20A2">
        <w:rPr>
          <w:rFonts w:ascii="Arial" w:hAnsi="Arial"/>
          <w:sz w:val="20"/>
          <w:lang w:val="en-US"/>
        </w:rPr>
        <w:t xml:space="preserve"> demand of the client performed:</w:t>
      </w:r>
    </w:p>
    <w:p w14:paraId="11C853DB" w14:textId="77777777" w:rsidR="008E4F78" w:rsidRPr="006E20A2" w:rsidRDefault="008E4F78" w:rsidP="008E4F78">
      <w:pPr>
        <w:pStyle w:val="Telobesedila"/>
        <w:spacing w:line="276" w:lineRule="auto"/>
        <w:ind w:left="851" w:right="-22" w:hanging="851"/>
        <w:jc w:val="left"/>
        <w:rPr>
          <w:rFonts w:ascii="Arial" w:hAnsi="Arial"/>
          <w:sz w:val="20"/>
          <w:lang w:val="en-US"/>
        </w:rPr>
      </w:pPr>
    </w:p>
    <w:p w14:paraId="2E539750" w14:textId="43AAE7FB" w:rsidR="008E4F78" w:rsidRPr="006E20A2" w:rsidRDefault="008E4F78" w:rsidP="00636B18">
      <w:pPr>
        <w:pStyle w:val="Telobesedila"/>
        <w:numPr>
          <w:ilvl w:val="0"/>
          <w:numId w:val="15"/>
        </w:numPr>
        <w:spacing w:line="276" w:lineRule="auto"/>
        <w:ind w:right="-22"/>
        <w:rPr>
          <w:rFonts w:ascii="Arial" w:hAnsi="Arial"/>
          <w:sz w:val="20"/>
          <w:lang w:val="en-US"/>
        </w:rPr>
      </w:pPr>
      <w:r w:rsidRPr="006E20A2">
        <w:rPr>
          <w:rFonts w:ascii="Arial" w:hAnsi="Arial"/>
          <w:sz w:val="20"/>
          <w:lang w:val="en-US"/>
        </w:rPr>
        <w:t xml:space="preserve">to accounts of natural and legal persons with permanent or temporary residence or headquarters in countries with higher or increased risk for money laundering or terrorist financing or </w:t>
      </w:r>
    </w:p>
    <w:p w14:paraId="6F49B73D" w14:textId="57E0B4D3" w:rsidR="008E4F78" w:rsidRPr="006E20A2" w:rsidRDefault="008E4F78" w:rsidP="00636B18">
      <w:pPr>
        <w:pStyle w:val="Telobesedila"/>
        <w:numPr>
          <w:ilvl w:val="0"/>
          <w:numId w:val="15"/>
        </w:numPr>
        <w:spacing w:line="276" w:lineRule="auto"/>
        <w:ind w:right="-22"/>
        <w:rPr>
          <w:rFonts w:ascii="Arial" w:hAnsi="Arial"/>
          <w:sz w:val="20"/>
          <w:lang w:val="en-US"/>
        </w:rPr>
      </w:pPr>
      <w:r w:rsidRPr="006E20A2">
        <w:rPr>
          <w:rFonts w:ascii="Arial" w:hAnsi="Arial"/>
          <w:sz w:val="20"/>
          <w:lang w:val="en-US"/>
        </w:rPr>
        <w:t>to accounts held in countries from the previous indent.</w:t>
      </w:r>
    </w:p>
    <w:p w14:paraId="7A079565" w14:textId="77777777" w:rsidR="008E4F78" w:rsidRPr="006E20A2" w:rsidRDefault="008E4F78" w:rsidP="008E4F78">
      <w:pPr>
        <w:pStyle w:val="Telobesedila"/>
        <w:spacing w:line="276" w:lineRule="auto"/>
        <w:ind w:right="-22"/>
        <w:rPr>
          <w:rFonts w:ascii="Arial" w:hAnsi="Arial"/>
          <w:sz w:val="20"/>
          <w:lang w:val="en-US"/>
        </w:rPr>
      </w:pPr>
    </w:p>
    <w:p w14:paraId="0FFB35CF" w14:textId="42B4123B" w:rsidR="008E4F78" w:rsidRPr="006E20A2" w:rsidRDefault="008E4F78" w:rsidP="008E4F78">
      <w:pPr>
        <w:pStyle w:val="Telobesedila"/>
        <w:spacing w:line="276" w:lineRule="auto"/>
        <w:ind w:right="-22"/>
        <w:rPr>
          <w:rFonts w:ascii="Arial" w:hAnsi="Arial"/>
          <w:sz w:val="20"/>
          <w:lang w:val="en-US"/>
        </w:rPr>
      </w:pPr>
      <w:r w:rsidRPr="006E20A2">
        <w:rPr>
          <w:rFonts w:ascii="Arial" w:hAnsi="Arial"/>
          <w:sz w:val="20"/>
          <w:lang w:val="en-US"/>
        </w:rPr>
        <w:t xml:space="preserve">Further on in this document these transactions are referred to as transfers related </w:t>
      </w:r>
      <w:r w:rsidR="00BE3A3A">
        <w:rPr>
          <w:rFonts w:ascii="Arial" w:hAnsi="Arial"/>
          <w:sz w:val="20"/>
          <w:lang w:val="en-US"/>
        </w:rPr>
        <w:t>to</w:t>
      </w:r>
      <w:r w:rsidR="00BE3A3A" w:rsidRPr="006E20A2">
        <w:rPr>
          <w:rFonts w:ascii="Arial" w:hAnsi="Arial"/>
          <w:sz w:val="20"/>
          <w:lang w:val="en-US"/>
        </w:rPr>
        <w:t xml:space="preserve"> </w:t>
      </w:r>
      <w:r w:rsidRPr="006E20A2">
        <w:rPr>
          <w:rFonts w:ascii="Arial" w:hAnsi="Arial"/>
          <w:sz w:val="20"/>
          <w:lang w:val="en-US"/>
        </w:rPr>
        <w:t>risk countries. The list of countries with higher or increased risk for money laundering or terrorist financing (hereinafter: list of higher risk countries) changed three times in 2020 and included altogether between 73 an</w:t>
      </w:r>
      <w:r w:rsidR="006E20A2">
        <w:rPr>
          <w:rFonts w:ascii="Arial" w:hAnsi="Arial"/>
          <w:sz w:val="20"/>
          <w:lang w:val="en-US"/>
        </w:rPr>
        <w:t>d</w:t>
      </w:r>
      <w:r w:rsidRPr="006E20A2">
        <w:rPr>
          <w:rFonts w:ascii="Arial" w:hAnsi="Arial"/>
          <w:sz w:val="20"/>
          <w:lang w:val="en-US"/>
        </w:rPr>
        <w:t xml:space="preserve"> 77 countries. The list of risk countries is publicly available at the website of the OMLP.</w:t>
      </w:r>
    </w:p>
    <w:p w14:paraId="065D0E24" w14:textId="77777777" w:rsidR="008E4F78" w:rsidRPr="006E20A2" w:rsidRDefault="008E4F78" w:rsidP="008E4F78">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rFonts w:ascii="Arial" w:hAnsi="Arial"/>
          <w:sz w:val="20"/>
          <w:lang w:val="en-US"/>
        </w:rPr>
      </w:pPr>
    </w:p>
    <w:p w14:paraId="1B1191E0" w14:textId="112C26BF" w:rsidR="00791BE2" w:rsidRDefault="008E4F78" w:rsidP="00BE3A3A">
      <w:pPr>
        <w:pStyle w:val="Telobesedila"/>
        <w:spacing w:line="276" w:lineRule="auto"/>
        <w:ind w:right="-22"/>
        <w:rPr>
          <w:rFonts w:ascii="Arial" w:hAnsi="Arial"/>
          <w:sz w:val="20"/>
          <w:lang w:val="en-US"/>
        </w:rPr>
      </w:pPr>
      <w:r w:rsidRPr="006E20A2">
        <w:rPr>
          <w:rFonts w:ascii="Arial" w:hAnsi="Arial"/>
          <w:sz w:val="20"/>
          <w:lang w:val="en-US"/>
        </w:rPr>
        <w:t xml:space="preserve">In the period from 1 January 2020 until 31 December 2020, obliged entities reported to the OMLP </w:t>
      </w:r>
      <w:proofErr w:type="gramStart"/>
      <w:r w:rsidRPr="006E20A2">
        <w:rPr>
          <w:rFonts w:ascii="Arial" w:hAnsi="Arial"/>
          <w:sz w:val="20"/>
          <w:lang w:val="en-US"/>
        </w:rPr>
        <w:t>data</w:t>
      </w:r>
      <w:proofErr w:type="gramEnd"/>
    </w:p>
    <w:p w14:paraId="1221B87D" w14:textId="65D72189" w:rsidR="00791BE2" w:rsidRDefault="008E4F78" w:rsidP="00BE3A3A">
      <w:pPr>
        <w:pStyle w:val="Telobesedila"/>
        <w:spacing w:line="276" w:lineRule="auto"/>
        <w:ind w:right="-22"/>
        <w:rPr>
          <w:rFonts w:ascii="Arial" w:hAnsi="Arial"/>
          <w:b/>
          <w:bCs/>
          <w:sz w:val="20"/>
          <w:lang w:val="en-US"/>
        </w:rPr>
      </w:pPr>
      <w:r w:rsidRPr="006E20A2">
        <w:rPr>
          <w:rFonts w:ascii="Arial" w:hAnsi="Arial"/>
          <w:sz w:val="20"/>
          <w:lang w:val="en-US"/>
        </w:rPr>
        <w:t xml:space="preserve">on altogether </w:t>
      </w:r>
      <w:r w:rsidRPr="006E20A2">
        <w:rPr>
          <w:rFonts w:ascii="Arial" w:hAnsi="Arial"/>
          <w:b/>
          <w:sz w:val="20"/>
          <w:lang w:val="en-US" w:eastAsia="sl-SI"/>
        </w:rPr>
        <w:t>5.847</w:t>
      </w:r>
      <w:r w:rsidRPr="006E20A2">
        <w:rPr>
          <w:rFonts w:ascii="Arial" w:hAnsi="Arial"/>
          <w:sz w:val="20"/>
          <w:lang w:val="en-US" w:eastAsia="sl-SI"/>
        </w:rPr>
        <w:t xml:space="preserve"> </w:t>
      </w:r>
      <w:r w:rsidRPr="006E20A2">
        <w:rPr>
          <w:rFonts w:ascii="Arial" w:hAnsi="Arial"/>
          <w:b/>
          <w:sz w:val="20"/>
          <w:lang w:val="en-US"/>
        </w:rPr>
        <w:t xml:space="preserve">transactions in the total value of 1.493.403.395 EUR, </w:t>
      </w:r>
      <w:r w:rsidRPr="006E20A2">
        <w:rPr>
          <w:rFonts w:ascii="Arial" w:hAnsi="Arial"/>
          <w:b/>
          <w:bCs/>
          <w:sz w:val="20"/>
          <w:lang w:val="en-US" w:eastAsia="sl-SI"/>
        </w:rPr>
        <w:t>608.137.910 EUR, 83.449.338 USD, 1.077.506 BAM in 173.921 CHF</w:t>
      </w:r>
      <w:r w:rsidRPr="006E20A2">
        <w:rPr>
          <w:rFonts w:ascii="Arial" w:hAnsi="Arial"/>
          <w:b/>
          <w:bCs/>
          <w:sz w:val="20"/>
          <w:lang w:val="en-US"/>
        </w:rPr>
        <w:t xml:space="preserve"> (altogether </w:t>
      </w:r>
      <w:r w:rsidRPr="006E20A2">
        <w:rPr>
          <w:rFonts w:ascii="Arial" w:hAnsi="Arial"/>
          <w:b/>
          <w:color w:val="000000"/>
          <w:sz w:val="20"/>
          <w:lang w:val="en-US" w:eastAsia="sl-SI"/>
        </w:rPr>
        <w:t xml:space="preserve">676.304.817 </w:t>
      </w:r>
      <w:r w:rsidR="006E20A2" w:rsidRPr="006E20A2">
        <w:rPr>
          <w:rFonts w:ascii="Arial" w:hAnsi="Arial"/>
          <w:b/>
          <w:color w:val="000000"/>
          <w:sz w:val="20"/>
          <w:lang w:val="en-US" w:eastAsia="sl-SI"/>
        </w:rPr>
        <w:t>EUR</w:t>
      </w:r>
      <w:r w:rsidR="006E20A2" w:rsidRPr="006E20A2">
        <w:rPr>
          <w:rFonts w:ascii="Arial" w:hAnsi="Arial"/>
          <w:b/>
          <w:bCs/>
          <w:sz w:val="20"/>
          <w:lang w:val="en-US"/>
        </w:rPr>
        <w:t xml:space="preserve"> according</w:t>
      </w:r>
      <w:r w:rsidRPr="006E20A2">
        <w:rPr>
          <w:rFonts w:ascii="Arial" w:hAnsi="Arial"/>
          <w:b/>
          <w:bCs/>
          <w:sz w:val="20"/>
          <w:lang w:val="en-US"/>
        </w:rPr>
        <w:t xml:space="preserve"> to the </w:t>
      </w:r>
    </w:p>
    <w:p w14:paraId="45E32468" w14:textId="1ABAFA51" w:rsidR="008E4F78" w:rsidRPr="006E20A2" w:rsidRDefault="008E4F78" w:rsidP="00BE3A3A">
      <w:pPr>
        <w:pStyle w:val="Telobesedila"/>
        <w:spacing w:line="276" w:lineRule="auto"/>
        <w:ind w:right="-22"/>
        <w:rPr>
          <w:rFonts w:ascii="Arial" w:hAnsi="Arial"/>
          <w:sz w:val="20"/>
          <w:lang w:val="en-US"/>
        </w:rPr>
      </w:pPr>
      <w:r w:rsidRPr="006E20A2">
        <w:rPr>
          <w:rFonts w:ascii="Arial" w:hAnsi="Arial"/>
          <w:b/>
          <w:bCs/>
          <w:sz w:val="20"/>
          <w:lang w:val="en-US"/>
        </w:rPr>
        <w:t xml:space="preserve">exchange rate of 31. 12. 2020). </w:t>
      </w:r>
    </w:p>
    <w:p w14:paraId="35F88B1D" w14:textId="77777777" w:rsidR="008E4F78" w:rsidRPr="006E20A2" w:rsidRDefault="008E4F78" w:rsidP="00791BE2">
      <w:pPr>
        <w:pStyle w:val="Telobesedila"/>
        <w:spacing w:line="276" w:lineRule="auto"/>
        <w:ind w:left="851" w:right="-22" w:hanging="851"/>
        <w:rPr>
          <w:lang w:val="en-US"/>
        </w:rPr>
      </w:pPr>
    </w:p>
    <w:p w14:paraId="436BBD9D" w14:textId="77777777" w:rsidR="008E4F78" w:rsidRPr="006E20A2" w:rsidRDefault="008E4F78" w:rsidP="00C90F3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rFonts w:ascii="Arial" w:hAnsi="Arial"/>
          <w:sz w:val="20"/>
          <w:lang w:val="en-US"/>
        </w:rPr>
      </w:pPr>
    </w:p>
    <w:p w14:paraId="15151029" w14:textId="77777777" w:rsidR="00C90F3B" w:rsidRPr="006E20A2" w:rsidRDefault="00C90F3B" w:rsidP="00C90F3B">
      <w:pPr>
        <w:widowControl/>
        <w:rPr>
          <w:rFonts w:ascii="Calibri" w:hAnsi="Calibri" w:cs="Calibri"/>
          <w:b/>
          <w:bCs/>
          <w:sz w:val="22"/>
          <w:szCs w:val="22"/>
          <w:lang w:val="en-US" w:eastAsia="sl-SI"/>
        </w:rPr>
      </w:pPr>
    </w:p>
    <w:p w14:paraId="38E2A5C5" w14:textId="73EED152" w:rsidR="00851C49" w:rsidRPr="006E20A2" w:rsidRDefault="00B82E9B">
      <w:pPr>
        <w:pStyle w:val="Naslov2"/>
        <w:rPr>
          <w:lang w:val="en-US"/>
        </w:rPr>
      </w:pPr>
      <w:bookmarkStart w:id="11" w:name="_Toc227744115"/>
      <w:bookmarkStart w:id="12" w:name="_Toc263770899"/>
      <w:bookmarkStart w:id="13" w:name="_Toc113535452"/>
      <w:r w:rsidRPr="006E20A2">
        <w:rPr>
          <w:lang w:val="en-US"/>
        </w:rPr>
        <w:t xml:space="preserve">TRANSFERS OF CASH AMOUNTING OR EXCEEDING </w:t>
      </w:r>
      <w:r w:rsidR="00851C49" w:rsidRPr="006E20A2">
        <w:rPr>
          <w:lang w:val="en-US"/>
        </w:rPr>
        <w:t xml:space="preserve">10.000 </w:t>
      </w:r>
      <w:bookmarkEnd w:id="11"/>
      <w:bookmarkEnd w:id="12"/>
      <w:bookmarkEnd w:id="13"/>
      <w:r w:rsidRPr="006E20A2">
        <w:rPr>
          <w:lang w:val="en-US"/>
        </w:rPr>
        <w:t>VIA EU BORDERS</w:t>
      </w:r>
    </w:p>
    <w:p w14:paraId="69FE4923" w14:textId="77777777" w:rsidR="00F87817" w:rsidRPr="006E20A2" w:rsidRDefault="00F87817" w:rsidP="00D21F86">
      <w:pPr>
        <w:pStyle w:val="Telobesedila"/>
        <w:spacing w:line="276" w:lineRule="auto"/>
        <w:ind w:right="0"/>
        <w:rPr>
          <w:rFonts w:ascii="Arial" w:hAnsi="Arial"/>
          <w:sz w:val="20"/>
          <w:lang w:val="en-US"/>
        </w:rPr>
      </w:pPr>
    </w:p>
    <w:p w14:paraId="630EC83F" w14:textId="66E3982D" w:rsidR="00003DDD" w:rsidRPr="006E20A2" w:rsidRDefault="00003DDD" w:rsidP="00003DDD">
      <w:pPr>
        <w:spacing w:line="276" w:lineRule="auto"/>
        <w:rPr>
          <w:rFonts w:ascii="Arial" w:hAnsi="Arial"/>
          <w:sz w:val="20"/>
          <w:lang w:val="en-US"/>
        </w:rPr>
      </w:pPr>
      <w:r w:rsidRPr="006E20A2">
        <w:rPr>
          <w:rFonts w:ascii="Arial" w:hAnsi="Arial"/>
          <w:sz w:val="20"/>
          <w:lang w:val="en-US"/>
        </w:rPr>
        <w:t>As stipulated by Article 120 of APMLFT-1, the customs authorities are obliged to report to OMLP (within three days at latest), data on any declared import or export of cash amounting to or exceeding 10.000 EUR when entering or leaving EU</w:t>
      </w:r>
      <w:r w:rsidRPr="006E20A2">
        <w:rPr>
          <w:rFonts w:ascii="Arial" w:hAnsi="Arial"/>
          <w:bCs/>
          <w:sz w:val="20"/>
          <w:lang w:val="en-US"/>
        </w:rPr>
        <w:t>.</w:t>
      </w:r>
      <w:r w:rsidRPr="006E20A2">
        <w:rPr>
          <w:rFonts w:ascii="Arial" w:hAnsi="Arial"/>
          <w:b/>
          <w:sz w:val="20"/>
          <w:lang w:val="en-US"/>
        </w:rPr>
        <w:t xml:space="preserve"> In 2020, there were altogether 51 reported transfers of cash at the Slovenian part of the EU border, which is 55% less than last year when the </w:t>
      </w:r>
      <w:r w:rsidR="006E20A2" w:rsidRPr="006E20A2">
        <w:rPr>
          <w:rFonts w:ascii="Arial" w:hAnsi="Arial"/>
          <w:b/>
          <w:sz w:val="20"/>
          <w:lang w:val="en-US"/>
        </w:rPr>
        <w:t>customs</w:t>
      </w:r>
      <w:r w:rsidRPr="006E20A2">
        <w:rPr>
          <w:rFonts w:ascii="Arial" w:hAnsi="Arial"/>
          <w:b/>
          <w:sz w:val="20"/>
          <w:lang w:val="en-US"/>
        </w:rPr>
        <w:t xml:space="preserve"> authorities registered 113 transfers. </w:t>
      </w:r>
      <w:r w:rsidRPr="006E20A2">
        <w:rPr>
          <w:rFonts w:ascii="Arial" w:hAnsi="Arial"/>
          <w:sz w:val="20"/>
          <w:lang w:val="en-US"/>
        </w:rPr>
        <w:t>In 2020, there were no non-reported transfers of cash via EU borders.</w:t>
      </w:r>
    </w:p>
    <w:p w14:paraId="4546985E" w14:textId="77777777" w:rsidR="00E70569" w:rsidRPr="006E20A2" w:rsidRDefault="00E70569" w:rsidP="00E70569">
      <w:pPr>
        <w:spacing w:line="276" w:lineRule="auto"/>
        <w:rPr>
          <w:rFonts w:ascii="Arial" w:hAnsi="Arial"/>
          <w:sz w:val="20"/>
          <w:lang w:val="en-US"/>
        </w:rPr>
      </w:pPr>
    </w:p>
    <w:p w14:paraId="7E0B3183" w14:textId="6731631C" w:rsidR="00B82E9B" w:rsidRPr="006E20A2" w:rsidRDefault="00B82E9B" w:rsidP="00B82E9B">
      <w:pPr>
        <w:spacing w:line="276" w:lineRule="auto"/>
        <w:rPr>
          <w:rFonts w:ascii="Arial" w:hAnsi="Arial"/>
          <w:b/>
          <w:sz w:val="20"/>
          <w:lang w:val="en-US"/>
        </w:rPr>
      </w:pPr>
      <w:r w:rsidRPr="006E20A2">
        <w:rPr>
          <w:rFonts w:ascii="Arial" w:hAnsi="Arial"/>
          <w:sz w:val="20"/>
          <w:lang w:val="en-US"/>
        </w:rPr>
        <w:t xml:space="preserve">Among 513 reported transfers, there were </w:t>
      </w:r>
      <w:r w:rsidRPr="006E20A2">
        <w:rPr>
          <w:rFonts w:ascii="Arial" w:hAnsi="Arial"/>
          <w:b/>
          <w:bCs/>
          <w:sz w:val="20"/>
          <w:lang w:val="en-US"/>
        </w:rPr>
        <w:t>17</w:t>
      </w:r>
      <w:r w:rsidRPr="006E20A2">
        <w:rPr>
          <w:rFonts w:ascii="Arial" w:hAnsi="Arial"/>
          <w:b/>
          <w:sz w:val="20"/>
          <w:lang w:val="en-US"/>
        </w:rPr>
        <w:t xml:space="preserve"> transfers </w:t>
      </w:r>
      <w:r w:rsidRPr="006E20A2">
        <w:rPr>
          <w:rFonts w:ascii="Arial" w:hAnsi="Arial"/>
          <w:b/>
          <w:sz w:val="20"/>
          <w:u w:val="single"/>
          <w:lang w:val="en-US"/>
        </w:rPr>
        <w:t>to</w:t>
      </w:r>
      <w:r w:rsidRPr="006E20A2">
        <w:rPr>
          <w:rFonts w:ascii="Arial" w:hAnsi="Arial"/>
          <w:b/>
          <w:sz w:val="20"/>
          <w:lang w:val="en-US"/>
        </w:rPr>
        <w:t xml:space="preserve"> EU in total amount of </w:t>
      </w:r>
      <w:r w:rsidRPr="006E20A2">
        <w:rPr>
          <w:rFonts w:ascii="Arial" w:hAnsi="Arial"/>
          <w:sz w:val="20"/>
          <w:lang w:val="en-US"/>
        </w:rPr>
        <w:t xml:space="preserve">1.036.580 EUR </w:t>
      </w:r>
      <w:r w:rsidR="00D730F9">
        <w:rPr>
          <w:rFonts w:ascii="Arial" w:hAnsi="Arial"/>
          <w:sz w:val="20"/>
          <w:lang w:val="en-US"/>
        </w:rPr>
        <w:t>and</w:t>
      </w:r>
      <w:r w:rsidRPr="006E20A2">
        <w:rPr>
          <w:rFonts w:ascii="Arial" w:hAnsi="Arial"/>
          <w:sz w:val="20"/>
          <w:lang w:val="en-US"/>
        </w:rPr>
        <w:t xml:space="preserve"> </w:t>
      </w:r>
      <w:r w:rsidRPr="006E20A2">
        <w:rPr>
          <w:rFonts w:ascii="Arial" w:hAnsi="Arial"/>
          <w:sz w:val="20"/>
          <w:lang w:val="en-US"/>
        </w:rPr>
        <w:lastRenderedPageBreak/>
        <w:t>500 USD</w:t>
      </w:r>
      <w:r w:rsidRPr="006E20A2">
        <w:rPr>
          <w:rFonts w:ascii="Arial" w:hAnsi="Arial"/>
          <w:b/>
          <w:sz w:val="20"/>
          <w:lang w:val="en-US"/>
        </w:rPr>
        <w:t xml:space="preserve">, and 34 transfers </w:t>
      </w:r>
      <w:r w:rsidRPr="006E20A2">
        <w:rPr>
          <w:rFonts w:ascii="Arial" w:hAnsi="Arial"/>
          <w:b/>
          <w:sz w:val="20"/>
          <w:u w:val="single"/>
          <w:lang w:val="en-US"/>
        </w:rPr>
        <w:t>from</w:t>
      </w:r>
      <w:r w:rsidRPr="006E20A2">
        <w:rPr>
          <w:rFonts w:ascii="Arial" w:hAnsi="Arial"/>
          <w:b/>
          <w:sz w:val="20"/>
          <w:lang w:val="en-US"/>
        </w:rPr>
        <w:t xml:space="preserve"> EU in total amount of </w:t>
      </w:r>
      <w:r w:rsidRPr="006E20A2">
        <w:rPr>
          <w:rFonts w:ascii="Arial" w:hAnsi="Arial"/>
          <w:sz w:val="20"/>
          <w:lang w:val="en-US"/>
        </w:rPr>
        <w:t>191.812 EUR, 552.300 USD and 26.400 CHF.</w:t>
      </w:r>
      <w:r w:rsidRPr="006E20A2">
        <w:rPr>
          <w:rFonts w:ascii="Arial" w:hAnsi="Arial"/>
          <w:b/>
          <w:sz w:val="20"/>
          <w:lang w:val="en-US"/>
        </w:rPr>
        <w:t xml:space="preserve">  55% of all transfers </w:t>
      </w:r>
      <w:r w:rsidRPr="006E20A2">
        <w:rPr>
          <w:rFonts w:ascii="Arial" w:hAnsi="Arial"/>
          <w:b/>
          <w:sz w:val="20"/>
          <w:u w:val="single"/>
          <w:lang w:val="en-US"/>
        </w:rPr>
        <w:t>to</w:t>
      </w:r>
      <w:r w:rsidRPr="006E20A2">
        <w:rPr>
          <w:rFonts w:ascii="Arial" w:hAnsi="Arial"/>
          <w:b/>
          <w:sz w:val="20"/>
          <w:lang w:val="en-US"/>
        </w:rPr>
        <w:t xml:space="preserve"> EU referred to the personal use, while 82 % of all transfers </w:t>
      </w:r>
      <w:r w:rsidRPr="006E20A2">
        <w:rPr>
          <w:rFonts w:ascii="Arial" w:hAnsi="Arial"/>
          <w:b/>
          <w:sz w:val="20"/>
          <w:u w:val="single"/>
          <w:lang w:val="en-US"/>
        </w:rPr>
        <w:t>from</w:t>
      </w:r>
      <w:r w:rsidRPr="006E20A2">
        <w:rPr>
          <w:rFonts w:ascii="Arial" w:hAnsi="Arial"/>
          <w:b/>
          <w:sz w:val="20"/>
          <w:lang w:val="en-US"/>
        </w:rPr>
        <w:t xml:space="preserve"> EU referred to cash for the needs of ships. </w:t>
      </w:r>
    </w:p>
    <w:p w14:paraId="77097A3F" w14:textId="77777777" w:rsidR="00CC2CB9" w:rsidRPr="006E20A2" w:rsidRDefault="00CC2CB9" w:rsidP="00D21F86">
      <w:pPr>
        <w:spacing w:line="276" w:lineRule="auto"/>
        <w:rPr>
          <w:rFonts w:ascii="Arial" w:hAnsi="Arial"/>
          <w:sz w:val="20"/>
          <w:lang w:val="en-US"/>
        </w:rPr>
      </w:pPr>
    </w:p>
    <w:p w14:paraId="41A3AF9C" w14:textId="0031579D" w:rsidR="00851C49" w:rsidRPr="006E20A2" w:rsidRDefault="00003DDD" w:rsidP="00636B18">
      <w:pPr>
        <w:pStyle w:val="Naslov1"/>
        <w:numPr>
          <w:ilvl w:val="0"/>
          <w:numId w:val="4"/>
        </w:numPr>
        <w:spacing w:line="276" w:lineRule="auto"/>
        <w:rPr>
          <w:rFonts w:ascii="Arial" w:hAnsi="Arial"/>
          <w:sz w:val="20"/>
          <w:lang w:val="en-US"/>
        </w:rPr>
      </w:pPr>
      <w:bookmarkStart w:id="14" w:name="_Toc113535453"/>
      <w:bookmarkEnd w:id="5"/>
      <w:r w:rsidRPr="006E20A2">
        <w:rPr>
          <w:rFonts w:ascii="Arial" w:hAnsi="Arial"/>
          <w:sz w:val="20"/>
          <w:lang w:val="en-US"/>
        </w:rPr>
        <w:t>ACTIVITIES OF THE OMLP IN THE FIELD OF SUSPICIOUS TRANSACTIONS</w:t>
      </w:r>
      <w:bookmarkEnd w:id="14"/>
    </w:p>
    <w:p w14:paraId="3F94BCBA" w14:textId="77777777" w:rsidR="00851C49" w:rsidRPr="006E20A2" w:rsidRDefault="00851C49">
      <w:pPr>
        <w:pStyle w:val="Oznaenseznam2"/>
        <w:rPr>
          <w:lang w:val="en-US"/>
        </w:rPr>
      </w:pPr>
      <w:bookmarkStart w:id="15" w:name="_Toc107306486"/>
      <w:bookmarkStart w:id="16" w:name="_Toc200524138"/>
    </w:p>
    <w:p w14:paraId="537F8419" w14:textId="555D3C69" w:rsidR="00003DDD" w:rsidRPr="006E20A2" w:rsidRDefault="00003DDD" w:rsidP="00003DDD">
      <w:pPr>
        <w:pStyle w:val="Telobesedila"/>
        <w:spacing w:line="276" w:lineRule="auto"/>
        <w:ind w:right="-22"/>
        <w:rPr>
          <w:rFonts w:ascii="Arial" w:hAnsi="Arial"/>
          <w:sz w:val="20"/>
          <w:lang w:val="en-US"/>
        </w:rPr>
      </w:pPr>
      <w:r w:rsidRPr="006E20A2">
        <w:rPr>
          <w:rFonts w:ascii="Arial" w:hAnsi="Arial"/>
          <w:sz w:val="20"/>
          <w:lang w:val="en-US"/>
        </w:rPr>
        <w:t xml:space="preserve">The OMLP receives from obliged entities according to Article 4 of the APMLTF-1, data on suspicious transactions regardless of its amount and data on involved persons, </w:t>
      </w:r>
      <w:r w:rsidR="00BE3A3A">
        <w:rPr>
          <w:rFonts w:ascii="Arial" w:hAnsi="Arial"/>
          <w:sz w:val="20"/>
          <w:lang w:val="en-US"/>
        </w:rPr>
        <w:t>with grounds</w:t>
      </w:r>
      <w:r w:rsidRPr="006E20A2">
        <w:rPr>
          <w:rFonts w:ascii="Arial" w:hAnsi="Arial"/>
          <w:sz w:val="20"/>
          <w:lang w:val="en-US"/>
        </w:rPr>
        <w:t xml:space="preserve"> for suspicion of money laundering and terrorist financing activity. </w:t>
      </w:r>
    </w:p>
    <w:p w14:paraId="5DFB9131" w14:textId="17A9E3CE" w:rsidR="00003DDD" w:rsidRPr="006E20A2" w:rsidRDefault="00003DDD" w:rsidP="00003DDD">
      <w:pPr>
        <w:pStyle w:val="Telobesedila"/>
        <w:spacing w:line="276" w:lineRule="auto"/>
        <w:ind w:right="-22"/>
        <w:rPr>
          <w:rFonts w:ascii="Arial" w:hAnsi="Arial"/>
          <w:sz w:val="20"/>
          <w:lang w:val="en-US"/>
        </w:rPr>
      </w:pPr>
      <w:proofErr w:type="gramStart"/>
      <w:r w:rsidRPr="006E20A2">
        <w:rPr>
          <w:rFonts w:ascii="Arial" w:hAnsi="Arial"/>
          <w:sz w:val="20"/>
          <w:lang w:val="en-US"/>
        </w:rPr>
        <w:t>With regard to</w:t>
      </w:r>
      <w:proofErr w:type="gramEnd"/>
      <w:r w:rsidRPr="006E20A2">
        <w:rPr>
          <w:rFonts w:ascii="Arial" w:hAnsi="Arial"/>
          <w:sz w:val="20"/>
          <w:lang w:val="en-US"/>
        </w:rPr>
        <w:t xml:space="preserve"> the Regulation on restrictive measures against Democratic Public Republic of Korea (Official Gazette of the Republic of Slovenia No. 18/2017), the OMLP is also competent for receiving suspicious transactions referring to proliferation. In 2020, the OMLP received no such reports.</w:t>
      </w:r>
    </w:p>
    <w:p w14:paraId="59EC2620" w14:textId="6B9508A3" w:rsidR="00003DDD" w:rsidRPr="006E20A2" w:rsidRDefault="00003DDD" w:rsidP="00003DDD">
      <w:pPr>
        <w:spacing w:line="276" w:lineRule="auto"/>
        <w:rPr>
          <w:rFonts w:ascii="Arial" w:hAnsi="Arial"/>
          <w:sz w:val="20"/>
          <w:lang w:val="en-US"/>
        </w:rPr>
      </w:pPr>
    </w:p>
    <w:p w14:paraId="2EA0F836" w14:textId="77777777" w:rsidR="00003DDD" w:rsidRPr="006E20A2" w:rsidRDefault="00003DDD" w:rsidP="00003DDD">
      <w:pPr>
        <w:pStyle w:val="Telobesedila"/>
        <w:spacing w:line="276" w:lineRule="auto"/>
        <w:ind w:right="-22"/>
        <w:rPr>
          <w:rFonts w:ascii="Arial" w:hAnsi="Arial"/>
          <w:sz w:val="20"/>
          <w:lang w:val="en-US"/>
        </w:rPr>
      </w:pPr>
      <w:proofErr w:type="gramStart"/>
      <w:r w:rsidRPr="006E20A2">
        <w:rPr>
          <w:rFonts w:ascii="Arial" w:hAnsi="Arial"/>
          <w:sz w:val="20"/>
          <w:lang w:val="en-US"/>
        </w:rPr>
        <w:t>On the basis of</w:t>
      </w:r>
      <w:proofErr w:type="gramEnd"/>
      <w:r w:rsidRPr="006E20A2">
        <w:rPr>
          <w:rFonts w:ascii="Arial" w:hAnsi="Arial"/>
          <w:sz w:val="20"/>
          <w:lang w:val="en-US"/>
        </w:rPr>
        <w:t xml:space="preserve"> Article 99 of the APMLTF-1, the OMLP can also start its analysis in certain cases on the basis of the initiatives of state and supervisory authorities and on the basis of the reported facts of supervisory authorities, stipulated by Article 139 of APMLFT-1. </w:t>
      </w:r>
      <w:proofErr w:type="gramStart"/>
      <w:r w:rsidRPr="006E20A2">
        <w:rPr>
          <w:rFonts w:ascii="Arial" w:hAnsi="Arial"/>
          <w:sz w:val="20"/>
          <w:lang w:val="en-US"/>
        </w:rPr>
        <w:t>On the basis of</w:t>
      </w:r>
      <w:proofErr w:type="gramEnd"/>
      <w:r w:rsidRPr="006E20A2">
        <w:rPr>
          <w:rFonts w:ascii="Arial" w:hAnsi="Arial"/>
          <w:sz w:val="20"/>
          <w:lang w:val="en-US"/>
        </w:rPr>
        <w:t xml:space="preserve"> Article 105 of APMLFT-1, the OMLP also receives certain data from its foreign counterparts and checks the following databases: on cash transactions; transfers of cash via EU borders; transfers related to higher risk countries, which is also the basis to start gathering data on suspicious transactions, assets and persons.</w:t>
      </w:r>
    </w:p>
    <w:p w14:paraId="4F7934E6" w14:textId="77777777" w:rsidR="00003DDD" w:rsidRPr="006E20A2" w:rsidRDefault="00003DDD" w:rsidP="00003DDD">
      <w:pPr>
        <w:spacing w:line="276" w:lineRule="auto"/>
        <w:rPr>
          <w:rFonts w:ascii="Arial" w:hAnsi="Arial"/>
          <w:sz w:val="20"/>
          <w:lang w:val="en-US"/>
        </w:rPr>
      </w:pPr>
    </w:p>
    <w:p w14:paraId="2A397A85" w14:textId="0AACA97F" w:rsidR="00003DDD" w:rsidRPr="006E20A2" w:rsidRDefault="00003DDD" w:rsidP="00003DDD">
      <w:pPr>
        <w:pStyle w:val="Telobesedila"/>
        <w:spacing w:line="276" w:lineRule="auto"/>
        <w:ind w:right="-22"/>
        <w:rPr>
          <w:rFonts w:ascii="Arial" w:hAnsi="Arial"/>
          <w:sz w:val="20"/>
          <w:lang w:val="en-US"/>
        </w:rPr>
      </w:pPr>
      <w:r w:rsidRPr="006E20A2">
        <w:rPr>
          <w:rFonts w:ascii="Arial" w:hAnsi="Arial"/>
          <w:sz w:val="20"/>
          <w:lang w:val="en-US"/>
        </w:rPr>
        <w:t xml:space="preserve">Paragraph 2 of Article 87 of the APMLFT-1 stipulates that </w:t>
      </w:r>
      <w:r w:rsidR="00BE3A3A">
        <w:rPr>
          <w:rFonts w:ascii="Arial" w:hAnsi="Arial"/>
          <w:sz w:val="20"/>
          <w:lang w:val="en-US"/>
        </w:rPr>
        <w:t xml:space="preserve">the </w:t>
      </w:r>
      <w:r w:rsidRPr="006E20A2">
        <w:rPr>
          <w:rFonts w:ascii="Arial" w:hAnsi="Arial"/>
          <w:sz w:val="20"/>
          <w:lang w:val="en-US"/>
        </w:rPr>
        <w:t>OMLP receives, collects, analyses and forwards data, information and documentation obtained on the basis of the APMLFT-1, and authorizes the OMLP in its Articles 101 and 102 to inform competent authorities if it considers that in connection with a transaction or person there are grounds to suspect money laundering, terrorist financing or other criminal offences with the prescribed imprisonment.</w:t>
      </w:r>
    </w:p>
    <w:p w14:paraId="799F9144" w14:textId="77777777" w:rsidR="00851C49" w:rsidRPr="006E20A2" w:rsidRDefault="00851C49" w:rsidP="003D5A19">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rPr>
          <w:rFonts w:ascii="Arial" w:hAnsi="Arial"/>
          <w:sz w:val="20"/>
          <w:lang w:val="en-US"/>
        </w:rPr>
      </w:pPr>
      <w:bookmarkStart w:id="17" w:name="_Toc200524142"/>
      <w:bookmarkEnd w:id="15"/>
      <w:bookmarkEnd w:id="16"/>
    </w:p>
    <w:p w14:paraId="7994C94C" w14:textId="207607C3" w:rsidR="00851C49" w:rsidRPr="006E20A2" w:rsidRDefault="008113EF">
      <w:pPr>
        <w:pStyle w:val="Naslov2"/>
        <w:rPr>
          <w:lang w:val="en-US"/>
        </w:rPr>
      </w:pPr>
      <w:bookmarkStart w:id="18" w:name="_Toc113535454"/>
      <w:r w:rsidRPr="006E20A2">
        <w:rPr>
          <w:lang w:val="en-US"/>
        </w:rPr>
        <w:t xml:space="preserve">CASES WITH </w:t>
      </w:r>
      <w:r w:rsidR="00BE3A3A">
        <w:rPr>
          <w:lang w:val="en-US"/>
        </w:rPr>
        <w:t>GROUNDS FOR</w:t>
      </w:r>
      <w:r w:rsidRPr="006E20A2">
        <w:rPr>
          <w:lang w:val="en-US"/>
        </w:rPr>
        <w:t xml:space="preserve"> SUSPICION OF MONEY LAUNDERING AND TERRORIST FINANCING</w:t>
      </w:r>
      <w:bookmarkEnd w:id="18"/>
    </w:p>
    <w:p w14:paraId="55FF502C" w14:textId="0B42C842" w:rsidR="00851C49" w:rsidRPr="006E20A2" w:rsidRDefault="00851C49" w:rsidP="00D21F86">
      <w:pPr>
        <w:pStyle w:val="Telobesedila"/>
        <w:spacing w:line="276" w:lineRule="auto"/>
        <w:ind w:right="-22"/>
        <w:rPr>
          <w:rFonts w:ascii="Arial" w:hAnsi="Arial"/>
          <w:sz w:val="20"/>
          <w:lang w:val="en-US"/>
        </w:rPr>
      </w:pPr>
    </w:p>
    <w:p w14:paraId="2A88EEB1" w14:textId="698B42A5" w:rsidR="008113EF" w:rsidRPr="006E20A2" w:rsidRDefault="008113EF" w:rsidP="008113EF">
      <w:pPr>
        <w:pStyle w:val="Telobesedila"/>
        <w:spacing w:line="276" w:lineRule="auto"/>
        <w:ind w:right="-22"/>
        <w:rPr>
          <w:rFonts w:ascii="Arial" w:hAnsi="Arial"/>
          <w:b/>
          <w:sz w:val="20"/>
          <w:lang w:val="en-US"/>
        </w:rPr>
      </w:pPr>
      <w:r w:rsidRPr="006E20A2">
        <w:rPr>
          <w:rFonts w:ascii="Arial" w:hAnsi="Arial"/>
          <w:sz w:val="20"/>
          <w:lang w:val="en-US"/>
        </w:rPr>
        <w:t xml:space="preserve">According to the provisions of the APMLFT-1, the OMLP </w:t>
      </w:r>
      <w:r w:rsidRPr="006E20A2">
        <w:rPr>
          <w:rFonts w:ascii="Arial" w:hAnsi="Arial"/>
          <w:b/>
          <w:sz w:val="20"/>
          <w:lang w:val="en-US"/>
        </w:rPr>
        <w:t>received 1078 reports on suspicious transactions or suspicious activities in 2020, referring to the reasons for suspicions of money laundering; 53 reports, which referred to the reasons for suspicion of terrorist financing, and the OMLP also received 6 reports, where the State Prosecutor’s Office (with the previous approval of OMLP) ordered financial investigations according to the Confiscations of Proceeds of Crime Act.</w:t>
      </w:r>
    </w:p>
    <w:p w14:paraId="6239CBA6" w14:textId="77777777" w:rsidR="008113EF" w:rsidRPr="006E20A2" w:rsidRDefault="008113EF" w:rsidP="008113EF">
      <w:pPr>
        <w:pStyle w:val="Telobesedila"/>
        <w:spacing w:line="276" w:lineRule="auto"/>
        <w:ind w:right="-22"/>
        <w:rPr>
          <w:rFonts w:ascii="Arial" w:hAnsi="Arial"/>
          <w:b/>
          <w:sz w:val="20"/>
          <w:lang w:val="en-US"/>
        </w:rPr>
      </w:pPr>
    </w:p>
    <w:p w14:paraId="0DCD3700" w14:textId="52A43F48" w:rsidR="008113EF" w:rsidRPr="006E20A2" w:rsidRDefault="008113EF" w:rsidP="008113EF">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pacing w:line="276" w:lineRule="auto"/>
        <w:ind w:left="31" w:right="-22"/>
        <w:rPr>
          <w:rFonts w:ascii="Arial" w:hAnsi="Arial"/>
          <w:bCs/>
          <w:iCs/>
          <w:sz w:val="20"/>
          <w:lang w:val="en-US"/>
        </w:rPr>
      </w:pPr>
      <w:proofErr w:type="gramStart"/>
      <w:r w:rsidRPr="006E20A2">
        <w:rPr>
          <w:rFonts w:ascii="Arial" w:hAnsi="Arial"/>
          <w:sz w:val="20"/>
          <w:lang w:val="en-US"/>
        </w:rPr>
        <w:t>On the basis of</w:t>
      </w:r>
      <w:proofErr w:type="gramEnd"/>
      <w:r w:rsidRPr="006E20A2">
        <w:rPr>
          <w:rFonts w:ascii="Arial" w:hAnsi="Arial"/>
          <w:sz w:val="20"/>
          <w:lang w:val="en-US"/>
        </w:rPr>
        <w:t xml:space="preserve"> all those reports, the OMLP opened 1137 cases and performed activities on the basis of the APMLFT-1. </w:t>
      </w:r>
      <w:r w:rsidRPr="006E20A2">
        <w:rPr>
          <w:rFonts w:ascii="Arial" w:hAnsi="Arial"/>
          <w:bCs/>
          <w:iCs/>
          <w:sz w:val="20"/>
          <w:lang w:val="en-US"/>
        </w:rPr>
        <w:t>Those reports have been (together with the comparative data for the period 2016-2020) sorted according to the:</w:t>
      </w:r>
    </w:p>
    <w:p w14:paraId="5E4686DB" w14:textId="14C3B3F3" w:rsidR="008113EF" w:rsidRPr="006E20A2" w:rsidRDefault="008113EF" w:rsidP="008113EF">
      <w:pPr>
        <w:pStyle w:val="Telobesedila"/>
        <w:spacing w:line="276" w:lineRule="auto"/>
        <w:ind w:right="-22"/>
        <w:rPr>
          <w:rFonts w:ascii="Arial" w:hAnsi="Arial"/>
          <w:sz w:val="20"/>
          <w:lang w:val="en-US"/>
        </w:rPr>
      </w:pPr>
    </w:p>
    <w:p w14:paraId="47AFFB45" w14:textId="77777777" w:rsidR="008113EF" w:rsidRPr="006E20A2" w:rsidRDefault="008113EF" w:rsidP="00636B18">
      <w:pPr>
        <w:numPr>
          <w:ilvl w:val="0"/>
          <w:numId w:val="16"/>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line="276" w:lineRule="auto"/>
        <w:ind w:right="-22"/>
        <w:rPr>
          <w:rFonts w:ascii="Arial" w:hAnsi="Arial"/>
          <w:bCs/>
          <w:iCs/>
          <w:sz w:val="20"/>
          <w:lang w:val="en-US"/>
        </w:rPr>
      </w:pPr>
      <w:r w:rsidRPr="006E20A2">
        <w:rPr>
          <w:rFonts w:ascii="Arial" w:hAnsi="Arial"/>
          <w:bCs/>
          <w:iCs/>
          <w:sz w:val="20"/>
          <w:lang w:val="en-US"/>
        </w:rPr>
        <w:t>reporting entities,</w:t>
      </w:r>
    </w:p>
    <w:p w14:paraId="45475291" w14:textId="77777777" w:rsidR="008113EF" w:rsidRPr="006E20A2" w:rsidRDefault="008113EF" w:rsidP="00636B18">
      <w:pPr>
        <w:numPr>
          <w:ilvl w:val="0"/>
          <w:numId w:val="16"/>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line="276" w:lineRule="auto"/>
        <w:ind w:right="-22"/>
        <w:rPr>
          <w:rFonts w:ascii="Arial" w:hAnsi="Arial"/>
          <w:bCs/>
          <w:iCs/>
          <w:sz w:val="20"/>
          <w:lang w:val="en-US"/>
        </w:rPr>
      </w:pPr>
      <w:r w:rsidRPr="006E20A2">
        <w:rPr>
          <w:rFonts w:ascii="Arial" w:hAnsi="Arial"/>
          <w:bCs/>
          <w:iCs/>
          <w:sz w:val="20"/>
          <w:lang w:val="en-US"/>
        </w:rPr>
        <w:t>number and dynamics of opened and concluded cases,</w:t>
      </w:r>
    </w:p>
    <w:p w14:paraId="5C376FF9" w14:textId="6B148F37" w:rsidR="008113EF" w:rsidRPr="006E20A2" w:rsidRDefault="008113EF" w:rsidP="00636B18">
      <w:pPr>
        <w:numPr>
          <w:ilvl w:val="0"/>
          <w:numId w:val="16"/>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line="276" w:lineRule="auto"/>
        <w:ind w:right="-22"/>
        <w:rPr>
          <w:rFonts w:ascii="Arial" w:hAnsi="Arial"/>
          <w:bCs/>
          <w:iCs/>
          <w:sz w:val="20"/>
          <w:lang w:val="en-US"/>
        </w:rPr>
      </w:pPr>
      <w:r w:rsidRPr="006E20A2">
        <w:rPr>
          <w:rFonts w:ascii="Arial" w:hAnsi="Arial"/>
          <w:bCs/>
          <w:iCs/>
          <w:sz w:val="20"/>
          <w:lang w:val="en-US"/>
        </w:rPr>
        <w:t xml:space="preserve">cases, forwarded to the Criminal Police Directorate of the Ministry of Interior due to </w:t>
      </w:r>
      <w:r w:rsidR="00BE3A3A">
        <w:rPr>
          <w:rFonts w:ascii="Arial" w:hAnsi="Arial"/>
          <w:bCs/>
          <w:iCs/>
          <w:sz w:val="20"/>
          <w:lang w:val="en-US"/>
        </w:rPr>
        <w:t>grounds</w:t>
      </w:r>
      <w:r w:rsidR="00BE3A3A" w:rsidRPr="006E20A2">
        <w:rPr>
          <w:rFonts w:ascii="Arial" w:hAnsi="Arial"/>
          <w:bCs/>
          <w:iCs/>
          <w:sz w:val="20"/>
          <w:lang w:val="en-US"/>
        </w:rPr>
        <w:t xml:space="preserve"> </w:t>
      </w:r>
      <w:r w:rsidRPr="006E20A2">
        <w:rPr>
          <w:rFonts w:ascii="Arial" w:hAnsi="Arial"/>
          <w:bCs/>
          <w:iCs/>
          <w:sz w:val="20"/>
          <w:lang w:val="en-US"/>
        </w:rPr>
        <w:t>for suspicion of money laundering,</w:t>
      </w:r>
    </w:p>
    <w:p w14:paraId="55CF817E" w14:textId="0EC726D9" w:rsidR="008113EF" w:rsidRPr="006E20A2" w:rsidRDefault="008113EF" w:rsidP="00636B18">
      <w:pPr>
        <w:numPr>
          <w:ilvl w:val="0"/>
          <w:numId w:val="16"/>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line="276" w:lineRule="auto"/>
        <w:ind w:right="-22"/>
        <w:rPr>
          <w:rFonts w:ascii="Arial" w:hAnsi="Arial"/>
          <w:bCs/>
          <w:iCs/>
          <w:sz w:val="20"/>
          <w:lang w:val="en-US"/>
        </w:rPr>
      </w:pPr>
      <w:r w:rsidRPr="006E20A2">
        <w:rPr>
          <w:rFonts w:ascii="Arial" w:hAnsi="Arial"/>
          <w:bCs/>
          <w:iCs/>
          <w:sz w:val="20"/>
          <w:lang w:val="en-US"/>
        </w:rPr>
        <w:t xml:space="preserve">cases, forwarded to the Criminal Police Directorate of the Ministry of Interior due to </w:t>
      </w:r>
      <w:r w:rsidR="00BE3A3A">
        <w:rPr>
          <w:rFonts w:ascii="Arial" w:hAnsi="Arial"/>
          <w:bCs/>
          <w:iCs/>
          <w:sz w:val="20"/>
          <w:lang w:val="en-US"/>
        </w:rPr>
        <w:t>grounds</w:t>
      </w:r>
      <w:r w:rsidR="00BE3A3A" w:rsidRPr="006E20A2">
        <w:rPr>
          <w:rFonts w:ascii="Arial" w:hAnsi="Arial"/>
          <w:bCs/>
          <w:iCs/>
          <w:sz w:val="20"/>
          <w:lang w:val="en-US"/>
        </w:rPr>
        <w:t xml:space="preserve"> </w:t>
      </w:r>
      <w:r w:rsidRPr="006E20A2">
        <w:rPr>
          <w:rFonts w:ascii="Arial" w:hAnsi="Arial"/>
          <w:bCs/>
          <w:iCs/>
          <w:sz w:val="20"/>
          <w:lang w:val="en-US"/>
        </w:rPr>
        <w:t>for suspicion of financing of terrorism,</w:t>
      </w:r>
    </w:p>
    <w:p w14:paraId="14A7970B" w14:textId="0929FBAC" w:rsidR="008113EF" w:rsidRPr="006E20A2" w:rsidRDefault="008113EF" w:rsidP="00636B18">
      <w:pPr>
        <w:numPr>
          <w:ilvl w:val="0"/>
          <w:numId w:val="16"/>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line="276" w:lineRule="auto"/>
        <w:ind w:right="-22"/>
        <w:rPr>
          <w:rFonts w:ascii="Arial" w:hAnsi="Arial"/>
          <w:bCs/>
          <w:iCs/>
          <w:sz w:val="20"/>
          <w:lang w:val="en-US"/>
        </w:rPr>
      </w:pPr>
      <w:r w:rsidRPr="006E20A2">
        <w:rPr>
          <w:rFonts w:ascii="Arial" w:hAnsi="Arial"/>
          <w:bCs/>
          <w:iCs/>
          <w:sz w:val="20"/>
          <w:lang w:val="en-US"/>
        </w:rPr>
        <w:t xml:space="preserve">cases, forwarded to the Criminal Police Directorate of the Ministry of Interior and other competent authorities due to </w:t>
      </w:r>
      <w:r w:rsidR="00BE3A3A">
        <w:rPr>
          <w:rFonts w:ascii="Arial" w:hAnsi="Arial"/>
          <w:bCs/>
          <w:iCs/>
          <w:sz w:val="20"/>
          <w:lang w:val="en-US"/>
        </w:rPr>
        <w:t>grounds</w:t>
      </w:r>
      <w:r w:rsidR="00BE3A3A" w:rsidRPr="006E20A2">
        <w:rPr>
          <w:rFonts w:ascii="Arial" w:hAnsi="Arial"/>
          <w:bCs/>
          <w:iCs/>
          <w:sz w:val="20"/>
          <w:lang w:val="en-US"/>
        </w:rPr>
        <w:t xml:space="preserve"> </w:t>
      </w:r>
      <w:r w:rsidRPr="006E20A2">
        <w:rPr>
          <w:rFonts w:ascii="Arial" w:hAnsi="Arial"/>
          <w:bCs/>
          <w:iCs/>
          <w:sz w:val="20"/>
          <w:lang w:val="en-US"/>
        </w:rPr>
        <w:t>for suspicion of committing other criminal offences,</w:t>
      </w:r>
    </w:p>
    <w:p w14:paraId="7C5A336B" w14:textId="77777777" w:rsidR="008113EF" w:rsidRPr="006E20A2" w:rsidRDefault="008113EF" w:rsidP="00636B18">
      <w:pPr>
        <w:numPr>
          <w:ilvl w:val="0"/>
          <w:numId w:val="16"/>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line="276" w:lineRule="auto"/>
        <w:ind w:right="-22"/>
        <w:rPr>
          <w:rFonts w:ascii="Arial" w:hAnsi="Arial"/>
          <w:bCs/>
          <w:iCs/>
          <w:sz w:val="20"/>
          <w:lang w:val="en-US"/>
        </w:rPr>
      </w:pPr>
      <w:r w:rsidRPr="006E20A2">
        <w:rPr>
          <w:rFonts w:ascii="Arial" w:hAnsi="Arial"/>
          <w:bCs/>
          <w:iCs/>
          <w:sz w:val="20"/>
          <w:lang w:val="en-US"/>
        </w:rPr>
        <w:t>temporary postponement of transactions,</w:t>
      </w:r>
    </w:p>
    <w:p w14:paraId="2B739971" w14:textId="77777777" w:rsidR="008113EF" w:rsidRPr="006E20A2" w:rsidRDefault="008113EF" w:rsidP="00636B18">
      <w:pPr>
        <w:numPr>
          <w:ilvl w:val="0"/>
          <w:numId w:val="16"/>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line="276" w:lineRule="auto"/>
        <w:ind w:right="-22"/>
        <w:rPr>
          <w:rFonts w:ascii="Arial" w:hAnsi="Arial"/>
          <w:bCs/>
          <w:iCs/>
          <w:sz w:val="20"/>
          <w:lang w:val="en-US"/>
        </w:rPr>
      </w:pPr>
      <w:r w:rsidRPr="006E20A2">
        <w:rPr>
          <w:rFonts w:ascii="Arial" w:hAnsi="Arial"/>
          <w:bCs/>
          <w:iCs/>
          <w:sz w:val="20"/>
          <w:lang w:val="en-US"/>
        </w:rPr>
        <w:t>the value of temporarily seized dirty money and assets,</w:t>
      </w:r>
    </w:p>
    <w:p w14:paraId="0CD24A69" w14:textId="77777777" w:rsidR="008113EF" w:rsidRPr="006E20A2" w:rsidRDefault="008113EF" w:rsidP="00636B18">
      <w:pPr>
        <w:numPr>
          <w:ilvl w:val="0"/>
          <w:numId w:val="16"/>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snapToGrid w:val="0"/>
        <w:spacing w:line="276" w:lineRule="auto"/>
        <w:ind w:right="-22"/>
        <w:rPr>
          <w:rFonts w:ascii="Arial" w:hAnsi="Arial"/>
          <w:bCs/>
          <w:iCs/>
          <w:sz w:val="20"/>
          <w:lang w:val="en-US"/>
        </w:rPr>
      </w:pPr>
      <w:r w:rsidRPr="006E20A2">
        <w:rPr>
          <w:rFonts w:ascii="Arial" w:hAnsi="Arial"/>
          <w:bCs/>
          <w:iCs/>
          <w:sz w:val="20"/>
          <w:lang w:val="en-US"/>
        </w:rPr>
        <w:t>typology of suspicious transactions.</w:t>
      </w:r>
    </w:p>
    <w:p w14:paraId="6083A26F" w14:textId="77777777" w:rsidR="00362873" w:rsidRPr="006E20A2" w:rsidRDefault="00362873" w:rsidP="00D21F86">
      <w:pPr>
        <w:pStyle w:val="Seznam2"/>
        <w:spacing w:line="276" w:lineRule="auto"/>
        <w:ind w:left="0" w:right="-22" w:firstLine="0"/>
        <w:rPr>
          <w:rFonts w:ascii="Arial" w:hAnsi="Arial"/>
          <w:b/>
          <w:i/>
          <w:sz w:val="20"/>
          <w:lang w:val="en-US"/>
        </w:rPr>
      </w:pPr>
    </w:p>
    <w:p w14:paraId="34FB6D18" w14:textId="6BB59659" w:rsidR="00851C49" w:rsidRPr="006E20A2" w:rsidRDefault="00292A8B" w:rsidP="00BA5BC9">
      <w:pPr>
        <w:pStyle w:val="Naslov3"/>
        <w:rPr>
          <w:lang w:val="en-US"/>
        </w:rPr>
      </w:pPr>
      <w:bookmarkStart w:id="19" w:name="_Toc107306487"/>
      <w:bookmarkStart w:id="20" w:name="_Toc200524139"/>
      <w:bookmarkStart w:id="21" w:name="_Toc262605335"/>
      <w:bookmarkStart w:id="22" w:name="_Toc113535455"/>
      <w:r w:rsidRPr="006E20A2">
        <w:rPr>
          <w:lang w:val="en-US"/>
        </w:rPr>
        <w:t xml:space="preserve">3.1.1 </w:t>
      </w:r>
      <w:bookmarkEnd w:id="19"/>
      <w:bookmarkEnd w:id="20"/>
      <w:bookmarkEnd w:id="21"/>
      <w:bookmarkEnd w:id="22"/>
      <w:r w:rsidR="00BE3A3A" w:rsidRPr="006E20A2">
        <w:rPr>
          <w:lang w:val="en-US"/>
        </w:rPr>
        <w:t>Repor</w:t>
      </w:r>
      <w:r w:rsidR="00BE3A3A">
        <w:rPr>
          <w:lang w:val="en-US"/>
        </w:rPr>
        <w:t>ting Entities</w:t>
      </w:r>
    </w:p>
    <w:p w14:paraId="2C94F35C" w14:textId="77777777" w:rsidR="00851C49" w:rsidRPr="006E20A2" w:rsidRDefault="00851C49" w:rsidP="00D21F86">
      <w:pPr>
        <w:spacing w:line="276" w:lineRule="auto"/>
        <w:ind w:right="-22"/>
        <w:rPr>
          <w:rFonts w:ascii="Arial" w:hAnsi="Arial"/>
          <w:sz w:val="20"/>
          <w:lang w:val="en-US"/>
        </w:rPr>
      </w:pPr>
    </w:p>
    <w:p w14:paraId="62B021D1" w14:textId="77777777" w:rsidR="00791BE2" w:rsidRDefault="008113EF" w:rsidP="002E3CDC">
      <w:pPr>
        <w:pStyle w:val="Telobesedila"/>
        <w:spacing w:line="276" w:lineRule="auto"/>
        <w:ind w:right="-22"/>
        <w:rPr>
          <w:rFonts w:ascii="Arial" w:hAnsi="Arial"/>
          <w:sz w:val="20"/>
          <w:lang w:val="en-US"/>
        </w:rPr>
      </w:pPr>
      <w:r w:rsidRPr="006E20A2">
        <w:rPr>
          <w:rFonts w:ascii="Arial" w:hAnsi="Arial"/>
          <w:sz w:val="20"/>
          <w:lang w:val="en-US"/>
        </w:rPr>
        <w:t xml:space="preserve">Detailed data on reporting entities of suspicious transactions and persons, </w:t>
      </w:r>
      <w:proofErr w:type="gramStart"/>
      <w:r w:rsidRPr="006E20A2">
        <w:rPr>
          <w:rFonts w:ascii="Arial" w:hAnsi="Arial"/>
          <w:sz w:val="20"/>
          <w:lang w:val="en-US"/>
        </w:rPr>
        <w:t>on the basis of</w:t>
      </w:r>
      <w:proofErr w:type="gramEnd"/>
      <w:r w:rsidRPr="006E20A2">
        <w:rPr>
          <w:rFonts w:ascii="Arial" w:hAnsi="Arial"/>
          <w:sz w:val="20"/>
          <w:lang w:val="en-US"/>
        </w:rPr>
        <w:t xml:space="preserve"> which the OMLP opened and investigated particular cases in 2020, can be seen from Table 2 (together with the </w:t>
      </w:r>
      <w:r w:rsidRPr="006E20A2">
        <w:rPr>
          <w:rFonts w:ascii="Arial" w:hAnsi="Arial"/>
          <w:sz w:val="20"/>
          <w:lang w:val="en-US"/>
        </w:rPr>
        <w:lastRenderedPageBreak/>
        <w:t xml:space="preserve">comparative data from 2016 onwards). </w:t>
      </w:r>
      <w:r w:rsidR="00225AEA" w:rsidRPr="006E20A2">
        <w:rPr>
          <w:rFonts w:ascii="Arial" w:hAnsi="Arial"/>
          <w:sz w:val="20"/>
          <w:lang w:val="en-US"/>
        </w:rPr>
        <w:t>From 2018 onwards</w:t>
      </w:r>
      <w:r w:rsidRPr="006E20A2">
        <w:rPr>
          <w:rFonts w:ascii="Arial" w:hAnsi="Arial"/>
          <w:sz w:val="20"/>
          <w:lang w:val="en-US"/>
        </w:rPr>
        <w:t xml:space="preserve">, we separately show data on reports referring to money laundering and terrorist financing. The table contains only reporting entities, explicitly determined by the APMLFT-1, on which basis the OMLP could start investigations of cases and use its authorizations.  </w:t>
      </w:r>
    </w:p>
    <w:p w14:paraId="2CB1B3B4" w14:textId="77777777" w:rsidR="00791BE2" w:rsidRDefault="00791BE2" w:rsidP="002E3CDC">
      <w:pPr>
        <w:pStyle w:val="Telobesedila"/>
        <w:spacing w:line="276" w:lineRule="auto"/>
        <w:ind w:right="-22"/>
        <w:rPr>
          <w:rFonts w:ascii="Arial" w:hAnsi="Arial"/>
          <w:sz w:val="20"/>
          <w:lang w:val="en-US"/>
        </w:rPr>
      </w:pPr>
    </w:p>
    <w:p w14:paraId="6E3EC8C3" w14:textId="3055C7CC" w:rsidR="00EE1AC4" w:rsidRPr="006E20A2" w:rsidRDefault="00AC530B" w:rsidP="002E3CDC">
      <w:pPr>
        <w:pStyle w:val="Telobesedila"/>
        <w:spacing w:line="276" w:lineRule="auto"/>
        <w:ind w:right="-22"/>
        <w:rPr>
          <w:rFonts w:ascii="Arial" w:hAnsi="Arial"/>
          <w:b/>
          <w:i/>
          <w:sz w:val="20"/>
          <w:lang w:val="en-US"/>
        </w:rPr>
      </w:pPr>
      <w:r w:rsidRPr="006E20A2">
        <w:rPr>
          <w:rFonts w:ascii="Arial" w:hAnsi="Arial"/>
          <w:b/>
          <w:i/>
          <w:sz w:val="20"/>
          <w:lang w:val="en-US"/>
        </w:rPr>
        <w:t>Table</w:t>
      </w:r>
      <w:r w:rsidR="00851C49" w:rsidRPr="006E20A2">
        <w:rPr>
          <w:rFonts w:ascii="Arial" w:hAnsi="Arial"/>
          <w:b/>
          <w:i/>
          <w:sz w:val="20"/>
          <w:lang w:val="en-US"/>
        </w:rPr>
        <w:t xml:space="preserve"> </w:t>
      </w:r>
      <w:r w:rsidR="00E718F9" w:rsidRPr="006E20A2">
        <w:rPr>
          <w:rFonts w:ascii="Arial" w:hAnsi="Arial"/>
          <w:b/>
          <w:i/>
          <w:sz w:val="20"/>
          <w:lang w:val="en-US"/>
        </w:rPr>
        <w:t>2</w:t>
      </w:r>
      <w:r w:rsidR="00851C49" w:rsidRPr="006E20A2">
        <w:rPr>
          <w:rFonts w:ascii="Arial" w:hAnsi="Arial"/>
          <w:b/>
          <w:i/>
          <w:sz w:val="20"/>
          <w:lang w:val="en-US"/>
        </w:rPr>
        <w:t xml:space="preserve">: </w:t>
      </w:r>
      <w:r w:rsidRPr="006E20A2">
        <w:rPr>
          <w:rFonts w:ascii="Arial" w:hAnsi="Arial"/>
          <w:b/>
          <w:i/>
          <w:sz w:val="20"/>
          <w:lang w:val="en-US"/>
        </w:rPr>
        <w:t xml:space="preserve">Number and share of cases by </w:t>
      </w:r>
      <w:r w:rsidR="00BE3A3A">
        <w:rPr>
          <w:rFonts w:ascii="Arial" w:hAnsi="Arial"/>
          <w:b/>
          <w:i/>
          <w:sz w:val="20"/>
          <w:lang w:val="en-US"/>
        </w:rPr>
        <w:t>reporting entities</w:t>
      </w:r>
      <w:r w:rsidR="00BE3A3A" w:rsidRPr="006E20A2">
        <w:rPr>
          <w:rFonts w:ascii="Arial" w:hAnsi="Arial"/>
          <w:b/>
          <w:i/>
          <w:sz w:val="20"/>
          <w:lang w:val="en-US"/>
        </w:rPr>
        <w:t xml:space="preserve"> </w:t>
      </w:r>
      <w:r w:rsidRPr="006E20A2">
        <w:rPr>
          <w:rFonts w:ascii="Arial" w:hAnsi="Arial"/>
          <w:b/>
          <w:i/>
          <w:sz w:val="20"/>
          <w:lang w:val="en-US"/>
        </w:rPr>
        <w:t xml:space="preserve">in the </w:t>
      </w:r>
      <w:r w:rsidR="006E20A2" w:rsidRPr="006E20A2">
        <w:rPr>
          <w:rFonts w:ascii="Arial" w:hAnsi="Arial"/>
          <w:b/>
          <w:i/>
          <w:sz w:val="20"/>
          <w:lang w:val="en-US"/>
        </w:rPr>
        <w:t>period 2016</w:t>
      </w:r>
      <w:r w:rsidR="002E3CDC" w:rsidRPr="006E20A2">
        <w:rPr>
          <w:rFonts w:ascii="Arial" w:hAnsi="Arial"/>
          <w:b/>
          <w:i/>
          <w:sz w:val="20"/>
          <w:lang w:val="en-US"/>
        </w:rPr>
        <w:t>–</w:t>
      </w:r>
      <w:proofErr w:type="gramStart"/>
      <w:r w:rsidR="002E3CDC" w:rsidRPr="006E20A2">
        <w:rPr>
          <w:rFonts w:ascii="Arial" w:hAnsi="Arial"/>
          <w:b/>
          <w:i/>
          <w:sz w:val="20"/>
          <w:lang w:val="en-US"/>
        </w:rPr>
        <w:t>2020</w:t>
      </w:r>
      <w:proofErr w:type="gramEnd"/>
    </w:p>
    <w:tbl>
      <w:tblPr>
        <w:tblpPr w:leftFromText="141" w:rightFromText="141" w:vertAnchor="text" w:horzAnchor="margin" w:tblpXSpec="center" w:tblpY="57"/>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7"/>
        <w:gridCol w:w="782"/>
        <w:gridCol w:w="728"/>
        <w:gridCol w:w="728"/>
        <w:gridCol w:w="728"/>
        <w:gridCol w:w="882"/>
        <w:gridCol w:w="882"/>
        <w:gridCol w:w="870"/>
        <w:gridCol w:w="728"/>
      </w:tblGrid>
      <w:tr w:rsidR="00EE1AC4" w:rsidRPr="006E20A2" w14:paraId="50945589" w14:textId="77777777" w:rsidTr="00AC530B">
        <w:trPr>
          <w:trHeight w:val="559"/>
        </w:trPr>
        <w:tc>
          <w:tcPr>
            <w:tcW w:w="3757" w:type="dxa"/>
            <w:shd w:val="clear" w:color="auto" w:fill="99FF33"/>
            <w:noWrap/>
            <w:vAlign w:val="bottom"/>
            <w:hideMark/>
          </w:tcPr>
          <w:p w14:paraId="021227CC" w14:textId="795C7878" w:rsidR="00EE1AC4" w:rsidRPr="006E20A2" w:rsidRDefault="00AC530B" w:rsidP="00EE1AC4">
            <w:pPr>
              <w:widowControl/>
              <w:jc w:val="left"/>
              <w:rPr>
                <w:rFonts w:ascii="Arial" w:hAnsi="Arial"/>
                <w:b/>
                <w:bCs/>
                <w:sz w:val="18"/>
                <w:szCs w:val="18"/>
                <w:lang w:val="en-US" w:eastAsia="sl-SI"/>
              </w:rPr>
            </w:pPr>
            <w:r w:rsidRPr="006E20A2">
              <w:rPr>
                <w:rFonts w:ascii="Arial" w:hAnsi="Arial"/>
                <w:b/>
                <w:bCs/>
                <w:sz w:val="18"/>
                <w:szCs w:val="18"/>
                <w:lang w:val="en-US" w:eastAsia="sl-SI"/>
              </w:rPr>
              <w:t>REPORTING ENTITIES</w:t>
            </w:r>
            <w:r w:rsidR="00EE1AC4" w:rsidRPr="006E20A2">
              <w:rPr>
                <w:rFonts w:ascii="Arial" w:hAnsi="Arial"/>
                <w:b/>
                <w:bCs/>
                <w:sz w:val="18"/>
                <w:szCs w:val="18"/>
                <w:lang w:val="en-US" w:eastAsia="sl-SI"/>
              </w:rPr>
              <w:t xml:space="preserve">  </w:t>
            </w:r>
          </w:p>
        </w:tc>
        <w:tc>
          <w:tcPr>
            <w:tcW w:w="782" w:type="dxa"/>
            <w:shd w:val="clear" w:color="auto" w:fill="99FF33"/>
            <w:vAlign w:val="center"/>
          </w:tcPr>
          <w:p w14:paraId="0D8D7635" w14:textId="77777777" w:rsidR="00EE1AC4" w:rsidRPr="006E20A2" w:rsidRDefault="00EE1AC4" w:rsidP="00EE1AC4">
            <w:pPr>
              <w:jc w:val="center"/>
              <w:rPr>
                <w:rFonts w:ascii="Arial" w:hAnsi="Arial"/>
                <w:b/>
                <w:bCs/>
                <w:sz w:val="18"/>
                <w:szCs w:val="18"/>
                <w:lang w:val="en-US"/>
              </w:rPr>
            </w:pPr>
            <w:r w:rsidRPr="006E20A2">
              <w:rPr>
                <w:rFonts w:ascii="Arial" w:hAnsi="Arial"/>
                <w:b/>
                <w:bCs/>
                <w:sz w:val="18"/>
                <w:szCs w:val="18"/>
                <w:lang w:val="en-US"/>
              </w:rPr>
              <w:t>2016</w:t>
            </w:r>
          </w:p>
        </w:tc>
        <w:tc>
          <w:tcPr>
            <w:tcW w:w="728" w:type="dxa"/>
            <w:shd w:val="clear" w:color="auto" w:fill="99FF33"/>
            <w:vAlign w:val="center"/>
          </w:tcPr>
          <w:p w14:paraId="06FC9279" w14:textId="77777777" w:rsidR="00EE1AC4" w:rsidRPr="006E20A2" w:rsidRDefault="00EE1AC4" w:rsidP="00EE1AC4">
            <w:pPr>
              <w:jc w:val="center"/>
              <w:rPr>
                <w:rFonts w:ascii="Arial" w:hAnsi="Arial"/>
                <w:b/>
                <w:bCs/>
                <w:sz w:val="18"/>
                <w:szCs w:val="18"/>
                <w:lang w:val="en-US"/>
              </w:rPr>
            </w:pPr>
            <w:r w:rsidRPr="006E20A2">
              <w:rPr>
                <w:rFonts w:ascii="Arial" w:hAnsi="Arial"/>
                <w:b/>
                <w:bCs/>
                <w:sz w:val="18"/>
                <w:szCs w:val="18"/>
                <w:lang w:val="en-US"/>
              </w:rPr>
              <w:t>2017</w:t>
            </w:r>
          </w:p>
        </w:tc>
        <w:tc>
          <w:tcPr>
            <w:tcW w:w="1456" w:type="dxa"/>
            <w:gridSpan w:val="2"/>
            <w:shd w:val="clear" w:color="auto" w:fill="99FF33"/>
            <w:vAlign w:val="bottom"/>
          </w:tcPr>
          <w:p w14:paraId="228BCD74" w14:textId="77777777" w:rsidR="00EE1AC4" w:rsidRPr="006E20A2" w:rsidRDefault="00EE1AC4" w:rsidP="00EE1AC4">
            <w:pPr>
              <w:jc w:val="center"/>
              <w:rPr>
                <w:rFonts w:ascii="Arial" w:hAnsi="Arial"/>
                <w:b/>
                <w:bCs/>
                <w:sz w:val="18"/>
                <w:szCs w:val="18"/>
                <w:lang w:val="en-US"/>
              </w:rPr>
            </w:pPr>
            <w:r w:rsidRPr="006E20A2">
              <w:rPr>
                <w:rFonts w:ascii="Arial" w:hAnsi="Arial"/>
                <w:b/>
                <w:bCs/>
                <w:sz w:val="18"/>
                <w:szCs w:val="18"/>
                <w:lang w:val="en-US"/>
              </w:rPr>
              <w:t>2018</w:t>
            </w:r>
          </w:p>
          <w:p w14:paraId="68559608" w14:textId="52442303" w:rsidR="00EE1AC4" w:rsidRPr="006E20A2" w:rsidRDefault="00AC530B" w:rsidP="00EE1AC4">
            <w:pPr>
              <w:jc w:val="center"/>
              <w:rPr>
                <w:rFonts w:ascii="Arial" w:hAnsi="Arial"/>
                <w:b/>
                <w:bCs/>
                <w:sz w:val="18"/>
                <w:szCs w:val="18"/>
                <w:lang w:val="en-US"/>
              </w:rPr>
            </w:pPr>
            <w:r w:rsidRPr="006E20A2">
              <w:rPr>
                <w:rFonts w:ascii="Arial" w:hAnsi="Arial"/>
                <w:b/>
                <w:bCs/>
                <w:sz w:val="18"/>
                <w:szCs w:val="18"/>
                <w:lang w:val="en-US"/>
              </w:rPr>
              <w:t>ML</w:t>
            </w:r>
            <w:r w:rsidR="00EE1AC4" w:rsidRPr="006E20A2">
              <w:rPr>
                <w:rFonts w:ascii="Arial" w:hAnsi="Arial"/>
                <w:b/>
                <w:bCs/>
                <w:sz w:val="18"/>
                <w:szCs w:val="18"/>
                <w:lang w:val="en-US"/>
              </w:rPr>
              <w:t xml:space="preserve">      FT</w:t>
            </w:r>
          </w:p>
        </w:tc>
        <w:tc>
          <w:tcPr>
            <w:tcW w:w="1764" w:type="dxa"/>
            <w:gridSpan w:val="2"/>
            <w:shd w:val="clear" w:color="auto" w:fill="99FF33"/>
          </w:tcPr>
          <w:p w14:paraId="3669A845" w14:textId="77777777" w:rsidR="00EE1AC4" w:rsidRPr="006E20A2" w:rsidRDefault="00EE1AC4" w:rsidP="00EE1AC4">
            <w:pPr>
              <w:jc w:val="center"/>
              <w:rPr>
                <w:rFonts w:ascii="Arial" w:hAnsi="Arial"/>
                <w:b/>
                <w:bCs/>
                <w:sz w:val="18"/>
                <w:szCs w:val="18"/>
                <w:lang w:val="en-US"/>
              </w:rPr>
            </w:pPr>
          </w:p>
          <w:p w14:paraId="0E69201C" w14:textId="77777777" w:rsidR="00EE1AC4" w:rsidRPr="006E20A2" w:rsidRDefault="00EE1AC4" w:rsidP="00EE1AC4">
            <w:pPr>
              <w:jc w:val="center"/>
              <w:rPr>
                <w:rFonts w:ascii="Arial" w:hAnsi="Arial"/>
                <w:b/>
                <w:bCs/>
                <w:sz w:val="18"/>
                <w:szCs w:val="18"/>
                <w:lang w:val="en-US"/>
              </w:rPr>
            </w:pPr>
            <w:r w:rsidRPr="006E20A2">
              <w:rPr>
                <w:rFonts w:ascii="Arial" w:hAnsi="Arial"/>
                <w:b/>
                <w:bCs/>
                <w:sz w:val="18"/>
                <w:szCs w:val="18"/>
                <w:lang w:val="en-US"/>
              </w:rPr>
              <w:t>2019</w:t>
            </w:r>
          </w:p>
          <w:p w14:paraId="720178C2" w14:textId="0A4C8614" w:rsidR="00EE1AC4" w:rsidRPr="006E20A2" w:rsidRDefault="00AC530B" w:rsidP="00EE1AC4">
            <w:pPr>
              <w:jc w:val="center"/>
              <w:rPr>
                <w:rFonts w:ascii="Arial" w:hAnsi="Arial"/>
                <w:b/>
                <w:bCs/>
                <w:sz w:val="18"/>
                <w:szCs w:val="18"/>
                <w:lang w:val="en-US"/>
              </w:rPr>
            </w:pPr>
            <w:r w:rsidRPr="006E20A2">
              <w:rPr>
                <w:rFonts w:ascii="Arial" w:hAnsi="Arial"/>
                <w:b/>
                <w:bCs/>
                <w:sz w:val="18"/>
                <w:szCs w:val="18"/>
                <w:lang w:val="en-US"/>
              </w:rPr>
              <w:t>ML</w:t>
            </w:r>
            <w:r w:rsidR="00EE1AC4" w:rsidRPr="006E20A2">
              <w:rPr>
                <w:rFonts w:ascii="Arial" w:hAnsi="Arial"/>
                <w:b/>
                <w:bCs/>
                <w:sz w:val="18"/>
                <w:szCs w:val="18"/>
                <w:lang w:val="en-US"/>
              </w:rPr>
              <w:t xml:space="preserve">        FT</w:t>
            </w:r>
          </w:p>
        </w:tc>
        <w:tc>
          <w:tcPr>
            <w:tcW w:w="1598" w:type="dxa"/>
            <w:gridSpan w:val="2"/>
            <w:shd w:val="clear" w:color="auto" w:fill="99FF33"/>
          </w:tcPr>
          <w:p w14:paraId="3D829939" w14:textId="77777777" w:rsidR="00EE1AC4" w:rsidRPr="006E20A2" w:rsidRDefault="00EE1AC4" w:rsidP="00EE1AC4">
            <w:pPr>
              <w:jc w:val="center"/>
              <w:rPr>
                <w:rFonts w:ascii="Arial" w:hAnsi="Arial"/>
                <w:b/>
                <w:bCs/>
                <w:sz w:val="18"/>
                <w:szCs w:val="18"/>
                <w:lang w:val="en-US"/>
              </w:rPr>
            </w:pPr>
          </w:p>
          <w:p w14:paraId="563CE52A" w14:textId="77777777" w:rsidR="00EE1AC4" w:rsidRPr="006E20A2" w:rsidRDefault="00EE1AC4" w:rsidP="00EE1AC4">
            <w:pPr>
              <w:jc w:val="center"/>
              <w:rPr>
                <w:rFonts w:ascii="Arial" w:hAnsi="Arial"/>
                <w:b/>
                <w:bCs/>
                <w:sz w:val="18"/>
                <w:szCs w:val="18"/>
                <w:lang w:val="en-US"/>
              </w:rPr>
            </w:pPr>
            <w:r w:rsidRPr="006E20A2">
              <w:rPr>
                <w:rFonts w:ascii="Arial" w:hAnsi="Arial"/>
                <w:b/>
                <w:bCs/>
                <w:sz w:val="18"/>
                <w:szCs w:val="18"/>
                <w:lang w:val="en-US"/>
              </w:rPr>
              <w:t>2020</w:t>
            </w:r>
          </w:p>
          <w:p w14:paraId="793064B4" w14:textId="49129970" w:rsidR="00EE1AC4" w:rsidRPr="006E20A2" w:rsidRDefault="00AC530B" w:rsidP="00EE1AC4">
            <w:pPr>
              <w:jc w:val="center"/>
              <w:rPr>
                <w:rFonts w:ascii="Arial" w:hAnsi="Arial"/>
                <w:b/>
                <w:bCs/>
                <w:sz w:val="18"/>
                <w:szCs w:val="18"/>
                <w:lang w:val="en-US"/>
              </w:rPr>
            </w:pPr>
            <w:r w:rsidRPr="006E20A2">
              <w:rPr>
                <w:rFonts w:ascii="Arial" w:hAnsi="Arial"/>
                <w:b/>
                <w:bCs/>
                <w:sz w:val="18"/>
                <w:szCs w:val="18"/>
                <w:lang w:val="en-US"/>
              </w:rPr>
              <w:t>ML</w:t>
            </w:r>
            <w:r w:rsidR="00EE1AC4" w:rsidRPr="006E20A2">
              <w:rPr>
                <w:rFonts w:ascii="Arial" w:hAnsi="Arial"/>
                <w:b/>
                <w:bCs/>
                <w:sz w:val="18"/>
                <w:szCs w:val="18"/>
                <w:lang w:val="en-US"/>
              </w:rPr>
              <w:t xml:space="preserve">         FT</w:t>
            </w:r>
          </w:p>
        </w:tc>
      </w:tr>
      <w:tr w:rsidR="00EE1AC4" w:rsidRPr="006E20A2" w14:paraId="4882CD0D" w14:textId="77777777" w:rsidTr="00AC530B">
        <w:trPr>
          <w:trHeight w:val="255"/>
        </w:trPr>
        <w:tc>
          <w:tcPr>
            <w:tcW w:w="3757" w:type="dxa"/>
            <w:shd w:val="clear" w:color="auto" w:fill="00CCFF"/>
            <w:noWrap/>
            <w:vAlign w:val="center"/>
            <w:hideMark/>
          </w:tcPr>
          <w:p w14:paraId="65A24441" w14:textId="2D8F31E8" w:rsidR="00EE1AC4" w:rsidRPr="006E20A2" w:rsidRDefault="00EE1AC4"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 xml:space="preserve">1. </w:t>
            </w:r>
            <w:r w:rsidR="00AC530B" w:rsidRPr="006E20A2">
              <w:rPr>
                <w:rFonts w:ascii="Arial" w:hAnsi="Arial"/>
                <w:b/>
                <w:bCs/>
                <w:sz w:val="16"/>
                <w:szCs w:val="16"/>
                <w:lang w:val="en-US" w:eastAsia="sl-SI"/>
              </w:rPr>
              <w:t>REPORTS OF BOLIGED ENTITIES</w:t>
            </w:r>
          </w:p>
        </w:tc>
        <w:tc>
          <w:tcPr>
            <w:tcW w:w="782" w:type="dxa"/>
            <w:shd w:val="clear" w:color="auto" w:fill="00CCFF"/>
            <w:vAlign w:val="center"/>
          </w:tcPr>
          <w:p w14:paraId="1D216980"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392</w:t>
            </w:r>
          </w:p>
        </w:tc>
        <w:tc>
          <w:tcPr>
            <w:tcW w:w="728" w:type="dxa"/>
            <w:shd w:val="clear" w:color="auto" w:fill="00CCFF"/>
            <w:vAlign w:val="center"/>
          </w:tcPr>
          <w:p w14:paraId="25D91EF4"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484</w:t>
            </w:r>
          </w:p>
        </w:tc>
        <w:tc>
          <w:tcPr>
            <w:tcW w:w="728" w:type="dxa"/>
            <w:shd w:val="clear" w:color="auto" w:fill="00CCFF"/>
            <w:vAlign w:val="center"/>
          </w:tcPr>
          <w:p w14:paraId="15854D1C"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660</w:t>
            </w:r>
          </w:p>
        </w:tc>
        <w:tc>
          <w:tcPr>
            <w:tcW w:w="0" w:type="auto"/>
            <w:shd w:val="clear" w:color="auto" w:fill="00CCFF"/>
            <w:vAlign w:val="center"/>
          </w:tcPr>
          <w:p w14:paraId="35EBF62D"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25</w:t>
            </w:r>
          </w:p>
        </w:tc>
        <w:tc>
          <w:tcPr>
            <w:tcW w:w="0" w:type="auto"/>
            <w:shd w:val="clear" w:color="auto" w:fill="00CCFF"/>
            <w:vAlign w:val="center"/>
          </w:tcPr>
          <w:p w14:paraId="384FEF5E"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889</w:t>
            </w:r>
          </w:p>
        </w:tc>
        <w:tc>
          <w:tcPr>
            <w:tcW w:w="0" w:type="auto"/>
            <w:shd w:val="clear" w:color="auto" w:fill="00CCFF"/>
            <w:vAlign w:val="center"/>
          </w:tcPr>
          <w:p w14:paraId="6D9ECCE0"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24</w:t>
            </w:r>
          </w:p>
        </w:tc>
        <w:tc>
          <w:tcPr>
            <w:tcW w:w="870" w:type="dxa"/>
            <w:tcBorders>
              <w:top w:val="nil"/>
              <w:left w:val="nil"/>
              <w:bottom w:val="single" w:sz="8" w:space="0" w:color="000000"/>
              <w:right w:val="single" w:sz="8" w:space="0" w:color="000000"/>
            </w:tcBorders>
            <w:shd w:val="clear" w:color="auto" w:fill="33CCFF"/>
            <w:vAlign w:val="center"/>
          </w:tcPr>
          <w:p w14:paraId="0026A484"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893</w:t>
            </w:r>
          </w:p>
        </w:tc>
        <w:tc>
          <w:tcPr>
            <w:tcW w:w="728" w:type="dxa"/>
            <w:tcBorders>
              <w:top w:val="nil"/>
              <w:left w:val="nil"/>
              <w:bottom w:val="single" w:sz="8" w:space="0" w:color="000000"/>
              <w:right w:val="single" w:sz="8" w:space="0" w:color="000000"/>
            </w:tcBorders>
            <w:shd w:val="clear" w:color="auto" w:fill="33CCFF"/>
            <w:vAlign w:val="center"/>
          </w:tcPr>
          <w:p w14:paraId="6582083C"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51</w:t>
            </w:r>
          </w:p>
        </w:tc>
      </w:tr>
      <w:tr w:rsidR="00EE1AC4" w:rsidRPr="006E20A2" w14:paraId="097F301D" w14:textId="77777777" w:rsidTr="00AC530B">
        <w:trPr>
          <w:trHeight w:val="255"/>
        </w:trPr>
        <w:tc>
          <w:tcPr>
            <w:tcW w:w="3757" w:type="dxa"/>
            <w:shd w:val="clear" w:color="auto" w:fill="00CCFF"/>
            <w:noWrap/>
            <w:vAlign w:val="center"/>
            <w:hideMark/>
          </w:tcPr>
          <w:p w14:paraId="5D01391F" w14:textId="77777777" w:rsidR="00EE1AC4" w:rsidRPr="006E20A2" w:rsidRDefault="00EE1AC4"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 </w:t>
            </w:r>
          </w:p>
        </w:tc>
        <w:tc>
          <w:tcPr>
            <w:tcW w:w="782" w:type="dxa"/>
            <w:shd w:val="clear" w:color="auto" w:fill="00CCFF"/>
            <w:vAlign w:val="center"/>
          </w:tcPr>
          <w:p w14:paraId="12F94C75" w14:textId="22D1C49E"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87,30</w:t>
            </w:r>
            <w:r w:rsidR="000B21A4"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00F6D117" w14:textId="635A6D23"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86,74</w:t>
            </w:r>
            <w:r w:rsidR="000B21A4"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17C015C2" w14:textId="727B5091"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87,07</w:t>
            </w:r>
            <w:r w:rsidR="000B21A4"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3F0F6202" w14:textId="4C68BA2C"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86,21</w:t>
            </w:r>
            <w:r w:rsidR="000B21A4"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4C2FC459" w14:textId="40FB295A"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85,65</w:t>
            </w:r>
            <w:r w:rsidR="000B21A4"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5F8C75C7" w14:textId="5775E23C"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77,42</w:t>
            </w:r>
            <w:r w:rsidR="000B21A4" w:rsidRPr="006E20A2">
              <w:rPr>
                <w:rFonts w:ascii="Arial" w:hAnsi="Arial"/>
                <w:b/>
                <w:bCs/>
                <w:sz w:val="16"/>
                <w:szCs w:val="16"/>
                <w:lang w:val="en-US"/>
              </w:rPr>
              <w:t> </w:t>
            </w:r>
            <w:r w:rsidRPr="006E20A2">
              <w:rPr>
                <w:rFonts w:ascii="Arial" w:hAnsi="Arial"/>
                <w:b/>
                <w:bCs/>
                <w:sz w:val="16"/>
                <w:szCs w:val="16"/>
                <w:lang w:val="en-US"/>
              </w:rPr>
              <w:t>%</w:t>
            </w:r>
          </w:p>
        </w:tc>
        <w:tc>
          <w:tcPr>
            <w:tcW w:w="870" w:type="dxa"/>
            <w:tcBorders>
              <w:top w:val="nil"/>
              <w:left w:val="single" w:sz="8" w:space="0" w:color="auto"/>
              <w:bottom w:val="single" w:sz="8" w:space="0" w:color="000000"/>
              <w:right w:val="single" w:sz="8" w:space="0" w:color="auto"/>
            </w:tcBorders>
            <w:shd w:val="clear" w:color="auto" w:fill="33CCFF"/>
            <w:vAlign w:val="center"/>
          </w:tcPr>
          <w:p w14:paraId="2A8F3F44" w14:textId="6E1742BF"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82,38</w:t>
            </w:r>
            <w:r w:rsidR="000B21A4" w:rsidRPr="006E20A2">
              <w:rPr>
                <w:rFonts w:ascii="Arial" w:hAnsi="Arial"/>
                <w:b/>
                <w:bCs/>
                <w:sz w:val="16"/>
                <w:szCs w:val="16"/>
                <w:lang w:val="en-US"/>
              </w:rPr>
              <w:t> </w:t>
            </w:r>
            <w:r w:rsidRPr="006E20A2">
              <w:rPr>
                <w:rFonts w:ascii="Arial" w:hAnsi="Arial"/>
                <w:b/>
                <w:bCs/>
                <w:sz w:val="16"/>
                <w:szCs w:val="16"/>
                <w:lang w:val="en-US"/>
              </w:rPr>
              <w:t>%</w:t>
            </w:r>
          </w:p>
        </w:tc>
        <w:tc>
          <w:tcPr>
            <w:tcW w:w="728" w:type="dxa"/>
            <w:tcBorders>
              <w:top w:val="nil"/>
              <w:left w:val="nil"/>
              <w:bottom w:val="single" w:sz="8" w:space="0" w:color="000000"/>
              <w:right w:val="single" w:sz="8" w:space="0" w:color="auto"/>
            </w:tcBorders>
            <w:shd w:val="clear" w:color="auto" w:fill="33CCFF"/>
            <w:vAlign w:val="center"/>
          </w:tcPr>
          <w:p w14:paraId="547AE3BA" w14:textId="4EA5E7DA"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96,23</w:t>
            </w:r>
            <w:r w:rsidR="000B21A4" w:rsidRPr="006E20A2">
              <w:rPr>
                <w:rFonts w:ascii="Arial" w:hAnsi="Arial"/>
                <w:b/>
                <w:bCs/>
                <w:sz w:val="16"/>
                <w:szCs w:val="16"/>
                <w:lang w:val="en-US"/>
              </w:rPr>
              <w:t> </w:t>
            </w:r>
            <w:r w:rsidRPr="006E20A2">
              <w:rPr>
                <w:rFonts w:ascii="Arial" w:hAnsi="Arial"/>
                <w:b/>
                <w:bCs/>
                <w:sz w:val="16"/>
                <w:szCs w:val="16"/>
                <w:lang w:val="en-US"/>
              </w:rPr>
              <w:t>%</w:t>
            </w:r>
          </w:p>
        </w:tc>
      </w:tr>
      <w:tr w:rsidR="00AC530B" w:rsidRPr="006E20A2" w14:paraId="7EF4BA34" w14:textId="77777777" w:rsidTr="00AC530B">
        <w:trPr>
          <w:trHeight w:val="255"/>
        </w:trPr>
        <w:tc>
          <w:tcPr>
            <w:tcW w:w="3757" w:type="dxa"/>
            <w:shd w:val="clear" w:color="auto" w:fill="99FF33"/>
            <w:noWrap/>
            <w:vAlign w:val="center"/>
            <w:hideMark/>
          </w:tcPr>
          <w:p w14:paraId="6F657E55" w14:textId="4E8FECBC"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Banks</w:t>
            </w:r>
          </w:p>
        </w:tc>
        <w:tc>
          <w:tcPr>
            <w:tcW w:w="782" w:type="dxa"/>
            <w:vAlign w:val="center"/>
          </w:tcPr>
          <w:p w14:paraId="23AC6CC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361</w:t>
            </w:r>
          </w:p>
        </w:tc>
        <w:tc>
          <w:tcPr>
            <w:tcW w:w="728" w:type="dxa"/>
            <w:vAlign w:val="center"/>
          </w:tcPr>
          <w:p w14:paraId="28D4F4E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426</w:t>
            </w:r>
          </w:p>
        </w:tc>
        <w:tc>
          <w:tcPr>
            <w:tcW w:w="728" w:type="dxa"/>
            <w:shd w:val="clear" w:color="auto" w:fill="auto"/>
            <w:vAlign w:val="center"/>
          </w:tcPr>
          <w:p w14:paraId="0CC495D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548</w:t>
            </w:r>
          </w:p>
        </w:tc>
        <w:tc>
          <w:tcPr>
            <w:tcW w:w="0" w:type="auto"/>
            <w:vAlign w:val="center"/>
          </w:tcPr>
          <w:p w14:paraId="6CB44079"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18</w:t>
            </w:r>
          </w:p>
        </w:tc>
        <w:tc>
          <w:tcPr>
            <w:tcW w:w="0" w:type="auto"/>
            <w:vAlign w:val="center"/>
          </w:tcPr>
          <w:p w14:paraId="5A1A621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755</w:t>
            </w:r>
          </w:p>
        </w:tc>
        <w:tc>
          <w:tcPr>
            <w:tcW w:w="0" w:type="auto"/>
            <w:vAlign w:val="center"/>
          </w:tcPr>
          <w:p w14:paraId="4131B0D9"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8</w:t>
            </w:r>
          </w:p>
        </w:tc>
        <w:tc>
          <w:tcPr>
            <w:tcW w:w="870" w:type="dxa"/>
            <w:tcBorders>
              <w:top w:val="nil"/>
              <w:left w:val="single" w:sz="8" w:space="0" w:color="auto"/>
              <w:bottom w:val="single" w:sz="8" w:space="0" w:color="000000"/>
              <w:right w:val="single" w:sz="8" w:space="0" w:color="auto"/>
            </w:tcBorders>
            <w:shd w:val="clear" w:color="auto" w:fill="auto"/>
            <w:vAlign w:val="center"/>
          </w:tcPr>
          <w:p w14:paraId="2A5A39E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737</w:t>
            </w:r>
          </w:p>
        </w:tc>
        <w:tc>
          <w:tcPr>
            <w:tcW w:w="728" w:type="dxa"/>
            <w:tcBorders>
              <w:top w:val="nil"/>
              <w:left w:val="nil"/>
              <w:bottom w:val="single" w:sz="8" w:space="0" w:color="000000"/>
              <w:right w:val="single" w:sz="8" w:space="0" w:color="auto"/>
            </w:tcBorders>
            <w:shd w:val="clear" w:color="auto" w:fill="auto"/>
            <w:vAlign w:val="center"/>
          </w:tcPr>
          <w:p w14:paraId="626CB1F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5</w:t>
            </w:r>
          </w:p>
        </w:tc>
      </w:tr>
      <w:tr w:rsidR="00AC530B" w:rsidRPr="006E20A2" w14:paraId="7BBFBD4A" w14:textId="77777777" w:rsidTr="00AC530B">
        <w:trPr>
          <w:trHeight w:val="255"/>
        </w:trPr>
        <w:tc>
          <w:tcPr>
            <w:tcW w:w="3757" w:type="dxa"/>
            <w:shd w:val="clear" w:color="auto" w:fill="99FF33"/>
            <w:noWrap/>
            <w:vAlign w:val="center"/>
            <w:hideMark/>
          </w:tcPr>
          <w:p w14:paraId="0D985CCC" w14:textId="157B1A7C"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Savings banks</w:t>
            </w:r>
          </w:p>
        </w:tc>
        <w:tc>
          <w:tcPr>
            <w:tcW w:w="782" w:type="dxa"/>
            <w:vAlign w:val="center"/>
          </w:tcPr>
          <w:p w14:paraId="292CB3F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22</w:t>
            </w:r>
          </w:p>
        </w:tc>
        <w:tc>
          <w:tcPr>
            <w:tcW w:w="728" w:type="dxa"/>
            <w:vAlign w:val="center"/>
          </w:tcPr>
          <w:p w14:paraId="3301950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28</w:t>
            </w:r>
          </w:p>
        </w:tc>
        <w:tc>
          <w:tcPr>
            <w:tcW w:w="728" w:type="dxa"/>
            <w:shd w:val="clear" w:color="auto" w:fill="auto"/>
            <w:vAlign w:val="center"/>
          </w:tcPr>
          <w:p w14:paraId="5EBEF626"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75</w:t>
            </w:r>
          </w:p>
        </w:tc>
        <w:tc>
          <w:tcPr>
            <w:tcW w:w="0" w:type="auto"/>
            <w:vAlign w:val="center"/>
          </w:tcPr>
          <w:p w14:paraId="5EF5EA04" w14:textId="77777777" w:rsidR="00AC530B" w:rsidRPr="006E20A2" w:rsidRDefault="00AC530B" w:rsidP="00AC530B">
            <w:pPr>
              <w:jc w:val="center"/>
              <w:rPr>
                <w:rFonts w:ascii="Arial" w:hAnsi="Arial"/>
                <w:b/>
                <w:bCs/>
                <w:sz w:val="16"/>
                <w:szCs w:val="16"/>
                <w:lang w:val="en-US"/>
              </w:rPr>
            </w:pPr>
          </w:p>
        </w:tc>
        <w:tc>
          <w:tcPr>
            <w:tcW w:w="0" w:type="auto"/>
            <w:vAlign w:val="center"/>
          </w:tcPr>
          <w:p w14:paraId="1B1F8FF8"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84</w:t>
            </w:r>
          </w:p>
        </w:tc>
        <w:tc>
          <w:tcPr>
            <w:tcW w:w="0" w:type="auto"/>
            <w:vAlign w:val="center"/>
          </w:tcPr>
          <w:p w14:paraId="24E2E1E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2F0044D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87</w:t>
            </w:r>
          </w:p>
        </w:tc>
        <w:tc>
          <w:tcPr>
            <w:tcW w:w="728" w:type="dxa"/>
            <w:tcBorders>
              <w:top w:val="nil"/>
              <w:left w:val="nil"/>
              <w:bottom w:val="single" w:sz="8" w:space="0" w:color="000000"/>
              <w:right w:val="single" w:sz="8" w:space="0" w:color="auto"/>
            </w:tcBorders>
            <w:shd w:val="clear" w:color="auto" w:fill="auto"/>
            <w:vAlign w:val="center"/>
          </w:tcPr>
          <w:p w14:paraId="385DA640"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r>
      <w:tr w:rsidR="00AC530B" w:rsidRPr="006E20A2" w14:paraId="0B3FD3AB" w14:textId="77777777" w:rsidTr="00AC530B">
        <w:trPr>
          <w:trHeight w:val="255"/>
        </w:trPr>
        <w:tc>
          <w:tcPr>
            <w:tcW w:w="3757" w:type="dxa"/>
            <w:shd w:val="clear" w:color="auto" w:fill="99FF33"/>
            <w:noWrap/>
            <w:vAlign w:val="center"/>
            <w:hideMark/>
          </w:tcPr>
          <w:p w14:paraId="05CDAA23" w14:textId="3EBCFE3A"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Post Office</w:t>
            </w:r>
          </w:p>
        </w:tc>
        <w:tc>
          <w:tcPr>
            <w:tcW w:w="782" w:type="dxa"/>
            <w:vAlign w:val="center"/>
          </w:tcPr>
          <w:p w14:paraId="3E04A3B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728" w:type="dxa"/>
            <w:vAlign w:val="center"/>
          </w:tcPr>
          <w:p w14:paraId="530929E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10</w:t>
            </w:r>
          </w:p>
        </w:tc>
        <w:tc>
          <w:tcPr>
            <w:tcW w:w="728" w:type="dxa"/>
            <w:shd w:val="clear" w:color="auto" w:fill="auto"/>
            <w:vAlign w:val="center"/>
          </w:tcPr>
          <w:p w14:paraId="219A346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15</w:t>
            </w:r>
          </w:p>
        </w:tc>
        <w:tc>
          <w:tcPr>
            <w:tcW w:w="0" w:type="auto"/>
            <w:vAlign w:val="center"/>
          </w:tcPr>
          <w:p w14:paraId="33D91BF3" w14:textId="77777777" w:rsidR="00AC530B" w:rsidRPr="006E20A2" w:rsidRDefault="00AC530B" w:rsidP="00AC530B">
            <w:pPr>
              <w:jc w:val="center"/>
              <w:rPr>
                <w:rFonts w:ascii="Arial" w:hAnsi="Arial"/>
                <w:b/>
                <w:bCs/>
                <w:sz w:val="16"/>
                <w:szCs w:val="16"/>
                <w:lang w:val="en-US"/>
              </w:rPr>
            </w:pPr>
          </w:p>
        </w:tc>
        <w:tc>
          <w:tcPr>
            <w:tcW w:w="0" w:type="auto"/>
            <w:vAlign w:val="center"/>
          </w:tcPr>
          <w:p w14:paraId="2B120C86"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7</w:t>
            </w:r>
          </w:p>
        </w:tc>
        <w:tc>
          <w:tcPr>
            <w:tcW w:w="0" w:type="auto"/>
            <w:vAlign w:val="center"/>
          </w:tcPr>
          <w:p w14:paraId="6E7742F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70504F0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17</w:t>
            </w:r>
          </w:p>
        </w:tc>
        <w:tc>
          <w:tcPr>
            <w:tcW w:w="728" w:type="dxa"/>
            <w:tcBorders>
              <w:top w:val="nil"/>
              <w:left w:val="nil"/>
              <w:bottom w:val="single" w:sz="8" w:space="0" w:color="000000"/>
              <w:right w:val="single" w:sz="8" w:space="0" w:color="auto"/>
            </w:tcBorders>
            <w:shd w:val="clear" w:color="auto" w:fill="auto"/>
            <w:vAlign w:val="center"/>
          </w:tcPr>
          <w:p w14:paraId="53F5796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7CCFC026" w14:textId="77777777" w:rsidTr="00AC530B">
        <w:trPr>
          <w:trHeight w:val="255"/>
        </w:trPr>
        <w:tc>
          <w:tcPr>
            <w:tcW w:w="3757" w:type="dxa"/>
            <w:shd w:val="clear" w:color="auto" w:fill="99FF33"/>
            <w:noWrap/>
            <w:vAlign w:val="center"/>
            <w:hideMark/>
          </w:tcPr>
          <w:p w14:paraId="2AA7F9C6" w14:textId="71038555"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Brokerage companies and management companies of investment funds</w:t>
            </w:r>
          </w:p>
        </w:tc>
        <w:tc>
          <w:tcPr>
            <w:tcW w:w="782" w:type="dxa"/>
            <w:vAlign w:val="center"/>
          </w:tcPr>
          <w:p w14:paraId="0925F2AE"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vAlign w:val="center"/>
          </w:tcPr>
          <w:p w14:paraId="0FDBB73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w:t>
            </w:r>
          </w:p>
        </w:tc>
        <w:tc>
          <w:tcPr>
            <w:tcW w:w="728" w:type="dxa"/>
            <w:shd w:val="clear" w:color="auto" w:fill="auto"/>
            <w:vAlign w:val="center"/>
          </w:tcPr>
          <w:p w14:paraId="7B10365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0" w:type="auto"/>
            <w:vAlign w:val="center"/>
          </w:tcPr>
          <w:p w14:paraId="3802338D" w14:textId="77777777" w:rsidR="00AC530B" w:rsidRPr="006E20A2" w:rsidRDefault="00AC530B" w:rsidP="00AC530B">
            <w:pPr>
              <w:jc w:val="center"/>
              <w:rPr>
                <w:rFonts w:ascii="Arial" w:hAnsi="Arial"/>
                <w:b/>
                <w:bCs/>
                <w:sz w:val="16"/>
                <w:szCs w:val="16"/>
                <w:lang w:val="en-US"/>
              </w:rPr>
            </w:pPr>
          </w:p>
        </w:tc>
        <w:tc>
          <w:tcPr>
            <w:tcW w:w="0" w:type="auto"/>
            <w:vAlign w:val="center"/>
          </w:tcPr>
          <w:p w14:paraId="478070AE"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10</w:t>
            </w:r>
          </w:p>
        </w:tc>
        <w:tc>
          <w:tcPr>
            <w:tcW w:w="0" w:type="auto"/>
            <w:vAlign w:val="center"/>
          </w:tcPr>
          <w:p w14:paraId="256F8F7D"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43E084CD"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4</w:t>
            </w:r>
          </w:p>
        </w:tc>
        <w:tc>
          <w:tcPr>
            <w:tcW w:w="728" w:type="dxa"/>
            <w:tcBorders>
              <w:top w:val="nil"/>
              <w:left w:val="nil"/>
              <w:bottom w:val="single" w:sz="8" w:space="0" w:color="000000"/>
              <w:right w:val="single" w:sz="8" w:space="0" w:color="auto"/>
            </w:tcBorders>
            <w:shd w:val="clear" w:color="auto" w:fill="auto"/>
            <w:vAlign w:val="center"/>
          </w:tcPr>
          <w:p w14:paraId="175396E0"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412C6E46" w14:textId="77777777" w:rsidTr="00AC530B">
        <w:trPr>
          <w:trHeight w:val="255"/>
        </w:trPr>
        <w:tc>
          <w:tcPr>
            <w:tcW w:w="3757" w:type="dxa"/>
            <w:shd w:val="clear" w:color="auto" w:fill="99FF33"/>
            <w:noWrap/>
            <w:vAlign w:val="center"/>
            <w:hideMark/>
          </w:tcPr>
          <w:p w14:paraId="490B7B86" w14:textId="50C0432D"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Leasing</w:t>
            </w:r>
          </w:p>
        </w:tc>
        <w:tc>
          <w:tcPr>
            <w:tcW w:w="782" w:type="dxa"/>
            <w:vAlign w:val="center"/>
          </w:tcPr>
          <w:p w14:paraId="588E981F" w14:textId="77777777" w:rsidR="00AC530B" w:rsidRPr="006E20A2" w:rsidRDefault="00AC530B" w:rsidP="00AC530B">
            <w:pPr>
              <w:jc w:val="center"/>
              <w:rPr>
                <w:rFonts w:ascii="Arial" w:hAnsi="Arial"/>
                <w:b/>
                <w:bCs/>
                <w:sz w:val="16"/>
                <w:szCs w:val="16"/>
                <w:lang w:val="en-US"/>
              </w:rPr>
            </w:pPr>
          </w:p>
        </w:tc>
        <w:tc>
          <w:tcPr>
            <w:tcW w:w="728" w:type="dxa"/>
            <w:vAlign w:val="center"/>
          </w:tcPr>
          <w:p w14:paraId="716ED24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728" w:type="dxa"/>
            <w:shd w:val="clear" w:color="auto" w:fill="auto"/>
            <w:vAlign w:val="center"/>
          </w:tcPr>
          <w:p w14:paraId="4386A32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0" w:type="auto"/>
            <w:vAlign w:val="center"/>
          </w:tcPr>
          <w:p w14:paraId="1F2EA8AD" w14:textId="77777777" w:rsidR="00AC530B" w:rsidRPr="006E20A2" w:rsidRDefault="00AC530B" w:rsidP="00AC530B">
            <w:pPr>
              <w:jc w:val="center"/>
              <w:rPr>
                <w:rFonts w:ascii="Arial" w:hAnsi="Arial"/>
                <w:b/>
                <w:bCs/>
                <w:sz w:val="16"/>
                <w:szCs w:val="16"/>
                <w:lang w:val="en-US"/>
              </w:rPr>
            </w:pPr>
          </w:p>
        </w:tc>
        <w:tc>
          <w:tcPr>
            <w:tcW w:w="0" w:type="auto"/>
            <w:vAlign w:val="center"/>
          </w:tcPr>
          <w:p w14:paraId="5C09B89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0" w:type="auto"/>
            <w:vAlign w:val="center"/>
          </w:tcPr>
          <w:p w14:paraId="7BFB0DC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694BBF50"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tcBorders>
              <w:top w:val="nil"/>
              <w:left w:val="nil"/>
              <w:bottom w:val="single" w:sz="8" w:space="0" w:color="000000"/>
              <w:right w:val="single" w:sz="8" w:space="0" w:color="auto"/>
            </w:tcBorders>
            <w:shd w:val="clear" w:color="auto" w:fill="auto"/>
            <w:vAlign w:val="center"/>
          </w:tcPr>
          <w:p w14:paraId="19F75960"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491BF004" w14:textId="77777777" w:rsidTr="00AC530B">
        <w:trPr>
          <w:trHeight w:val="255"/>
        </w:trPr>
        <w:tc>
          <w:tcPr>
            <w:tcW w:w="3757" w:type="dxa"/>
            <w:shd w:val="clear" w:color="auto" w:fill="99FF33"/>
            <w:noWrap/>
            <w:vAlign w:val="center"/>
            <w:hideMark/>
          </w:tcPr>
          <w:p w14:paraId="608F4852" w14:textId="2E5BFF8D"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Auditors and accountants</w:t>
            </w:r>
          </w:p>
        </w:tc>
        <w:tc>
          <w:tcPr>
            <w:tcW w:w="782" w:type="dxa"/>
            <w:vAlign w:val="center"/>
          </w:tcPr>
          <w:p w14:paraId="73D66A45" w14:textId="77777777" w:rsidR="00AC530B" w:rsidRPr="006E20A2" w:rsidRDefault="00AC530B" w:rsidP="00AC530B">
            <w:pPr>
              <w:jc w:val="center"/>
              <w:rPr>
                <w:rFonts w:ascii="Arial" w:hAnsi="Arial"/>
                <w:b/>
                <w:bCs/>
                <w:sz w:val="16"/>
                <w:szCs w:val="16"/>
                <w:lang w:val="en-US"/>
              </w:rPr>
            </w:pPr>
          </w:p>
        </w:tc>
        <w:tc>
          <w:tcPr>
            <w:tcW w:w="728" w:type="dxa"/>
            <w:vAlign w:val="center"/>
          </w:tcPr>
          <w:p w14:paraId="03B7DC4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728" w:type="dxa"/>
            <w:shd w:val="clear" w:color="auto" w:fill="auto"/>
            <w:vAlign w:val="center"/>
          </w:tcPr>
          <w:p w14:paraId="3F89F8A4" w14:textId="77777777" w:rsidR="00AC530B" w:rsidRPr="006E20A2" w:rsidRDefault="00AC530B" w:rsidP="00AC530B">
            <w:pPr>
              <w:jc w:val="center"/>
              <w:rPr>
                <w:rFonts w:ascii="Arial" w:hAnsi="Arial"/>
                <w:b/>
                <w:bCs/>
                <w:sz w:val="16"/>
                <w:szCs w:val="16"/>
                <w:lang w:val="en-US"/>
              </w:rPr>
            </w:pPr>
          </w:p>
        </w:tc>
        <w:tc>
          <w:tcPr>
            <w:tcW w:w="0" w:type="auto"/>
            <w:vAlign w:val="center"/>
          </w:tcPr>
          <w:p w14:paraId="2B14808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4C9453F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5</w:t>
            </w:r>
          </w:p>
        </w:tc>
        <w:tc>
          <w:tcPr>
            <w:tcW w:w="0" w:type="auto"/>
            <w:vAlign w:val="center"/>
          </w:tcPr>
          <w:p w14:paraId="716569FD"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5AA0118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728" w:type="dxa"/>
            <w:tcBorders>
              <w:top w:val="nil"/>
              <w:left w:val="nil"/>
              <w:bottom w:val="single" w:sz="8" w:space="0" w:color="000000"/>
              <w:right w:val="single" w:sz="8" w:space="0" w:color="auto"/>
            </w:tcBorders>
            <w:shd w:val="clear" w:color="auto" w:fill="auto"/>
            <w:vAlign w:val="center"/>
          </w:tcPr>
          <w:p w14:paraId="49CC992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7FFA6844" w14:textId="77777777" w:rsidTr="00AC530B">
        <w:trPr>
          <w:trHeight w:val="255"/>
        </w:trPr>
        <w:tc>
          <w:tcPr>
            <w:tcW w:w="3757" w:type="dxa"/>
            <w:shd w:val="clear" w:color="auto" w:fill="99FF33"/>
            <w:noWrap/>
            <w:vAlign w:val="center"/>
            <w:hideMark/>
          </w:tcPr>
          <w:p w14:paraId="4FD39F8C" w14:textId="1330689C"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Casinos</w:t>
            </w:r>
          </w:p>
        </w:tc>
        <w:tc>
          <w:tcPr>
            <w:tcW w:w="782" w:type="dxa"/>
            <w:vAlign w:val="center"/>
          </w:tcPr>
          <w:p w14:paraId="049C8C6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728" w:type="dxa"/>
            <w:vAlign w:val="center"/>
          </w:tcPr>
          <w:p w14:paraId="04C2733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10</w:t>
            </w:r>
          </w:p>
        </w:tc>
        <w:tc>
          <w:tcPr>
            <w:tcW w:w="728" w:type="dxa"/>
            <w:shd w:val="clear" w:color="auto" w:fill="auto"/>
            <w:vAlign w:val="center"/>
          </w:tcPr>
          <w:p w14:paraId="32CB59EE"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5</w:t>
            </w:r>
          </w:p>
        </w:tc>
        <w:tc>
          <w:tcPr>
            <w:tcW w:w="0" w:type="auto"/>
            <w:vAlign w:val="center"/>
          </w:tcPr>
          <w:p w14:paraId="3E45BB7B" w14:textId="77777777" w:rsidR="00AC530B" w:rsidRPr="006E20A2" w:rsidRDefault="00AC530B" w:rsidP="00AC530B">
            <w:pPr>
              <w:jc w:val="center"/>
              <w:rPr>
                <w:rFonts w:ascii="Arial" w:hAnsi="Arial"/>
                <w:b/>
                <w:bCs/>
                <w:sz w:val="16"/>
                <w:szCs w:val="16"/>
                <w:lang w:val="en-US"/>
              </w:rPr>
            </w:pPr>
          </w:p>
        </w:tc>
        <w:tc>
          <w:tcPr>
            <w:tcW w:w="0" w:type="auto"/>
            <w:vAlign w:val="center"/>
          </w:tcPr>
          <w:p w14:paraId="1436241F"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9</w:t>
            </w:r>
          </w:p>
        </w:tc>
        <w:tc>
          <w:tcPr>
            <w:tcW w:w="0" w:type="auto"/>
            <w:vAlign w:val="center"/>
          </w:tcPr>
          <w:p w14:paraId="7C1462D8"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3520F16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tcBorders>
              <w:top w:val="nil"/>
              <w:left w:val="nil"/>
              <w:bottom w:val="single" w:sz="8" w:space="0" w:color="000000"/>
              <w:right w:val="single" w:sz="8" w:space="0" w:color="auto"/>
            </w:tcBorders>
            <w:shd w:val="clear" w:color="auto" w:fill="auto"/>
            <w:vAlign w:val="center"/>
          </w:tcPr>
          <w:p w14:paraId="4BD9DCD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4DE46AC2" w14:textId="77777777" w:rsidTr="00AC530B">
        <w:trPr>
          <w:trHeight w:val="255"/>
        </w:trPr>
        <w:tc>
          <w:tcPr>
            <w:tcW w:w="3757" w:type="dxa"/>
            <w:shd w:val="clear" w:color="auto" w:fill="99FF33"/>
            <w:noWrap/>
            <w:vAlign w:val="center"/>
            <w:hideMark/>
          </w:tcPr>
          <w:p w14:paraId="447EE713" w14:textId="11508F0D"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Other organizers of games of chance</w:t>
            </w:r>
          </w:p>
        </w:tc>
        <w:tc>
          <w:tcPr>
            <w:tcW w:w="782" w:type="dxa"/>
            <w:vAlign w:val="center"/>
          </w:tcPr>
          <w:p w14:paraId="53738CCF" w14:textId="77777777" w:rsidR="00AC530B" w:rsidRPr="006E20A2" w:rsidRDefault="00AC530B" w:rsidP="00AC530B">
            <w:pPr>
              <w:jc w:val="center"/>
              <w:rPr>
                <w:rFonts w:ascii="Arial" w:hAnsi="Arial"/>
                <w:b/>
                <w:bCs/>
                <w:sz w:val="16"/>
                <w:szCs w:val="16"/>
                <w:lang w:val="en-US"/>
              </w:rPr>
            </w:pPr>
          </w:p>
        </w:tc>
        <w:tc>
          <w:tcPr>
            <w:tcW w:w="728" w:type="dxa"/>
            <w:vAlign w:val="center"/>
          </w:tcPr>
          <w:p w14:paraId="12EDB0ED"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shd w:val="clear" w:color="auto" w:fill="auto"/>
            <w:vAlign w:val="center"/>
          </w:tcPr>
          <w:p w14:paraId="43A931C4" w14:textId="77777777" w:rsidR="00AC530B" w:rsidRPr="006E20A2" w:rsidRDefault="00AC530B" w:rsidP="00AC530B">
            <w:pPr>
              <w:jc w:val="center"/>
              <w:rPr>
                <w:rFonts w:ascii="Arial" w:hAnsi="Arial"/>
                <w:b/>
                <w:bCs/>
                <w:sz w:val="16"/>
                <w:szCs w:val="16"/>
                <w:lang w:val="en-US"/>
              </w:rPr>
            </w:pPr>
          </w:p>
        </w:tc>
        <w:tc>
          <w:tcPr>
            <w:tcW w:w="0" w:type="auto"/>
            <w:vAlign w:val="center"/>
          </w:tcPr>
          <w:p w14:paraId="4CE6F27C" w14:textId="77777777" w:rsidR="00AC530B" w:rsidRPr="006E20A2" w:rsidRDefault="00AC530B" w:rsidP="00AC530B">
            <w:pPr>
              <w:jc w:val="center"/>
              <w:rPr>
                <w:rFonts w:ascii="Arial" w:hAnsi="Arial"/>
                <w:b/>
                <w:bCs/>
                <w:sz w:val="16"/>
                <w:szCs w:val="16"/>
                <w:lang w:val="en-US"/>
              </w:rPr>
            </w:pPr>
          </w:p>
        </w:tc>
        <w:tc>
          <w:tcPr>
            <w:tcW w:w="0" w:type="auto"/>
            <w:vAlign w:val="center"/>
          </w:tcPr>
          <w:p w14:paraId="52F1676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1219750D"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75AC2CE4"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tcBorders>
              <w:top w:val="nil"/>
              <w:left w:val="nil"/>
              <w:bottom w:val="single" w:sz="8" w:space="0" w:color="000000"/>
              <w:right w:val="single" w:sz="8" w:space="0" w:color="auto"/>
            </w:tcBorders>
            <w:shd w:val="clear" w:color="auto" w:fill="auto"/>
            <w:vAlign w:val="center"/>
          </w:tcPr>
          <w:p w14:paraId="6943175E"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50B79E36" w14:textId="77777777" w:rsidTr="00AC530B">
        <w:trPr>
          <w:trHeight w:val="255"/>
        </w:trPr>
        <w:tc>
          <w:tcPr>
            <w:tcW w:w="3757" w:type="dxa"/>
            <w:shd w:val="clear" w:color="auto" w:fill="99FF33"/>
            <w:noWrap/>
            <w:vAlign w:val="center"/>
            <w:hideMark/>
          </w:tcPr>
          <w:p w14:paraId="4EE066BF" w14:textId="5E6B105F"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Dealers with precious stones</w:t>
            </w:r>
          </w:p>
        </w:tc>
        <w:tc>
          <w:tcPr>
            <w:tcW w:w="782" w:type="dxa"/>
            <w:vAlign w:val="center"/>
          </w:tcPr>
          <w:p w14:paraId="11D2982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728" w:type="dxa"/>
            <w:vAlign w:val="center"/>
          </w:tcPr>
          <w:p w14:paraId="57243083"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226606B4"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w:t>
            </w:r>
          </w:p>
        </w:tc>
        <w:tc>
          <w:tcPr>
            <w:tcW w:w="0" w:type="auto"/>
            <w:vAlign w:val="center"/>
          </w:tcPr>
          <w:p w14:paraId="3F1BFD8F" w14:textId="77777777" w:rsidR="00AC530B" w:rsidRPr="006E20A2" w:rsidRDefault="00AC530B" w:rsidP="00AC530B">
            <w:pPr>
              <w:jc w:val="center"/>
              <w:rPr>
                <w:rFonts w:ascii="Arial" w:hAnsi="Arial"/>
                <w:b/>
                <w:bCs/>
                <w:sz w:val="16"/>
                <w:szCs w:val="16"/>
                <w:lang w:val="en-US"/>
              </w:rPr>
            </w:pPr>
          </w:p>
        </w:tc>
        <w:tc>
          <w:tcPr>
            <w:tcW w:w="0" w:type="auto"/>
            <w:vAlign w:val="center"/>
          </w:tcPr>
          <w:p w14:paraId="2FDB2C7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0644CE8F"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18B4FFD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728" w:type="dxa"/>
            <w:tcBorders>
              <w:top w:val="nil"/>
              <w:left w:val="nil"/>
              <w:bottom w:val="single" w:sz="8" w:space="0" w:color="000000"/>
              <w:right w:val="single" w:sz="8" w:space="0" w:color="auto"/>
            </w:tcBorders>
            <w:shd w:val="clear" w:color="auto" w:fill="auto"/>
            <w:vAlign w:val="center"/>
          </w:tcPr>
          <w:p w14:paraId="72C6D3C8"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38C3D669" w14:textId="77777777" w:rsidTr="00AC530B">
        <w:trPr>
          <w:trHeight w:val="255"/>
        </w:trPr>
        <w:tc>
          <w:tcPr>
            <w:tcW w:w="3757" w:type="dxa"/>
            <w:shd w:val="clear" w:color="auto" w:fill="99FF33"/>
            <w:noWrap/>
            <w:vAlign w:val="center"/>
            <w:hideMark/>
          </w:tcPr>
          <w:p w14:paraId="2F3D4F84" w14:textId="17B8897D"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Real Estate Agencies</w:t>
            </w:r>
          </w:p>
        </w:tc>
        <w:tc>
          <w:tcPr>
            <w:tcW w:w="782" w:type="dxa"/>
            <w:vAlign w:val="center"/>
          </w:tcPr>
          <w:p w14:paraId="5E2042E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vAlign w:val="center"/>
          </w:tcPr>
          <w:p w14:paraId="16B2C054"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shd w:val="clear" w:color="auto" w:fill="auto"/>
            <w:vAlign w:val="center"/>
          </w:tcPr>
          <w:p w14:paraId="62892364" w14:textId="77777777" w:rsidR="00AC530B" w:rsidRPr="006E20A2" w:rsidRDefault="00AC530B" w:rsidP="00AC530B">
            <w:pPr>
              <w:jc w:val="center"/>
              <w:rPr>
                <w:rFonts w:ascii="Arial" w:hAnsi="Arial"/>
                <w:b/>
                <w:bCs/>
                <w:sz w:val="16"/>
                <w:szCs w:val="16"/>
                <w:lang w:val="en-US"/>
              </w:rPr>
            </w:pPr>
          </w:p>
        </w:tc>
        <w:tc>
          <w:tcPr>
            <w:tcW w:w="0" w:type="auto"/>
            <w:vAlign w:val="center"/>
          </w:tcPr>
          <w:p w14:paraId="421F9B1B" w14:textId="77777777" w:rsidR="00AC530B" w:rsidRPr="006E20A2" w:rsidRDefault="00AC530B" w:rsidP="00AC530B">
            <w:pPr>
              <w:jc w:val="center"/>
              <w:rPr>
                <w:rFonts w:ascii="Arial" w:hAnsi="Arial"/>
                <w:b/>
                <w:bCs/>
                <w:sz w:val="16"/>
                <w:szCs w:val="16"/>
                <w:lang w:val="en-US"/>
              </w:rPr>
            </w:pPr>
          </w:p>
        </w:tc>
        <w:tc>
          <w:tcPr>
            <w:tcW w:w="0" w:type="auto"/>
            <w:vAlign w:val="center"/>
          </w:tcPr>
          <w:p w14:paraId="518E243D"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0" w:type="auto"/>
            <w:vAlign w:val="center"/>
          </w:tcPr>
          <w:p w14:paraId="5511124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0AF7DB28"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728" w:type="dxa"/>
            <w:tcBorders>
              <w:top w:val="nil"/>
              <w:left w:val="nil"/>
              <w:bottom w:val="single" w:sz="8" w:space="0" w:color="000000"/>
              <w:right w:val="single" w:sz="8" w:space="0" w:color="auto"/>
            </w:tcBorders>
            <w:shd w:val="clear" w:color="auto" w:fill="auto"/>
            <w:vAlign w:val="center"/>
          </w:tcPr>
          <w:p w14:paraId="619F566F"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3EC737DC" w14:textId="77777777" w:rsidTr="00AC530B">
        <w:trPr>
          <w:trHeight w:val="255"/>
        </w:trPr>
        <w:tc>
          <w:tcPr>
            <w:tcW w:w="3757" w:type="dxa"/>
            <w:shd w:val="clear" w:color="auto" w:fill="99FF33"/>
            <w:noWrap/>
            <w:vAlign w:val="center"/>
            <w:hideMark/>
          </w:tcPr>
          <w:p w14:paraId="4C055E2C" w14:textId="35B6C8F6"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Insurance Companies</w:t>
            </w:r>
          </w:p>
        </w:tc>
        <w:tc>
          <w:tcPr>
            <w:tcW w:w="782" w:type="dxa"/>
            <w:vAlign w:val="center"/>
          </w:tcPr>
          <w:p w14:paraId="04FAAAA2" w14:textId="77777777" w:rsidR="00AC530B" w:rsidRPr="006E20A2" w:rsidRDefault="00AC530B" w:rsidP="00AC530B">
            <w:pPr>
              <w:jc w:val="center"/>
              <w:rPr>
                <w:rFonts w:ascii="Arial" w:hAnsi="Arial"/>
                <w:b/>
                <w:bCs/>
                <w:sz w:val="16"/>
                <w:szCs w:val="16"/>
                <w:lang w:val="en-US"/>
              </w:rPr>
            </w:pPr>
          </w:p>
        </w:tc>
        <w:tc>
          <w:tcPr>
            <w:tcW w:w="728" w:type="dxa"/>
            <w:vAlign w:val="center"/>
          </w:tcPr>
          <w:p w14:paraId="1F70CADE"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shd w:val="clear" w:color="auto" w:fill="auto"/>
            <w:vAlign w:val="center"/>
          </w:tcPr>
          <w:p w14:paraId="45235B19" w14:textId="77777777" w:rsidR="00AC530B" w:rsidRPr="006E20A2" w:rsidRDefault="00AC530B" w:rsidP="00AC530B">
            <w:pPr>
              <w:jc w:val="center"/>
              <w:rPr>
                <w:rFonts w:ascii="Arial" w:hAnsi="Arial"/>
                <w:b/>
                <w:bCs/>
                <w:sz w:val="16"/>
                <w:szCs w:val="16"/>
                <w:lang w:val="en-US"/>
              </w:rPr>
            </w:pPr>
          </w:p>
        </w:tc>
        <w:tc>
          <w:tcPr>
            <w:tcW w:w="0" w:type="auto"/>
            <w:vAlign w:val="center"/>
          </w:tcPr>
          <w:p w14:paraId="786AAD9D" w14:textId="77777777" w:rsidR="00AC530B" w:rsidRPr="006E20A2" w:rsidRDefault="00AC530B" w:rsidP="00AC530B">
            <w:pPr>
              <w:jc w:val="center"/>
              <w:rPr>
                <w:rFonts w:ascii="Arial" w:hAnsi="Arial"/>
                <w:b/>
                <w:bCs/>
                <w:sz w:val="16"/>
                <w:szCs w:val="16"/>
                <w:lang w:val="en-US"/>
              </w:rPr>
            </w:pPr>
          </w:p>
        </w:tc>
        <w:tc>
          <w:tcPr>
            <w:tcW w:w="0" w:type="auto"/>
            <w:vAlign w:val="center"/>
          </w:tcPr>
          <w:p w14:paraId="2F935094"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0" w:type="auto"/>
            <w:vAlign w:val="center"/>
          </w:tcPr>
          <w:p w14:paraId="4187110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75A4725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tcBorders>
              <w:top w:val="nil"/>
              <w:left w:val="nil"/>
              <w:bottom w:val="single" w:sz="8" w:space="0" w:color="000000"/>
              <w:right w:val="single" w:sz="8" w:space="0" w:color="auto"/>
            </w:tcBorders>
            <w:shd w:val="clear" w:color="auto" w:fill="auto"/>
            <w:vAlign w:val="center"/>
          </w:tcPr>
          <w:p w14:paraId="40C41E3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006BD6AC" w14:textId="77777777" w:rsidTr="00AC530B">
        <w:trPr>
          <w:trHeight w:val="255"/>
        </w:trPr>
        <w:tc>
          <w:tcPr>
            <w:tcW w:w="3757" w:type="dxa"/>
            <w:shd w:val="clear" w:color="auto" w:fill="99FF33"/>
            <w:noWrap/>
            <w:vAlign w:val="center"/>
          </w:tcPr>
          <w:p w14:paraId="7BB6C8A3" w14:textId="34CC76AB"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Virtual currencies</w:t>
            </w:r>
          </w:p>
        </w:tc>
        <w:tc>
          <w:tcPr>
            <w:tcW w:w="782" w:type="dxa"/>
            <w:vAlign w:val="center"/>
          </w:tcPr>
          <w:p w14:paraId="2E3C0DA0" w14:textId="77777777" w:rsidR="00AC530B" w:rsidRPr="006E20A2" w:rsidRDefault="00AC530B" w:rsidP="00AC530B">
            <w:pPr>
              <w:jc w:val="center"/>
              <w:rPr>
                <w:rFonts w:ascii="Arial" w:hAnsi="Arial"/>
                <w:b/>
                <w:bCs/>
                <w:sz w:val="16"/>
                <w:szCs w:val="16"/>
                <w:lang w:val="en-US"/>
              </w:rPr>
            </w:pPr>
          </w:p>
        </w:tc>
        <w:tc>
          <w:tcPr>
            <w:tcW w:w="728" w:type="dxa"/>
            <w:vAlign w:val="center"/>
          </w:tcPr>
          <w:p w14:paraId="50E38911"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440E382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708C137E" w14:textId="77777777" w:rsidR="00AC530B" w:rsidRPr="006E20A2" w:rsidRDefault="00AC530B" w:rsidP="00AC530B">
            <w:pPr>
              <w:jc w:val="center"/>
              <w:rPr>
                <w:rFonts w:ascii="Arial" w:hAnsi="Arial"/>
                <w:b/>
                <w:bCs/>
                <w:sz w:val="16"/>
                <w:szCs w:val="16"/>
                <w:lang w:val="en-US"/>
              </w:rPr>
            </w:pPr>
          </w:p>
        </w:tc>
        <w:tc>
          <w:tcPr>
            <w:tcW w:w="0" w:type="auto"/>
            <w:vAlign w:val="center"/>
          </w:tcPr>
          <w:p w14:paraId="48D4A9E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0" w:type="auto"/>
            <w:vAlign w:val="center"/>
          </w:tcPr>
          <w:p w14:paraId="2186062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2DA7428A" w14:textId="77777777" w:rsidR="00AC530B" w:rsidRPr="006E20A2" w:rsidRDefault="00AC530B" w:rsidP="00AC530B">
            <w:pPr>
              <w:jc w:val="center"/>
              <w:rPr>
                <w:rFonts w:ascii="Arial" w:hAnsi="Arial"/>
                <w:b/>
                <w:bCs/>
                <w:sz w:val="16"/>
                <w:szCs w:val="16"/>
                <w:lang w:val="en-US"/>
              </w:rPr>
            </w:pPr>
          </w:p>
        </w:tc>
        <w:tc>
          <w:tcPr>
            <w:tcW w:w="728" w:type="dxa"/>
            <w:tcBorders>
              <w:top w:val="nil"/>
              <w:left w:val="nil"/>
              <w:bottom w:val="single" w:sz="8" w:space="0" w:color="000000"/>
              <w:right w:val="single" w:sz="8" w:space="0" w:color="auto"/>
            </w:tcBorders>
            <w:shd w:val="clear" w:color="auto" w:fill="auto"/>
            <w:vAlign w:val="center"/>
          </w:tcPr>
          <w:p w14:paraId="04B0745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2A7E90D5" w14:textId="77777777" w:rsidTr="00AC530B">
        <w:trPr>
          <w:trHeight w:val="255"/>
        </w:trPr>
        <w:tc>
          <w:tcPr>
            <w:tcW w:w="3757" w:type="dxa"/>
            <w:shd w:val="clear" w:color="auto" w:fill="99FF33"/>
            <w:noWrap/>
            <w:vAlign w:val="center"/>
          </w:tcPr>
          <w:p w14:paraId="44172647" w14:textId="4FDFD07C"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Payment Service Provider</w:t>
            </w:r>
          </w:p>
        </w:tc>
        <w:tc>
          <w:tcPr>
            <w:tcW w:w="782" w:type="dxa"/>
            <w:vAlign w:val="center"/>
          </w:tcPr>
          <w:p w14:paraId="47244890" w14:textId="77777777" w:rsidR="00AC530B" w:rsidRPr="006E20A2" w:rsidRDefault="00AC530B" w:rsidP="00AC530B">
            <w:pPr>
              <w:jc w:val="center"/>
              <w:rPr>
                <w:rFonts w:ascii="Arial" w:hAnsi="Arial"/>
                <w:b/>
                <w:bCs/>
                <w:sz w:val="16"/>
                <w:szCs w:val="16"/>
                <w:lang w:val="en-US"/>
              </w:rPr>
            </w:pPr>
          </w:p>
        </w:tc>
        <w:tc>
          <w:tcPr>
            <w:tcW w:w="728" w:type="dxa"/>
            <w:vAlign w:val="center"/>
          </w:tcPr>
          <w:p w14:paraId="5600884A"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6D795FC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4</w:t>
            </w:r>
          </w:p>
        </w:tc>
        <w:tc>
          <w:tcPr>
            <w:tcW w:w="0" w:type="auto"/>
            <w:vAlign w:val="center"/>
          </w:tcPr>
          <w:p w14:paraId="645BB6B8"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6</w:t>
            </w:r>
          </w:p>
        </w:tc>
        <w:tc>
          <w:tcPr>
            <w:tcW w:w="0" w:type="auto"/>
            <w:vAlign w:val="center"/>
          </w:tcPr>
          <w:p w14:paraId="2D7DACD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5</w:t>
            </w:r>
          </w:p>
        </w:tc>
        <w:tc>
          <w:tcPr>
            <w:tcW w:w="0" w:type="auto"/>
            <w:vAlign w:val="center"/>
          </w:tcPr>
          <w:p w14:paraId="495CF246"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16</w:t>
            </w:r>
          </w:p>
        </w:tc>
        <w:tc>
          <w:tcPr>
            <w:tcW w:w="870" w:type="dxa"/>
            <w:tcBorders>
              <w:top w:val="nil"/>
              <w:left w:val="single" w:sz="8" w:space="0" w:color="auto"/>
              <w:bottom w:val="single" w:sz="8" w:space="0" w:color="000000"/>
              <w:right w:val="single" w:sz="8" w:space="0" w:color="auto"/>
            </w:tcBorders>
            <w:shd w:val="clear" w:color="auto" w:fill="auto"/>
            <w:vAlign w:val="center"/>
          </w:tcPr>
          <w:p w14:paraId="0DC7416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38</w:t>
            </w:r>
          </w:p>
        </w:tc>
        <w:tc>
          <w:tcPr>
            <w:tcW w:w="728" w:type="dxa"/>
            <w:tcBorders>
              <w:top w:val="nil"/>
              <w:left w:val="nil"/>
              <w:bottom w:val="single" w:sz="8" w:space="0" w:color="000000"/>
              <w:right w:val="single" w:sz="8" w:space="0" w:color="auto"/>
            </w:tcBorders>
            <w:shd w:val="clear" w:color="auto" w:fill="auto"/>
            <w:vAlign w:val="center"/>
          </w:tcPr>
          <w:p w14:paraId="3025857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45</w:t>
            </w:r>
          </w:p>
        </w:tc>
      </w:tr>
      <w:tr w:rsidR="00AC530B" w:rsidRPr="006E20A2" w14:paraId="24962016" w14:textId="77777777" w:rsidTr="00AC530B">
        <w:trPr>
          <w:trHeight w:val="255"/>
        </w:trPr>
        <w:tc>
          <w:tcPr>
            <w:tcW w:w="3757" w:type="dxa"/>
            <w:shd w:val="clear" w:color="auto" w:fill="99FF33"/>
            <w:noWrap/>
            <w:vAlign w:val="center"/>
            <w:hideMark/>
          </w:tcPr>
          <w:p w14:paraId="54870A5A" w14:textId="45320560"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Other obliged entities</w:t>
            </w:r>
          </w:p>
        </w:tc>
        <w:tc>
          <w:tcPr>
            <w:tcW w:w="782" w:type="dxa"/>
            <w:vAlign w:val="center"/>
          </w:tcPr>
          <w:p w14:paraId="5BA509C4" w14:textId="77777777" w:rsidR="00AC530B" w:rsidRPr="006E20A2" w:rsidRDefault="00AC530B" w:rsidP="00AC530B">
            <w:pPr>
              <w:jc w:val="center"/>
              <w:rPr>
                <w:rFonts w:ascii="Arial" w:hAnsi="Arial"/>
                <w:b/>
                <w:bCs/>
                <w:sz w:val="16"/>
                <w:szCs w:val="16"/>
                <w:lang w:val="en-US"/>
              </w:rPr>
            </w:pPr>
          </w:p>
        </w:tc>
        <w:tc>
          <w:tcPr>
            <w:tcW w:w="728" w:type="dxa"/>
            <w:vAlign w:val="center"/>
          </w:tcPr>
          <w:p w14:paraId="657493B2"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4452F84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w:t>
            </w:r>
          </w:p>
        </w:tc>
        <w:tc>
          <w:tcPr>
            <w:tcW w:w="0" w:type="auto"/>
            <w:vAlign w:val="center"/>
          </w:tcPr>
          <w:p w14:paraId="3E0C2CEA" w14:textId="77777777" w:rsidR="00AC530B" w:rsidRPr="006E20A2" w:rsidRDefault="00AC530B" w:rsidP="00AC530B">
            <w:pPr>
              <w:jc w:val="center"/>
              <w:rPr>
                <w:rFonts w:ascii="Arial" w:hAnsi="Arial"/>
                <w:b/>
                <w:bCs/>
                <w:sz w:val="16"/>
                <w:szCs w:val="16"/>
                <w:lang w:val="en-US"/>
              </w:rPr>
            </w:pPr>
          </w:p>
        </w:tc>
        <w:tc>
          <w:tcPr>
            <w:tcW w:w="0" w:type="auto"/>
            <w:vAlign w:val="center"/>
          </w:tcPr>
          <w:p w14:paraId="7423D469"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w:t>
            </w:r>
          </w:p>
        </w:tc>
        <w:tc>
          <w:tcPr>
            <w:tcW w:w="0" w:type="auto"/>
            <w:vAlign w:val="center"/>
          </w:tcPr>
          <w:p w14:paraId="1D98C45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08B0412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4</w:t>
            </w:r>
          </w:p>
        </w:tc>
        <w:tc>
          <w:tcPr>
            <w:tcW w:w="728" w:type="dxa"/>
            <w:tcBorders>
              <w:top w:val="nil"/>
              <w:left w:val="nil"/>
              <w:bottom w:val="single" w:sz="8" w:space="0" w:color="000000"/>
              <w:right w:val="single" w:sz="8" w:space="0" w:color="auto"/>
            </w:tcBorders>
            <w:shd w:val="clear" w:color="auto" w:fill="auto"/>
            <w:vAlign w:val="center"/>
          </w:tcPr>
          <w:p w14:paraId="6CC033F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73CDAB64" w14:textId="77777777" w:rsidTr="00AC530B">
        <w:trPr>
          <w:trHeight w:val="255"/>
        </w:trPr>
        <w:tc>
          <w:tcPr>
            <w:tcW w:w="3757" w:type="dxa"/>
            <w:shd w:val="clear" w:color="auto" w:fill="99FF33"/>
            <w:noWrap/>
            <w:vAlign w:val="center"/>
            <w:hideMark/>
          </w:tcPr>
          <w:p w14:paraId="2E59BCFE" w14:textId="7C64B1B8"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Notaries</w:t>
            </w:r>
          </w:p>
        </w:tc>
        <w:tc>
          <w:tcPr>
            <w:tcW w:w="782" w:type="dxa"/>
            <w:vAlign w:val="center"/>
          </w:tcPr>
          <w:p w14:paraId="43B41D50"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vAlign w:val="center"/>
          </w:tcPr>
          <w:p w14:paraId="6FD5530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728" w:type="dxa"/>
            <w:shd w:val="clear" w:color="auto" w:fill="auto"/>
            <w:vAlign w:val="center"/>
          </w:tcPr>
          <w:p w14:paraId="65DE88D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0" w:type="auto"/>
            <w:vAlign w:val="center"/>
          </w:tcPr>
          <w:p w14:paraId="25343F34" w14:textId="77777777" w:rsidR="00AC530B" w:rsidRPr="006E20A2" w:rsidRDefault="00AC530B" w:rsidP="00AC530B">
            <w:pPr>
              <w:jc w:val="center"/>
              <w:rPr>
                <w:rFonts w:ascii="Arial" w:hAnsi="Arial"/>
                <w:b/>
                <w:bCs/>
                <w:sz w:val="16"/>
                <w:szCs w:val="16"/>
                <w:lang w:val="en-US"/>
              </w:rPr>
            </w:pPr>
          </w:p>
        </w:tc>
        <w:tc>
          <w:tcPr>
            <w:tcW w:w="0" w:type="auto"/>
            <w:vAlign w:val="center"/>
          </w:tcPr>
          <w:p w14:paraId="60696FF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0" w:type="auto"/>
            <w:vAlign w:val="center"/>
          </w:tcPr>
          <w:p w14:paraId="47F9AB9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50390E5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tcBorders>
              <w:top w:val="nil"/>
              <w:left w:val="nil"/>
              <w:bottom w:val="single" w:sz="8" w:space="0" w:color="000000"/>
              <w:right w:val="single" w:sz="8" w:space="0" w:color="auto"/>
            </w:tcBorders>
            <w:shd w:val="clear" w:color="auto" w:fill="auto"/>
            <w:vAlign w:val="center"/>
          </w:tcPr>
          <w:p w14:paraId="37E8A9F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68AC7C1B" w14:textId="77777777" w:rsidTr="00AC530B">
        <w:trPr>
          <w:trHeight w:val="255"/>
        </w:trPr>
        <w:tc>
          <w:tcPr>
            <w:tcW w:w="3757" w:type="dxa"/>
            <w:shd w:val="clear" w:color="auto" w:fill="99FF33"/>
            <w:noWrap/>
            <w:vAlign w:val="center"/>
            <w:hideMark/>
          </w:tcPr>
          <w:p w14:paraId="343517C9" w14:textId="0C57A0C5"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Lawyers</w:t>
            </w:r>
          </w:p>
        </w:tc>
        <w:tc>
          <w:tcPr>
            <w:tcW w:w="782" w:type="dxa"/>
            <w:vAlign w:val="center"/>
          </w:tcPr>
          <w:p w14:paraId="73DE489E" w14:textId="77777777" w:rsidR="00AC530B" w:rsidRPr="006E20A2" w:rsidRDefault="00AC530B" w:rsidP="00AC530B">
            <w:pPr>
              <w:jc w:val="center"/>
              <w:rPr>
                <w:rFonts w:ascii="Arial" w:hAnsi="Arial"/>
                <w:b/>
                <w:bCs/>
                <w:sz w:val="16"/>
                <w:szCs w:val="16"/>
                <w:lang w:val="en-US"/>
              </w:rPr>
            </w:pPr>
          </w:p>
        </w:tc>
        <w:tc>
          <w:tcPr>
            <w:tcW w:w="728" w:type="dxa"/>
            <w:vAlign w:val="center"/>
          </w:tcPr>
          <w:p w14:paraId="3194C3FE"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332FC503" w14:textId="77777777" w:rsidR="00AC530B" w:rsidRPr="006E20A2" w:rsidRDefault="00AC530B" w:rsidP="00AC530B">
            <w:pPr>
              <w:jc w:val="center"/>
              <w:rPr>
                <w:rFonts w:ascii="Arial" w:hAnsi="Arial"/>
                <w:b/>
                <w:bCs/>
                <w:sz w:val="16"/>
                <w:szCs w:val="16"/>
                <w:lang w:val="en-US"/>
              </w:rPr>
            </w:pPr>
          </w:p>
        </w:tc>
        <w:tc>
          <w:tcPr>
            <w:tcW w:w="0" w:type="auto"/>
            <w:shd w:val="clear" w:color="auto" w:fill="auto"/>
            <w:vAlign w:val="center"/>
          </w:tcPr>
          <w:p w14:paraId="4AA5C07B" w14:textId="77777777" w:rsidR="00AC530B" w:rsidRPr="006E20A2" w:rsidRDefault="00AC530B" w:rsidP="00AC530B">
            <w:pPr>
              <w:jc w:val="center"/>
              <w:rPr>
                <w:rFonts w:ascii="Arial" w:hAnsi="Arial"/>
                <w:b/>
                <w:bCs/>
                <w:sz w:val="16"/>
                <w:szCs w:val="16"/>
                <w:lang w:val="en-US"/>
              </w:rPr>
            </w:pPr>
          </w:p>
        </w:tc>
        <w:tc>
          <w:tcPr>
            <w:tcW w:w="0" w:type="auto"/>
            <w:vAlign w:val="center"/>
          </w:tcPr>
          <w:p w14:paraId="53D617F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5</w:t>
            </w:r>
          </w:p>
        </w:tc>
        <w:tc>
          <w:tcPr>
            <w:tcW w:w="0" w:type="auto"/>
            <w:vAlign w:val="center"/>
          </w:tcPr>
          <w:p w14:paraId="5761F3B6"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auto"/>
            <w:vAlign w:val="center"/>
          </w:tcPr>
          <w:p w14:paraId="63CF618F"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tcBorders>
              <w:top w:val="nil"/>
              <w:left w:val="nil"/>
              <w:bottom w:val="single" w:sz="8" w:space="0" w:color="000000"/>
              <w:right w:val="single" w:sz="8" w:space="0" w:color="auto"/>
            </w:tcBorders>
            <w:shd w:val="clear" w:color="auto" w:fill="auto"/>
            <w:vAlign w:val="center"/>
          </w:tcPr>
          <w:p w14:paraId="25DE9FFD"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EE1AC4" w:rsidRPr="006E20A2" w14:paraId="6575ACFD" w14:textId="77777777" w:rsidTr="00AC530B">
        <w:trPr>
          <w:trHeight w:val="255"/>
        </w:trPr>
        <w:tc>
          <w:tcPr>
            <w:tcW w:w="3757" w:type="dxa"/>
            <w:shd w:val="clear" w:color="auto" w:fill="00CCFF"/>
            <w:noWrap/>
            <w:vAlign w:val="center"/>
            <w:hideMark/>
          </w:tcPr>
          <w:p w14:paraId="3C2217C9" w14:textId="2F1D1C4D" w:rsidR="00EE1AC4" w:rsidRPr="006E20A2" w:rsidRDefault="00AC530B"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2</w:t>
            </w:r>
            <w:r w:rsidR="00EE1AC4" w:rsidRPr="006E20A2">
              <w:rPr>
                <w:rFonts w:ascii="Arial" w:hAnsi="Arial"/>
                <w:b/>
                <w:bCs/>
                <w:sz w:val="16"/>
                <w:szCs w:val="16"/>
                <w:lang w:val="en-US" w:eastAsia="sl-SI"/>
              </w:rPr>
              <w:t xml:space="preserve">. </w:t>
            </w:r>
            <w:r w:rsidRPr="006E20A2">
              <w:rPr>
                <w:rFonts w:ascii="Arial" w:hAnsi="Arial"/>
                <w:b/>
                <w:bCs/>
                <w:sz w:val="16"/>
                <w:szCs w:val="16"/>
                <w:lang w:val="en-US" w:eastAsia="sl-SI"/>
              </w:rPr>
              <w:t xml:space="preserve"> INITIATIVES OF STATE AUTHORITIES</w:t>
            </w:r>
          </w:p>
        </w:tc>
        <w:tc>
          <w:tcPr>
            <w:tcW w:w="782" w:type="dxa"/>
            <w:shd w:val="clear" w:color="auto" w:fill="00CCFF"/>
            <w:vAlign w:val="center"/>
          </w:tcPr>
          <w:p w14:paraId="02F75D27"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32</w:t>
            </w:r>
          </w:p>
        </w:tc>
        <w:tc>
          <w:tcPr>
            <w:tcW w:w="728" w:type="dxa"/>
            <w:shd w:val="clear" w:color="auto" w:fill="00CCFF"/>
            <w:vAlign w:val="center"/>
          </w:tcPr>
          <w:p w14:paraId="66BD608E"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38</w:t>
            </w:r>
          </w:p>
        </w:tc>
        <w:tc>
          <w:tcPr>
            <w:tcW w:w="728" w:type="dxa"/>
            <w:shd w:val="clear" w:color="auto" w:fill="00CCFF"/>
            <w:vAlign w:val="center"/>
          </w:tcPr>
          <w:p w14:paraId="0A2E1B0E"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49</w:t>
            </w:r>
          </w:p>
        </w:tc>
        <w:tc>
          <w:tcPr>
            <w:tcW w:w="0" w:type="auto"/>
            <w:shd w:val="clear" w:color="auto" w:fill="00CCFF"/>
            <w:vAlign w:val="center"/>
          </w:tcPr>
          <w:p w14:paraId="25D0AF0C"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w:t>
            </w:r>
          </w:p>
        </w:tc>
        <w:tc>
          <w:tcPr>
            <w:tcW w:w="0" w:type="auto"/>
            <w:shd w:val="clear" w:color="auto" w:fill="00CCFF"/>
            <w:vAlign w:val="center"/>
          </w:tcPr>
          <w:p w14:paraId="51D8135C"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81</w:t>
            </w:r>
          </w:p>
        </w:tc>
        <w:tc>
          <w:tcPr>
            <w:tcW w:w="0" w:type="auto"/>
            <w:shd w:val="clear" w:color="auto" w:fill="00CCFF"/>
            <w:vAlign w:val="center"/>
          </w:tcPr>
          <w:p w14:paraId="696B8C82"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w:t>
            </w:r>
          </w:p>
        </w:tc>
        <w:tc>
          <w:tcPr>
            <w:tcW w:w="870" w:type="dxa"/>
            <w:tcBorders>
              <w:top w:val="nil"/>
              <w:left w:val="single" w:sz="8" w:space="0" w:color="auto"/>
              <w:bottom w:val="single" w:sz="8" w:space="0" w:color="000000"/>
              <w:right w:val="single" w:sz="8" w:space="0" w:color="auto"/>
            </w:tcBorders>
            <w:shd w:val="clear" w:color="auto" w:fill="33CCFF"/>
            <w:vAlign w:val="center"/>
          </w:tcPr>
          <w:p w14:paraId="5DFA3A21"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115</w:t>
            </w:r>
          </w:p>
        </w:tc>
        <w:tc>
          <w:tcPr>
            <w:tcW w:w="728" w:type="dxa"/>
            <w:tcBorders>
              <w:top w:val="nil"/>
              <w:left w:val="nil"/>
              <w:bottom w:val="single" w:sz="8" w:space="0" w:color="000000"/>
              <w:right w:val="single" w:sz="8" w:space="0" w:color="auto"/>
            </w:tcBorders>
            <w:shd w:val="clear" w:color="auto" w:fill="33CCFF"/>
            <w:vAlign w:val="center"/>
          </w:tcPr>
          <w:p w14:paraId="6394FB33"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w:t>
            </w:r>
          </w:p>
        </w:tc>
      </w:tr>
      <w:tr w:rsidR="00EE1AC4" w:rsidRPr="006E20A2" w14:paraId="0428B273" w14:textId="77777777" w:rsidTr="00AC530B">
        <w:trPr>
          <w:trHeight w:val="255"/>
        </w:trPr>
        <w:tc>
          <w:tcPr>
            <w:tcW w:w="3757" w:type="dxa"/>
            <w:shd w:val="clear" w:color="auto" w:fill="00CCFF"/>
            <w:noWrap/>
            <w:vAlign w:val="center"/>
            <w:hideMark/>
          </w:tcPr>
          <w:p w14:paraId="6E7A6177" w14:textId="77777777" w:rsidR="00EE1AC4" w:rsidRPr="006E20A2" w:rsidRDefault="00EE1AC4"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 </w:t>
            </w:r>
          </w:p>
        </w:tc>
        <w:tc>
          <w:tcPr>
            <w:tcW w:w="782" w:type="dxa"/>
            <w:shd w:val="clear" w:color="auto" w:fill="00CCFF"/>
            <w:vAlign w:val="center"/>
          </w:tcPr>
          <w:p w14:paraId="67FA0039" w14:textId="57D9DF98"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7,12</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7CE77D6B" w14:textId="3C207A9B"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6,81</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57C37598" w14:textId="2FEA5F04"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6,46</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00832EA6" w14:textId="774F038A"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6,90</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43A15565" w14:textId="0E876DF2"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7,80</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1F55DB49" w14:textId="7A8855E4"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16,13</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870" w:type="dxa"/>
            <w:tcBorders>
              <w:top w:val="nil"/>
              <w:left w:val="single" w:sz="8" w:space="0" w:color="auto"/>
              <w:bottom w:val="single" w:sz="8" w:space="0" w:color="000000"/>
              <w:right w:val="single" w:sz="8" w:space="0" w:color="auto"/>
            </w:tcBorders>
            <w:shd w:val="clear" w:color="auto" w:fill="33CCFF"/>
            <w:vAlign w:val="center"/>
          </w:tcPr>
          <w:p w14:paraId="3BCA4B6C" w14:textId="763BA886"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10,61</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tcBorders>
              <w:top w:val="nil"/>
              <w:left w:val="nil"/>
              <w:bottom w:val="single" w:sz="8" w:space="0" w:color="000000"/>
              <w:right w:val="single" w:sz="8" w:space="0" w:color="auto"/>
            </w:tcBorders>
            <w:shd w:val="clear" w:color="auto" w:fill="33CCFF"/>
            <w:vAlign w:val="center"/>
          </w:tcPr>
          <w:p w14:paraId="5ABC4826" w14:textId="57F6CDE9" w:rsidR="00EE1AC4" w:rsidRPr="006E20A2" w:rsidRDefault="00EE1AC4" w:rsidP="00475AFD">
            <w:pPr>
              <w:jc w:val="center"/>
              <w:rPr>
                <w:rFonts w:ascii="Arial" w:hAnsi="Arial"/>
                <w:b/>
                <w:bCs/>
                <w:sz w:val="16"/>
                <w:szCs w:val="16"/>
                <w:lang w:val="en-US"/>
              </w:rPr>
            </w:pPr>
            <w:r w:rsidRPr="006E20A2">
              <w:rPr>
                <w:rFonts w:ascii="Arial" w:hAnsi="Arial"/>
                <w:b/>
                <w:bCs/>
                <w:sz w:val="16"/>
                <w:szCs w:val="16"/>
                <w:lang w:val="en-US"/>
              </w:rPr>
              <w:t>1,89</w:t>
            </w:r>
            <w:r w:rsidR="00475AFD" w:rsidRPr="006E20A2">
              <w:rPr>
                <w:rFonts w:ascii="Arial" w:hAnsi="Arial"/>
                <w:b/>
                <w:bCs/>
                <w:sz w:val="16"/>
                <w:szCs w:val="16"/>
                <w:lang w:val="en-US"/>
              </w:rPr>
              <w:t> </w:t>
            </w:r>
            <w:r w:rsidRPr="006E20A2">
              <w:rPr>
                <w:rFonts w:ascii="Arial" w:hAnsi="Arial"/>
                <w:b/>
                <w:bCs/>
                <w:sz w:val="16"/>
                <w:szCs w:val="16"/>
                <w:lang w:val="en-US"/>
              </w:rPr>
              <w:t>%</w:t>
            </w:r>
          </w:p>
        </w:tc>
      </w:tr>
      <w:tr w:rsidR="00AC530B" w:rsidRPr="006E20A2" w14:paraId="303F44B1" w14:textId="77777777" w:rsidTr="00AC530B">
        <w:trPr>
          <w:trHeight w:val="255"/>
        </w:trPr>
        <w:tc>
          <w:tcPr>
            <w:tcW w:w="3757" w:type="dxa"/>
            <w:shd w:val="clear" w:color="auto" w:fill="99FF33"/>
            <w:noWrap/>
            <w:vAlign w:val="center"/>
            <w:hideMark/>
          </w:tcPr>
          <w:p w14:paraId="285294AF" w14:textId="568DEF78"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Ministry of Interior, Criminal Police Directorate</w:t>
            </w:r>
          </w:p>
        </w:tc>
        <w:tc>
          <w:tcPr>
            <w:tcW w:w="782" w:type="dxa"/>
            <w:vAlign w:val="center"/>
          </w:tcPr>
          <w:p w14:paraId="031ECC2E"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18</w:t>
            </w:r>
          </w:p>
        </w:tc>
        <w:tc>
          <w:tcPr>
            <w:tcW w:w="728" w:type="dxa"/>
            <w:vAlign w:val="center"/>
          </w:tcPr>
          <w:p w14:paraId="4F8BA294"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18</w:t>
            </w:r>
          </w:p>
        </w:tc>
        <w:tc>
          <w:tcPr>
            <w:tcW w:w="728" w:type="dxa"/>
            <w:shd w:val="clear" w:color="auto" w:fill="auto"/>
            <w:vAlign w:val="center"/>
          </w:tcPr>
          <w:p w14:paraId="3AE8E58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30</w:t>
            </w:r>
          </w:p>
        </w:tc>
        <w:tc>
          <w:tcPr>
            <w:tcW w:w="0" w:type="auto"/>
            <w:vAlign w:val="center"/>
          </w:tcPr>
          <w:p w14:paraId="13B95943" w14:textId="77777777" w:rsidR="00AC530B" w:rsidRPr="006E20A2" w:rsidRDefault="00AC530B" w:rsidP="00AC530B">
            <w:pPr>
              <w:jc w:val="center"/>
              <w:rPr>
                <w:rFonts w:ascii="Arial" w:hAnsi="Arial"/>
                <w:b/>
                <w:bCs/>
                <w:sz w:val="16"/>
                <w:szCs w:val="16"/>
                <w:lang w:val="en-US"/>
              </w:rPr>
            </w:pPr>
          </w:p>
        </w:tc>
        <w:tc>
          <w:tcPr>
            <w:tcW w:w="0" w:type="auto"/>
            <w:vAlign w:val="center"/>
          </w:tcPr>
          <w:p w14:paraId="48A2192F"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48</w:t>
            </w:r>
          </w:p>
        </w:tc>
        <w:tc>
          <w:tcPr>
            <w:tcW w:w="0" w:type="auto"/>
            <w:vAlign w:val="center"/>
          </w:tcPr>
          <w:p w14:paraId="0DAD029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4149C8AE"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70</w:t>
            </w:r>
          </w:p>
        </w:tc>
        <w:tc>
          <w:tcPr>
            <w:tcW w:w="728" w:type="dxa"/>
            <w:tcBorders>
              <w:top w:val="nil"/>
              <w:left w:val="nil"/>
              <w:bottom w:val="single" w:sz="8" w:space="0" w:color="auto"/>
              <w:right w:val="single" w:sz="8" w:space="0" w:color="auto"/>
            </w:tcBorders>
            <w:shd w:val="clear" w:color="auto" w:fill="auto"/>
            <w:vAlign w:val="center"/>
          </w:tcPr>
          <w:p w14:paraId="46A482E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2A9A2674" w14:textId="77777777" w:rsidTr="00AC530B">
        <w:trPr>
          <w:trHeight w:val="255"/>
        </w:trPr>
        <w:tc>
          <w:tcPr>
            <w:tcW w:w="3757" w:type="dxa"/>
            <w:shd w:val="clear" w:color="auto" w:fill="99FF33"/>
            <w:noWrap/>
            <w:vAlign w:val="center"/>
            <w:hideMark/>
          </w:tcPr>
          <w:p w14:paraId="063B138B" w14:textId="18A47E11"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State Prosecutor`s Office</w:t>
            </w:r>
          </w:p>
        </w:tc>
        <w:tc>
          <w:tcPr>
            <w:tcW w:w="782" w:type="dxa"/>
            <w:vAlign w:val="center"/>
          </w:tcPr>
          <w:p w14:paraId="23697BC9"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7</w:t>
            </w:r>
          </w:p>
        </w:tc>
        <w:tc>
          <w:tcPr>
            <w:tcW w:w="728" w:type="dxa"/>
            <w:vAlign w:val="center"/>
          </w:tcPr>
          <w:p w14:paraId="20BEA204"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13</w:t>
            </w:r>
          </w:p>
        </w:tc>
        <w:tc>
          <w:tcPr>
            <w:tcW w:w="728" w:type="dxa"/>
            <w:shd w:val="clear" w:color="auto" w:fill="auto"/>
            <w:vAlign w:val="center"/>
          </w:tcPr>
          <w:p w14:paraId="4C5A3EAE"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13</w:t>
            </w:r>
          </w:p>
        </w:tc>
        <w:tc>
          <w:tcPr>
            <w:tcW w:w="0" w:type="auto"/>
            <w:vAlign w:val="center"/>
          </w:tcPr>
          <w:p w14:paraId="3D238123" w14:textId="77777777" w:rsidR="00AC530B" w:rsidRPr="006E20A2" w:rsidRDefault="00AC530B" w:rsidP="00AC530B">
            <w:pPr>
              <w:jc w:val="center"/>
              <w:rPr>
                <w:rFonts w:ascii="Arial" w:hAnsi="Arial"/>
                <w:b/>
                <w:bCs/>
                <w:sz w:val="16"/>
                <w:szCs w:val="16"/>
                <w:lang w:val="en-US"/>
              </w:rPr>
            </w:pPr>
          </w:p>
        </w:tc>
        <w:tc>
          <w:tcPr>
            <w:tcW w:w="0" w:type="auto"/>
            <w:vAlign w:val="center"/>
          </w:tcPr>
          <w:p w14:paraId="161DF316"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20</w:t>
            </w:r>
          </w:p>
        </w:tc>
        <w:tc>
          <w:tcPr>
            <w:tcW w:w="0" w:type="auto"/>
            <w:vAlign w:val="center"/>
          </w:tcPr>
          <w:p w14:paraId="16033E8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158288F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17</w:t>
            </w:r>
          </w:p>
        </w:tc>
        <w:tc>
          <w:tcPr>
            <w:tcW w:w="728" w:type="dxa"/>
            <w:tcBorders>
              <w:top w:val="nil"/>
              <w:left w:val="nil"/>
              <w:bottom w:val="single" w:sz="8" w:space="0" w:color="auto"/>
              <w:right w:val="single" w:sz="8" w:space="0" w:color="auto"/>
            </w:tcBorders>
            <w:shd w:val="clear" w:color="auto" w:fill="auto"/>
            <w:vAlign w:val="center"/>
          </w:tcPr>
          <w:p w14:paraId="4BCDA0AF"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03ECD941" w14:textId="77777777" w:rsidTr="00AC530B">
        <w:trPr>
          <w:trHeight w:val="255"/>
        </w:trPr>
        <w:tc>
          <w:tcPr>
            <w:tcW w:w="3757" w:type="dxa"/>
            <w:shd w:val="clear" w:color="auto" w:fill="99FF33"/>
            <w:noWrap/>
            <w:vAlign w:val="center"/>
            <w:hideMark/>
          </w:tcPr>
          <w:p w14:paraId="76C1F18D" w14:textId="03473A87"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Court</w:t>
            </w:r>
          </w:p>
        </w:tc>
        <w:tc>
          <w:tcPr>
            <w:tcW w:w="782" w:type="dxa"/>
            <w:vAlign w:val="center"/>
          </w:tcPr>
          <w:p w14:paraId="095C9E0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vAlign w:val="center"/>
          </w:tcPr>
          <w:p w14:paraId="4126D998"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0A766367" w14:textId="77777777" w:rsidR="00AC530B" w:rsidRPr="006E20A2" w:rsidRDefault="00AC530B" w:rsidP="00AC530B">
            <w:pPr>
              <w:jc w:val="center"/>
              <w:rPr>
                <w:rFonts w:ascii="Arial" w:hAnsi="Arial"/>
                <w:b/>
                <w:bCs/>
                <w:sz w:val="16"/>
                <w:szCs w:val="16"/>
                <w:lang w:val="en-US"/>
              </w:rPr>
            </w:pPr>
          </w:p>
        </w:tc>
        <w:tc>
          <w:tcPr>
            <w:tcW w:w="0" w:type="auto"/>
            <w:vAlign w:val="center"/>
          </w:tcPr>
          <w:p w14:paraId="7AD02F52" w14:textId="77777777" w:rsidR="00AC530B" w:rsidRPr="006E20A2" w:rsidRDefault="00AC530B" w:rsidP="00AC530B">
            <w:pPr>
              <w:jc w:val="center"/>
              <w:rPr>
                <w:rFonts w:ascii="Arial" w:hAnsi="Arial"/>
                <w:b/>
                <w:bCs/>
                <w:sz w:val="16"/>
                <w:szCs w:val="16"/>
                <w:lang w:val="en-US"/>
              </w:rPr>
            </w:pPr>
          </w:p>
        </w:tc>
        <w:tc>
          <w:tcPr>
            <w:tcW w:w="0" w:type="auto"/>
            <w:vAlign w:val="center"/>
          </w:tcPr>
          <w:p w14:paraId="1FB452E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4</w:t>
            </w:r>
          </w:p>
        </w:tc>
        <w:tc>
          <w:tcPr>
            <w:tcW w:w="0" w:type="auto"/>
            <w:vAlign w:val="center"/>
          </w:tcPr>
          <w:p w14:paraId="63DC3F6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13793F1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w:t>
            </w:r>
          </w:p>
        </w:tc>
        <w:tc>
          <w:tcPr>
            <w:tcW w:w="728" w:type="dxa"/>
            <w:tcBorders>
              <w:top w:val="nil"/>
              <w:left w:val="nil"/>
              <w:bottom w:val="single" w:sz="8" w:space="0" w:color="auto"/>
              <w:right w:val="single" w:sz="8" w:space="0" w:color="auto"/>
            </w:tcBorders>
            <w:shd w:val="clear" w:color="auto" w:fill="auto"/>
            <w:vAlign w:val="center"/>
          </w:tcPr>
          <w:p w14:paraId="2D753130"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72D6EA09" w14:textId="77777777" w:rsidTr="00AC530B">
        <w:trPr>
          <w:trHeight w:val="255"/>
        </w:trPr>
        <w:tc>
          <w:tcPr>
            <w:tcW w:w="3757" w:type="dxa"/>
            <w:shd w:val="clear" w:color="auto" w:fill="99FF33"/>
            <w:noWrap/>
            <w:vAlign w:val="center"/>
            <w:hideMark/>
          </w:tcPr>
          <w:p w14:paraId="30574BC9" w14:textId="48BF3944"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Commission for the Prevention of Corruption</w:t>
            </w:r>
          </w:p>
        </w:tc>
        <w:tc>
          <w:tcPr>
            <w:tcW w:w="782" w:type="dxa"/>
            <w:vAlign w:val="center"/>
          </w:tcPr>
          <w:p w14:paraId="20032833" w14:textId="77777777" w:rsidR="00AC530B" w:rsidRPr="006E20A2" w:rsidRDefault="00AC530B" w:rsidP="00AC530B">
            <w:pPr>
              <w:jc w:val="center"/>
              <w:rPr>
                <w:rFonts w:ascii="Arial" w:hAnsi="Arial"/>
                <w:b/>
                <w:bCs/>
                <w:sz w:val="16"/>
                <w:szCs w:val="16"/>
                <w:lang w:val="en-US"/>
              </w:rPr>
            </w:pPr>
          </w:p>
        </w:tc>
        <w:tc>
          <w:tcPr>
            <w:tcW w:w="728" w:type="dxa"/>
            <w:vAlign w:val="center"/>
          </w:tcPr>
          <w:p w14:paraId="3429FFA0"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4A406176" w14:textId="77777777" w:rsidR="00AC530B" w:rsidRPr="006E20A2" w:rsidRDefault="00AC530B" w:rsidP="00AC530B">
            <w:pPr>
              <w:jc w:val="center"/>
              <w:rPr>
                <w:rFonts w:ascii="Arial" w:hAnsi="Arial"/>
                <w:b/>
                <w:bCs/>
                <w:color w:val="FF0000"/>
                <w:sz w:val="16"/>
                <w:szCs w:val="16"/>
                <w:lang w:val="en-US"/>
              </w:rPr>
            </w:pPr>
          </w:p>
        </w:tc>
        <w:tc>
          <w:tcPr>
            <w:tcW w:w="0" w:type="auto"/>
            <w:vAlign w:val="center"/>
          </w:tcPr>
          <w:p w14:paraId="22E7B885" w14:textId="77777777" w:rsidR="00AC530B" w:rsidRPr="006E20A2" w:rsidRDefault="00AC530B" w:rsidP="00AC530B">
            <w:pPr>
              <w:jc w:val="center"/>
              <w:rPr>
                <w:rFonts w:ascii="Arial" w:hAnsi="Arial"/>
                <w:b/>
                <w:bCs/>
                <w:color w:val="FF0000"/>
                <w:sz w:val="16"/>
                <w:szCs w:val="16"/>
                <w:lang w:val="en-US"/>
              </w:rPr>
            </w:pPr>
          </w:p>
        </w:tc>
        <w:tc>
          <w:tcPr>
            <w:tcW w:w="0" w:type="auto"/>
            <w:vAlign w:val="center"/>
          </w:tcPr>
          <w:p w14:paraId="2E9E9930"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0" w:type="auto"/>
            <w:vAlign w:val="center"/>
          </w:tcPr>
          <w:p w14:paraId="15679C3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42E15C7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tcBorders>
              <w:top w:val="nil"/>
              <w:left w:val="nil"/>
              <w:bottom w:val="single" w:sz="8" w:space="0" w:color="auto"/>
              <w:right w:val="single" w:sz="8" w:space="0" w:color="auto"/>
            </w:tcBorders>
            <w:shd w:val="clear" w:color="auto" w:fill="auto"/>
            <w:vAlign w:val="center"/>
          </w:tcPr>
          <w:p w14:paraId="5AA47986"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r>
      <w:tr w:rsidR="00AC530B" w:rsidRPr="006E20A2" w14:paraId="0588E0AB" w14:textId="77777777" w:rsidTr="00AC530B">
        <w:trPr>
          <w:trHeight w:val="255"/>
        </w:trPr>
        <w:tc>
          <w:tcPr>
            <w:tcW w:w="3757" w:type="dxa"/>
            <w:shd w:val="clear" w:color="auto" w:fill="99FF33"/>
            <w:noWrap/>
            <w:vAlign w:val="center"/>
            <w:hideMark/>
          </w:tcPr>
          <w:p w14:paraId="39DD4BBD" w14:textId="3037E90A"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Slovenian Intelligence and Security Agency</w:t>
            </w:r>
          </w:p>
        </w:tc>
        <w:tc>
          <w:tcPr>
            <w:tcW w:w="782" w:type="dxa"/>
            <w:vAlign w:val="center"/>
          </w:tcPr>
          <w:p w14:paraId="79AF5DDC"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6</w:t>
            </w:r>
          </w:p>
        </w:tc>
        <w:tc>
          <w:tcPr>
            <w:tcW w:w="728" w:type="dxa"/>
            <w:vAlign w:val="center"/>
          </w:tcPr>
          <w:p w14:paraId="57B0B6B5"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7</w:t>
            </w:r>
          </w:p>
        </w:tc>
        <w:tc>
          <w:tcPr>
            <w:tcW w:w="728" w:type="dxa"/>
            <w:shd w:val="clear" w:color="auto" w:fill="auto"/>
            <w:vAlign w:val="center"/>
          </w:tcPr>
          <w:p w14:paraId="315E2C46"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6</w:t>
            </w:r>
          </w:p>
        </w:tc>
        <w:tc>
          <w:tcPr>
            <w:tcW w:w="0" w:type="auto"/>
            <w:shd w:val="clear" w:color="auto" w:fill="auto"/>
            <w:vAlign w:val="center"/>
          </w:tcPr>
          <w:p w14:paraId="04D5503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0672750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9</w:t>
            </w:r>
          </w:p>
        </w:tc>
        <w:tc>
          <w:tcPr>
            <w:tcW w:w="0" w:type="auto"/>
            <w:vAlign w:val="center"/>
          </w:tcPr>
          <w:p w14:paraId="7000E988"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5</w:t>
            </w:r>
          </w:p>
        </w:tc>
        <w:tc>
          <w:tcPr>
            <w:tcW w:w="870" w:type="dxa"/>
            <w:tcBorders>
              <w:top w:val="nil"/>
              <w:left w:val="single" w:sz="8" w:space="0" w:color="auto"/>
              <w:bottom w:val="single" w:sz="8" w:space="0" w:color="auto"/>
              <w:right w:val="single" w:sz="8" w:space="0" w:color="auto"/>
            </w:tcBorders>
            <w:shd w:val="clear" w:color="auto" w:fill="auto"/>
            <w:vAlign w:val="center"/>
          </w:tcPr>
          <w:p w14:paraId="6E0BEBA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24</w:t>
            </w:r>
          </w:p>
        </w:tc>
        <w:tc>
          <w:tcPr>
            <w:tcW w:w="728" w:type="dxa"/>
            <w:tcBorders>
              <w:top w:val="nil"/>
              <w:left w:val="nil"/>
              <w:bottom w:val="single" w:sz="8" w:space="0" w:color="auto"/>
              <w:right w:val="single" w:sz="8" w:space="0" w:color="auto"/>
            </w:tcBorders>
            <w:shd w:val="clear" w:color="auto" w:fill="auto"/>
            <w:vAlign w:val="center"/>
          </w:tcPr>
          <w:p w14:paraId="5A5B8EF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r>
      <w:tr w:rsidR="00AC530B" w:rsidRPr="006E20A2" w14:paraId="653F8ACF" w14:textId="77777777" w:rsidTr="00AC530B">
        <w:trPr>
          <w:trHeight w:val="255"/>
        </w:trPr>
        <w:tc>
          <w:tcPr>
            <w:tcW w:w="3757" w:type="dxa"/>
            <w:shd w:val="clear" w:color="auto" w:fill="99FF33"/>
            <w:noWrap/>
            <w:vAlign w:val="center"/>
          </w:tcPr>
          <w:p w14:paraId="6F1FBD69" w14:textId="09C9C164"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 xml:space="preserve">Ministry of </w:t>
            </w:r>
            <w:proofErr w:type="spellStart"/>
            <w:r w:rsidRPr="006E20A2">
              <w:rPr>
                <w:rFonts w:ascii="Arial" w:hAnsi="Arial"/>
                <w:b/>
                <w:bCs/>
                <w:sz w:val="16"/>
                <w:szCs w:val="16"/>
                <w:lang w:val="en-US" w:eastAsia="sl-SI"/>
              </w:rPr>
              <w:t>Defence</w:t>
            </w:r>
            <w:proofErr w:type="spellEnd"/>
            <w:r w:rsidRPr="006E20A2">
              <w:rPr>
                <w:rFonts w:ascii="Arial" w:hAnsi="Arial"/>
                <w:b/>
                <w:bCs/>
                <w:sz w:val="16"/>
                <w:szCs w:val="16"/>
                <w:lang w:val="en-US" w:eastAsia="sl-SI"/>
              </w:rPr>
              <w:t>, Intelligence Security Service</w:t>
            </w:r>
          </w:p>
        </w:tc>
        <w:tc>
          <w:tcPr>
            <w:tcW w:w="782" w:type="dxa"/>
            <w:vAlign w:val="center"/>
          </w:tcPr>
          <w:p w14:paraId="2FB25550" w14:textId="77777777" w:rsidR="00AC530B" w:rsidRPr="006E20A2" w:rsidRDefault="00AC530B" w:rsidP="00AC530B">
            <w:pPr>
              <w:jc w:val="center"/>
              <w:rPr>
                <w:rFonts w:ascii="Arial" w:hAnsi="Arial"/>
                <w:b/>
                <w:bCs/>
                <w:sz w:val="16"/>
                <w:szCs w:val="16"/>
                <w:lang w:val="en-US"/>
              </w:rPr>
            </w:pPr>
          </w:p>
        </w:tc>
        <w:tc>
          <w:tcPr>
            <w:tcW w:w="728" w:type="dxa"/>
            <w:vAlign w:val="center"/>
          </w:tcPr>
          <w:p w14:paraId="677FB4C1"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29463006" w14:textId="77777777" w:rsidR="00AC530B" w:rsidRPr="006E20A2" w:rsidRDefault="00AC530B" w:rsidP="00AC530B">
            <w:pPr>
              <w:jc w:val="center"/>
              <w:rPr>
                <w:rFonts w:ascii="Arial" w:hAnsi="Arial"/>
                <w:b/>
                <w:bCs/>
                <w:sz w:val="16"/>
                <w:szCs w:val="16"/>
                <w:lang w:val="en-US"/>
              </w:rPr>
            </w:pPr>
          </w:p>
        </w:tc>
        <w:tc>
          <w:tcPr>
            <w:tcW w:w="0" w:type="auto"/>
            <w:shd w:val="clear" w:color="auto" w:fill="auto"/>
            <w:vAlign w:val="center"/>
          </w:tcPr>
          <w:p w14:paraId="04AD1CD7"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0038229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0" w:type="auto"/>
            <w:vAlign w:val="center"/>
          </w:tcPr>
          <w:p w14:paraId="04940DC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3EE1DFCB" w14:textId="77777777" w:rsidR="00AC530B" w:rsidRPr="006E20A2" w:rsidRDefault="00AC530B" w:rsidP="00AC530B">
            <w:pPr>
              <w:jc w:val="center"/>
              <w:rPr>
                <w:rFonts w:ascii="Arial" w:hAnsi="Arial"/>
                <w:b/>
                <w:bCs/>
                <w:sz w:val="20"/>
                <w:lang w:val="en-US"/>
              </w:rPr>
            </w:pPr>
            <w:r w:rsidRPr="006E20A2">
              <w:rPr>
                <w:rFonts w:ascii="Arial" w:hAnsi="Arial"/>
                <w:b/>
                <w:bCs/>
                <w:sz w:val="20"/>
                <w:lang w:val="en-US"/>
              </w:rPr>
              <w:t> </w:t>
            </w:r>
          </w:p>
        </w:tc>
        <w:tc>
          <w:tcPr>
            <w:tcW w:w="728" w:type="dxa"/>
            <w:tcBorders>
              <w:top w:val="nil"/>
              <w:left w:val="nil"/>
              <w:bottom w:val="single" w:sz="8" w:space="0" w:color="auto"/>
              <w:right w:val="single" w:sz="8" w:space="0" w:color="auto"/>
            </w:tcBorders>
            <w:shd w:val="clear" w:color="auto" w:fill="auto"/>
            <w:vAlign w:val="center"/>
          </w:tcPr>
          <w:p w14:paraId="7A5335B0" w14:textId="77777777" w:rsidR="00AC530B" w:rsidRPr="006E20A2" w:rsidRDefault="00AC530B" w:rsidP="00AC530B">
            <w:pPr>
              <w:jc w:val="center"/>
              <w:rPr>
                <w:rFonts w:ascii="Arial" w:hAnsi="Arial"/>
                <w:b/>
                <w:bCs/>
                <w:sz w:val="20"/>
                <w:lang w:val="en-US"/>
              </w:rPr>
            </w:pPr>
            <w:r w:rsidRPr="006E20A2">
              <w:rPr>
                <w:rFonts w:ascii="Arial" w:hAnsi="Arial"/>
                <w:b/>
                <w:bCs/>
                <w:sz w:val="20"/>
                <w:lang w:val="en-US"/>
              </w:rPr>
              <w:t> </w:t>
            </w:r>
          </w:p>
        </w:tc>
      </w:tr>
      <w:tr w:rsidR="00EE1AC4" w:rsidRPr="006E20A2" w14:paraId="3527BF40" w14:textId="77777777" w:rsidTr="00AC530B">
        <w:trPr>
          <w:trHeight w:val="255"/>
        </w:trPr>
        <w:tc>
          <w:tcPr>
            <w:tcW w:w="3757" w:type="dxa"/>
            <w:shd w:val="clear" w:color="auto" w:fill="00CCFF"/>
            <w:noWrap/>
            <w:vAlign w:val="center"/>
            <w:hideMark/>
          </w:tcPr>
          <w:p w14:paraId="51BD1A5D" w14:textId="10EA057F" w:rsidR="00EE1AC4" w:rsidRPr="006E20A2" w:rsidRDefault="00AC530B"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3</w:t>
            </w:r>
            <w:r w:rsidR="00EE1AC4" w:rsidRPr="006E20A2">
              <w:rPr>
                <w:rFonts w:ascii="Arial" w:hAnsi="Arial"/>
                <w:b/>
                <w:bCs/>
                <w:sz w:val="16"/>
                <w:szCs w:val="16"/>
                <w:lang w:val="en-US" w:eastAsia="sl-SI"/>
              </w:rPr>
              <w:t xml:space="preserve">. </w:t>
            </w:r>
            <w:r w:rsidRPr="006E20A2">
              <w:rPr>
                <w:rFonts w:ascii="Arial" w:hAnsi="Arial"/>
                <w:b/>
                <w:bCs/>
                <w:sz w:val="16"/>
                <w:szCs w:val="16"/>
                <w:lang w:val="en-US" w:eastAsia="sl-SI"/>
              </w:rPr>
              <w:t xml:space="preserve"> REPORTING OF THE FACTS OF SUPERVISORY AUTHORITIES</w:t>
            </w:r>
          </w:p>
        </w:tc>
        <w:tc>
          <w:tcPr>
            <w:tcW w:w="782" w:type="dxa"/>
            <w:shd w:val="clear" w:color="auto" w:fill="00CCFF"/>
            <w:vAlign w:val="center"/>
          </w:tcPr>
          <w:p w14:paraId="5EA94297"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3</w:t>
            </w:r>
          </w:p>
        </w:tc>
        <w:tc>
          <w:tcPr>
            <w:tcW w:w="728" w:type="dxa"/>
            <w:shd w:val="clear" w:color="auto" w:fill="00CCFF"/>
            <w:vAlign w:val="center"/>
          </w:tcPr>
          <w:p w14:paraId="1E6C8EC6"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3</w:t>
            </w:r>
          </w:p>
        </w:tc>
        <w:tc>
          <w:tcPr>
            <w:tcW w:w="728" w:type="dxa"/>
            <w:shd w:val="clear" w:color="auto" w:fill="00CCFF"/>
            <w:vAlign w:val="center"/>
          </w:tcPr>
          <w:p w14:paraId="45ADF555"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w:t>
            </w:r>
          </w:p>
        </w:tc>
        <w:tc>
          <w:tcPr>
            <w:tcW w:w="0" w:type="auto"/>
            <w:shd w:val="clear" w:color="auto" w:fill="00CCFF"/>
            <w:vAlign w:val="center"/>
          </w:tcPr>
          <w:p w14:paraId="3DA98895"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w:t>
            </w:r>
          </w:p>
        </w:tc>
        <w:tc>
          <w:tcPr>
            <w:tcW w:w="0" w:type="auto"/>
            <w:shd w:val="clear" w:color="auto" w:fill="00CCFF"/>
            <w:vAlign w:val="center"/>
          </w:tcPr>
          <w:p w14:paraId="2BE999A4"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14</w:t>
            </w:r>
          </w:p>
        </w:tc>
        <w:tc>
          <w:tcPr>
            <w:tcW w:w="0" w:type="auto"/>
            <w:shd w:val="clear" w:color="auto" w:fill="00CCFF"/>
            <w:vAlign w:val="center"/>
          </w:tcPr>
          <w:p w14:paraId="3BB7F66E"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w:t>
            </w:r>
          </w:p>
        </w:tc>
        <w:tc>
          <w:tcPr>
            <w:tcW w:w="870" w:type="dxa"/>
            <w:shd w:val="clear" w:color="auto" w:fill="00CCFF"/>
            <w:vAlign w:val="bottom"/>
          </w:tcPr>
          <w:p w14:paraId="1B75A93D"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16</w:t>
            </w:r>
          </w:p>
        </w:tc>
        <w:tc>
          <w:tcPr>
            <w:tcW w:w="728" w:type="dxa"/>
            <w:shd w:val="clear" w:color="auto" w:fill="00CCFF"/>
            <w:vAlign w:val="bottom"/>
          </w:tcPr>
          <w:p w14:paraId="0BEA4362"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w:t>
            </w:r>
          </w:p>
        </w:tc>
      </w:tr>
      <w:tr w:rsidR="00EE1AC4" w:rsidRPr="006E20A2" w14:paraId="1B772190" w14:textId="77777777" w:rsidTr="00AC530B">
        <w:trPr>
          <w:trHeight w:val="255"/>
        </w:trPr>
        <w:tc>
          <w:tcPr>
            <w:tcW w:w="3757" w:type="dxa"/>
            <w:shd w:val="clear" w:color="auto" w:fill="00CCFF"/>
            <w:noWrap/>
            <w:vAlign w:val="center"/>
            <w:hideMark/>
          </w:tcPr>
          <w:p w14:paraId="50E0BA03" w14:textId="77777777" w:rsidR="00EE1AC4" w:rsidRPr="006E20A2" w:rsidRDefault="00EE1AC4"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 </w:t>
            </w:r>
          </w:p>
        </w:tc>
        <w:tc>
          <w:tcPr>
            <w:tcW w:w="782" w:type="dxa"/>
            <w:shd w:val="clear" w:color="auto" w:fill="00CCFF"/>
            <w:vAlign w:val="center"/>
          </w:tcPr>
          <w:p w14:paraId="584CF508" w14:textId="4AF51093"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0,67</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1B611BFC" w14:textId="2C15B5E9"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0,54</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777B517C" w14:textId="2EAA5A19"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0,66</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50F1F210" w14:textId="609C391F"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0,00</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6CE03EEE" w14:textId="453E9EA0"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1,35</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71DB189C" w14:textId="55D0AA7B"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0,00</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870" w:type="dxa"/>
            <w:shd w:val="clear" w:color="auto" w:fill="00CCFF"/>
            <w:vAlign w:val="bottom"/>
          </w:tcPr>
          <w:p w14:paraId="7D4C0517" w14:textId="0A3767B5"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1,48</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bottom"/>
          </w:tcPr>
          <w:p w14:paraId="686C3D43" w14:textId="43157840"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0,00</w:t>
            </w:r>
            <w:r w:rsidR="00475AFD" w:rsidRPr="006E20A2">
              <w:rPr>
                <w:rFonts w:ascii="Arial" w:hAnsi="Arial"/>
                <w:b/>
                <w:bCs/>
                <w:sz w:val="16"/>
                <w:szCs w:val="16"/>
                <w:lang w:val="en-US"/>
              </w:rPr>
              <w:t> </w:t>
            </w:r>
            <w:r w:rsidRPr="006E20A2">
              <w:rPr>
                <w:rFonts w:ascii="Arial" w:hAnsi="Arial"/>
                <w:b/>
                <w:bCs/>
                <w:sz w:val="16"/>
                <w:szCs w:val="16"/>
                <w:lang w:val="en-US"/>
              </w:rPr>
              <w:t>%</w:t>
            </w:r>
          </w:p>
        </w:tc>
      </w:tr>
      <w:tr w:rsidR="00AC530B" w:rsidRPr="006E20A2" w14:paraId="7DD8EE5F" w14:textId="77777777" w:rsidTr="00AC530B">
        <w:trPr>
          <w:trHeight w:val="255"/>
        </w:trPr>
        <w:tc>
          <w:tcPr>
            <w:tcW w:w="3757" w:type="dxa"/>
            <w:shd w:val="clear" w:color="auto" w:fill="99FF33"/>
            <w:noWrap/>
            <w:vAlign w:val="center"/>
            <w:hideMark/>
          </w:tcPr>
          <w:p w14:paraId="444F4C35" w14:textId="32974DBA"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Ministry of Finance, Financial Administration</w:t>
            </w:r>
          </w:p>
        </w:tc>
        <w:tc>
          <w:tcPr>
            <w:tcW w:w="782" w:type="dxa"/>
            <w:vAlign w:val="center"/>
          </w:tcPr>
          <w:p w14:paraId="312B5E4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728" w:type="dxa"/>
            <w:vAlign w:val="center"/>
          </w:tcPr>
          <w:p w14:paraId="67CBA4A6"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0A78679F" w14:textId="77777777" w:rsidR="00AC530B" w:rsidRPr="006E20A2" w:rsidRDefault="00AC530B" w:rsidP="00AC530B">
            <w:pPr>
              <w:rPr>
                <w:lang w:val="en-US"/>
              </w:rPr>
            </w:pPr>
          </w:p>
        </w:tc>
        <w:tc>
          <w:tcPr>
            <w:tcW w:w="0" w:type="auto"/>
            <w:vAlign w:val="center"/>
          </w:tcPr>
          <w:p w14:paraId="482C0724" w14:textId="77777777" w:rsidR="00AC530B" w:rsidRPr="006E20A2" w:rsidRDefault="00AC530B" w:rsidP="00AC530B">
            <w:pPr>
              <w:rPr>
                <w:lang w:val="en-US"/>
              </w:rPr>
            </w:pPr>
          </w:p>
        </w:tc>
        <w:tc>
          <w:tcPr>
            <w:tcW w:w="0" w:type="auto"/>
            <w:vAlign w:val="center"/>
          </w:tcPr>
          <w:p w14:paraId="5C1ADBC0"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0D6D2F44"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30BB075D"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vAlign w:val="center"/>
          </w:tcPr>
          <w:p w14:paraId="12165574" w14:textId="77777777" w:rsidR="00AC530B" w:rsidRPr="006E20A2" w:rsidRDefault="00AC530B" w:rsidP="00AC530B">
            <w:pPr>
              <w:jc w:val="center"/>
              <w:rPr>
                <w:rFonts w:ascii="Arial" w:hAnsi="Arial"/>
                <w:b/>
                <w:bCs/>
                <w:sz w:val="16"/>
                <w:szCs w:val="16"/>
                <w:lang w:val="en-US"/>
              </w:rPr>
            </w:pPr>
          </w:p>
        </w:tc>
      </w:tr>
      <w:tr w:rsidR="00AC530B" w:rsidRPr="006E20A2" w14:paraId="747B0CD5" w14:textId="77777777" w:rsidTr="00AC530B">
        <w:trPr>
          <w:trHeight w:val="255"/>
        </w:trPr>
        <w:tc>
          <w:tcPr>
            <w:tcW w:w="3757" w:type="dxa"/>
            <w:shd w:val="clear" w:color="auto" w:fill="99FF33"/>
            <w:noWrap/>
            <w:vAlign w:val="center"/>
          </w:tcPr>
          <w:p w14:paraId="063DAB4D" w14:textId="5F78EC10"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Securities Market Agency</w:t>
            </w:r>
          </w:p>
        </w:tc>
        <w:tc>
          <w:tcPr>
            <w:tcW w:w="782" w:type="dxa"/>
            <w:vAlign w:val="center"/>
          </w:tcPr>
          <w:p w14:paraId="06E154F6"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vAlign w:val="center"/>
          </w:tcPr>
          <w:p w14:paraId="0D850663"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4352AD1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55C78D92" w14:textId="77777777" w:rsidR="00AC530B" w:rsidRPr="006E20A2" w:rsidRDefault="00AC530B" w:rsidP="00AC530B">
            <w:pPr>
              <w:rPr>
                <w:lang w:val="en-US"/>
              </w:rPr>
            </w:pPr>
          </w:p>
        </w:tc>
        <w:tc>
          <w:tcPr>
            <w:tcW w:w="0" w:type="auto"/>
            <w:vAlign w:val="center"/>
          </w:tcPr>
          <w:p w14:paraId="638EECAF"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2</w:t>
            </w:r>
          </w:p>
        </w:tc>
        <w:tc>
          <w:tcPr>
            <w:tcW w:w="0" w:type="auto"/>
            <w:vAlign w:val="center"/>
          </w:tcPr>
          <w:p w14:paraId="7D1ADCD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0A967009"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vAlign w:val="center"/>
          </w:tcPr>
          <w:p w14:paraId="4854B39B" w14:textId="77777777" w:rsidR="00AC530B" w:rsidRPr="006E20A2" w:rsidRDefault="00AC530B" w:rsidP="00AC530B">
            <w:pPr>
              <w:jc w:val="center"/>
              <w:rPr>
                <w:rFonts w:ascii="Arial" w:hAnsi="Arial"/>
                <w:b/>
                <w:bCs/>
                <w:sz w:val="16"/>
                <w:szCs w:val="16"/>
                <w:lang w:val="en-US"/>
              </w:rPr>
            </w:pPr>
          </w:p>
        </w:tc>
      </w:tr>
      <w:tr w:rsidR="00AC530B" w:rsidRPr="006E20A2" w14:paraId="67EA3FF4" w14:textId="77777777" w:rsidTr="00AC530B">
        <w:trPr>
          <w:trHeight w:val="255"/>
        </w:trPr>
        <w:tc>
          <w:tcPr>
            <w:tcW w:w="3757" w:type="dxa"/>
            <w:shd w:val="clear" w:color="auto" w:fill="99FF33"/>
            <w:noWrap/>
            <w:vAlign w:val="center"/>
            <w:hideMark/>
          </w:tcPr>
          <w:p w14:paraId="2FA84B2E" w14:textId="0575ED7B"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Market Inspectorate</w:t>
            </w:r>
          </w:p>
        </w:tc>
        <w:tc>
          <w:tcPr>
            <w:tcW w:w="782" w:type="dxa"/>
            <w:vAlign w:val="center"/>
          </w:tcPr>
          <w:p w14:paraId="6658EAAB" w14:textId="77777777" w:rsidR="00AC530B" w:rsidRPr="006E20A2" w:rsidRDefault="00AC530B" w:rsidP="00AC530B">
            <w:pPr>
              <w:jc w:val="center"/>
              <w:rPr>
                <w:rFonts w:ascii="Arial" w:hAnsi="Arial"/>
                <w:b/>
                <w:bCs/>
                <w:sz w:val="16"/>
                <w:szCs w:val="16"/>
                <w:lang w:val="en-US"/>
              </w:rPr>
            </w:pPr>
          </w:p>
        </w:tc>
        <w:tc>
          <w:tcPr>
            <w:tcW w:w="728" w:type="dxa"/>
            <w:vAlign w:val="center"/>
          </w:tcPr>
          <w:p w14:paraId="7C2F7C7B"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44C77D2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0" w:type="auto"/>
            <w:vAlign w:val="center"/>
          </w:tcPr>
          <w:p w14:paraId="34186455" w14:textId="77777777" w:rsidR="00AC530B" w:rsidRPr="006E20A2" w:rsidRDefault="00AC530B" w:rsidP="00AC530B">
            <w:pPr>
              <w:rPr>
                <w:lang w:val="en-US"/>
              </w:rPr>
            </w:pPr>
          </w:p>
        </w:tc>
        <w:tc>
          <w:tcPr>
            <w:tcW w:w="0" w:type="auto"/>
            <w:vAlign w:val="center"/>
          </w:tcPr>
          <w:p w14:paraId="26CDE8B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0" w:type="auto"/>
            <w:vAlign w:val="center"/>
          </w:tcPr>
          <w:p w14:paraId="4464CA02"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69A6844B" w14:textId="77777777" w:rsidR="00AC530B" w:rsidRPr="006E20A2" w:rsidRDefault="00AC530B" w:rsidP="00AC530B">
            <w:pPr>
              <w:jc w:val="center"/>
              <w:rPr>
                <w:rFonts w:ascii="Arial" w:hAnsi="Arial"/>
                <w:b/>
                <w:bCs/>
                <w:sz w:val="16"/>
                <w:szCs w:val="16"/>
                <w:lang w:val="en-US"/>
              </w:rPr>
            </w:pPr>
          </w:p>
        </w:tc>
        <w:tc>
          <w:tcPr>
            <w:tcW w:w="728" w:type="dxa"/>
            <w:vAlign w:val="center"/>
          </w:tcPr>
          <w:p w14:paraId="342E1BB8" w14:textId="77777777" w:rsidR="00AC530B" w:rsidRPr="006E20A2" w:rsidRDefault="00AC530B" w:rsidP="00AC530B">
            <w:pPr>
              <w:jc w:val="center"/>
              <w:rPr>
                <w:rFonts w:ascii="Arial" w:hAnsi="Arial"/>
                <w:b/>
                <w:bCs/>
                <w:sz w:val="16"/>
                <w:szCs w:val="16"/>
                <w:lang w:val="en-US"/>
              </w:rPr>
            </w:pPr>
          </w:p>
        </w:tc>
      </w:tr>
      <w:tr w:rsidR="00AC530B" w:rsidRPr="006E20A2" w14:paraId="03FA1DDC" w14:textId="77777777" w:rsidTr="00AC530B">
        <w:trPr>
          <w:trHeight w:val="255"/>
        </w:trPr>
        <w:tc>
          <w:tcPr>
            <w:tcW w:w="3757" w:type="dxa"/>
            <w:shd w:val="clear" w:color="auto" w:fill="99FF33"/>
            <w:noWrap/>
            <w:vAlign w:val="center"/>
            <w:hideMark/>
          </w:tcPr>
          <w:p w14:paraId="20A452E0" w14:textId="3E24466A"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Bank of Slovenia</w:t>
            </w:r>
          </w:p>
        </w:tc>
        <w:tc>
          <w:tcPr>
            <w:tcW w:w="782" w:type="dxa"/>
            <w:vAlign w:val="center"/>
          </w:tcPr>
          <w:p w14:paraId="5B0C300B" w14:textId="77777777" w:rsidR="00AC530B" w:rsidRPr="006E20A2" w:rsidRDefault="00AC530B" w:rsidP="00AC530B">
            <w:pPr>
              <w:jc w:val="center"/>
              <w:rPr>
                <w:rFonts w:ascii="Arial" w:hAnsi="Arial"/>
                <w:b/>
                <w:bCs/>
                <w:sz w:val="16"/>
                <w:szCs w:val="16"/>
                <w:lang w:val="en-US"/>
              </w:rPr>
            </w:pPr>
          </w:p>
        </w:tc>
        <w:tc>
          <w:tcPr>
            <w:tcW w:w="728" w:type="dxa"/>
            <w:vAlign w:val="center"/>
          </w:tcPr>
          <w:p w14:paraId="7D9BF99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w:t>
            </w:r>
          </w:p>
        </w:tc>
        <w:tc>
          <w:tcPr>
            <w:tcW w:w="728" w:type="dxa"/>
            <w:shd w:val="clear" w:color="auto" w:fill="auto"/>
            <w:vAlign w:val="center"/>
          </w:tcPr>
          <w:p w14:paraId="63C2659A"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3</w:t>
            </w:r>
          </w:p>
        </w:tc>
        <w:tc>
          <w:tcPr>
            <w:tcW w:w="0" w:type="auto"/>
            <w:vAlign w:val="center"/>
          </w:tcPr>
          <w:p w14:paraId="33C09FAF" w14:textId="77777777" w:rsidR="00AC530B" w:rsidRPr="006E20A2" w:rsidRDefault="00AC530B" w:rsidP="00AC530B">
            <w:pPr>
              <w:rPr>
                <w:lang w:val="en-US"/>
              </w:rPr>
            </w:pPr>
          </w:p>
        </w:tc>
        <w:tc>
          <w:tcPr>
            <w:tcW w:w="0" w:type="auto"/>
            <w:vAlign w:val="center"/>
          </w:tcPr>
          <w:p w14:paraId="7FBAD523"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11</w:t>
            </w:r>
          </w:p>
        </w:tc>
        <w:tc>
          <w:tcPr>
            <w:tcW w:w="0" w:type="auto"/>
            <w:vAlign w:val="center"/>
          </w:tcPr>
          <w:p w14:paraId="3D8F946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483C2009"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13</w:t>
            </w:r>
          </w:p>
        </w:tc>
        <w:tc>
          <w:tcPr>
            <w:tcW w:w="728" w:type="dxa"/>
            <w:vAlign w:val="center"/>
          </w:tcPr>
          <w:p w14:paraId="45A5C818" w14:textId="77777777" w:rsidR="00AC530B" w:rsidRPr="006E20A2" w:rsidRDefault="00AC530B" w:rsidP="00AC530B">
            <w:pPr>
              <w:jc w:val="center"/>
              <w:rPr>
                <w:rFonts w:ascii="Arial" w:hAnsi="Arial"/>
                <w:b/>
                <w:bCs/>
                <w:sz w:val="16"/>
                <w:szCs w:val="16"/>
                <w:lang w:val="en-US"/>
              </w:rPr>
            </w:pPr>
          </w:p>
        </w:tc>
      </w:tr>
      <w:tr w:rsidR="00AC530B" w:rsidRPr="006E20A2" w14:paraId="688F7BAA" w14:textId="77777777" w:rsidTr="00AC530B">
        <w:trPr>
          <w:trHeight w:val="255"/>
        </w:trPr>
        <w:tc>
          <w:tcPr>
            <w:tcW w:w="3757" w:type="dxa"/>
            <w:shd w:val="clear" w:color="auto" w:fill="99FF33"/>
            <w:noWrap/>
            <w:vAlign w:val="center"/>
            <w:hideMark/>
          </w:tcPr>
          <w:p w14:paraId="2D582BEF" w14:textId="062DD7E7" w:rsidR="00AC530B" w:rsidRPr="006E20A2" w:rsidRDefault="00AC530B" w:rsidP="00AC530B">
            <w:pPr>
              <w:widowControl/>
              <w:jc w:val="left"/>
              <w:rPr>
                <w:rFonts w:ascii="Arial" w:hAnsi="Arial"/>
                <w:b/>
                <w:bCs/>
                <w:sz w:val="16"/>
                <w:szCs w:val="16"/>
                <w:lang w:val="en-US" w:eastAsia="sl-SI"/>
              </w:rPr>
            </w:pPr>
            <w:r w:rsidRPr="006E20A2">
              <w:rPr>
                <w:rFonts w:ascii="Arial" w:hAnsi="Arial"/>
                <w:b/>
                <w:bCs/>
                <w:sz w:val="16"/>
                <w:szCs w:val="16"/>
                <w:lang w:val="en-US" w:eastAsia="sl-SI"/>
              </w:rPr>
              <w:t>Court of Audit</w:t>
            </w:r>
          </w:p>
        </w:tc>
        <w:tc>
          <w:tcPr>
            <w:tcW w:w="782" w:type="dxa"/>
            <w:vAlign w:val="center"/>
          </w:tcPr>
          <w:p w14:paraId="2A9A2D58" w14:textId="77777777" w:rsidR="00AC530B" w:rsidRPr="006E20A2" w:rsidRDefault="00AC530B" w:rsidP="00AC530B">
            <w:pPr>
              <w:jc w:val="center"/>
              <w:rPr>
                <w:rFonts w:ascii="Arial" w:hAnsi="Arial"/>
                <w:b/>
                <w:bCs/>
                <w:sz w:val="16"/>
                <w:szCs w:val="16"/>
                <w:lang w:val="en-US"/>
              </w:rPr>
            </w:pPr>
          </w:p>
        </w:tc>
        <w:tc>
          <w:tcPr>
            <w:tcW w:w="728" w:type="dxa"/>
            <w:vAlign w:val="center"/>
          </w:tcPr>
          <w:p w14:paraId="77CA4150" w14:textId="77777777" w:rsidR="00AC530B" w:rsidRPr="006E20A2" w:rsidRDefault="00AC530B" w:rsidP="00AC530B">
            <w:pPr>
              <w:jc w:val="center"/>
              <w:rPr>
                <w:rFonts w:ascii="Arial" w:hAnsi="Arial"/>
                <w:b/>
                <w:bCs/>
                <w:sz w:val="16"/>
                <w:szCs w:val="16"/>
                <w:lang w:val="en-US"/>
              </w:rPr>
            </w:pPr>
          </w:p>
        </w:tc>
        <w:tc>
          <w:tcPr>
            <w:tcW w:w="728" w:type="dxa"/>
            <w:shd w:val="clear" w:color="auto" w:fill="auto"/>
            <w:vAlign w:val="center"/>
          </w:tcPr>
          <w:p w14:paraId="25388AAF" w14:textId="77777777" w:rsidR="00AC530B" w:rsidRPr="006E20A2" w:rsidRDefault="00AC530B" w:rsidP="00AC530B">
            <w:pPr>
              <w:rPr>
                <w:lang w:val="en-US"/>
              </w:rPr>
            </w:pPr>
          </w:p>
        </w:tc>
        <w:tc>
          <w:tcPr>
            <w:tcW w:w="0" w:type="auto"/>
            <w:shd w:val="clear" w:color="auto" w:fill="auto"/>
            <w:vAlign w:val="center"/>
          </w:tcPr>
          <w:p w14:paraId="052D0F5B" w14:textId="77777777" w:rsidR="00AC530B" w:rsidRPr="006E20A2" w:rsidRDefault="00AC530B" w:rsidP="00AC530B">
            <w:pPr>
              <w:rPr>
                <w:lang w:val="en-US"/>
              </w:rPr>
            </w:pPr>
          </w:p>
        </w:tc>
        <w:tc>
          <w:tcPr>
            <w:tcW w:w="0" w:type="auto"/>
            <w:vAlign w:val="center"/>
          </w:tcPr>
          <w:p w14:paraId="2CB2B6E1"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0" w:type="auto"/>
            <w:vAlign w:val="center"/>
          </w:tcPr>
          <w:p w14:paraId="5F1E9EA4"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auto"/>
              <w:right w:val="single" w:sz="8" w:space="0" w:color="auto"/>
            </w:tcBorders>
            <w:shd w:val="clear" w:color="auto" w:fill="auto"/>
            <w:vAlign w:val="center"/>
          </w:tcPr>
          <w:p w14:paraId="34B8EFAB" w14:textId="77777777" w:rsidR="00AC530B" w:rsidRPr="006E20A2" w:rsidRDefault="00AC530B" w:rsidP="00AC530B">
            <w:pPr>
              <w:jc w:val="center"/>
              <w:rPr>
                <w:rFonts w:ascii="Arial" w:hAnsi="Arial"/>
                <w:b/>
                <w:bCs/>
                <w:sz w:val="16"/>
                <w:szCs w:val="16"/>
                <w:lang w:val="en-US"/>
              </w:rPr>
            </w:pPr>
            <w:r w:rsidRPr="006E20A2">
              <w:rPr>
                <w:rFonts w:ascii="Arial" w:hAnsi="Arial"/>
                <w:b/>
                <w:bCs/>
                <w:sz w:val="16"/>
                <w:szCs w:val="16"/>
                <w:lang w:val="en-US"/>
              </w:rPr>
              <w:t>1</w:t>
            </w:r>
          </w:p>
        </w:tc>
        <w:tc>
          <w:tcPr>
            <w:tcW w:w="728" w:type="dxa"/>
            <w:vAlign w:val="center"/>
          </w:tcPr>
          <w:p w14:paraId="35CF30CA" w14:textId="77777777" w:rsidR="00AC530B" w:rsidRPr="006E20A2" w:rsidRDefault="00AC530B" w:rsidP="00AC530B">
            <w:pPr>
              <w:jc w:val="center"/>
              <w:rPr>
                <w:rFonts w:ascii="Arial" w:hAnsi="Arial"/>
                <w:b/>
                <w:bCs/>
                <w:sz w:val="16"/>
                <w:szCs w:val="16"/>
                <w:lang w:val="en-US"/>
              </w:rPr>
            </w:pPr>
          </w:p>
        </w:tc>
      </w:tr>
      <w:tr w:rsidR="00EE1AC4" w:rsidRPr="006E20A2" w14:paraId="510E05A3" w14:textId="77777777" w:rsidTr="00AC530B">
        <w:trPr>
          <w:trHeight w:val="255"/>
        </w:trPr>
        <w:tc>
          <w:tcPr>
            <w:tcW w:w="3757" w:type="dxa"/>
            <w:shd w:val="clear" w:color="auto" w:fill="00CCFF"/>
            <w:noWrap/>
            <w:vAlign w:val="center"/>
            <w:hideMark/>
          </w:tcPr>
          <w:p w14:paraId="63881122" w14:textId="322CCC74" w:rsidR="00EE1AC4" w:rsidRPr="006E20A2" w:rsidRDefault="00AC530B"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4. OMLP ON ITS OWN INITIATIVE</w:t>
            </w:r>
          </w:p>
        </w:tc>
        <w:tc>
          <w:tcPr>
            <w:tcW w:w="782" w:type="dxa"/>
            <w:shd w:val="clear" w:color="auto" w:fill="00CCFF"/>
            <w:vAlign w:val="center"/>
          </w:tcPr>
          <w:p w14:paraId="76062029"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w:t>
            </w:r>
          </w:p>
        </w:tc>
        <w:tc>
          <w:tcPr>
            <w:tcW w:w="728" w:type="dxa"/>
            <w:shd w:val="clear" w:color="auto" w:fill="00CCFF"/>
            <w:vAlign w:val="center"/>
          </w:tcPr>
          <w:p w14:paraId="640CCACA"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3</w:t>
            </w:r>
          </w:p>
        </w:tc>
        <w:tc>
          <w:tcPr>
            <w:tcW w:w="728" w:type="dxa"/>
            <w:shd w:val="clear" w:color="auto" w:fill="00CCFF"/>
            <w:vAlign w:val="center"/>
          </w:tcPr>
          <w:p w14:paraId="59CC9800"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4</w:t>
            </w:r>
          </w:p>
        </w:tc>
        <w:tc>
          <w:tcPr>
            <w:tcW w:w="0" w:type="auto"/>
            <w:shd w:val="clear" w:color="auto" w:fill="00CCFF"/>
            <w:vAlign w:val="center"/>
          </w:tcPr>
          <w:p w14:paraId="18F01211" w14:textId="77777777" w:rsidR="00EE1AC4" w:rsidRPr="006E20A2" w:rsidRDefault="00EE1AC4" w:rsidP="00EE1AC4">
            <w:pPr>
              <w:rPr>
                <w:lang w:val="en-US"/>
              </w:rPr>
            </w:pPr>
          </w:p>
        </w:tc>
        <w:tc>
          <w:tcPr>
            <w:tcW w:w="0" w:type="auto"/>
            <w:shd w:val="clear" w:color="auto" w:fill="00CCFF"/>
            <w:vAlign w:val="center"/>
          </w:tcPr>
          <w:p w14:paraId="4CF1D664"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w:t>
            </w:r>
          </w:p>
        </w:tc>
        <w:tc>
          <w:tcPr>
            <w:tcW w:w="0" w:type="auto"/>
            <w:shd w:val="clear" w:color="auto" w:fill="00CCFF"/>
            <w:vAlign w:val="center"/>
          </w:tcPr>
          <w:p w14:paraId="74BA875A"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 </w:t>
            </w:r>
          </w:p>
        </w:tc>
        <w:tc>
          <w:tcPr>
            <w:tcW w:w="870" w:type="dxa"/>
            <w:tcBorders>
              <w:top w:val="nil"/>
              <w:left w:val="single" w:sz="8" w:space="0" w:color="auto"/>
              <w:bottom w:val="single" w:sz="8" w:space="0" w:color="000000"/>
              <w:right w:val="single" w:sz="8" w:space="0" w:color="auto"/>
            </w:tcBorders>
            <w:shd w:val="clear" w:color="auto" w:fill="33CCFF"/>
            <w:vAlign w:val="center"/>
          </w:tcPr>
          <w:p w14:paraId="32E77D69"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w:t>
            </w:r>
          </w:p>
        </w:tc>
        <w:tc>
          <w:tcPr>
            <w:tcW w:w="728" w:type="dxa"/>
            <w:tcBorders>
              <w:top w:val="nil"/>
              <w:left w:val="nil"/>
              <w:bottom w:val="single" w:sz="8" w:space="0" w:color="000000"/>
              <w:right w:val="single" w:sz="8" w:space="0" w:color="auto"/>
            </w:tcBorders>
            <w:shd w:val="clear" w:color="auto" w:fill="33CCFF"/>
            <w:vAlign w:val="center"/>
          </w:tcPr>
          <w:p w14:paraId="75C2E667"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w:t>
            </w:r>
          </w:p>
        </w:tc>
      </w:tr>
      <w:tr w:rsidR="00EE1AC4" w:rsidRPr="006E20A2" w14:paraId="3AFD546C" w14:textId="77777777" w:rsidTr="00AC530B">
        <w:trPr>
          <w:trHeight w:val="255"/>
        </w:trPr>
        <w:tc>
          <w:tcPr>
            <w:tcW w:w="3757" w:type="dxa"/>
            <w:shd w:val="clear" w:color="auto" w:fill="00CCFF"/>
            <w:noWrap/>
            <w:vAlign w:val="center"/>
            <w:hideMark/>
          </w:tcPr>
          <w:p w14:paraId="21FB20BF" w14:textId="77777777" w:rsidR="00EE1AC4" w:rsidRPr="006E20A2" w:rsidRDefault="00EE1AC4"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 </w:t>
            </w:r>
          </w:p>
        </w:tc>
        <w:tc>
          <w:tcPr>
            <w:tcW w:w="782" w:type="dxa"/>
            <w:shd w:val="clear" w:color="auto" w:fill="00CCFF"/>
            <w:vAlign w:val="center"/>
          </w:tcPr>
          <w:p w14:paraId="3A2413C2" w14:textId="64083502"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0,45</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1516C130" w14:textId="2D1FAA0D"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0,54</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24FDFB65" w14:textId="6541B7AD"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0,53</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3EA22AEE" w14:textId="0F49B9EC"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0,00</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6E55D31C" w14:textId="5F54F113"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0,10</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6D90D387" w14:textId="33E2BE61"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0,00</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870" w:type="dxa"/>
            <w:tcBorders>
              <w:top w:val="nil"/>
              <w:left w:val="single" w:sz="8" w:space="0" w:color="auto"/>
              <w:bottom w:val="single" w:sz="8" w:space="0" w:color="000000"/>
              <w:right w:val="single" w:sz="8" w:space="0" w:color="auto"/>
            </w:tcBorders>
            <w:shd w:val="clear" w:color="auto" w:fill="33CCFF"/>
            <w:vAlign w:val="center"/>
          </w:tcPr>
          <w:p w14:paraId="680FD3B5" w14:textId="13253913"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0,18</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tcBorders>
              <w:top w:val="nil"/>
              <w:left w:val="nil"/>
              <w:bottom w:val="single" w:sz="8" w:space="0" w:color="000000"/>
              <w:right w:val="single" w:sz="8" w:space="0" w:color="auto"/>
            </w:tcBorders>
            <w:shd w:val="clear" w:color="auto" w:fill="33CCFF"/>
            <w:vAlign w:val="center"/>
          </w:tcPr>
          <w:p w14:paraId="4239B5B9" w14:textId="7D532C0E"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1,89</w:t>
            </w:r>
            <w:r w:rsidR="00475AFD" w:rsidRPr="006E20A2">
              <w:rPr>
                <w:rFonts w:ascii="Arial" w:hAnsi="Arial"/>
                <w:b/>
                <w:bCs/>
                <w:sz w:val="16"/>
                <w:szCs w:val="16"/>
                <w:lang w:val="en-US"/>
              </w:rPr>
              <w:t> </w:t>
            </w:r>
            <w:r w:rsidRPr="006E20A2">
              <w:rPr>
                <w:rFonts w:ascii="Arial" w:hAnsi="Arial"/>
                <w:b/>
                <w:bCs/>
                <w:sz w:val="16"/>
                <w:szCs w:val="16"/>
                <w:lang w:val="en-US"/>
              </w:rPr>
              <w:t>%</w:t>
            </w:r>
          </w:p>
        </w:tc>
      </w:tr>
      <w:tr w:rsidR="00EE1AC4" w:rsidRPr="006E20A2" w14:paraId="4B13BC28" w14:textId="77777777" w:rsidTr="00AC530B">
        <w:trPr>
          <w:trHeight w:val="255"/>
        </w:trPr>
        <w:tc>
          <w:tcPr>
            <w:tcW w:w="3757" w:type="dxa"/>
            <w:shd w:val="clear" w:color="auto" w:fill="00CCFF"/>
            <w:noWrap/>
            <w:vAlign w:val="center"/>
            <w:hideMark/>
          </w:tcPr>
          <w:p w14:paraId="239C8163" w14:textId="1D4ACEC6" w:rsidR="00EE1AC4" w:rsidRPr="006E20A2" w:rsidRDefault="00AC530B"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5</w:t>
            </w:r>
            <w:r w:rsidR="00EE1AC4" w:rsidRPr="006E20A2">
              <w:rPr>
                <w:rFonts w:ascii="Arial" w:hAnsi="Arial"/>
                <w:b/>
                <w:bCs/>
                <w:sz w:val="16"/>
                <w:szCs w:val="16"/>
                <w:lang w:val="en-US" w:eastAsia="sl-SI"/>
              </w:rPr>
              <w:t xml:space="preserve">. </w:t>
            </w:r>
            <w:r w:rsidRPr="006E20A2">
              <w:rPr>
                <w:rFonts w:ascii="Arial" w:hAnsi="Arial"/>
                <w:b/>
                <w:bCs/>
                <w:sz w:val="16"/>
                <w:szCs w:val="16"/>
                <w:lang w:val="en-US" w:eastAsia="sl-SI"/>
              </w:rPr>
              <w:t xml:space="preserve"> FOREIGN FIUs</w:t>
            </w:r>
          </w:p>
        </w:tc>
        <w:tc>
          <w:tcPr>
            <w:tcW w:w="782" w:type="dxa"/>
            <w:shd w:val="clear" w:color="auto" w:fill="00CCFF"/>
            <w:vAlign w:val="center"/>
          </w:tcPr>
          <w:p w14:paraId="461C77C0"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20</w:t>
            </w:r>
          </w:p>
        </w:tc>
        <w:tc>
          <w:tcPr>
            <w:tcW w:w="728" w:type="dxa"/>
            <w:shd w:val="clear" w:color="auto" w:fill="00CCFF"/>
            <w:vAlign w:val="center"/>
          </w:tcPr>
          <w:p w14:paraId="4D2AD0D9"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28</w:t>
            </w:r>
          </w:p>
        </w:tc>
        <w:tc>
          <w:tcPr>
            <w:tcW w:w="728" w:type="dxa"/>
            <w:shd w:val="clear" w:color="auto" w:fill="00CCFF"/>
            <w:vAlign w:val="center"/>
          </w:tcPr>
          <w:p w14:paraId="7E9AF556"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40</w:t>
            </w:r>
          </w:p>
        </w:tc>
        <w:tc>
          <w:tcPr>
            <w:tcW w:w="0" w:type="auto"/>
            <w:shd w:val="clear" w:color="auto" w:fill="00CCFF"/>
            <w:vAlign w:val="center"/>
          </w:tcPr>
          <w:p w14:paraId="19C2E2A6"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w:t>
            </w:r>
          </w:p>
        </w:tc>
        <w:tc>
          <w:tcPr>
            <w:tcW w:w="0" w:type="auto"/>
            <w:shd w:val="clear" w:color="auto" w:fill="00CCFF"/>
            <w:vAlign w:val="center"/>
          </w:tcPr>
          <w:p w14:paraId="647DBE43"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53</w:t>
            </w:r>
          </w:p>
        </w:tc>
        <w:tc>
          <w:tcPr>
            <w:tcW w:w="0" w:type="auto"/>
            <w:shd w:val="clear" w:color="auto" w:fill="00CCFF"/>
            <w:vAlign w:val="center"/>
          </w:tcPr>
          <w:p w14:paraId="46F906E0"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2</w:t>
            </w:r>
          </w:p>
        </w:tc>
        <w:tc>
          <w:tcPr>
            <w:tcW w:w="870" w:type="dxa"/>
            <w:tcBorders>
              <w:top w:val="nil"/>
              <w:left w:val="single" w:sz="8" w:space="0" w:color="auto"/>
              <w:bottom w:val="single" w:sz="8" w:space="0" w:color="000000"/>
              <w:right w:val="single" w:sz="8" w:space="0" w:color="auto"/>
            </w:tcBorders>
            <w:shd w:val="clear" w:color="auto" w:fill="33CCFF"/>
            <w:vAlign w:val="center"/>
          </w:tcPr>
          <w:p w14:paraId="5A89A6DA"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58</w:t>
            </w:r>
          </w:p>
        </w:tc>
        <w:tc>
          <w:tcPr>
            <w:tcW w:w="728" w:type="dxa"/>
            <w:tcBorders>
              <w:top w:val="nil"/>
              <w:left w:val="nil"/>
              <w:bottom w:val="single" w:sz="8" w:space="0" w:color="000000"/>
              <w:right w:val="single" w:sz="8" w:space="0" w:color="auto"/>
            </w:tcBorders>
            <w:shd w:val="clear" w:color="auto" w:fill="33CCFF"/>
            <w:vAlign w:val="center"/>
          </w:tcPr>
          <w:p w14:paraId="6DD2CD1D" w14:textId="7777777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 </w:t>
            </w:r>
          </w:p>
        </w:tc>
      </w:tr>
      <w:tr w:rsidR="00EE1AC4" w:rsidRPr="006E20A2" w14:paraId="1370CCF5" w14:textId="77777777" w:rsidTr="00AC530B">
        <w:trPr>
          <w:trHeight w:val="255"/>
        </w:trPr>
        <w:tc>
          <w:tcPr>
            <w:tcW w:w="3757" w:type="dxa"/>
            <w:shd w:val="clear" w:color="auto" w:fill="00CCFF"/>
            <w:noWrap/>
            <w:vAlign w:val="center"/>
            <w:hideMark/>
          </w:tcPr>
          <w:p w14:paraId="4F2636A7" w14:textId="77777777" w:rsidR="00EE1AC4" w:rsidRPr="006E20A2" w:rsidRDefault="00EE1AC4"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 </w:t>
            </w:r>
          </w:p>
        </w:tc>
        <w:tc>
          <w:tcPr>
            <w:tcW w:w="782" w:type="dxa"/>
            <w:shd w:val="clear" w:color="auto" w:fill="00CCFF"/>
            <w:vAlign w:val="center"/>
          </w:tcPr>
          <w:p w14:paraId="080B82A2" w14:textId="72498E28"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4,45</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shd w:val="clear" w:color="auto" w:fill="00CCFF"/>
            <w:vAlign w:val="center"/>
          </w:tcPr>
          <w:p w14:paraId="3C9F2BC9" w14:textId="5B613649"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5,02</w:t>
            </w:r>
            <w:r w:rsidR="00475AFD" w:rsidRPr="006E20A2">
              <w:rPr>
                <w:rFonts w:ascii="Arial" w:hAnsi="Arial"/>
                <w:b/>
                <w:bCs/>
                <w:sz w:val="16"/>
                <w:szCs w:val="16"/>
                <w:lang w:val="en-US"/>
              </w:rPr>
              <w:t xml:space="preserve"> </w:t>
            </w:r>
            <w:r w:rsidRPr="006E20A2">
              <w:rPr>
                <w:rFonts w:ascii="Arial" w:hAnsi="Arial"/>
                <w:b/>
                <w:bCs/>
                <w:sz w:val="16"/>
                <w:szCs w:val="16"/>
                <w:lang w:val="en-US"/>
              </w:rPr>
              <w:t>%</w:t>
            </w:r>
          </w:p>
        </w:tc>
        <w:tc>
          <w:tcPr>
            <w:tcW w:w="728" w:type="dxa"/>
            <w:shd w:val="clear" w:color="auto" w:fill="00CCFF"/>
            <w:vAlign w:val="center"/>
          </w:tcPr>
          <w:p w14:paraId="415F9AEE" w14:textId="25E22A08"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5,28</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0BC77F4B" w14:textId="7FCBEF4C"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6,90</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7F6B2A1F" w14:textId="525D7182"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5,11</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0" w:type="auto"/>
            <w:shd w:val="clear" w:color="auto" w:fill="00CCFF"/>
            <w:vAlign w:val="center"/>
          </w:tcPr>
          <w:p w14:paraId="4D3BEB36" w14:textId="1F93F88C"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6,45</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870" w:type="dxa"/>
            <w:tcBorders>
              <w:top w:val="nil"/>
              <w:left w:val="single" w:sz="8" w:space="0" w:color="auto"/>
              <w:bottom w:val="single" w:sz="8" w:space="0" w:color="000000"/>
              <w:right w:val="single" w:sz="8" w:space="0" w:color="auto"/>
            </w:tcBorders>
            <w:shd w:val="clear" w:color="auto" w:fill="33CCFF"/>
            <w:vAlign w:val="center"/>
          </w:tcPr>
          <w:p w14:paraId="0EBB4B84" w14:textId="16941857"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5,35</w:t>
            </w:r>
            <w:r w:rsidR="00475AFD" w:rsidRPr="006E20A2">
              <w:rPr>
                <w:rFonts w:ascii="Arial" w:hAnsi="Arial"/>
                <w:b/>
                <w:bCs/>
                <w:sz w:val="16"/>
                <w:szCs w:val="16"/>
                <w:lang w:val="en-US"/>
              </w:rPr>
              <w:t> </w:t>
            </w:r>
            <w:r w:rsidRPr="006E20A2">
              <w:rPr>
                <w:rFonts w:ascii="Arial" w:hAnsi="Arial"/>
                <w:b/>
                <w:bCs/>
                <w:sz w:val="16"/>
                <w:szCs w:val="16"/>
                <w:lang w:val="en-US"/>
              </w:rPr>
              <w:t>%</w:t>
            </w:r>
          </w:p>
        </w:tc>
        <w:tc>
          <w:tcPr>
            <w:tcW w:w="728" w:type="dxa"/>
            <w:tcBorders>
              <w:top w:val="nil"/>
              <w:left w:val="nil"/>
              <w:bottom w:val="single" w:sz="8" w:space="0" w:color="000000"/>
              <w:right w:val="single" w:sz="8" w:space="0" w:color="auto"/>
            </w:tcBorders>
            <w:shd w:val="clear" w:color="auto" w:fill="33CCFF"/>
            <w:vAlign w:val="center"/>
          </w:tcPr>
          <w:p w14:paraId="424CB2B6" w14:textId="160B853F" w:rsidR="00EE1AC4" w:rsidRPr="006E20A2" w:rsidRDefault="00EE1AC4" w:rsidP="00EE1AC4">
            <w:pPr>
              <w:jc w:val="center"/>
              <w:rPr>
                <w:rFonts w:ascii="Arial" w:hAnsi="Arial"/>
                <w:b/>
                <w:bCs/>
                <w:sz w:val="16"/>
                <w:szCs w:val="16"/>
                <w:lang w:val="en-US"/>
              </w:rPr>
            </w:pPr>
            <w:r w:rsidRPr="006E20A2">
              <w:rPr>
                <w:rFonts w:ascii="Arial" w:hAnsi="Arial"/>
                <w:b/>
                <w:bCs/>
                <w:sz w:val="16"/>
                <w:szCs w:val="16"/>
                <w:lang w:val="en-US"/>
              </w:rPr>
              <w:t>0,00</w:t>
            </w:r>
            <w:r w:rsidR="00475AFD" w:rsidRPr="006E20A2">
              <w:rPr>
                <w:rFonts w:ascii="Arial" w:hAnsi="Arial"/>
                <w:b/>
                <w:bCs/>
                <w:sz w:val="16"/>
                <w:szCs w:val="16"/>
                <w:lang w:val="en-US"/>
              </w:rPr>
              <w:t> </w:t>
            </w:r>
            <w:r w:rsidRPr="006E20A2">
              <w:rPr>
                <w:rFonts w:ascii="Arial" w:hAnsi="Arial"/>
                <w:b/>
                <w:bCs/>
                <w:sz w:val="16"/>
                <w:szCs w:val="16"/>
                <w:lang w:val="en-US"/>
              </w:rPr>
              <w:t>%</w:t>
            </w:r>
          </w:p>
        </w:tc>
      </w:tr>
      <w:tr w:rsidR="00EE1AC4" w:rsidRPr="006E20A2" w14:paraId="1563E7C7" w14:textId="77777777" w:rsidTr="00AC530B">
        <w:trPr>
          <w:trHeight w:val="255"/>
        </w:trPr>
        <w:tc>
          <w:tcPr>
            <w:tcW w:w="3757" w:type="dxa"/>
            <w:shd w:val="clear" w:color="auto" w:fill="0099FF"/>
            <w:noWrap/>
            <w:vAlign w:val="bottom"/>
            <w:hideMark/>
          </w:tcPr>
          <w:p w14:paraId="69738880" w14:textId="77777777" w:rsidR="00EE1AC4" w:rsidRPr="006E20A2" w:rsidRDefault="00EE1AC4" w:rsidP="00EE1AC4">
            <w:pPr>
              <w:widowControl/>
              <w:jc w:val="left"/>
              <w:rPr>
                <w:rFonts w:ascii="Arial" w:hAnsi="Arial"/>
                <w:b/>
                <w:bCs/>
                <w:sz w:val="16"/>
                <w:szCs w:val="16"/>
                <w:lang w:val="en-US" w:eastAsia="sl-SI"/>
              </w:rPr>
            </w:pPr>
            <w:r w:rsidRPr="006E20A2">
              <w:rPr>
                <w:rFonts w:ascii="Arial" w:hAnsi="Arial"/>
                <w:b/>
                <w:bCs/>
                <w:sz w:val="16"/>
                <w:szCs w:val="16"/>
                <w:lang w:val="en-US" w:eastAsia="sl-SI"/>
              </w:rPr>
              <w:t>SKUPAJ</w:t>
            </w:r>
          </w:p>
        </w:tc>
        <w:tc>
          <w:tcPr>
            <w:tcW w:w="782" w:type="dxa"/>
            <w:shd w:val="clear" w:color="auto" w:fill="0099FF"/>
            <w:vAlign w:val="center"/>
          </w:tcPr>
          <w:p w14:paraId="10488ADE" w14:textId="77777777" w:rsidR="00EE1AC4" w:rsidRPr="006E20A2" w:rsidRDefault="00EE1AC4" w:rsidP="00EE1AC4">
            <w:pPr>
              <w:jc w:val="center"/>
              <w:rPr>
                <w:rFonts w:ascii="Arial" w:hAnsi="Arial"/>
                <w:b/>
                <w:bCs/>
                <w:sz w:val="20"/>
                <w:lang w:val="en-US"/>
              </w:rPr>
            </w:pPr>
            <w:r w:rsidRPr="006E20A2">
              <w:rPr>
                <w:rFonts w:ascii="Arial" w:hAnsi="Arial"/>
                <w:b/>
                <w:bCs/>
                <w:sz w:val="20"/>
                <w:lang w:val="en-US"/>
              </w:rPr>
              <w:t>449</w:t>
            </w:r>
          </w:p>
        </w:tc>
        <w:tc>
          <w:tcPr>
            <w:tcW w:w="728" w:type="dxa"/>
            <w:shd w:val="clear" w:color="auto" w:fill="0099FF"/>
            <w:vAlign w:val="center"/>
          </w:tcPr>
          <w:p w14:paraId="4A041D7F" w14:textId="77777777" w:rsidR="00EE1AC4" w:rsidRPr="006E20A2" w:rsidRDefault="00EE1AC4" w:rsidP="00EE1AC4">
            <w:pPr>
              <w:jc w:val="center"/>
              <w:rPr>
                <w:rFonts w:ascii="Arial" w:hAnsi="Arial"/>
                <w:b/>
                <w:bCs/>
                <w:sz w:val="20"/>
                <w:lang w:val="en-US"/>
              </w:rPr>
            </w:pPr>
            <w:r w:rsidRPr="006E20A2">
              <w:rPr>
                <w:rFonts w:ascii="Arial" w:hAnsi="Arial"/>
                <w:b/>
                <w:bCs/>
                <w:sz w:val="20"/>
                <w:lang w:val="en-US"/>
              </w:rPr>
              <w:t>558</w:t>
            </w:r>
          </w:p>
        </w:tc>
        <w:tc>
          <w:tcPr>
            <w:tcW w:w="728" w:type="dxa"/>
            <w:shd w:val="clear" w:color="auto" w:fill="0099FF"/>
            <w:vAlign w:val="center"/>
          </w:tcPr>
          <w:p w14:paraId="1AEC697B" w14:textId="77777777" w:rsidR="00EE1AC4" w:rsidRPr="006E20A2" w:rsidRDefault="00EE1AC4" w:rsidP="00EE1AC4">
            <w:pPr>
              <w:jc w:val="center"/>
              <w:rPr>
                <w:rFonts w:ascii="Arial" w:hAnsi="Arial"/>
                <w:b/>
                <w:bCs/>
                <w:sz w:val="20"/>
                <w:lang w:val="en-US"/>
              </w:rPr>
            </w:pPr>
            <w:r w:rsidRPr="006E20A2">
              <w:rPr>
                <w:rFonts w:ascii="Arial" w:hAnsi="Arial"/>
                <w:b/>
                <w:bCs/>
                <w:sz w:val="20"/>
                <w:lang w:val="en-US"/>
              </w:rPr>
              <w:t>758</w:t>
            </w:r>
          </w:p>
        </w:tc>
        <w:tc>
          <w:tcPr>
            <w:tcW w:w="0" w:type="auto"/>
            <w:shd w:val="clear" w:color="auto" w:fill="0099FF"/>
            <w:vAlign w:val="center"/>
          </w:tcPr>
          <w:p w14:paraId="7A974D13" w14:textId="77777777" w:rsidR="00EE1AC4" w:rsidRPr="006E20A2" w:rsidRDefault="00EE1AC4" w:rsidP="00EE1AC4">
            <w:pPr>
              <w:jc w:val="center"/>
              <w:rPr>
                <w:rFonts w:ascii="Arial" w:hAnsi="Arial"/>
                <w:b/>
                <w:bCs/>
                <w:sz w:val="20"/>
                <w:lang w:val="en-US"/>
              </w:rPr>
            </w:pPr>
            <w:r w:rsidRPr="006E20A2">
              <w:rPr>
                <w:rFonts w:ascii="Arial" w:hAnsi="Arial"/>
                <w:b/>
                <w:bCs/>
                <w:sz w:val="20"/>
                <w:lang w:val="en-US"/>
              </w:rPr>
              <w:t>29</w:t>
            </w:r>
          </w:p>
        </w:tc>
        <w:tc>
          <w:tcPr>
            <w:tcW w:w="0" w:type="auto"/>
            <w:shd w:val="clear" w:color="auto" w:fill="0099FF"/>
            <w:vAlign w:val="center"/>
          </w:tcPr>
          <w:p w14:paraId="1974D75A" w14:textId="77777777" w:rsidR="00EE1AC4" w:rsidRPr="006E20A2" w:rsidRDefault="00EE1AC4" w:rsidP="00EE1AC4">
            <w:pPr>
              <w:jc w:val="center"/>
              <w:rPr>
                <w:rFonts w:ascii="Arial" w:hAnsi="Arial"/>
                <w:b/>
                <w:bCs/>
                <w:sz w:val="20"/>
                <w:lang w:val="en-US"/>
              </w:rPr>
            </w:pPr>
            <w:r w:rsidRPr="006E20A2">
              <w:rPr>
                <w:rFonts w:ascii="Arial" w:hAnsi="Arial"/>
                <w:b/>
                <w:bCs/>
                <w:sz w:val="20"/>
                <w:lang w:val="en-US"/>
              </w:rPr>
              <w:t>1038</w:t>
            </w:r>
          </w:p>
        </w:tc>
        <w:tc>
          <w:tcPr>
            <w:tcW w:w="0" w:type="auto"/>
            <w:shd w:val="clear" w:color="auto" w:fill="0099FF"/>
            <w:vAlign w:val="center"/>
          </w:tcPr>
          <w:p w14:paraId="32765E81" w14:textId="77777777" w:rsidR="00EE1AC4" w:rsidRPr="006E20A2" w:rsidRDefault="00EE1AC4" w:rsidP="00EE1AC4">
            <w:pPr>
              <w:jc w:val="center"/>
              <w:rPr>
                <w:rFonts w:ascii="Arial" w:hAnsi="Arial"/>
                <w:b/>
                <w:bCs/>
                <w:sz w:val="20"/>
                <w:lang w:val="en-US"/>
              </w:rPr>
            </w:pPr>
            <w:r w:rsidRPr="006E20A2">
              <w:rPr>
                <w:rFonts w:ascii="Arial" w:hAnsi="Arial"/>
                <w:b/>
                <w:bCs/>
                <w:sz w:val="20"/>
                <w:lang w:val="en-US"/>
              </w:rPr>
              <w:t>31</w:t>
            </w:r>
          </w:p>
        </w:tc>
        <w:tc>
          <w:tcPr>
            <w:tcW w:w="870" w:type="dxa"/>
            <w:shd w:val="clear" w:color="auto" w:fill="0099FF"/>
            <w:vAlign w:val="center"/>
          </w:tcPr>
          <w:p w14:paraId="0214474B" w14:textId="77777777" w:rsidR="00EE1AC4" w:rsidRPr="006E20A2" w:rsidRDefault="00EE1AC4" w:rsidP="00EE1AC4">
            <w:pPr>
              <w:jc w:val="center"/>
              <w:rPr>
                <w:rFonts w:ascii="Arial" w:hAnsi="Arial"/>
                <w:b/>
                <w:bCs/>
                <w:sz w:val="20"/>
                <w:lang w:val="en-US"/>
              </w:rPr>
            </w:pPr>
            <w:r w:rsidRPr="006E20A2">
              <w:rPr>
                <w:rFonts w:ascii="Arial" w:hAnsi="Arial"/>
                <w:b/>
                <w:bCs/>
                <w:sz w:val="20"/>
                <w:lang w:val="en-US"/>
              </w:rPr>
              <w:t>1084</w:t>
            </w:r>
          </w:p>
        </w:tc>
        <w:tc>
          <w:tcPr>
            <w:tcW w:w="728" w:type="dxa"/>
            <w:shd w:val="clear" w:color="auto" w:fill="0099FF"/>
            <w:vAlign w:val="center"/>
          </w:tcPr>
          <w:p w14:paraId="5EFFC636" w14:textId="77777777" w:rsidR="00EE1AC4" w:rsidRPr="006E20A2" w:rsidRDefault="00EE1AC4" w:rsidP="00EE1AC4">
            <w:pPr>
              <w:jc w:val="center"/>
              <w:rPr>
                <w:rFonts w:ascii="Arial" w:hAnsi="Arial"/>
                <w:b/>
                <w:bCs/>
                <w:sz w:val="20"/>
                <w:lang w:val="en-US"/>
              </w:rPr>
            </w:pPr>
            <w:r w:rsidRPr="006E20A2">
              <w:rPr>
                <w:rFonts w:ascii="Arial" w:hAnsi="Arial"/>
                <w:b/>
                <w:bCs/>
                <w:sz w:val="20"/>
                <w:lang w:val="en-US"/>
              </w:rPr>
              <w:t>53</w:t>
            </w:r>
          </w:p>
        </w:tc>
      </w:tr>
    </w:tbl>
    <w:p w14:paraId="425A9733" w14:textId="77777777" w:rsidR="0080329E" w:rsidRPr="006E20A2" w:rsidRDefault="0080329E" w:rsidP="00D21F86">
      <w:pPr>
        <w:pStyle w:val="Telobesedila"/>
        <w:spacing w:line="276" w:lineRule="auto"/>
        <w:ind w:right="-22"/>
        <w:rPr>
          <w:rFonts w:ascii="Arial" w:hAnsi="Arial"/>
          <w:sz w:val="20"/>
          <w:lang w:val="en-US"/>
        </w:rPr>
      </w:pPr>
    </w:p>
    <w:p w14:paraId="3B7609E3" w14:textId="2682A5E5" w:rsidR="00AC530B" w:rsidRPr="006E20A2" w:rsidRDefault="00AC530B" w:rsidP="00AC530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rFonts w:ascii="Arial" w:hAnsi="Arial"/>
          <w:bCs/>
          <w:iCs/>
          <w:sz w:val="20"/>
          <w:lang w:val="en-US"/>
        </w:rPr>
      </w:pPr>
      <w:r w:rsidRPr="006E20A2">
        <w:rPr>
          <w:rFonts w:ascii="Arial" w:hAnsi="Arial"/>
          <w:bCs/>
          <w:iCs/>
          <w:sz w:val="20"/>
          <w:lang w:val="en-US"/>
        </w:rPr>
        <w:t xml:space="preserve">As we already mentioned, the OMLP opened 1137 cases in 2020, </w:t>
      </w:r>
      <w:proofErr w:type="gramStart"/>
      <w:r w:rsidRPr="006E20A2">
        <w:rPr>
          <w:rFonts w:ascii="Arial" w:hAnsi="Arial"/>
          <w:bCs/>
          <w:iCs/>
          <w:sz w:val="20"/>
          <w:lang w:val="en-US"/>
        </w:rPr>
        <w:t>on the basis of</w:t>
      </w:r>
      <w:proofErr w:type="gramEnd"/>
      <w:r w:rsidRPr="006E20A2">
        <w:rPr>
          <w:rFonts w:ascii="Arial" w:hAnsi="Arial"/>
          <w:bCs/>
          <w:iCs/>
          <w:sz w:val="20"/>
          <w:lang w:val="en-US"/>
        </w:rPr>
        <w:t xml:space="preserve"> reported suspicious transactions, namely:</w:t>
      </w:r>
    </w:p>
    <w:p w14:paraId="7D231B5A" w14:textId="46DD51BE" w:rsidR="00AC530B" w:rsidRPr="006E20A2" w:rsidRDefault="00AC530B" w:rsidP="00AC530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rFonts w:ascii="Arial" w:hAnsi="Arial"/>
          <w:bCs/>
          <w:iCs/>
          <w:sz w:val="20"/>
          <w:lang w:val="en-US"/>
        </w:rPr>
      </w:pPr>
    </w:p>
    <w:p w14:paraId="12AF15CE" w14:textId="427A2C0F" w:rsidR="00AC530B" w:rsidRPr="006E20A2" w:rsidRDefault="00AC530B" w:rsidP="00636B18">
      <w:pPr>
        <w:pStyle w:val="Odstavekseznama"/>
        <w:numPr>
          <w:ilvl w:val="0"/>
          <w:numId w:val="17"/>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right="-22"/>
        <w:rPr>
          <w:rFonts w:ascii="Arial" w:hAnsi="Arial" w:cs="Arial"/>
          <w:bCs/>
          <w:iCs/>
          <w:sz w:val="20"/>
          <w:szCs w:val="20"/>
          <w:lang w:val="en-US"/>
        </w:rPr>
      </w:pPr>
      <w:r w:rsidRPr="006E20A2">
        <w:rPr>
          <w:rFonts w:ascii="Arial" w:hAnsi="Arial" w:cs="Arial"/>
          <w:bCs/>
          <w:iCs/>
          <w:sz w:val="20"/>
          <w:szCs w:val="20"/>
          <w:lang w:val="en-US"/>
        </w:rPr>
        <w:t xml:space="preserve">944 cases were opened </w:t>
      </w:r>
      <w:proofErr w:type="gramStart"/>
      <w:r w:rsidRPr="006E20A2">
        <w:rPr>
          <w:rFonts w:ascii="Arial" w:hAnsi="Arial" w:cs="Arial"/>
          <w:bCs/>
          <w:iCs/>
          <w:sz w:val="20"/>
          <w:szCs w:val="20"/>
          <w:lang w:val="en-US"/>
        </w:rPr>
        <w:t>on the basis of</w:t>
      </w:r>
      <w:proofErr w:type="gramEnd"/>
      <w:r w:rsidRPr="006E20A2">
        <w:rPr>
          <w:rFonts w:ascii="Arial" w:hAnsi="Arial" w:cs="Arial"/>
          <w:bCs/>
          <w:iCs/>
          <w:sz w:val="20"/>
          <w:szCs w:val="20"/>
          <w:lang w:val="en-US"/>
        </w:rPr>
        <w:t xml:space="preserve"> reported suspicious transactions by obliged entities,</w:t>
      </w:r>
    </w:p>
    <w:p w14:paraId="61E440CC" w14:textId="195BD3AD" w:rsidR="00AC530B" w:rsidRPr="006E20A2" w:rsidRDefault="00AC530B" w:rsidP="00636B18">
      <w:pPr>
        <w:pStyle w:val="Odstavekseznama"/>
        <w:numPr>
          <w:ilvl w:val="0"/>
          <w:numId w:val="17"/>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right="-22"/>
        <w:rPr>
          <w:rFonts w:ascii="Arial" w:hAnsi="Arial" w:cs="Arial"/>
          <w:bCs/>
          <w:iCs/>
          <w:sz w:val="20"/>
          <w:szCs w:val="20"/>
          <w:lang w:val="en-US"/>
        </w:rPr>
      </w:pPr>
      <w:r w:rsidRPr="006E20A2">
        <w:rPr>
          <w:rFonts w:ascii="Arial" w:hAnsi="Arial" w:cs="Arial"/>
          <w:bCs/>
          <w:iCs/>
          <w:sz w:val="20"/>
          <w:szCs w:val="20"/>
          <w:lang w:val="en-US"/>
        </w:rPr>
        <w:t xml:space="preserve">117 cases were opened </w:t>
      </w:r>
      <w:proofErr w:type="gramStart"/>
      <w:r w:rsidRPr="006E20A2">
        <w:rPr>
          <w:rFonts w:ascii="Arial" w:hAnsi="Arial" w:cs="Arial"/>
          <w:bCs/>
          <w:iCs/>
          <w:sz w:val="20"/>
          <w:szCs w:val="20"/>
          <w:lang w:val="en-US"/>
        </w:rPr>
        <w:t>on the basis of</w:t>
      </w:r>
      <w:proofErr w:type="gramEnd"/>
      <w:r w:rsidRPr="006E20A2">
        <w:rPr>
          <w:rFonts w:ascii="Arial" w:hAnsi="Arial" w:cs="Arial"/>
          <w:bCs/>
          <w:iCs/>
          <w:sz w:val="20"/>
          <w:szCs w:val="20"/>
          <w:lang w:val="en-US"/>
        </w:rPr>
        <w:t xml:space="preserve"> initiatives of state authorities,</w:t>
      </w:r>
    </w:p>
    <w:p w14:paraId="0C96BE76" w14:textId="14924745" w:rsidR="00AC530B" w:rsidRPr="006E20A2" w:rsidRDefault="00AC530B" w:rsidP="00636B18">
      <w:pPr>
        <w:pStyle w:val="Odstavekseznama"/>
        <w:numPr>
          <w:ilvl w:val="0"/>
          <w:numId w:val="17"/>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right="-22"/>
        <w:rPr>
          <w:rFonts w:ascii="Arial" w:hAnsi="Arial" w:cs="Arial"/>
          <w:bCs/>
          <w:iCs/>
          <w:sz w:val="20"/>
          <w:szCs w:val="20"/>
          <w:lang w:val="en-US"/>
        </w:rPr>
      </w:pPr>
      <w:r w:rsidRPr="006E20A2">
        <w:rPr>
          <w:rFonts w:ascii="Arial" w:hAnsi="Arial" w:cs="Arial"/>
          <w:bCs/>
          <w:iCs/>
          <w:sz w:val="20"/>
          <w:szCs w:val="20"/>
          <w:lang w:val="en-US"/>
        </w:rPr>
        <w:t xml:space="preserve">21 cases were opened </w:t>
      </w:r>
      <w:proofErr w:type="gramStart"/>
      <w:r w:rsidRPr="006E20A2">
        <w:rPr>
          <w:rFonts w:ascii="Arial" w:hAnsi="Arial" w:cs="Arial"/>
          <w:bCs/>
          <w:iCs/>
          <w:sz w:val="20"/>
          <w:szCs w:val="20"/>
          <w:lang w:val="en-US"/>
        </w:rPr>
        <w:t>on the basis of</w:t>
      </w:r>
      <w:proofErr w:type="gramEnd"/>
      <w:r w:rsidRPr="006E20A2">
        <w:rPr>
          <w:rFonts w:ascii="Arial" w:hAnsi="Arial" w:cs="Arial"/>
          <w:bCs/>
          <w:iCs/>
          <w:sz w:val="20"/>
          <w:szCs w:val="20"/>
          <w:lang w:val="en-US"/>
        </w:rPr>
        <w:t xml:space="preserve"> facts reported by supervisory authorities,</w:t>
      </w:r>
    </w:p>
    <w:p w14:paraId="0E155B02" w14:textId="3522A569" w:rsidR="00AC530B" w:rsidRPr="006E20A2" w:rsidRDefault="00AC530B" w:rsidP="00636B18">
      <w:pPr>
        <w:pStyle w:val="Odstavekseznama"/>
        <w:numPr>
          <w:ilvl w:val="0"/>
          <w:numId w:val="17"/>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right="-22"/>
        <w:rPr>
          <w:rFonts w:ascii="Arial" w:hAnsi="Arial" w:cs="Arial"/>
          <w:bCs/>
          <w:iCs/>
          <w:sz w:val="20"/>
          <w:szCs w:val="20"/>
          <w:lang w:val="en-US"/>
        </w:rPr>
      </w:pPr>
      <w:r w:rsidRPr="006E20A2">
        <w:rPr>
          <w:rFonts w:ascii="Arial" w:hAnsi="Arial" w:cs="Arial"/>
          <w:bCs/>
          <w:iCs/>
          <w:sz w:val="20"/>
          <w:szCs w:val="20"/>
          <w:lang w:val="en-US"/>
        </w:rPr>
        <w:t xml:space="preserve">case was opened </w:t>
      </w:r>
      <w:proofErr w:type="gramStart"/>
      <w:r w:rsidRPr="006E20A2">
        <w:rPr>
          <w:rFonts w:ascii="Arial" w:hAnsi="Arial" w:cs="Arial"/>
          <w:bCs/>
          <w:iCs/>
          <w:sz w:val="20"/>
          <w:szCs w:val="20"/>
          <w:lang w:val="en-US"/>
        </w:rPr>
        <w:t>on the basis of</w:t>
      </w:r>
      <w:proofErr w:type="gramEnd"/>
      <w:r w:rsidRPr="006E20A2">
        <w:rPr>
          <w:rFonts w:ascii="Arial" w:hAnsi="Arial" w:cs="Arial"/>
          <w:bCs/>
          <w:iCs/>
          <w:sz w:val="20"/>
          <w:szCs w:val="20"/>
          <w:lang w:val="en-US"/>
        </w:rPr>
        <w:t xml:space="preserve"> data from OMLP’s own databases,</w:t>
      </w:r>
    </w:p>
    <w:p w14:paraId="645120A9" w14:textId="65710C7C" w:rsidR="00AC530B" w:rsidRPr="006E20A2" w:rsidRDefault="00AC530B" w:rsidP="00636B18">
      <w:pPr>
        <w:pStyle w:val="Odstavekseznama"/>
        <w:numPr>
          <w:ilvl w:val="0"/>
          <w:numId w:val="17"/>
        </w:num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right="-22"/>
        <w:rPr>
          <w:rFonts w:ascii="Arial" w:hAnsi="Arial" w:cs="Arial"/>
          <w:bCs/>
          <w:iCs/>
          <w:sz w:val="20"/>
          <w:szCs w:val="20"/>
          <w:lang w:val="en-US"/>
        </w:rPr>
      </w:pPr>
      <w:r w:rsidRPr="006E20A2">
        <w:rPr>
          <w:rFonts w:ascii="Arial" w:hAnsi="Arial" w:cs="Arial"/>
          <w:bCs/>
          <w:iCs/>
          <w:sz w:val="20"/>
          <w:szCs w:val="20"/>
          <w:lang w:val="en-US"/>
        </w:rPr>
        <w:t xml:space="preserve">58 cases were opened </w:t>
      </w:r>
      <w:proofErr w:type="gramStart"/>
      <w:r w:rsidRPr="006E20A2">
        <w:rPr>
          <w:rFonts w:ascii="Arial" w:hAnsi="Arial" w:cs="Arial"/>
          <w:bCs/>
          <w:iCs/>
          <w:sz w:val="20"/>
          <w:szCs w:val="20"/>
          <w:lang w:val="en-US"/>
        </w:rPr>
        <w:t>on the basis of</w:t>
      </w:r>
      <w:proofErr w:type="gramEnd"/>
      <w:r w:rsidRPr="006E20A2">
        <w:rPr>
          <w:rFonts w:ascii="Arial" w:hAnsi="Arial" w:cs="Arial"/>
          <w:bCs/>
          <w:iCs/>
          <w:sz w:val="20"/>
          <w:szCs w:val="20"/>
          <w:lang w:val="en-US"/>
        </w:rPr>
        <w:t xml:space="preserve"> data from requests of foreign FIUs.</w:t>
      </w:r>
    </w:p>
    <w:p w14:paraId="3395BE37" w14:textId="77777777" w:rsidR="00AC530B" w:rsidRPr="006E20A2" w:rsidRDefault="00AC530B" w:rsidP="00AC530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rFonts w:ascii="Arial" w:hAnsi="Arial"/>
          <w:bCs/>
          <w:iCs/>
          <w:sz w:val="20"/>
          <w:lang w:val="en-US"/>
        </w:rPr>
      </w:pPr>
    </w:p>
    <w:p w14:paraId="27294CCE" w14:textId="65DEB380" w:rsidR="00AC530B" w:rsidRPr="006E20A2" w:rsidRDefault="00AC530B" w:rsidP="00AC530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rFonts w:ascii="Arial" w:hAnsi="Arial"/>
          <w:bCs/>
          <w:iCs/>
          <w:sz w:val="20"/>
          <w:lang w:val="en-US"/>
        </w:rPr>
      </w:pPr>
      <w:r w:rsidRPr="006E20A2">
        <w:rPr>
          <w:rFonts w:ascii="Arial" w:hAnsi="Arial"/>
          <w:bCs/>
          <w:iCs/>
          <w:sz w:val="20"/>
          <w:lang w:val="en-US"/>
        </w:rPr>
        <w:lastRenderedPageBreak/>
        <w:t xml:space="preserve">The table shows that </w:t>
      </w:r>
      <w:proofErr w:type="gramStart"/>
      <w:r w:rsidRPr="006E20A2">
        <w:rPr>
          <w:rFonts w:ascii="Arial" w:hAnsi="Arial"/>
          <w:bCs/>
          <w:iCs/>
          <w:sz w:val="20"/>
          <w:lang w:val="en-US"/>
        </w:rPr>
        <w:t>the majority of</w:t>
      </w:r>
      <w:proofErr w:type="gramEnd"/>
      <w:r w:rsidRPr="006E20A2">
        <w:rPr>
          <w:rFonts w:ascii="Arial" w:hAnsi="Arial"/>
          <w:bCs/>
          <w:iCs/>
          <w:sz w:val="20"/>
          <w:lang w:val="en-US"/>
        </w:rPr>
        <w:t xml:space="preserve"> suspicious transactions reports were sent by the obliged entities (financial and non-financial institutions) – mostly </w:t>
      </w:r>
      <w:r w:rsidRPr="006E20A2">
        <w:rPr>
          <w:rFonts w:ascii="Arial" w:hAnsi="Arial"/>
          <w:bCs/>
          <w:iCs/>
          <w:sz w:val="20"/>
          <w:u w:val="single"/>
          <w:lang w:val="en-US"/>
        </w:rPr>
        <w:t>banks,</w:t>
      </w:r>
      <w:r w:rsidRPr="006E20A2">
        <w:rPr>
          <w:rFonts w:ascii="Arial" w:hAnsi="Arial"/>
          <w:bCs/>
          <w:iCs/>
          <w:sz w:val="20"/>
          <w:lang w:val="en-US"/>
        </w:rPr>
        <w:t xml:space="preserve"> which annually send the highest number of reports to the OMLP, that (according to their opinion) raise reasons for suspicion of committing the criminal offence of money laundering. This trend was detected also in the year 2020, as 742 cases (out of all 1137 cases) were opened </w:t>
      </w:r>
      <w:proofErr w:type="gramStart"/>
      <w:r w:rsidRPr="006E20A2">
        <w:rPr>
          <w:rFonts w:ascii="Arial" w:hAnsi="Arial"/>
          <w:bCs/>
          <w:iCs/>
          <w:sz w:val="20"/>
          <w:lang w:val="en-US"/>
        </w:rPr>
        <w:t>on the basis of</w:t>
      </w:r>
      <w:proofErr w:type="gramEnd"/>
      <w:r w:rsidRPr="006E20A2">
        <w:rPr>
          <w:rFonts w:ascii="Arial" w:hAnsi="Arial"/>
          <w:bCs/>
          <w:iCs/>
          <w:sz w:val="20"/>
          <w:lang w:val="en-US"/>
        </w:rPr>
        <w:t xml:space="preserve"> data from reports of banks, which represented 65,26% of all opened cases.</w:t>
      </w:r>
    </w:p>
    <w:p w14:paraId="76743C78" w14:textId="2B991FE6" w:rsidR="00AC530B" w:rsidRPr="006E20A2" w:rsidRDefault="00AC530B" w:rsidP="00AC530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rFonts w:ascii="Arial" w:hAnsi="Arial"/>
          <w:bCs/>
          <w:iCs/>
          <w:sz w:val="20"/>
          <w:lang w:val="en-US"/>
        </w:rPr>
      </w:pPr>
      <w:proofErr w:type="gramStart"/>
      <w:r w:rsidRPr="006E20A2">
        <w:rPr>
          <w:rFonts w:ascii="Arial" w:hAnsi="Arial"/>
          <w:bCs/>
          <w:iCs/>
          <w:sz w:val="20"/>
          <w:lang w:val="en-US"/>
        </w:rPr>
        <w:t>In spite of the fact that</w:t>
      </w:r>
      <w:proofErr w:type="gramEnd"/>
      <w:r w:rsidRPr="006E20A2">
        <w:rPr>
          <w:rFonts w:ascii="Arial" w:hAnsi="Arial"/>
          <w:bCs/>
          <w:iCs/>
          <w:sz w:val="20"/>
          <w:lang w:val="en-US"/>
        </w:rPr>
        <w:t xml:space="preserve"> the number of opened cases has more than doubled in the last four years, no changes in the structure of reporting entities have been recorded. </w:t>
      </w:r>
    </w:p>
    <w:p w14:paraId="6CD753DC" w14:textId="6DAB58F6" w:rsidR="00AC530B" w:rsidRPr="006E20A2" w:rsidRDefault="00AC530B" w:rsidP="00AC530B">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right="-22"/>
        <w:rPr>
          <w:rFonts w:ascii="Arial" w:hAnsi="Arial"/>
          <w:bCs/>
          <w:iCs/>
          <w:sz w:val="20"/>
          <w:lang w:val="en-US"/>
        </w:rPr>
      </w:pPr>
    </w:p>
    <w:p w14:paraId="23A049D0" w14:textId="511D4460" w:rsidR="00851C49" w:rsidRPr="006E20A2" w:rsidRDefault="00292A8B" w:rsidP="00BA5BC9">
      <w:pPr>
        <w:pStyle w:val="Naslov3"/>
        <w:rPr>
          <w:lang w:val="en-US"/>
        </w:rPr>
      </w:pPr>
      <w:bookmarkStart w:id="23" w:name="_Toc135206721"/>
      <w:bookmarkStart w:id="24" w:name="_Toc262605336"/>
      <w:bookmarkStart w:id="25" w:name="_Toc113535456"/>
      <w:r w:rsidRPr="006E20A2">
        <w:rPr>
          <w:lang w:val="en-US"/>
        </w:rPr>
        <w:t xml:space="preserve">3.1.2 </w:t>
      </w:r>
      <w:r w:rsidR="00490A6D" w:rsidRPr="006E20A2">
        <w:rPr>
          <w:lang w:val="en-US"/>
        </w:rPr>
        <w:t xml:space="preserve">Number and dynamics of open and concluded </w:t>
      </w:r>
      <w:proofErr w:type="gramStart"/>
      <w:r w:rsidR="00490A6D" w:rsidRPr="006E20A2">
        <w:rPr>
          <w:lang w:val="en-US"/>
        </w:rPr>
        <w:t>cases</w:t>
      </w:r>
      <w:bookmarkEnd w:id="23"/>
      <w:bookmarkEnd w:id="24"/>
      <w:bookmarkEnd w:id="25"/>
      <w:proofErr w:type="gramEnd"/>
    </w:p>
    <w:p w14:paraId="7BEC1978" w14:textId="77777777" w:rsidR="00791BE2" w:rsidRDefault="00791BE2" w:rsidP="00490A6D">
      <w:pPr>
        <w:rPr>
          <w:rFonts w:ascii="Arial" w:hAnsi="Arial"/>
          <w:sz w:val="20"/>
          <w:lang w:val="en-US"/>
        </w:rPr>
      </w:pPr>
    </w:p>
    <w:p w14:paraId="3F80259A" w14:textId="35C5AF8A" w:rsidR="00490A6D" w:rsidRPr="006E20A2" w:rsidRDefault="00490A6D" w:rsidP="00490A6D">
      <w:pPr>
        <w:rPr>
          <w:lang w:val="en-US"/>
        </w:rPr>
      </w:pPr>
      <w:r w:rsidRPr="006E20A2">
        <w:rPr>
          <w:rFonts w:ascii="Arial" w:hAnsi="Arial"/>
          <w:sz w:val="20"/>
          <w:lang w:val="en-US"/>
        </w:rPr>
        <w:t xml:space="preserve">In Table 3 you can find the number of opened and concluded cases in the period from 2010 until 2020, which were </w:t>
      </w:r>
      <w:r w:rsidR="006E20A2" w:rsidRPr="006E20A2">
        <w:rPr>
          <w:rFonts w:ascii="Arial" w:hAnsi="Arial"/>
          <w:sz w:val="20"/>
          <w:lang w:val="en-US"/>
        </w:rPr>
        <w:t>analyzed</w:t>
      </w:r>
      <w:r w:rsidRPr="006E20A2">
        <w:rPr>
          <w:rFonts w:ascii="Arial" w:hAnsi="Arial"/>
          <w:sz w:val="20"/>
          <w:lang w:val="en-US"/>
        </w:rPr>
        <w:t xml:space="preserve"> by the OMLP due to reasons for suspicion of committing the criminal offences of money laundering and terrorist financing</w:t>
      </w:r>
      <w:r w:rsidRPr="006E20A2">
        <w:rPr>
          <w:lang w:val="en-US"/>
        </w:rPr>
        <w:t>.</w:t>
      </w:r>
    </w:p>
    <w:p w14:paraId="516649B7" w14:textId="77777777" w:rsidR="00791BE2" w:rsidRDefault="00791BE2" w:rsidP="00D21F86">
      <w:pPr>
        <w:pStyle w:val="Napis"/>
        <w:spacing w:line="276" w:lineRule="auto"/>
        <w:ind w:right="-22"/>
        <w:rPr>
          <w:rFonts w:ascii="Arial" w:hAnsi="Arial"/>
          <w:sz w:val="20"/>
          <w:lang w:val="en-US"/>
        </w:rPr>
      </w:pPr>
    </w:p>
    <w:p w14:paraId="4ED5A1DC" w14:textId="2B9A16B8" w:rsidR="00851C49" w:rsidRPr="00791BE2" w:rsidRDefault="00490A6D" w:rsidP="00D21F86">
      <w:pPr>
        <w:pStyle w:val="Napis"/>
        <w:spacing w:line="276" w:lineRule="auto"/>
        <w:ind w:right="-22"/>
        <w:rPr>
          <w:rFonts w:ascii="Arial" w:hAnsi="Arial"/>
          <w:sz w:val="20"/>
          <w:lang w:val="en-US"/>
        </w:rPr>
      </w:pPr>
      <w:r w:rsidRPr="00791BE2">
        <w:rPr>
          <w:rFonts w:ascii="Arial" w:hAnsi="Arial"/>
          <w:sz w:val="20"/>
          <w:lang w:val="en-US"/>
        </w:rPr>
        <w:t>Table 3</w:t>
      </w:r>
      <w:r w:rsidR="00851C49" w:rsidRPr="00791BE2">
        <w:rPr>
          <w:rFonts w:ascii="Arial" w:hAnsi="Arial"/>
          <w:sz w:val="20"/>
          <w:lang w:val="en-US"/>
        </w:rPr>
        <w:t xml:space="preserve">: </w:t>
      </w:r>
      <w:r w:rsidRPr="00791BE2">
        <w:rPr>
          <w:rFonts w:ascii="Arial" w:hAnsi="Arial"/>
          <w:sz w:val="20"/>
          <w:lang w:val="en-US"/>
        </w:rPr>
        <w:t xml:space="preserve">Opened and concluded cases for the period </w:t>
      </w:r>
      <w:r w:rsidR="00851C49" w:rsidRPr="00791BE2">
        <w:rPr>
          <w:rFonts w:ascii="Arial" w:hAnsi="Arial"/>
          <w:sz w:val="20"/>
          <w:lang w:val="en-US"/>
        </w:rPr>
        <w:t>20</w:t>
      </w:r>
      <w:r w:rsidR="00D96206" w:rsidRPr="00791BE2">
        <w:rPr>
          <w:rFonts w:ascii="Arial" w:hAnsi="Arial"/>
          <w:sz w:val="20"/>
          <w:lang w:val="en-US"/>
        </w:rPr>
        <w:t>1</w:t>
      </w:r>
      <w:r w:rsidR="00AA2094" w:rsidRPr="00791BE2">
        <w:rPr>
          <w:rFonts w:ascii="Arial" w:hAnsi="Arial"/>
          <w:sz w:val="20"/>
          <w:lang w:val="en-US"/>
        </w:rPr>
        <w:t>0</w:t>
      </w:r>
      <w:r w:rsidR="00851C49" w:rsidRPr="00791BE2">
        <w:rPr>
          <w:rFonts w:ascii="Arial" w:hAnsi="Arial"/>
          <w:sz w:val="20"/>
          <w:lang w:val="en-US"/>
        </w:rPr>
        <w:t>–</w:t>
      </w:r>
      <w:proofErr w:type="gramStart"/>
      <w:r w:rsidR="00851C49" w:rsidRPr="00791BE2">
        <w:rPr>
          <w:rFonts w:ascii="Arial" w:hAnsi="Arial"/>
          <w:sz w:val="20"/>
          <w:lang w:val="en-US"/>
        </w:rPr>
        <w:t>20</w:t>
      </w:r>
      <w:r w:rsidR="00EB0245" w:rsidRPr="00791BE2">
        <w:rPr>
          <w:rFonts w:ascii="Arial" w:hAnsi="Arial"/>
          <w:sz w:val="20"/>
          <w:lang w:val="en-US"/>
        </w:rPr>
        <w:t>20</w:t>
      </w:r>
      <w:proofErr w:type="gramEnd"/>
    </w:p>
    <w:tbl>
      <w:tblPr>
        <w:tblW w:w="9215" w:type="dxa"/>
        <w:tblInd w:w="-2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992"/>
        <w:gridCol w:w="1134"/>
        <w:gridCol w:w="1417"/>
        <w:gridCol w:w="1418"/>
        <w:gridCol w:w="1417"/>
        <w:gridCol w:w="2127"/>
      </w:tblGrid>
      <w:tr w:rsidR="008F6703" w:rsidRPr="006E20A2" w14:paraId="06EEF102" w14:textId="77777777" w:rsidTr="00C67A40">
        <w:trPr>
          <w:trHeight w:val="414"/>
        </w:trPr>
        <w:tc>
          <w:tcPr>
            <w:tcW w:w="710" w:type="dxa"/>
            <w:vMerge w:val="restart"/>
            <w:tcBorders>
              <w:top w:val="single" w:sz="8" w:space="0" w:color="auto"/>
            </w:tcBorders>
            <w:shd w:val="clear" w:color="auto" w:fill="00CCFF"/>
            <w:noWrap/>
            <w:vAlign w:val="bottom"/>
          </w:tcPr>
          <w:p w14:paraId="081DA643" w14:textId="3D050A26" w:rsidR="008F6703" w:rsidRPr="006E20A2" w:rsidRDefault="00490A6D"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YEAR</w:t>
            </w:r>
          </w:p>
        </w:tc>
        <w:tc>
          <w:tcPr>
            <w:tcW w:w="992" w:type="dxa"/>
            <w:vMerge w:val="restart"/>
            <w:tcBorders>
              <w:top w:val="single" w:sz="8" w:space="0" w:color="auto"/>
            </w:tcBorders>
            <w:shd w:val="clear" w:color="auto" w:fill="00CCFF"/>
            <w:noWrap/>
            <w:vAlign w:val="bottom"/>
          </w:tcPr>
          <w:p w14:paraId="74800538" w14:textId="3E37670E" w:rsidR="008F6703" w:rsidRPr="006E20A2" w:rsidRDefault="00490A6D"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OPENED</w:t>
            </w:r>
          </w:p>
        </w:tc>
        <w:tc>
          <w:tcPr>
            <w:tcW w:w="1134" w:type="dxa"/>
            <w:vMerge w:val="restart"/>
            <w:tcBorders>
              <w:top w:val="single" w:sz="8" w:space="0" w:color="auto"/>
            </w:tcBorders>
            <w:shd w:val="clear" w:color="auto" w:fill="00CCFF"/>
            <w:noWrap/>
            <w:vAlign w:val="bottom"/>
          </w:tcPr>
          <w:p w14:paraId="6E552DFA" w14:textId="1DB192C5" w:rsidR="008F6703" w:rsidRPr="006E20A2" w:rsidRDefault="00490A6D"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NOTIFICATION</w:t>
            </w:r>
          </w:p>
        </w:tc>
        <w:tc>
          <w:tcPr>
            <w:tcW w:w="1417" w:type="dxa"/>
            <w:vMerge w:val="restart"/>
            <w:tcBorders>
              <w:top w:val="single" w:sz="8" w:space="0" w:color="auto"/>
            </w:tcBorders>
            <w:shd w:val="clear" w:color="auto" w:fill="00CCFF"/>
            <w:noWrap/>
            <w:vAlign w:val="bottom"/>
          </w:tcPr>
          <w:p w14:paraId="54D1BABE" w14:textId="37801F49"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I</w:t>
            </w:r>
            <w:r w:rsidR="00490A6D" w:rsidRPr="006E20A2">
              <w:rPr>
                <w:rFonts w:ascii="Arial" w:hAnsi="Arial"/>
                <w:b/>
                <w:bCs/>
                <w:sz w:val="17"/>
                <w:szCs w:val="17"/>
                <w:lang w:val="en-US" w:eastAsia="sl-SI"/>
              </w:rPr>
              <w:t>INFORMATION</w:t>
            </w:r>
          </w:p>
        </w:tc>
        <w:tc>
          <w:tcPr>
            <w:tcW w:w="1418" w:type="dxa"/>
            <w:vMerge w:val="restart"/>
            <w:tcBorders>
              <w:top w:val="single" w:sz="8" w:space="0" w:color="auto"/>
            </w:tcBorders>
            <w:shd w:val="clear" w:color="auto" w:fill="00CCFF"/>
            <w:vAlign w:val="bottom"/>
          </w:tcPr>
          <w:p w14:paraId="0CF5ECA9" w14:textId="5FFD9481" w:rsidR="008F6703" w:rsidRPr="006E20A2" w:rsidRDefault="00490A6D" w:rsidP="00490A6D">
            <w:pPr>
              <w:widowControl/>
              <w:rPr>
                <w:rFonts w:ascii="Arial" w:hAnsi="Arial"/>
                <w:b/>
                <w:bCs/>
                <w:sz w:val="17"/>
                <w:szCs w:val="17"/>
                <w:lang w:val="en-US" w:eastAsia="sl-SI"/>
              </w:rPr>
            </w:pPr>
            <w:r w:rsidRPr="006E20A2">
              <w:rPr>
                <w:rFonts w:ascii="Arial" w:hAnsi="Arial"/>
                <w:b/>
                <w:bCs/>
                <w:sz w:val="17"/>
                <w:szCs w:val="17"/>
                <w:lang w:val="en-US" w:eastAsia="sl-SI"/>
              </w:rPr>
              <w:t>AA IN OMLP</w:t>
            </w:r>
          </w:p>
        </w:tc>
        <w:tc>
          <w:tcPr>
            <w:tcW w:w="1417" w:type="dxa"/>
            <w:vMerge w:val="restart"/>
            <w:tcBorders>
              <w:top w:val="single" w:sz="8" w:space="0" w:color="auto"/>
            </w:tcBorders>
            <w:shd w:val="clear" w:color="auto" w:fill="00CCFF"/>
            <w:vAlign w:val="bottom"/>
          </w:tcPr>
          <w:p w14:paraId="5184B682" w14:textId="290B8D58" w:rsidR="008F6703" w:rsidRPr="006E20A2" w:rsidRDefault="00490A6D"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CONCLUDED TOTAL</w:t>
            </w:r>
          </w:p>
        </w:tc>
        <w:tc>
          <w:tcPr>
            <w:tcW w:w="2127" w:type="dxa"/>
            <w:tcBorders>
              <w:top w:val="single" w:sz="8" w:space="0" w:color="auto"/>
            </w:tcBorders>
            <w:shd w:val="clear" w:color="auto" w:fill="00CCFF"/>
            <w:vAlign w:val="bottom"/>
          </w:tcPr>
          <w:p w14:paraId="6B5A6C05" w14:textId="432B50BE" w:rsidR="008F6703" w:rsidRPr="006E20A2" w:rsidRDefault="00490A6D" w:rsidP="004E3462">
            <w:pPr>
              <w:widowControl/>
              <w:jc w:val="center"/>
              <w:rPr>
                <w:rFonts w:ascii="Arial" w:hAnsi="Arial"/>
                <w:b/>
                <w:bCs/>
                <w:sz w:val="17"/>
                <w:szCs w:val="17"/>
                <w:lang w:val="en-US" w:eastAsia="sl-SI"/>
              </w:rPr>
            </w:pPr>
            <w:r w:rsidRPr="006E20A2">
              <w:rPr>
                <w:rFonts w:ascii="Arial" w:hAnsi="Arial"/>
                <w:b/>
                <w:bCs/>
                <w:sz w:val="17"/>
                <w:szCs w:val="17"/>
                <w:lang w:val="en-US" w:eastAsia="sl-SI"/>
              </w:rPr>
              <w:t>NUMBER OF ALL SENT WRITTEN INFORMATION</w:t>
            </w:r>
            <w:r w:rsidR="008F6703" w:rsidRPr="006E20A2">
              <w:rPr>
                <w:rFonts w:ascii="Arial" w:hAnsi="Arial"/>
                <w:b/>
                <w:bCs/>
                <w:sz w:val="17"/>
                <w:szCs w:val="17"/>
                <w:vertAlign w:val="superscript"/>
                <w:lang w:val="en-US" w:eastAsia="sl-SI"/>
              </w:rPr>
              <w:footnoteReference w:id="4"/>
            </w:r>
          </w:p>
        </w:tc>
      </w:tr>
      <w:tr w:rsidR="008F6703" w:rsidRPr="006E20A2" w14:paraId="2A60874A" w14:textId="77777777" w:rsidTr="00C67A40">
        <w:trPr>
          <w:trHeight w:val="414"/>
        </w:trPr>
        <w:tc>
          <w:tcPr>
            <w:tcW w:w="710" w:type="dxa"/>
            <w:vMerge/>
            <w:shd w:val="clear" w:color="auto" w:fill="00CCFF"/>
            <w:noWrap/>
            <w:vAlign w:val="bottom"/>
          </w:tcPr>
          <w:p w14:paraId="17A09080" w14:textId="77777777" w:rsidR="008F6703" w:rsidRPr="006E20A2" w:rsidRDefault="008F6703" w:rsidP="008F6703">
            <w:pPr>
              <w:widowControl/>
              <w:jc w:val="center"/>
              <w:rPr>
                <w:rFonts w:ascii="Arial" w:hAnsi="Arial"/>
                <w:b/>
                <w:bCs/>
                <w:sz w:val="17"/>
                <w:szCs w:val="17"/>
                <w:lang w:val="en-US" w:eastAsia="sl-SI"/>
              </w:rPr>
            </w:pPr>
          </w:p>
        </w:tc>
        <w:tc>
          <w:tcPr>
            <w:tcW w:w="992" w:type="dxa"/>
            <w:vMerge/>
            <w:shd w:val="clear" w:color="auto" w:fill="00CCFF"/>
            <w:noWrap/>
            <w:vAlign w:val="bottom"/>
          </w:tcPr>
          <w:p w14:paraId="05D44FE0" w14:textId="77777777" w:rsidR="008F6703" w:rsidRPr="006E20A2" w:rsidRDefault="008F6703" w:rsidP="008F6703">
            <w:pPr>
              <w:widowControl/>
              <w:jc w:val="center"/>
              <w:rPr>
                <w:rFonts w:ascii="Arial" w:hAnsi="Arial"/>
                <w:b/>
                <w:bCs/>
                <w:sz w:val="17"/>
                <w:szCs w:val="17"/>
                <w:lang w:val="en-US" w:eastAsia="sl-SI"/>
              </w:rPr>
            </w:pPr>
          </w:p>
        </w:tc>
        <w:tc>
          <w:tcPr>
            <w:tcW w:w="1134" w:type="dxa"/>
            <w:vMerge/>
            <w:shd w:val="clear" w:color="auto" w:fill="00CCFF"/>
            <w:noWrap/>
            <w:vAlign w:val="bottom"/>
          </w:tcPr>
          <w:p w14:paraId="3D0901E4" w14:textId="77777777" w:rsidR="008F6703" w:rsidRPr="006E20A2" w:rsidRDefault="008F6703" w:rsidP="008F6703">
            <w:pPr>
              <w:widowControl/>
              <w:jc w:val="center"/>
              <w:rPr>
                <w:rFonts w:ascii="Arial" w:hAnsi="Arial"/>
                <w:b/>
                <w:bCs/>
                <w:sz w:val="17"/>
                <w:szCs w:val="17"/>
                <w:lang w:val="en-US" w:eastAsia="sl-SI"/>
              </w:rPr>
            </w:pPr>
          </w:p>
        </w:tc>
        <w:tc>
          <w:tcPr>
            <w:tcW w:w="1417" w:type="dxa"/>
            <w:vMerge/>
            <w:shd w:val="clear" w:color="auto" w:fill="00CCFF"/>
            <w:noWrap/>
            <w:vAlign w:val="bottom"/>
          </w:tcPr>
          <w:p w14:paraId="1D9A668A" w14:textId="77777777" w:rsidR="008F6703" w:rsidRPr="006E20A2" w:rsidRDefault="008F6703" w:rsidP="008F6703">
            <w:pPr>
              <w:widowControl/>
              <w:jc w:val="center"/>
              <w:rPr>
                <w:rFonts w:ascii="Arial" w:hAnsi="Arial"/>
                <w:b/>
                <w:bCs/>
                <w:sz w:val="17"/>
                <w:szCs w:val="17"/>
                <w:lang w:val="en-US" w:eastAsia="sl-SI"/>
              </w:rPr>
            </w:pPr>
          </w:p>
        </w:tc>
        <w:tc>
          <w:tcPr>
            <w:tcW w:w="1418" w:type="dxa"/>
            <w:vMerge/>
            <w:shd w:val="clear" w:color="auto" w:fill="00CCFF"/>
            <w:vAlign w:val="bottom"/>
          </w:tcPr>
          <w:p w14:paraId="475C8663" w14:textId="77777777" w:rsidR="008F6703" w:rsidRPr="006E20A2" w:rsidRDefault="008F6703" w:rsidP="008F6703">
            <w:pPr>
              <w:widowControl/>
              <w:jc w:val="center"/>
              <w:rPr>
                <w:rFonts w:ascii="Arial" w:hAnsi="Arial"/>
                <w:b/>
                <w:bCs/>
                <w:sz w:val="17"/>
                <w:szCs w:val="17"/>
                <w:lang w:val="en-US" w:eastAsia="sl-SI"/>
              </w:rPr>
            </w:pPr>
          </w:p>
        </w:tc>
        <w:tc>
          <w:tcPr>
            <w:tcW w:w="1417" w:type="dxa"/>
            <w:vMerge/>
            <w:shd w:val="clear" w:color="auto" w:fill="00CCFF"/>
            <w:vAlign w:val="bottom"/>
          </w:tcPr>
          <w:p w14:paraId="439C5E07" w14:textId="77777777" w:rsidR="008F6703" w:rsidRPr="006E20A2" w:rsidRDefault="008F6703" w:rsidP="008F6703">
            <w:pPr>
              <w:widowControl/>
              <w:jc w:val="center"/>
              <w:rPr>
                <w:rFonts w:ascii="Arial" w:hAnsi="Arial"/>
                <w:b/>
                <w:bCs/>
                <w:sz w:val="17"/>
                <w:szCs w:val="17"/>
                <w:lang w:val="en-US" w:eastAsia="sl-SI"/>
              </w:rPr>
            </w:pPr>
          </w:p>
        </w:tc>
        <w:tc>
          <w:tcPr>
            <w:tcW w:w="2127" w:type="dxa"/>
            <w:tcBorders>
              <w:top w:val="single" w:sz="8" w:space="0" w:color="auto"/>
            </w:tcBorders>
            <w:shd w:val="clear" w:color="auto" w:fill="00CCFF"/>
            <w:vAlign w:val="bottom"/>
          </w:tcPr>
          <w:p w14:paraId="60D0191E" w14:textId="0F7BFD9D" w:rsidR="008F6703" w:rsidRPr="006E20A2" w:rsidRDefault="00490A6D"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NOTIFICATION/INFORAMTION</w:t>
            </w:r>
          </w:p>
        </w:tc>
      </w:tr>
      <w:tr w:rsidR="008F6703" w:rsidRPr="006E20A2" w14:paraId="6EC01916" w14:textId="77777777" w:rsidTr="00C67A40">
        <w:trPr>
          <w:trHeight w:val="330"/>
        </w:trPr>
        <w:tc>
          <w:tcPr>
            <w:tcW w:w="710" w:type="dxa"/>
            <w:shd w:val="clear" w:color="auto" w:fill="99FF33"/>
            <w:noWrap/>
            <w:vAlign w:val="bottom"/>
          </w:tcPr>
          <w:p w14:paraId="5432F13B"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2010</w:t>
            </w:r>
          </w:p>
        </w:tc>
        <w:tc>
          <w:tcPr>
            <w:tcW w:w="992" w:type="dxa"/>
            <w:vAlign w:val="bottom"/>
          </w:tcPr>
          <w:p w14:paraId="415D4BFC"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233</w:t>
            </w:r>
          </w:p>
        </w:tc>
        <w:tc>
          <w:tcPr>
            <w:tcW w:w="1134" w:type="dxa"/>
            <w:vAlign w:val="bottom"/>
          </w:tcPr>
          <w:p w14:paraId="3338DD70"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55</w:t>
            </w:r>
          </w:p>
        </w:tc>
        <w:tc>
          <w:tcPr>
            <w:tcW w:w="1417" w:type="dxa"/>
            <w:vAlign w:val="bottom"/>
          </w:tcPr>
          <w:p w14:paraId="2793D1D4"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43</w:t>
            </w:r>
          </w:p>
        </w:tc>
        <w:tc>
          <w:tcPr>
            <w:tcW w:w="1418" w:type="dxa"/>
            <w:vAlign w:val="bottom"/>
          </w:tcPr>
          <w:p w14:paraId="6CE57812"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109</w:t>
            </w:r>
          </w:p>
        </w:tc>
        <w:tc>
          <w:tcPr>
            <w:tcW w:w="1417" w:type="dxa"/>
            <w:vAlign w:val="bottom"/>
          </w:tcPr>
          <w:p w14:paraId="3A3C4460"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207</w:t>
            </w:r>
          </w:p>
        </w:tc>
        <w:tc>
          <w:tcPr>
            <w:tcW w:w="2127" w:type="dxa"/>
            <w:vAlign w:val="bottom"/>
          </w:tcPr>
          <w:p w14:paraId="3517D7D7" w14:textId="77777777" w:rsidR="008F6703" w:rsidRPr="006E20A2" w:rsidRDefault="008F6703" w:rsidP="008F6703">
            <w:pPr>
              <w:widowControl/>
              <w:jc w:val="center"/>
              <w:rPr>
                <w:rFonts w:ascii="Arial" w:hAnsi="Arial"/>
                <w:sz w:val="17"/>
                <w:szCs w:val="17"/>
                <w:lang w:val="en-US" w:eastAsia="sl-SI"/>
              </w:rPr>
            </w:pPr>
          </w:p>
        </w:tc>
      </w:tr>
      <w:tr w:rsidR="008F6703" w:rsidRPr="006E20A2" w14:paraId="6BE01859" w14:textId="77777777" w:rsidTr="00C67A40">
        <w:trPr>
          <w:trHeight w:val="330"/>
        </w:trPr>
        <w:tc>
          <w:tcPr>
            <w:tcW w:w="710" w:type="dxa"/>
            <w:shd w:val="clear" w:color="auto" w:fill="99FF33"/>
            <w:noWrap/>
            <w:vAlign w:val="bottom"/>
          </w:tcPr>
          <w:p w14:paraId="5A8F53DB"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2011</w:t>
            </w:r>
          </w:p>
        </w:tc>
        <w:tc>
          <w:tcPr>
            <w:tcW w:w="992" w:type="dxa"/>
            <w:vAlign w:val="bottom"/>
          </w:tcPr>
          <w:p w14:paraId="4790E3EE"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327</w:t>
            </w:r>
          </w:p>
        </w:tc>
        <w:tc>
          <w:tcPr>
            <w:tcW w:w="1134" w:type="dxa"/>
            <w:vAlign w:val="bottom"/>
          </w:tcPr>
          <w:p w14:paraId="1C850677"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99</w:t>
            </w:r>
          </w:p>
        </w:tc>
        <w:tc>
          <w:tcPr>
            <w:tcW w:w="1417" w:type="dxa"/>
            <w:vAlign w:val="bottom"/>
          </w:tcPr>
          <w:p w14:paraId="3655D760"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58</w:t>
            </w:r>
          </w:p>
        </w:tc>
        <w:tc>
          <w:tcPr>
            <w:tcW w:w="1418" w:type="dxa"/>
            <w:vAlign w:val="bottom"/>
          </w:tcPr>
          <w:p w14:paraId="1634570B"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99</w:t>
            </w:r>
          </w:p>
        </w:tc>
        <w:tc>
          <w:tcPr>
            <w:tcW w:w="1417" w:type="dxa"/>
            <w:vAlign w:val="bottom"/>
          </w:tcPr>
          <w:p w14:paraId="70FBFA50"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256</w:t>
            </w:r>
          </w:p>
        </w:tc>
        <w:tc>
          <w:tcPr>
            <w:tcW w:w="2127" w:type="dxa"/>
            <w:vAlign w:val="bottom"/>
          </w:tcPr>
          <w:p w14:paraId="0DBECD8B"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84/48</w:t>
            </w:r>
          </w:p>
        </w:tc>
      </w:tr>
      <w:tr w:rsidR="008F6703" w:rsidRPr="006E20A2" w14:paraId="6EFC5A74" w14:textId="77777777" w:rsidTr="00C67A40">
        <w:trPr>
          <w:trHeight w:val="330"/>
        </w:trPr>
        <w:tc>
          <w:tcPr>
            <w:tcW w:w="710" w:type="dxa"/>
            <w:shd w:val="clear" w:color="auto" w:fill="99FF33"/>
            <w:noWrap/>
            <w:vAlign w:val="bottom"/>
          </w:tcPr>
          <w:p w14:paraId="0F12F9C8"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2012</w:t>
            </w:r>
          </w:p>
        </w:tc>
        <w:tc>
          <w:tcPr>
            <w:tcW w:w="992" w:type="dxa"/>
            <w:vAlign w:val="bottom"/>
          </w:tcPr>
          <w:p w14:paraId="6605336A"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559</w:t>
            </w:r>
          </w:p>
        </w:tc>
        <w:tc>
          <w:tcPr>
            <w:tcW w:w="1134" w:type="dxa"/>
            <w:vAlign w:val="bottom"/>
          </w:tcPr>
          <w:p w14:paraId="70924777"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175</w:t>
            </w:r>
          </w:p>
        </w:tc>
        <w:tc>
          <w:tcPr>
            <w:tcW w:w="1417" w:type="dxa"/>
            <w:vAlign w:val="bottom"/>
          </w:tcPr>
          <w:p w14:paraId="36CC97E4"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73</w:t>
            </w:r>
          </w:p>
        </w:tc>
        <w:tc>
          <w:tcPr>
            <w:tcW w:w="1418" w:type="dxa"/>
            <w:vAlign w:val="bottom"/>
          </w:tcPr>
          <w:p w14:paraId="61EBE2D0"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130</w:t>
            </w:r>
          </w:p>
        </w:tc>
        <w:tc>
          <w:tcPr>
            <w:tcW w:w="1417" w:type="dxa"/>
            <w:vAlign w:val="bottom"/>
          </w:tcPr>
          <w:p w14:paraId="31692F5D"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378</w:t>
            </w:r>
          </w:p>
        </w:tc>
        <w:tc>
          <w:tcPr>
            <w:tcW w:w="2127" w:type="dxa"/>
            <w:vAlign w:val="bottom"/>
          </w:tcPr>
          <w:p w14:paraId="2B4AC88C"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132/64</w:t>
            </w:r>
          </w:p>
        </w:tc>
      </w:tr>
      <w:tr w:rsidR="008F6703" w:rsidRPr="006E20A2" w14:paraId="4885D68C" w14:textId="77777777" w:rsidTr="00C67A40">
        <w:trPr>
          <w:trHeight w:val="330"/>
        </w:trPr>
        <w:tc>
          <w:tcPr>
            <w:tcW w:w="710" w:type="dxa"/>
            <w:shd w:val="clear" w:color="auto" w:fill="99FF33"/>
            <w:noWrap/>
            <w:vAlign w:val="bottom"/>
          </w:tcPr>
          <w:p w14:paraId="62270BCD"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2013</w:t>
            </w:r>
          </w:p>
        </w:tc>
        <w:tc>
          <w:tcPr>
            <w:tcW w:w="992" w:type="dxa"/>
            <w:vAlign w:val="bottom"/>
          </w:tcPr>
          <w:p w14:paraId="0EFC9476"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600</w:t>
            </w:r>
          </w:p>
        </w:tc>
        <w:tc>
          <w:tcPr>
            <w:tcW w:w="1134" w:type="dxa"/>
            <w:vAlign w:val="bottom"/>
          </w:tcPr>
          <w:p w14:paraId="0AD8364E"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170</w:t>
            </w:r>
          </w:p>
        </w:tc>
        <w:tc>
          <w:tcPr>
            <w:tcW w:w="1417" w:type="dxa"/>
            <w:vAlign w:val="bottom"/>
          </w:tcPr>
          <w:p w14:paraId="23A81419"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109</w:t>
            </w:r>
          </w:p>
        </w:tc>
        <w:tc>
          <w:tcPr>
            <w:tcW w:w="1418" w:type="dxa"/>
            <w:vAlign w:val="bottom"/>
          </w:tcPr>
          <w:p w14:paraId="0217BAAF"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156</w:t>
            </w:r>
          </w:p>
        </w:tc>
        <w:tc>
          <w:tcPr>
            <w:tcW w:w="1417" w:type="dxa"/>
            <w:vAlign w:val="bottom"/>
          </w:tcPr>
          <w:p w14:paraId="63617682"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435</w:t>
            </w:r>
          </w:p>
        </w:tc>
        <w:tc>
          <w:tcPr>
            <w:tcW w:w="2127" w:type="dxa"/>
            <w:vAlign w:val="bottom"/>
          </w:tcPr>
          <w:p w14:paraId="2D0C3624"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135/83</w:t>
            </w:r>
          </w:p>
        </w:tc>
      </w:tr>
      <w:tr w:rsidR="008F6703" w:rsidRPr="006E20A2" w14:paraId="287BAF67" w14:textId="77777777" w:rsidTr="00C67A40">
        <w:trPr>
          <w:trHeight w:val="330"/>
        </w:trPr>
        <w:tc>
          <w:tcPr>
            <w:tcW w:w="710" w:type="dxa"/>
            <w:shd w:val="clear" w:color="auto" w:fill="99FF33"/>
            <w:noWrap/>
            <w:vAlign w:val="bottom"/>
          </w:tcPr>
          <w:p w14:paraId="5184A009"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2014</w:t>
            </w:r>
          </w:p>
        </w:tc>
        <w:tc>
          <w:tcPr>
            <w:tcW w:w="992" w:type="dxa"/>
            <w:vAlign w:val="bottom"/>
          </w:tcPr>
          <w:p w14:paraId="67FC57AD"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480</w:t>
            </w:r>
          </w:p>
        </w:tc>
        <w:tc>
          <w:tcPr>
            <w:tcW w:w="1134" w:type="dxa"/>
            <w:vAlign w:val="bottom"/>
          </w:tcPr>
          <w:p w14:paraId="56BC82F4"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190</w:t>
            </w:r>
          </w:p>
        </w:tc>
        <w:tc>
          <w:tcPr>
            <w:tcW w:w="1417" w:type="dxa"/>
            <w:vAlign w:val="bottom"/>
          </w:tcPr>
          <w:p w14:paraId="18F8B531"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124</w:t>
            </w:r>
          </w:p>
        </w:tc>
        <w:tc>
          <w:tcPr>
            <w:tcW w:w="1418" w:type="dxa"/>
            <w:vAlign w:val="bottom"/>
          </w:tcPr>
          <w:p w14:paraId="184BD785"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207</w:t>
            </w:r>
          </w:p>
        </w:tc>
        <w:tc>
          <w:tcPr>
            <w:tcW w:w="1417" w:type="dxa"/>
            <w:vAlign w:val="bottom"/>
          </w:tcPr>
          <w:p w14:paraId="3097BE11"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521</w:t>
            </w:r>
          </w:p>
        </w:tc>
        <w:tc>
          <w:tcPr>
            <w:tcW w:w="2127" w:type="dxa"/>
            <w:vAlign w:val="bottom"/>
          </w:tcPr>
          <w:p w14:paraId="48636738"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157/111</w:t>
            </w:r>
          </w:p>
        </w:tc>
      </w:tr>
      <w:tr w:rsidR="008F6703" w:rsidRPr="006E20A2" w14:paraId="299DF49C" w14:textId="77777777" w:rsidTr="00C67A40">
        <w:trPr>
          <w:trHeight w:val="330"/>
        </w:trPr>
        <w:tc>
          <w:tcPr>
            <w:tcW w:w="710" w:type="dxa"/>
            <w:shd w:val="clear" w:color="auto" w:fill="99FF33"/>
            <w:noWrap/>
            <w:vAlign w:val="bottom"/>
          </w:tcPr>
          <w:p w14:paraId="2C04D703"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2015</w:t>
            </w:r>
          </w:p>
        </w:tc>
        <w:tc>
          <w:tcPr>
            <w:tcW w:w="992" w:type="dxa"/>
            <w:vAlign w:val="bottom"/>
          </w:tcPr>
          <w:p w14:paraId="50B96AB3"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521</w:t>
            </w:r>
          </w:p>
        </w:tc>
        <w:tc>
          <w:tcPr>
            <w:tcW w:w="1134" w:type="dxa"/>
            <w:vAlign w:val="bottom"/>
          </w:tcPr>
          <w:p w14:paraId="743F4258"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259</w:t>
            </w:r>
          </w:p>
        </w:tc>
        <w:tc>
          <w:tcPr>
            <w:tcW w:w="1417" w:type="dxa"/>
            <w:vAlign w:val="bottom"/>
          </w:tcPr>
          <w:p w14:paraId="39E12AB2"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107</w:t>
            </w:r>
          </w:p>
        </w:tc>
        <w:tc>
          <w:tcPr>
            <w:tcW w:w="1418" w:type="dxa"/>
            <w:vAlign w:val="bottom"/>
          </w:tcPr>
          <w:p w14:paraId="0E2FCAE7"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206</w:t>
            </w:r>
          </w:p>
        </w:tc>
        <w:tc>
          <w:tcPr>
            <w:tcW w:w="1417" w:type="dxa"/>
            <w:vAlign w:val="bottom"/>
          </w:tcPr>
          <w:p w14:paraId="5A87CA65"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572</w:t>
            </w:r>
          </w:p>
        </w:tc>
        <w:tc>
          <w:tcPr>
            <w:tcW w:w="2127" w:type="dxa"/>
            <w:vAlign w:val="bottom"/>
          </w:tcPr>
          <w:p w14:paraId="266C73A9"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190/95</w:t>
            </w:r>
          </w:p>
        </w:tc>
      </w:tr>
      <w:tr w:rsidR="008F6703" w:rsidRPr="006E20A2" w14:paraId="07207B27" w14:textId="77777777" w:rsidTr="00C67A40">
        <w:trPr>
          <w:trHeight w:val="330"/>
        </w:trPr>
        <w:tc>
          <w:tcPr>
            <w:tcW w:w="710" w:type="dxa"/>
            <w:shd w:val="clear" w:color="auto" w:fill="99FF33"/>
            <w:noWrap/>
            <w:vAlign w:val="bottom"/>
          </w:tcPr>
          <w:p w14:paraId="2BBDD2D3"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2016</w:t>
            </w:r>
          </w:p>
        </w:tc>
        <w:tc>
          <w:tcPr>
            <w:tcW w:w="992" w:type="dxa"/>
            <w:vAlign w:val="bottom"/>
          </w:tcPr>
          <w:p w14:paraId="2C4DAD70"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449</w:t>
            </w:r>
          </w:p>
        </w:tc>
        <w:tc>
          <w:tcPr>
            <w:tcW w:w="1134" w:type="dxa"/>
            <w:vAlign w:val="bottom"/>
          </w:tcPr>
          <w:p w14:paraId="3B0371C9"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245</w:t>
            </w:r>
          </w:p>
        </w:tc>
        <w:tc>
          <w:tcPr>
            <w:tcW w:w="1417" w:type="dxa"/>
            <w:vAlign w:val="bottom"/>
          </w:tcPr>
          <w:p w14:paraId="0E310C88"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151</w:t>
            </w:r>
          </w:p>
        </w:tc>
        <w:tc>
          <w:tcPr>
            <w:tcW w:w="1418" w:type="dxa"/>
            <w:vAlign w:val="bottom"/>
          </w:tcPr>
          <w:p w14:paraId="0ABA6F16"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136</w:t>
            </w:r>
          </w:p>
        </w:tc>
        <w:tc>
          <w:tcPr>
            <w:tcW w:w="1417" w:type="dxa"/>
            <w:vAlign w:val="bottom"/>
          </w:tcPr>
          <w:p w14:paraId="2D4462E1"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531</w:t>
            </w:r>
          </w:p>
        </w:tc>
        <w:tc>
          <w:tcPr>
            <w:tcW w:w="2127" w:type="dxa"/>
            <w:vAlign w:val="bottom"/>
          </w:tcPr>
          <w:p w14:paraId="33921AF2"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185/128</w:t>
            </w:r>
          </w:p>
        </w:tc>
      </w:tr>
      <w:tr w:rsidR="008F6703" w:rsidRPr="006E20A2" w14:paraId="101E2A67" w14:textId="77777777" w:rsidTr="00C67A40">
        <w:trPr>
          <w:trHeight w:val="330"/>
        </w:trPr>
        <w:tc>
          <w:tcPr>
            <w:tcW w:w="710" w:type="dxa"/>
            <w:shd w:val="clear" w:color="auto" w:fill="99FF33"/>
            <w:noWrap/>
            <w:vAlign w:val="bottom"/>
          </w:tcPr>
          <w:p w14:paraId="0421345B"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2017</w:t>
            </w:r>
          </w:p>
        </w:tc>
        <w:tc>
          <w:tcPr>
            <w:tcW w:w="992" w:type="dxa"/>
            <w:vAlign w:val="bottom"/>
          </w:tcPr>
          <w:p w14:paraId="08E2287B"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558</w:t>
            </w:r>
          </w:p>
        </w:tc>
        <w:tc>
          <w:tcPr>
            <w:tcW w:w="1134" w:type="dxa"/>
            <w:vAlign w:val="bottom"/>
          </w:tcPr>
          <w:p w14:paraId="6737AA9B"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243</w:t>
            </w:r>
          </w:p>
        </w:tc>
        <w:tc>
          <w:tcPr>
            <w:tcW w:w="1417" w:type="dxa"/>
            <w:vAlign w:val="bottom"/>
          </w:tcPr>
          <w:p w14:paraId="5D98F7CA"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117</w:t>
            </w:r>
          </w:p>
        </w:tc>
        <w:tc>
          <w:tcPr>
            <w:tcW w:w="1418" w:type="dxa"/>
            <w:vAlign w:val="bottom"/>
          </w:tcPr>
          <w:p w14:paraId="5066E769"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75</w:t>
            </w:r>
          </w:p>
        </w:tc>
        <w:tc>
          <w:tcPr>
            <w:tcW w:w="1417" w:type="dxa"/>
            <w:vAlign w:val="bottom"/>
          </w:tcPr>
          <w:p w14:paraId="16C8779F"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435</w:t>
            </w:r>
          </w:p>
        </w:tc>
        <w:tc>
          <w:tcPr>
            <w:tcW w:w="2127" w:type="dxa"/>
            <w:vAlign w:val="bottom"/>
          </w:tcPr>
          <w:p w14:paraId="23A1C563"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181/92</w:t>
            </w:r>
          </w:p>
        </w:tc>
      </w:tr>
      <w:tr w:rsidR="008F6703" w:rsidRPr="006E20A2" w14:paraId="4CE1F492" w14:textId="77777777" w:rsidTr="00C67A40">
        <w:trPr>
          <w:trHeight w:val="330"/>
        </w:trPr>
        <w:tc>
          <w:tcPr>
            <w:tcW w:w="710" w:type="dxa"/>
            <w:tcBorders>
              <w:top w:val="single" w:sz="6" w:space="0" w:color="auto"/>
              <w:left w:val="single" w:sz="8" w:space="0" w:color="auto"/>
              <w:bottom w:val="single" w:sz="6" w:space="0" w:color="auto"/>
              <w:right w:val="single" w:sz="6" w:space="0" w:color="auto"/>
            </w:tcBorders>
            <w:shd w:val="clear" w:color="auto" w:fill="99FF33"/>
            <w:noWrap/>
            <w:vAlign w:val="bottom"/>
          </w:tcPr>
          <w:p w14:paraId="704D772C"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2018</w:t>
            </w:r>
          </w:p>
        </w:tc>
        <w:tc>
          <w:tcPr>
            <w:tcW w:w="992" w:type="dxa"/>
            <w:tcBorders>
              <w:top w:val="single" w:sz="6" w:space="0" w:color="auto"/>
              <w:left w:val="single" w:sz="6" w:space="0" w:color="auto"/>
              <w:bottom w:val="single" w:sz="6" w:space="0" w:color="auto"/>
              <w:right w:val="single" w:sz="6" w:space="0" w:color="auto"/>
            </w:tcBorders>
            <w:vAlign w:val="bottom"/>
          </w:tcPr>
          <w:p w14:paraId="66E1D74E"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787</w:t>
            </w:r>
          </w:p>
        </w:tc>
        <w:tc>
          <w:tcPr>
            <w:tcW w:w="1134" w:type="dxa"/>
            <w:tcBorders>
              <w:top w:val="single" w:sz="6" w:space="0" w:color="auto"/>
              <w:left w:val="single" w:sz="6" w:space="0" w:color="auto"/>
              <w:bottom w:val="single" w:sz="6" w:space="0" w:color="auto"/>
              <w:right w:val="single" w:sz="6" w:space="0" w:color="auto"/>
            </w:tcBorders>
            <w:vAlign w:val="bottom"/>
          </w:tcPr>
          <w:p w14:paraId="010DC327"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328</w:t>
            </w:r>
          </w:p>
        </w:tc>
        <w:tc>
          <w:tcPr>
            <w:tcW w:w="1417" w:type="dxa"/>
            <w:tcBorders>
              <w:top w:val="single" w:sz="6" w:space="0" w:color="auto"/>
              <w:left w:val="single" w:sz="6" w:space="0" w:color="auto"/>
              <w:bottom w:val="single" w:sz="6" w:space="0" w:color="auto"/>
              <w:right w:val="single" w:sz="6" w:space="0" w:color="auto"/>
            </w:tcBorders>
            <w:vAlign w:val="bottom"/>
          </w:tcPr>
          <w:p w14:paraId="08044D4B"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149</w:t>
            </w:r>
          </w:p>
        </w:tc>
        <w:tc>
          <w:tcPr>
            <w:tcW w:w="1418" w:type="dxa"/>
            <w:tcBorders>
              <w:top w:val="single" w:sz="6" w:space="0" w:color="auto"/>
              <w:left w:val="single" w:sz="6" w:space="0" w:color="auto"/>
              <w:bottom w:val="single" w:sz="6" w:space="0" w:color="auto"/>
              <w:right w:val="single" w:sz="6" w:space="0" w:color="auto"/>
            </w:tcBorders>
            <w:vAlign w:val="bottom"/>
          </w:tcPr>
          <w:p w14:paraId="2815EA79"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82</w:t>
            </w:r>
          </w:p>
        </w:tc>
        <w:tc>
          <w:tcPr>
            <w:tcW w:w="1417" w:type="dxa"/>
            <w:tcBorders>
              <w:top w:val="single" w:sz="6" w:space="0" w:color="auto"/>
              <w:left w:val="single" w:sz="6" w:space="0" w:color="auto"/>
              <w:bottom w:val="single" w:sz="6" w:space="0" w:color="auto"/>
              <w:right w:val="single" w:sz="6" w:space="0" w:color="auto"/>
            </w:tcBorders>
            <w:vAlign w:val="bottom"/>
          </w:tcPr>
          <w:p w14:paraId="6BD0FA16"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559</w:t>
            </w:r>
          </w:p>
        </w:tc>
        <w:tc>
          <w:tcPr>
            <w:tcW w:w="2127" w:type="dxa"/>
            <w:tcBorders>
              <w:top w:val="single" w:sz="6" w:space="0" w:color="auto"/>
              <w:left w:val="single" w:sz="6" w:space="0" w:color="auto"/>
              <w:bottom w:val="single" w:sz="6" w:space="0" w:color="auto"/>
              <w:right w:val="single" w:sz="8" w:space="0" w:color="auto"/>
            </w:tcBorders>
            <w:vAlign w:val="bottom"/>
          </w:tcPr>
          <w:p w14:paraId="4B17032F"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253/129</w:t>
            </w:r>
          </w:p>
        </w:tc>
      </w:tr>
      <w:tr w:rsidR="008F6703" w:rsidRPr="006E20A2" w14:paraId="0B848A46" w14:textId="77777777" w:rsidTr="00C67A40">
        <w:trPr>
          <w:trHeight w:val="330"/>
        </w:trPr>
        <w:tc>
          <w:tcPr>
            <w:tcW w:w="710" w:type="dxa"/>
            <w:tcBorders>
              <w:top w:val="single" w:sz="6" w:space="0" w:color="auto"/>
              <w:left w:val="single" w:sz="8" w:space="0" w:color="auto"/>
              <w:bottom w:val="single" w:sz="6" w:space="0" w:color="auto"/>
              <w:right w:val="single" w:sz="6" w:space="0" w:color="auto"/>
            </w:tcBorders>
            <w:shd w:val="clear" w:color="auto" w:fill="99FF33"/>
            <w:noWrap/>
            <w:vAlign w:val="bottom"/>
          </w:tcPr>
          <w:p w14:paraId="13705E5B"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2019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tcPr>
          <w:p w14:paraId="58E09050"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1.069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14:paraId="3A0D434D"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351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14:paraId="29DBAC94"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243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bottom"/>
          </w:tcPr>
          <w:p w14:paraId="6B7867CE"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187</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14:paraId="053332F7"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781</w:t>
            </w:r>
          </w:p>
        </w:tc>
        <w:tc>
          <w:tcPr>
            <w:tcW w:w="2127" w:type="dxa"/>
            <w:tcBorders>
              <w:top w:val="single" w:sz="6" w:space="0" w:color="auto"/>
              <w:left w:val="single" w:sz="6" w:space="0" w:color="auto"/>
              <w:bottom w:val="single" w:sz="6" w:space="0" w:color="auto"/>
              <w:right w:val="single" w:sz="8" w:space="0" w:color="auto"/>
            </w:tcBorders>
            <w:shd w:val="clear" w:color="auto" w:fill="auto"/>
            <w:vAlign w:val="bottom"/>
          </w:tcPr>
          <w:p w14:paraId="1836DB37"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259/170</w:t>
            </w:r>
          </w:p>
        </w:tc>
      </w:tr>
      <w:tr w:rsidR="008F6703" w:rsidRPr="006E20A2" w14:paraId="323F476A" w14:textId="77777777" w:rsidTr="00C67A40">
        <w:trPr>
          <w:trHeight w:val="330"/>
        </w:trPr>
        <w:tc>
          <w:tcPr>
            <w:tcW w:w="710" w:type="dxa"/>
            <w:tcBorders>
              <w:top w:val="single" w:sz="6" w:space="0" w:color="auto"/>
              <w:left w:val="single" w:sz="8" w:space="0" w:color="auto"/>
              <w:bottom w:val="single" w:sz="6" w:space="0" w:color="auto"/>
              <w:right w:val="single" w:sz="6" w:space="0" w:color="auto"/>
            </w:tcBorders>
            <w:shd w:val="clear" w:color="auto" w:fill="99FF33"/>
            <w:noWrap/>
            <w:vAlign w:val="bottom"/>
          </w:tcPr>
          <w:p w14:paraId="76B9693B" w14:textId="77777777" w:rsidR="008F6703" w:rsidRPr="006E20A2" w:rsidRDefault="008F6703" w:rsidP="008F6703">
            <w:pPr>
              <w:widowControl/>
              <w:jc w:val="center"/>
              <w:rPr>
                <w:rFonts w:ascii="Arial" w:hAnsi="Arial"/>
                <w:b/>
                <w:bCs/>
                <w:sz w:val="17"/>
                <w:szCs w:val="17"/>
                <w:lang w:val="en-US" w:eastAsia="sl-SI"/>
              </w:rPr>
            </w:pPr>
            <w:r w:rsidRPr="006E20A2">
              <w:rPr>
                <w:rFonts w:ascii="Arial" w:hAnsi="Arial"/>
                <w:b/>
                <w:bCs/>
                <w:sz w:val="17"/>
                <w:szCs w:val="17"/>
                <w:lang w:val="en-US" w:eastAsia="sl-SI"/>
              </w:rPr>
              <w:t>2020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tcPr>
          <w:p w14:paraId="4206F96A"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1.137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14:paraId="209B3073"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450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14:paraId="7C9E768D"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486</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bottom"/>
          </w:tcPr>
          <w:p w14:paraId="66370A10"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298</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14:paraId="6889F7FA"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1.234</w:t>
            </w:r>
          </w:p>
        </w:tc>
        <w:tc>
          <w:tcPr>
            <w:tcW w:w="2127" w:type="dxa"/>
            <w:tcBorders>
              <w:top w:val="single" w:sz="6" w:space="0" w:color="auto"/>
              <w:left w:val="single" w:sz="6" w:space="0" w:color="auto"/>
              <w:bottom w:val="single" w:sz="6" w:space="0" w:color="auto"/>
              <w:right w:val="single" w:sz="8" w:space="0" w:color="auto"/>
            </w:tcBorders>
            <w:shd w:val="clear" w:color="auto" w:fill="auto"/>
            <w:vAlign w:val="bottom"/>
          </w:tcPr>
          <w:p w14:paraId="0FFB2ECE" w14:textId="77777777" w:rsidR="008F6703" w:rsidRPr="006E20A2" w:rsidRDefault="008F6703" w:rsidP="008F6703">
            <w:pPr>
              <w:widowControl/>
              <w:jc w:val="center"/>
              <w:rPr>
                <w:rFonts w:ascii="Arial" w:hAnsi="Arial"/>
                <w:sz w:val="17"/>
                <w:szCs w:val="17"/>
                <w:lang w:val="en-US" w:eastAsia="sl-SI"/>
              </w:rPr>
            </w:pPr>
            <w:r w:rsidRPr="006E20A2">
              <w:rPr>
                <w:rFonts w:ascii="Arial" w:hAnsi="Arial"/>
                <w:sz w:val="17"/>
                <w:szCs w:val="17"/>
                <w:lang w:val="en-US" w:eastAsia="sl-SI"/>
              </w:rPr>
              <w:t>362/354</w:t>
            </w:r>
          </w:p>
        </w:tc>
      </w:tr>
    </w:tbl>
    <w:p w14:paraId="22580728" w14:textId="26175A3B" w:rsidR="008F6703" w:rsidRPr="006E20A2" w:rsidRDefault="008F6703" w:rsidP="008F6703">
      <w:pPr>
        <w:rPr>
          <w:lang w:val="en-US"/>
        </w:rPr>
      </w:pPr>
    </w:p>
    <w:p w14:paraId="67C97A9C" w14:textId="427DEE27" w:rsidR="00192E51" w:rsidRPr="006E20A2" w:rsidRDefault="00192E51" w:rsidP="00192E51">
      <w:pPr>
        <w:pStyle w:val="Telobesedila"/>
        <w:spacing w:line="276" w:lineRule="auto"/>
        <w:ind w:right="-22"/>
        <w:rPr>
          <w:rFonts w:ascii="Arial" w:hAnsi="Arial"/>
          <w:b/>
          <w:sz w:val="20"/>
          <w:lang w:val="en-US"/>
        </w:rPr>
      </w:pPr>
      <w:r w:rsidRPr="006E20A2">
        <w:rPr>
          <w:rFonts w:ascii="Arial" w:hAnsi="Arial"/>
          <w:sz w:val="20"/>
          <w:lang w:val="en-US"/>
        </w:rPr>
        <w:t xml:space="preserve">From Table 3 can be seen, that </w:t>
      </w:r>
      <w:r w:rsidRPr="006E20A2">
        <w:rPr>
          <w:rFonts w:ascii="Arial" w:hAnsi="Arial"/>
          <w:b/>
          <w:sz w:val="20"/>
          <w:lang w:val="en-US"/>
        </w:rPr>
        <w:t xml:space="preserve">in 2020 the OMLP opened 1137 of new cases </w:t>
      </w:r>
      <w:proofErr w:type="gramStart"/>
      <w:r w:rsidRPr="006E20A2">
        <w:rPr>
          <w:rFonts w:ascii="Arial" w:hAnsi="Arial"/>
          <w:b/>
          <w:sz w:val="20"/>
          <w:lang w:val="en-US"/>
        </w:rPr>
        <w:t>on the basis of</w:t>
      </w:r>
      <w:proofErr w:type="gramEnd"/>
      <w:r w:rsidRPr="006E20A2">
        <w:rPr>
          <w:rFonts w:ascii="Arial" w:hAnsi="Arial"/>
          <w:b/>
          <w:sz w:val="20"/>
          <w:lang w:val="en-US"/>
        </w:rPr>
        <w:t xml:space="preserve"> the reports and in the same period concluded 1234 cases. </w:t>
      </w:r>
    </w:p>
    <w:p w14:paraId="01B181C7" w14:textId="77777777" w:rsidR="00851C49" w:rsidRPr="006E20A2" w:rsidRDefault="00851C49" w:rsidP="00192E51">
      <w:pPr>
        <w:pStyle w:val="Telobesedila"/>
        <w:spacing w:line="276" w:lineRule="auto"/>
        <w:ind w:right="-22"/>
        <w:rPr>
          <w:rFonts w:ascii="Arial" w:hAnsi="Arial"/>
          <w:iCs/>
          <w:sz w:val="20"/>
          <w:lang w:val="en-US"/>
        </w:rPr>
      </w:pPr>
    </w:p>
    <w:p w14:paraId="759505F5" w14:textId="22121DBD" w:rsidR="00623C7A" w:rsidRPr="006E20A2" w:rsidRDefault="00192E51" w:rsidP="00192E51">
      <w:pPr>
        <w:pStyle w:val="Telobesedila"/>
        <w:spacing w:line="276" w:lineRule="auto"/>
        <w:ind w:right="-22"/>
        <w:rPr>
          <w:rFonts w:ascii="Arial" w:hAnsi="Arial"/>
          <w:b/>
          <w:iCs/>
          <w:sz w:val="20"/>
          <w:highlight w:val="yellow"/>
          <w:lang w:val="en-US"/>
        </w:rPr>
      </w:pPr>
      <w:r w:rsidRPr="006E20A2">
        <w:rPr>
          <w:rFonts w:ascii="Arial" w:hAnsi="Arial"/>
          <w:b/>
          <w:sz w:val="20"/>
          <w:lang w:val="en-US"/>
        </w:rPr>
        <w:t xml:space="preserve">In 2020, 1234 cases </w:t>
      </w:r>
      <w:r w:rsidRPr="006E20A2">
        <w:rPr>
          <w:rFonts w:ascii="Arial" w:hAnsi="Arial"/>
          <w:b/>
          <w:sz w:val="20"/>
          <w:u w:val="single"/>
          <w:lang w:val="en-US"/>
        </w:rPr>
        <w:t>were concluded</w:t>
      </w:r>
      <w:r w:rsidRPr="006E20A2">
        <w:rPr>
          <w:rFonts w:ascii="Arial" w:hAnsi="Arial"/>
          <w:b/>
          <w:sz w:val="20"/>
          <w:lang w:val="en-US"/>
        </w:rPr>
        <w:t xml:space="preserve"> as follows:</w:t>
      </w:r>
    </w:p>
    <w:p w14:paraId="6B59F51B" w14:textId="69073D04" w:rsidR="00623C7A" w:rsidRPr="006E20A2" w:rsidRDefault="00192E51" w:rsidP="00636B18">
      <w:pPr>
        <w:pStyle w:val="Telobesedila"/>
        <w:numPr>
          <w:ilvl w:val="0"/>
          <w:numId w:val="14"/>
        </w:num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pacing w:line="276" w:lineRule="auto"/>
        <w:ind w:right="-22"/>
        <w:rPr>
          <w:rFonts w:ascii="Arial" w:hAnsi="Arial"/>
          <w:bCs/>
          <w:iCs/>
          <w:sz w:val="20"/>
          <w:lang w:val="en-US"/>
        </w:rPr>
      </w:pPr>
      <w:r w:rsidRPr="006E20A2">
        <w:rPr>
          <w:rFonts w:ascii="Arial" w:hAnsi="Arial"/>
          <w:b/>
          <w:sz w:val="20"/>
          <w:lang w:val="en-US"/>
        </w:rPr>
        <w:t>450 cases</w:t>
      </w:r>
      <w:r w:rsidRPr="006E20A2">
        <w:rPr>
          <w:rFonts w:ascii="Arial" w:hAnsi="Arial"/>
          <w:sz w:val="20"/>
          <w:lang w:val="en-US"/>
        </w:rPr>
        <w:t xml:space="preserve"> were </w:t>
      </w:r>
      <w:r w:rsidR="00BE3A3A">
        <w:rPr>
          <w:rFonts w:ascii="Arial" w:hAnsi="Arial"/>
          <w:sz w:val="20"/>
          <w:lang w:val="en-US"/>
        </w:rPr>
        <w:t xml:space="preserve">concluded </w:t>
      </w:r>
      <w:r w:rsidRPr="006E20A2">
        <w:rPr>
          <w:rFonts w:ascii="Arial" w:hAnsi="Arial"/>
          <w:sz w:val="20"/>
          <w:lang w:val="en-US"/>
        </w:rPr>
        <w:t xml:space="preserve">as 362 written </w:t>
      </w:r>
      <w:r w:rsidRPr="006E20A2">
        <w:rPr>
          <w:rFonts w:ascii="Arial" w:hAnsi="Arial"/>
          <w:b/>
          <w:sz w:val="20"/>
          <w:lang w:val="en-US"/>
        </w:rPr>
        <w:t>notifications</w:t>
      </w:r>
      <w:r w:rsidRPr="006E20A2">
        <w:rPr>
          <w:rFonts w:ascii="Arial" w:hAnsi="Arial"/>
          <w:sz w:val="20"/>
          <w:lang w:val="en-US"/>
        </w:rPr>
        <w:t xml:space="preserve"> on suspicious transactions forwarded to the Criminal Police Directorate (in some cases also to the State Prosecutor`s Office), as </w:t>
      </w:r>
      <w:r w:rsidR="00BE3A3A">
        <w:rPr>
          <w:rFonts w:ascii="Arial" w:hAnsi="Arial"/>
          <w:sz w:val="20"/>
          <w:lang w:val="en-US"/>
        </w:rPr>
        <w:t>grounds</w:t>
      </w:r>
      <w:r w:rsidR="00BE3A3A" w:rsidRPr="006E20A2">
        <w:rPr>
          <w:rFonts w:ascii="Arial" w:hAnsi="Arial"/>
          <w:sz w:val="20"/>
          <w:lang w:val="en-US"/>
        </w:rPr>
        <w:t xml:space="preserve"> </w:t>
      </w:r>
      <w:r w:rsidRPr="006E20A2">
        <w:rPr>
          <w:rFonts w:ascii="Arial" w:hAnsi="Arial"/>
          <w:sz w:val="20"/>
          <w:lang w:val="en-US"/>
        </w:rPr>
        <w:t xml:space="preserve">for suspicion of committing the criminal offences of </w:t>
      </w:r>
      <w:r w:rsidRPr="006E20A2">
        <w:rPr>
          <w:rFonts w:ascii="Arial" w:hAnsi="Arial"/>
          <w:b/>
          <w:sz w:val="20"/>
          <w:lang w:val="en-US"/>
        </w:rPr>
        <w:t>money laundering</w:t>
      </w:r>
      <w:r w:rsidRPr="006E20A2">
        <w:rPr>
          <w:rFonts w:ascii="Arial" w:hAnsi="Arial"/>
          <w:sz w:val="20"/>
          <w:lang w:val="en-US"/>
        </w:rPr>
        <w:t xml:space="preserve"> or </w:t>
      </w:r>
      <w:r w:rsidRPr="006E20A2">
        <w:rPr>
          <w:rFonts w:ascii="Arial" w:hAnsi="Arial"/>
          <w:b/>
          <w:sz w:val="20"/>
          <w:lang w:val="en-US"/>
        </w:rPr>
        <w:t>terrorist financing</w:t>
      </w:r>
      <w:r w:rsidRPr="006E20A2">
        <w:rPr>
          <w:rFonts w:ascii="Arial" w:hAnsi="Arial"/>
          <w:sz w:val="20"/>
          <w:lang w:val="en-US"/>
        </w:rPr>
        <w:t xml:space="preserve"> were </w:t>
      </w:r>
      <w:r w:rsidR="00BE3A3A">
        <w:rPr>
          <w:rFonts w:ascii="Arial" w:hAnsi="Arial"/>
          <w:sz w:val="20"/>
          <w:lang w:val="en-US"/>
        </w:rPr>
        <w:t>established</w:t>
      </w:r>
      <w:r w:rsidR="00BE3A3A" w:rsidRPr="006E20A2">
        <w:rPr>
          <w:rFonts w:ascii="Arial" w:hAnsi="Arial"/>
          <w:sz w:val="20"/>
          <w:lang w:val="en-US"/>
        </w:rPr>
        <w:t xml:space="preserve"> </w:t>
      </w:r>
      <w:r w:rsidRPr="006E20A2">
        <w:rPr>
          <w:rFonts w:ascii="Arial" w:hAnsi="Arial"/>
          <w:sz w:val="20"/>
          <w:lang w:val="en-US"/>
        </w:rPr>
        <w:t>(36,48% of all cases, concluded in 2020</w:t>
      </w:r>
      <w:proofErr w:type="gramStart"/>
      <w:r w:rsidRPr="006E20A2">
        <w:rPr>
          <w:rFonts w:ascii="Arial" w:hAnsi="Arial"/>
          <w:sz w:val="20"/>
          <w:lang w:val="en-US"/>
        </w:rPr>
        <w:t>);</w:t>
      </w:r>
      <w:proofErr w:type="gramEnd"/>
    </w:p>
    <w:p w14:paraId="751CF0D6" w14:textId="44AFC246" w:rsidR="00623C7A" w:rsidRPr="006E20A2" w:rsidRDefault="00192E51" w:rsidP="00636B18">
      <w:pPr>
        <w:numPr>
          <w:ilvl w:val="0"/>
          <w:numId w:val="9"/>
        </w:num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pacing w:line="276" w:lineRule="auto"/>
        <w:ind w:right="-22"/>
        <w:rPr>
          <w:rFonts w:ascii="Arial" w:hAnsi="Arial"/>
          <w:bCs/>
          <w:iCs/>
          <w:sz w:val="20"/>
          <w:lang w:val="en-US"/>
        </w:rPr>
      </w:pPr>
      <w:r w:rsidRPr="006E20A2">
        <w:rPr>
          <w:rFonts w:ascii="Arial" w:hAnsi="Arial"/>
          <w:b/>
          <w:sz w:val="20"/>
          <w:lang w:val="en-US"/>
        </w:rPr>
        <w:t>468 cases</w:t>
      </w:r>
      <w:r w:rsidRPr="006E20A2">
        <w:rPr>
          <w:rFonts w:ascii="Arial" w:hAnsi="Arial"/>
          <w:sz w:val="20"/>
          <w:lang w:val="en-US"/>
        </w:rPr>
        <w:t xml:space="preserve"> were concluded with 354 written </w:t>
      </w:r>
      <w:r w:rsidRPr="006E20A2">
        <w:rPr>
          <w:rFonts w:ascii="Arial" w:hAnsi="Arial"/>
          <w:b/>
          <w:sz w:val="20"/>
          <w:lang w:val="en-US"/>
        </w:rPr>
        <w:t>information</w:t>
      </w:r>
      <w:r w:rsidRPr="006E20A2">
        <w:rPr>
          <w:rFonts w:ascii="Arial" w:hAnsi="Arial"/>
          <w:sz w:val="20"/>
          <w:lang w:val="en-US"/>
        </w:rPr>
        <w:t xml:space="preserve">, due to </w:t>
      </w:r>
      <w:r w:rsidR="00BE3A3A">
        <w:rPr>
          <w:rFonts w:ascii="Arial" w:hAnsi="Arial"/>
          <w:sz w:val="20"/>
          <w:lang w:val="en-US"/>
        </w:rPr>
        <w:t>established grounds for suspicion</w:t>
      </w:r>
      <w:r w:rsidRPr="006E20A2">
        <w:rPr>
          <w:rFonts w:ascii="Arial" w:hAnsi="Arial"/>
          <w:sz w:val="20"/>
          <w:lang w:val="en-US"/>
        </w:rPr>
        <w:t xml:space="preserve"> </w:t>
      </w:r>
      <w:r w:rsidR="00BE3A3A">
        <w:rPr>
          <w:rFonts w:ascii="Arial" w:hAnsi="Arial"/>
          <w:sz w:val="20"/>
          <w:lang w:val="en-US"/>
        </w:rPr>
        <w:t>of</w:t>
      </w:r>
      <w:r w:rsidR="00BE3A3A" w:rsidRPr="006E20A2">
        <w:rPr>
          <w:rFonts w:ascii="Arial" w:hAnsi="Arial"/>
          <w:sz w:val="20"/>
          <w:lang w:val="en-US"/>
        </w:rPr>
        <w:t xml:space="preserve"> </w:t>
      </w:r>
      <w:r w:rsidRPr="006E20A2">
        <w:rPr>
          <w:rFonts w:ascii="Arial" w:hAnsi="Arial"/>
          <w:sz w:val="20"/>
          <w:lang w:val="en-US"/>
        </w:rPr>
        <w:t xml:space="preserve">committing </w:t>
      </w:r>
      <w:r w:rsidRPr="006E20A2">
        <w:rPr>
          <w:rFonts w:ascii="Arial" w:hAnsi="Arial"/>
          <w:b/>
          <w:sz w:val="20"/>
          <w:lang w:val="en-US"/>
        </w:rPr>
        <w:t>other criminal offences</w:t>
      </w:r>
      <w:r w:rsidRPr="006E20A2">
        <w:rPr>
          <w:rFonts w:ascii="Arial" w:hAnsi="Arial"/>
          <w:sz w:val="20"/>
          <w:lang w:val="en-US"/>
        </w:rPr>
        <w:t>, stipulated by Article 102 of APMLFT-1 (39,46% of all cases concluded in 2020). The cases were therefore forwarded to the competent authorities (Police, Financial Administration of the Republic of Slovenia</w:t>
      </w:r>
      <w:proofErr w:type="gramStart"/>
      <w:r w:rsidRPr="006E20A2">
        <w:rPr>
          <w:rFonts w:ascii="Arial" w:hAnsi="Arial"/>
          <w:sz w:val="20"/>
          <w:lang w:val="en-US"/>
        </w:rPr>
        <w:t>)</w:t>
      </w:r>
      <w:r w:rsidR="00623C7A" w:rsidRPr="006E20A2">
        <w:rPr>
          <w:rFonts w:ascii="Arial" w:hAnsi="Arial"/>
          <w:bCs/>
          <w:iCs/>
          <w:sz w:val="20"/>
          <w:lang w:val="en-US"/>
        </w:rPr>
        <w:t>;</w:t>
      </w:r>
      <w:proofErr w:type="gramEnd"/>
    </w:p>
    <w:p w14:paraId="72502E76" w14:textId="79A6CE37" w:rsidR="00623C7A" w:rsidRPr="006E20A2" w:rsidRDefault="00192E51" w:rsidP="00636B18">
      <w:pPr>
        <w:numPr>
          <w:ilvl w:val="0"/>
          <w:numId w:val="9"/>
        </w:numPr>
        <w:tabs>
          <w:tab w:val="left" w:pos="-1049"/>
          <w:tab w:val="left" w:pos="-689"/>
          <w:tab w:val="left" w:pos="31"/>
          <w:tab w:val="left" w:pos="751"/>
          <w:tab w:val="left" w:pos="1471"/>
          <w:tab w:val="left" w:pos="2191"/>
          <w:tab w:val="left" w:pos="2911"/>
          <w:tab w:val="left" w:pos="3631"/>
          <w:tab w:val="center" w:pos="4153"/>
          <w:tab w:val="left" w:pos="4351"/>
          <w:tab w:val="left" w:pos="4531"/>
          <w:tab w:val="left" w:pos="5071"/>
          <w:tab w:val="left" w:pos="5791"/>
          <w:tab w:val="left" w:pos="6511"/>
          <w:tab w:val="left" w:pos="7231"/>
          <w:tab w:val="left" w:pos="7951"/>
          <w:tab w:val="right" w:pos="8306"/>
          <w:tab w:val="left" w:pos="8671"/>
          <w:tab w:val="left" w:pos="9391"/>
          <w:tab w:val="left" w:pos="10111"/>
          <w:tab w:val="left" w:pos="10831"/>
          <w:tab w:val="left" w:pos="11551"/>
        </w:tabs>
        <w:spacing w:line="276" w:lineRule="auto"/>
        <w:ind w:right="-22"/>
        <w:rPr>
          <w:rFonts w:ascii="Arial" w:hAnsi="Arial"/>
          <w:bCs/>
          <w:iCs/>
          <w:sz w:val="20"/>
          <w:lang w:val="en-US"/>
        </w:rPr>
      </w:pPr>
      <w:r w:rsidRPr="006E20A2">
        <w:rPr>
          <w:rFonts w:ascii="Arial" w:hAnsi="Arial"/>
          <w:b/>
          <w:sz w:val="20"/>
          <w:lang w:val="en-US"/>
        </w:rPr>
        <w:t>298 cases</w:t>
      </w:r>
      <w:r w:rsidRPr="006E20A2">
        <w:rPr>
          <w:rFonts w:ascii="Arial" w:hAnsi="Arial"/>
          <w:sz w:val="20"/>
          <w:lang w:val="en-US"/>
        </w:rPr>
        <w:t xml:space="preserve"> were </w:t>
      </w:r>
      <w:r w:rsidRPr="006E20A2">
        <w:rPr>
          <w:rFonts w:ascii="Arial" w:hAnsi="Arial"/>
          <w:b/>
          <w:sz w:val="20"/>
          <w:lang w:val="en-US"/>
        </w:rPr>
        <w:t>concluded and kept in the OMLP</w:t>
      </w:r>
      <w:r w:rsidRPr="006E20A2">
        <w:rPr>
          <w:rFonts w:ascii="Arial" w:hAnsi="Arial"/>
          <w:sz w:val="20"/>
          <w:lang w:val="en-US"/>
        </w:rPr>
        <w:t xml:space="preserve"> as no reasons for the suspicion of committing the criminal offence of money laundering or other criminal offence from Article 102 of APMLFT-1 were detected (24,05% of all cases, concluded in 2020).</w:t>
      </w:r>
      <w:r w:rsidRPr="006E20A2">
        <w:rPr>
          <w:rFonts w:ascii="Arial" w:hAnsi="Arial"/>
          <w:bCs/>
          <w:iCs/>
          <w:sz w:val="20"/>
          <w:lang w:val="en-US"/>
        </w:rPr>
        <w:t xml:space="preserve"> </w:t>
      </w:r>
    </w:p>
    <w:p w14:paraId="0E4E8DD1" w14:textId="7AEBC9C6" w:rsidR="001F6FB5" w:rsidRPr="006E20A2" w:rsidRDefault="001F6FB5" w:rsidP="00C54B1D">
      <w:pPr>
        <w:tabs>
          <w:tab w:val="left" w:pos="-1049"/>
          <w:tab w:val="left" w:pos="-689"/>
          <w:tab w:val="left" w:pos="751"/>
          <w:tab w:val="left" w:pos="8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left="851" w:right="-22" w:hanging="851"/>
        <w:rPr>
          <w:rFonts w:ascii="Arial" w:hAnsi="Arial"/>
          <w:b/>
          <w:bCs/>
          <w:i/>
          <w:iCs/>
          <w:sz w:val="20"/>
          <w:lang w:val="en-US"/>
        </w:rPr>
      </w:pPr>
    </w:p>
    <w:p w14:paraId="16634D32" w14:textId="2BF600E1" w:rsidR="00851C49" w:rsidRPr="006E20A2" w:rsidRDefault="00292A8B" w:rsidP="00BA5BC9">
      <w:pPr>
        <w:pStyle w:val="Naslov3"/>
        <w:rPr>
          <w:lang w:val="en-US"/>
        </w:rPr>
      </w:pPr>
      <w:bookmarkStart w:id="26" w:name="_Toc200524140"/>
      <w:bookmarkStart w:id="27" w:name="_Toc262605337"/>
      <w:bookmarkStart w:id="28" w:name="_Toc113535457"/>
      <w:r w:rsidRPr="006E20A2">
        <w:rPr>
          <w:lang w:val="en-US"/>
        </w:rPr>
        <w:t xml:space="preserve">3.1.3 </w:t>
      </w:r>
      <w:bookmarkEnd w:id="26"/>
      <w:bookmarkEnd w:id="27"/>
      <w:bookmarkEnd w:id="28"/>
      <w:r w:rsidR="005F716D" w:rsidRPr="006E20A2">
        <w:rPr>
          <w:lang w:val="en-US"/>
        </w:rPr>
        <w:t xml:space="preserve">Cases, forwarded to the Criminal Police Directorate of the Ministry of Interior and/or State Prosecutor`s Office due to the suspicion of money laundering according to Article 245 of the </w:t>
      </w:r>
      <w:r w:rsidR="005F716D" w:rsidRPr="006E20A2">
        <w:rPr>
          <w:lang w:val="en-US"/>
        </w:rPr>
        <w:lastRenderedPageBreak/>
        <w:t>Penal Code</w:t>
      </w:r>
    </w:p>
    <w:p w14:paraId="7A954071" w14:textId="77777777" w:rsidR="00851C49" w:rsidRPr="006E20A2" w:rsidRDefault="00851C49" w:rsidP="00D21F86">
      <w:pPr>
        <w:pStyle w:val="Telobesedila"/>
        <w:spacing w:line="276" w:lineRule="auto"/>
        <w:ind w:right="-22"/>
        <w:rPr>
          <w:rFonts w:ascii="Arial" w:hAnsi="Arial"/>
          <w:sz w:val="20"/>
          <w:lang w:val="en-US"/>
        </w:rPr>
      </w:pPr>
    </w:p>
    <w:p w14:paraId="31A7E702" w14:textId="178C830B" w:rsidR="005F716D" w:rsidRPr="006E20A2" w:rsidRDefault="005F716D" w:rsidP="0009296A">
      <w:pPr>
        <w:widowControl/>
        <w:spacing w:line="276" w:lineRule="auto"/>
        <w:ind w:right="-22"/>
        <w:rPr>
          <w:rFonts w:ascii="Arial" w:hAnsi="Arial"/>
          <w:sz w:val="20"/>
          <w:lang w:val="en-US"/>
        </w:rPr>
      </w:pPr>
      <w:r w:rsidRPr="006E20A2">
        <w:rPr>
          <w:rFonts w:ascii="Arial" w:hAnsi="Arial"/>
          <w:sz w:val="20"/>
          <w:lang w:val="en-US"/>
        </w:rPr>
        <w:t>Among concluded cases, the</w:t>
      </w:r>
      <w:r w:rsidR="00D730F9">
        <w:rPr>
          <w:rFonts w:ascii="Arial" w:hAnsi="Arial"/>
          <w:sz w:val="20"/>
          <w:lang w:val="en-US"/>
        </w:rPr>
        <w:t xml:space="preserve">re were also cases that </w:t>
      </w:r>
      <w:r w:rsidRPr="006E20A2">
        <w:rPr>
          <w:rFonts w:ascii="Arial" w:hAnsi="Arial"/>
          <w:sz w:val="20"/>
          <w:lang w:val="en-US"/>
        </w:rPr>
        <w:t>OMLP forwarded to the Criminal Police Directorate of the Ministry of Interior and/or State Prosecutor`s Office</w:t>
      </w:r>
      <w:r w:rsidR="00D730F9">
        <w:rPr>
          <w:rFonts w:ascii="Arial" w:hAnsi="Arial"/>
          <w:sz w:val="20"/>
          <w:lang w:val="en-US"/>
        </w:rPr>
        <w:t xml:space="preserve"> (</w:t>
      </w:r>
      <w:r w:rsidR="00D730F9" w:rsidRPr="006E20A2">
        <w:rPr>
          <w:rFonts w:ascii="Arial" w:hAnsi="Arial"/>
          <w:sz w:val="20"/>
          <w:lang w:val="en-US"/>
        </w:rPr>
        <w:t xml:space="preserve">together with documentation </w:t>
      </w:r>
      <w:proofErr w:type="gramStart"/>
      <w:r w:rsidR="00D730F9" w:rsidRPr="006E20A2">
        <w:rPr>
          <w:rFonts w:ascii="Arial" w:hAnsi="Arial"/>
          <w:sz w:val="20"/>
          <w:lang w:val="en-US"/>
        </w:rPr>
        <w:t>on the basis of</w:t>
      </w:r>
      <w:proofErr w:type="gramEnd"/>
      <w:r w:rsidR="00D730F9" w:rsidRPr="006E20A2">
        <w:rPr>
          <w:rFonts w:ascii="Arial" w:hAnsi="Arial"/>
          <w:sz w:val="20"/>
          <w:lang w:val="en-US"/>
        </w:rPr>
        <w:t xml:space="preserve"> Article 101 of APMLFT-1</w:t>
      </w:r>
      <w:r w:rsidR="00D730F9">
        <w:rPr>
          <w:rFonts w:ascii="Arial" w:hAnsi="Arial"/>
          <w:sz w:val="20"/>
          <w:lang w:val="en-US"/>
        </w:rPr>
        <w:t xml:space="preserve">) due to raised reasons for money laundering. </w:t>
      </w:r>
    </w:p>
    <w:p w14:paraId="2D1DC2A9" w14:textId="77777777" w:rsidR="005F716D" w:rsidRPr="006E20A2" w:rsidRDefault="005F716D" w:rsidP="00A0588B">
      <w:pPr>
        <w:widowControl/>
        <w:spacing w:line="276" w:lineRule="auto"/>
        <w:ind w:right="-22"/>
        <w:rPr>
          <w:lang w:val="en-US"/>
        </w:rPr>
      </w:pPr>
    </w:p>
    <w:p w14:paraId="43A14CD5" w14:textId="3F467EF1" w:rsidR="005F716D" w:rsidRPr="006E20A2" w:rsidRDefault="005F716D" w:rsidP="0009296A">
      <w:pPr>
        <w:pStyle w:val="Telobesedila2"/>
        <w:widowControl/>
        <w:spacing w:line="276" w:lineRule="auto"/>
        <w:ind w:right="-22"/>
        <w:rPr>
          <w:rFonts w:ascii="Arial" w:hAnsi="Arial"/>
          <w:bCs/>
          <w:i/>
          <w:sz w:val="20"/>
          <w:lang w:val="en-US"/>
        </w:rPr>
      </w:pPr>
      <w:r w:rsidRPr="006E20A2">
        <w:rPr>
          <w:rFonts w:ascii="Arial" w:hAnsi="Arial"/>
          <w:bCs/>
          <w:i/>
          <w:sz w:val="20"/>
          <w:lang w:val="en-US"/>
        </w:rPr>
        <w:t xml:space="preserve">In 2020, during its analysis the OMLP discovered in 438 cases </w:t>
      </w:r>
      <w:r w:rsidR="00992081">
        <w:rPr>
          <w:rFonts w:ascii="Arial" w:hAnsi="Arial"/>
          <w:bCs/>
          <w:i/>
          <w:sz w:val="20"/>
          <w:lang w:val="en-US"/>
        </w:rPr>
        <w:t>grounds</w:t>
      </w:r>
      <w:r w:rsidR="00992081" w:rsidRPr="006E20A2">
        <w:rPr>
          <w:rFonts w:ascii="Arial" w:hAnsi="Arial"/>
          <w:bCs/>
          <w:i/>
          <w:sz w:val="20"/>
          <w:lang w:val="en-US"/>
        </w:rPr>
        <w:t xml:space="preserve"> </w:t>
      </w:r>
      <w:r w:rsidRPr="006E20A2">
        <w:rPr>
          <w:rFonts w:ascii="Arial" w:hAnsi="Arial"/>
          <w:bCs/>
          <w:i/>
          <w:sz w:val="20"/>
          <w:lang w:val="en-US"/>
        </w:rPr>
        <w:t xml:space="preserve">for suspicion of committing the criminal offence of money laundering and forwarded its findings in 351 written notifications (notifications related to criminal offence of terrorist </w:t>
      </w:r>
      <w:r w:rsidR="006E20A2" w:rsidRPr="006E20A2">
        <w:rPr>
          <w:rFonts w:ascii="Arial" w:hAnsi="Arial"/>
          <w:bCs/>
          <w:i/>
          <w:sz w:val="20"/>
          <w:lang w:val="en-US"/>
        </w:rPr>
        <w:t>financing</w:t>
      </w:r>
      <w:r w:rsidRPr="006E20A2">
        <w:rPr>
          <w:rFonts w:ascii="Arial" w:hAnsi="Arial"/>
          <w:bCs/>
          <w:i/>
          <w:sz w:val="20"/>
          <w:lang w:val="en-US"/>
        </w:rPr>
        <w:t xml:space="preserve"> are shown in point 3.1.4.) to the Criminal Police Directorate of the Ministry of Interior and/or State Prosecutor</w:t>
      </w:r>
      <w:r w:rsidR="00992081">
        <w:rPr>
          <w:rFonts w:ascii="Arial" w:hAnsi="Arial"/>
          <w:bCs/>
          <w:i/>
          <w:sz w:val="20"/>
          <w:lang w:val="en-US"/>
        </w:rPr>
        <w:t>’s</w:t>
      </w:r>
      <w:r w:rsidRPr="006E20A2">
        <w:rPr>
          <w:rFonts w:ascii="Arial" w:hAnsi="Arial"/>
          <w:bCs/>
          <w:i/>
          <w:sz w:val="20"/>
          <w:lang w:val="en-US"/>
        </w:rPr>
        <w:t xml:space="preserve"> Office. The number of cases is higher than the number of written notifications because some of the written notifications included several connected cases. Beside the afore mentioned notifications, the OMLP forwarded to the Criminal Police Directorate of the Ministry of Interior and/or to the State Prosecutor`s Office in 2020 also 78 additions to already sent notifications on suspicious transactions, concluded in the previous years.</w:t>
      </w:r>
    </w:p>
    <w:p w14:paraId="5E5A0C77" w14:textId="69C19C97" w:rsidR="00A0588B" w:rsidRPr="006E20A2" w:rsidRDefault="00A0588B" w:rsidP="0009296A">
      <w:pPr>
        <w:widowControl/>
        <w:spacing w:line="276" w:lineRule="auto"/>
        <w:ind w:right="-22"/>
        <w:rPr>
          <w:rFonts w:ascii="Arial" w:hAnsi="Arial"/>
          <w:bCs/>
          <w:sz w:val="20"/>
          <w:lang w:val="en-US"/>
        </w:rPr>
      </w:pPr>
    </w:p>
    <w:p w14:paraId="00887567" w14:textId="5C021574" w:rsidR="005F716D" w:rsidRPr="006E20A2" w:rsidRDefault="005F716D" w:rsidP="0009296A">
      <w:pPr>
        <w:pStyle w:val="Telobesedila2"/>
        <w:widowControl/>
        <w:spacing w:line="276" w:lineRule="auto"/>
        <w:ind w:right="-22"/>
        <w:rPr>
          <w:rFonts w:ascii="Arial" w:hAnsi="Arial"/>
          <w:bCs/>
          <w:sz w:val="20"/>
          <w:lang w:val="en-US"/>
        </w:rPr>
      </w:pPr>
      <w:r w:rsidRPr="006E20A2">
        <w:rPr>
          <w:rFonts w:ascii="Arial" w:hAnsi="Arial"/>
          <w:bCs/>
          <w:sz w:val="20"/>
          <w:lang w:val="en-US"/>
        </w:rPr>
        <w:t xml:space="preserve">In comparison with the previous year, the amount of money for which (in the afore mentioned notifications on suspicious transactions) there existed </w:t>
      </w:r>
      <w:r w:rsidR="00992081">
        <w:rPr>
          <w:rFonts w:ascii="Arial" w:hAnsi="Arial"/>
          <w:bCs/>
          <w:sz w:val="20"/>
          <w:lang w:val="en-US"/>
        </w:rPr>
        <w:t>grounds</w:t>
      </w:r>
      <w:r w:rsidR="00992081" w:rsidRPr="006E20A2">
        <w:rPr>
          <w:rFonts w:ascii="Arial" w:hAnsi="Arial"/>
          <w:bCs/>
          <w:sz w:val="20"/>
          <w:lang w:val="en-US"/>
        </w:rPr>
        <w:t xml:space="preserve"> </w:t>
      </w:r>
      <w:r w:rsidRPr="006E20A2">
        <w:rPr>
          <w:rFonts w:ascii="Arial" w:hAnsi="Arial"/>
          <w:bCs/>
          <w:sz w:val="20"/>
          <w:lang w:val="en-US"/>
        </w:rPr>
        <w:t xml:space="preserve">for suspicion of committing the criminal offence of money laundering, </w:t>
      </w:r>
      <w:r w:rsidR="0009296A" w:rsidRPr="006E20A2">
        <w:rPr>
          <w:rFonts w:ascii="Arial" w:hAnsi="Arial"/>
          <w:bCs/>
          <w:sz w:val="20"/>
          <w:lang w:val="en-US"/>
        </w:rPr>
        <w:t xml:space="preserve">remained the same </w:t>
      </w:r>
      <w:r w:rsidRPr="006E20A2">
        <w:rPr>
          <w:rFonts w:ascii="Arial" w:hAnsi="Arial"/>
          <w:bCs/>
          <w:sz w:val="20"/>
          <w:lang w:val="en-US"/>
        </w:rPr>
        <w:t xml:space="preserve">in </w:t>
      </w:r>
      <w:r w:rsidR="0009296A" w:rsidRPr="006E20A2">
        <w:rPr>
          <w:rFonts w:ascii="Arial" w:hAnsi="Arial"/>
          <w:bCs/>
          <w:sz w:val="20"/>
          <w:lang w:val="en-US"/>
        </w:rPr>
        <w:t>2020</w:t>
      </w:r>
      <w:r w:rsidRPr="006E20A2">
        <w:rPr>
          <w:rFonts w:ascii="Arial" w:hAnsi="Arial"/>
          <w:bCs/>
          <w:sz w:val="20"/>
          <w:lang w:val="en-US"/>
        </w:rPr>
        <w:t xml:space="preserve"> in the currency EUR, </w:t>
      </w:r>
      <w:r w:rsidR="00992081">
        <w:rPr>
          <w:rFonts w:ascii="Arial" w:hAnsi="Arial"/>
          <w:bCs/>
          <w:sz w:val="20"/>
          <w:lang w:val="en-US"/>
        </w:rPr>
        <w:t>whereas</w:t>
      </w:r>
      <w:r w:rsidR="00992081" w:rsidRPr="006E20A2">
        <w:rPr>
          <w:rFonts w:ascii="Arial" w:hAnsi="Arial"/>
          <w:bCs/>
          <w:sz w:val="20"/>
          <w:lang w:val="en-US"/>
        </w:rPr>
        <w:t xml:space="preserve"> </w:t>
      </w:r>
      <w:r w:rsidRPr="006E20A2">
        <w:rPr>
          <w:rFonts w:ascii="Arial" w:hAnsi="Arial"/>
          <w:bCs/>
          <w:sz w:val="20"/>
          <w:lang w:val="en-US"/>
        </w:rPr>
        <w:t xml:space="preserve">it </w:t>
      </w:r>
      <w:r w:rsidR="00992081">
        <w:rPr>
          <w:rFonts w:ascii="Arial" w:hAnsi="Arial"/>
          <w:bCs/>
          <w:sz w:val="20"/>
          <w:lang w:val="en-US"/>
        </w:rPr>
        <w:t>has risen by</w:t>
      </w:r>
      <w:r w:rsidR="00992081" w:rsidRPr="006E20A2">
        <w:rPr>
          <w:rFonts w:ascii="Arial" w:hAnsi="Arial"/>
          <w:bCs/>
          <w:sz w:val="20"/>
          <w:lang w:val="en-US"/>
        </w:rPr>
        <w:t xml:space="preserve"> </w:t>
      </w:r>
      <w:r w:rsidR="0009296A" w:rsidRPr="006E20A2">
        <w:rPr>
          <w:rFonts w:ascii="Arial" w:hAnsi="Arial"/>
          <w:bCs/>
          <w:sz w:val="20"/>
          <w:lang w:val="en-US"/>
        </w:rPr>
        <w:t xml:space="preserve">500% </w:t>
      </w:r>
      <w:r w:rsidRPr="006E20A2">
        <w:rPr>
          <w:rFonts w:ascii="Arial" w:hAnsi="Arial"/>
          <w:bCs/>
          <w:sz w:val="20"/>
          <w:lang w:val="en-US"/>
        </w:rPr>
        <w:t xml:space="preserve">in the currency USD. </w:t>
      </w:r>
      <w:r w:rsidR="0009296A" w:rsidRPr="006E20A2">
        <w:rPr>
          <w:rFonts w:ascii="Arial" w:hAnsi="Arial"/>
          <w:bCs/>
          <w:sz w:val="20"/>
          <w:lang w:val="en-US"/>
        </w:rPr>
        <w:t>As the currency of EUR represent</w:t>
      </w:r>
      <w:r w:rsidR="00D730F9">
        <w:rPr>
          <w:rFonts w:ascii="Arial" w:hAnsi="Arial"/>
          <w:bCs/>
          <w:sz w:val="20"/>
          <w:lang w:val="en-US"/>
        </w:rPr>
        <w:t>ed</w:t>
      </w:r>
      <w:r w:rsidRPr="006E20A2">
        <w:rPr>
          <w:rFonts w:ascii="Arial" w:hAnsi="Arial"/>
          <w:bCs/>
          <w:sz w:val="20"/>
          <w:lang w:val="en-US"/>
        </w:rPr>
        <w:t xml:space="preserve"> </w:t>
      </w:r>
      <w:proofErr w:type="gramStart"/>
      <w:r w:rsidR="0009296A" w:rsidRPr="006E20A2">
        <w:rPr>
          <w:rFonts w:ascii="Arial" w:hAnsi="Arial"/>
          <w:bCs/>
          <w:sz w:val="20"/>
          <w:lang w:val="en-US"/>
        </w:rPr>
        <w:t>the majority of</w:t>
      </w:r>
      <w:proofErr w:type="gramEnd"/>
      <w:r w:rsidR="0009296A" w:rsidRPr="006E20A2">
        <w:rPr>
          <w:rFonts w:ascii="Arial" w:hAnsi="Arial"/>
          <w:bCs/>
          <w:sz w:val="20"/>
          <w:lang w:val="en-US"/>
        </w:rPr>
        <w:t xml:space="preserve"> funds, this ha</w:t>
      </w:r>
      <w:r w:rsidR="00D730F9">
        <w:rPr>
          <w:rFonts w:ascii="Arial" w:hAnsi="Arial"/>
          <w:bCs/>
          <w:sz w:val="20"/>
          <w:lang w:val="en-US"/>
        </w:rPr>
        <w:t>d</w:t>
      </w:r>
      <w:r w:rsidR="0009296A" w:rsidRPr="006E20A2">
        <w:rPr>
          <w:rFonts w:ascii="Arial" w:hAnsi="Arial"/>
          <w:bCs/>
          <w:sz w:val="20"/>
          <w:lang w:val="en-US"/>
        </w:rPr>
        <w:t xml:space="preserve"> no impact </w:t>
      </w:r>
      <w:r w:rsidR="00D730F9">
        <w:rPr>
          <w:rFonts w:ascii="Arial" w:hAnsi="Arial"/>
          <w:bCs/>
          <w:sz w:val="20"/>
          <w:lang w:val="en-US"/>
        </w:rPr>
        <w:t>to</w:t>
      </w:r>
      <w:r w:rsidR="0009296A" w:rsidRPr="006E20A2">
        <w:rPr>
          <w:rFonts w:ascii="Arial" w:hAnsi="Arial"/>
          <w:bCs/>
          <w:sz w:val="20"/>
          <w:lang w:val="en-US"/>
        </w:rPr>
        <w:t xml:space="preserve"> total amount of money. Average investigated transaction per case </w:t>
      </w:r>
      <w:r w:rsidR="006E20A2" w:rsidRPr="006E20A2">
        <w:rPr>
          <w:rFonts w:ascii="Arial" w:hAnsi="Arial"/>
          <w:bCs/>
          <w:sz w:val="20"/>
          <w:lang w:val="en-US"/>
        </w:rPr>
        <w:t>decreased</w:t>
      </w:r>
      <w:r w:rsidR="0009296A" w:rsidRPr="006E20A2">
        <w:rPr>
          <w:rFonts w:ascii="Arial" w:hAnsi="Arial"/>
          <w:bCs/>
          <w:sz w:val="20"/>
          <w:lang w:val="en-US"/>
        </w:rPr>
        <w:t xml:space="preserve"> to 1155 EUR, which is 15% less than last year, but </w:t>
      </w:r>
      <w:r w:rsidR="006E20A2" w:rsidRPr="006E20A2">
        <w:rPr>
          <w:rFonts w:ascii="Arial" w:hAnsi="Arial"/>
          <w:bCs/>
          <w:sz w:val="20"/>
          <w:lang w:val="en-US"/>
        </w:rPr>
        <w:t>still</w:t>
      </w:r>
      <w:r w:rsidR="0009296A" w:rsidRPr="006E20A2">
        <w:rPr>
          <w:rFonts w:ascii="Arial" w:hAnsi="Arial"/>
          <w:bCs/>
          <w:sz w:val="20"/>
          <w:lang w:val="en-US"/>
        </w:rPr>
        <w:t xml:space="preserve"> 37,5% more than the average in the period 2014-2018.</w:t>
      </w:r>
    </w:p>
    <w:p w14:paraId="3F9D25E5" w14:textId="77777777" w:rsidR="00A0588B" w:rsidRPr="006E20A2" w:rsidRDefault="00A0588B" w:rsidP="00A0588B">
      <w:pPr>
        <w:widowControl/>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ind w:right="-22"/>
        <w:rPr>
          <w:rFonts w:ascii="Arial" w:hAnsi="Arial"/>
          <w:b/>
          <w:i/>
          <w:sz w:val="20"/>
          <w:highlight w:val="yellow"/>
          <w:lang w:val="en-US"/>
        </w:rPr>
      </w:pPr>
    </w:p>
    <w:p w14:paraId="789F5DF0" w14:textId="265DEB44" w:rsidR="00A576F4" w:rsidRPr="006E20A2" w:rsidRDefault="0092071E" w:rsidP="0058169B">
      <w:pPr>
        <w:tabs>
          <w:tab w:val="left" w:pos="540"/>
          <w:tab w:val="left" w:pos="900"/>
        </w:tabs>
        <w:autoSpaceDE w:val="0"/>
        <w:autoSpaceDN w:val="0"/>
        <w:adjustRightInd w:val="0"/>
        <w:spacing w:line="276" w:lineRule="auto"/>
        <w:rPr>
          <w:rFonts w:ascii="Arial" w:hAnsi="Arial"/>
          <w:bCs/>
          <w:color w:val="000000"/>
          <w:sz w:val="20"/>
          <w:lang w:val="en-US" w:eastAsia="sl-SI"/>
        </w:rPr>
      </w:pPr>
      <w:r w:rsidRPr="006E20A2">
        <w:rPr>
          <w:rFonts w:ascii="Arial" w:hAnsi="Arial"/>
          <w:bCs/>
          <w:sz w:val="20"/>
          <w:lang w:val="en-US"/>
        </w:rPr>
        <w:t xml:space="preserve">Within its competences for detection of </w:t>
      </w:r>
      <w:r w:rsidR="00992081">
        <w:rPr>
          <w:rFonts w:ascii="Arial" w:hAnsi="Arial"/>
          <w:bCs/>
          <w:sz w:val="20"/>
          <w:lang w:val="en-US"/>
        </w:rPr>
        <w:t>grounds</w:t>
      </w:r>
      <w:r w:rsidR="00992081" w:rsidRPr="006E20A2">
        <w:rPr>
          <w:rFonts w:ascii="Arial" w:hAnsi="Arial"/>
          <w:bCs/>
          <w:sz w:val="20"/>
          <w:lang w:val="en-US"/>
        </w:rPr>
        <w:t xml:space="preserve"> </w:t>
      </w:r>
      <w:r w:rsidRPr="006E20A2">
        <w:rPr>
          <w:rFonts w:ascii="Arial" w:hAnsi="Arial"/>
          <w:bCs/>
          <w:sz w:val="20"/>
          <w:lang w:val="en-US"/>
        </w:rPr>
        <w:t xml:space="preserve">for suspicion of money laundering, the OMLP cannot definitively establish which predicate criminal offence was committed. In 75 written notifications, the OMLP did not state the predicate criminal offence, but </w:t>
      </w:r>
      <w:r w:rsidR="00992081">
        <w:rPr>
          <w:rFonts w:ascii="Arial" w:hAnsi="Arial"/>
          <w:bCs/>
          <w:sz w:val="20"/>
          <w:lang w:val="en-US"/>
        </w:rPr>
        <w:t>in the</w:t>
      </w:r>
      <w:r w:rsidR="00992081" w:rsidRPr="006E20A2">
        <w:rPr>
          <w:rFonts w:ascii="Arial" w:hAnsi="Arial"/>
          <w:bCs/>
          <w:sz w:val="20"/>
          <w:lang w:val="en-US"/>
        </w:rPr>
        <w:t xml:space="preserve"> </w:t>
      </w:r>
      <w:r w:rsidRPr="006E20A2">
        <w:rPr>
          <w:rFonts w:ascii="Arial" w:hAnsi="Arial"/>
          <w:bCs/>
          <w:sz w:val="20"/>
          <w:lang w:val="en-US"/>
        </w:rPr>
        <w:t>remaining written notifications the OMLP estimated (</w:t>
      </w:r>
      <w:proofErr w:type="gramStart"/>
      <w:r w:rsidRPr="006E20A2">
        <w:rPr>
          <w:rFonts w:ascii="Arial" w:hAnsi="Arial"/>
          <w:bCs/>
          <w:sz w:val="20"/>
          <w:lang w:val="en-US"/>
        </w:rPr>
        <w:t>on the basis of</w:t>
      </w:r>
      <w:proofErr w:type="gramEnd"/>
      <w:r w:rsidRPr="006E20A2">
        <w:rPr>
          <w:rFonts w:ascii="Arial" w:hAnsi="Arial"/>
          <w:bCs/>
          <w:sz w:val="20"/>
          <w:lang w:val="en-US"/>
        </w:rPr>
        <w:t xml:space="preserve"> the circumstances) which predicate criminal offence has most probably been committed. Detected </w:t>
      </w:r>
      <w:r w:rsidRPr="006E20A2">
        <w:rPr>
          <w:rFonts w:ascii="Arial" w:hAnsi="Arial"/>
          <w:bCs/>
          <w:sz w:val="20"/>
          <w:u w:val="single"/>
          <w:lang w:val="en-US"/>
        </w:rPr>
        <w:t>predicate criminal offences</w:t>
      </w:r>
      <w:r w:rsidRPr="006E20A2">
        <w:rPr>
          <w:rFonts w:ascii="Arial" w:hAnsi="Arial"/>
          <w:bCs/>
          <w:sz w:val="20"/>
          <w:lang w:val="en-US"/>
        </w:rPr>
        <w:t xml:space="preserve">, from which most probably the dirty money originated in 2020 were (as stipulated by the following Articles of </w:t>
      </w:r>
      <w:r w:rsidRPr="006E20A2">
        <w:rPr>
          <w:rFonts w:ascii="Arial" w:hAnsi="Arial"/>
          <w:bCs/>
          <w:sz w:val="20"/>
          <w:u w:val="single"/>
          <w:lang w:val="en-US"/>
        </w:rPr>
        <w:t>Criminal Code</w:t>
      </w:r>
      <w:r w:rsidRPr="006E20A2">
        <w:rPr>
          <w:rFonts w:ascii="Arial" w:hAnsi="Arial"/>
          <w:bCs/>
          <w:sz w:val="20"/>
          <w:lang w:val="en-US"/>
        </w:rPr>
        <w:t>)</w:t>
      </w:r>
      <w:r w:rsidR="00992081">
        <w:rPr>
          <w:rFonts w:ascii="Arial" w:hAnsi="Arial"/>
          <w:bCs/>
          <w:sz w:val="20"/>
          <w:lang w:val="en-US"/>
        </w:rPr>
        <w:t>:</w:t>
      </w:r>
      <w:r w:rsidR="00A576F4" w:rsidRPr="006E20A2">
        <w:rPr>
          <w:rFonts w:ascii="Arial" w:hAnsi="Arial"/>
          <w:bCs/>
          <w:sz w:val="20"/>
          <w:lang w:val="en-US"/>
        </w:rPr>
        <w:t xml:space="preserve"> </w:t>
      </w:r>
      <w:r w:rsidR="00992081">
        <w:rPr>
          <w:rFonts w:ascii="Arial" w:hAnsi="Arial"/>
          <w:bCs/>
          <w:sz w:val="20"/>
          <w:lang w:val="en-US"/>
        </w:rPr>
        <w:t xml:space="preserve">in </w:t>
      </w:r>
      <w:r w:rsidR="00A576F4" w:rsidRPr="006E20A2">
        <w:rPr>
          <w:rFonts w:ascii="Arial" w:hAnsi="Arial"/>
          <w:bCs/>
          <w:sz w:val="20"/>
          <w:lang w:val="en-US"/>
        </w:rPr>
        <w:t xml:space="preserve">76 </w:t>
      </w:r>
      <w:r w:rsidRPr="006E20A2">
        <w:rPr>
          <w:rFonts w:ascii="Arial" w:hAnsi="Arial"/>
          <w:bCs/>
          <w:sz w:val="20"/>
          <w:lang w:val="en-US"/>
        </w:rPr>
        <w:t>cases of fraud</w:t>
      </w:r>
      <w:r w:rsidR="00992081">
        <w:rPr>
          <w:rFonts w:ascii="Arial" w:hAnsi="Arial"/>
          <w:bCs/>
          <w:sz w:val="20"/>
          <w:lang w:val="en-US"/>
        </w:rPr>
        <w:t xml:space="preserve"> according to</w:t>
      </w:r>
      <w:r w:rsidRPr="006E20A2">
        <w:rPr>
          <w:rFonts w:ascii="Arial" w:hAnsi="Arial"/>
          <w:bCs/>
          <w:sz w:val="20"/>
          <w:lang w:val="en-US"/>
        </w:rPr>
        <w:t xml:space="preserve"> Article 211</w:t>
      </w:r>
      <w:r w:rsidR="00A576F4" w:rsidRPr="006E20A2">
        <w:rPr>
          <w:rFonts w:ascii="Arial" w:hAnsi="Arial"/>
          <w:bCs/>
          <w:sz w:val="20"/>
          <w:lang w:val="en-US"/>
        </w:rPr>
        <w:t xml:space="preserve">, </w:t>
      </w:r>
      <w:r w:rsidR="00992081">
        <w:rPr>
          <w:rFonts w:ascii="Arial" w:hAnsi="Arial"/>
          <w:bCs/>
          <w:sz w:val="20"/>
          <w:lang w:val="en-US"/>
        </w:rPr>
        <w:t xml:space="preserve">in </w:t>
      </w:r>
      <w:r w:rsidR="00A576F4" w:rsidRPr="006E20A2">
        <w:rPr>
          <w:rFonts w:ascii="Arial" w:hAnsi="Arial"/>
          <w:bCs/>
          <w:sz w:val="20"/>
          <w:lang w:val="en-US"/>
        </w:rPr>
        <w:t xml:space="preserve">10 </w:t>
      </w:r>
      <w:r w:rsidRPr="006E20A2">
        <w:rPr>
          <w:rFonts w:ascii="Arial" w:hAnsi="Arial"/>
          <w:bCs/>
          <w:sz w:val="20"/>
          <w:lang w:val="en-US"/>
        </w:rPr>
        <w:t>cases tax evasion</w:t>
      </w:r>
      <w:r w:rsidR="00992081">
        <w:rPr>
          <w:rFonts w:ascii="Arial" w:hAnsi="Arial"/>
          <w:bCs/>
          <w:sz w:val="20"/>
          <w:lang w:val="en-US"/>
        </w:rPr>
        <w:t xml:space="preserve"> according to</w:t>
      </w:r>
      <w:r w:rsidR="00992081" w:rsidRPr="006E20A2">
        <w:rPr>
          <w:rFonts w:ascii="Arial" w:hAnsi="Arial"/>
          <w:bCs/>
          <w:sz w:val="20"/>
          <w:lang w:val="en-US"/>
        </w:rPr>
        <w:t xml:space="preserve"> </w:t>
      </w:r>
      <w:r w:rsidRPr="006E20A2">
        <w:rPr>
          <w:rFonts w:ascii="Arial" w:hAnsi="Arial"/>
          <w:bCs/>
          <w:sz w:val="20"/>
          <w:lang w:val="en-US"/>
        </w:rPr>
        <w:t>Article 249</w:t>
      </w:r>
      <w:r w:rsidR="00A576F4" w:rsidRPr="006E20A2">
        <w:rPr>
          <w:rFonts w:ascii="Arial" w:hAnsi="Arial"/>
          <w:bCs/>
          <w:sz w:val="20"/>
          <w:lang w:val="en-US"/>
        </w:rPr>
        <w:t>,</w:t>
      </w:r>
      <w:r w:rsidR="00ED07DC" w:rsidRPr="006E20A2">
        <w:rPr>
          <w:rFonts w:ascii="Arial" w:hAnsi="Arial"/>
          <w:bCs/>
          <w:sz w:val="20"/>
          <w:lang w:val="en-US"/>
        </w:rPr>
        <w:t xml:space="preserve"> </w:t>
      </w:r>
      <w:r w:rsidR="00992081">
        <w:rPr>
          <w:rFonts w:ascii="Arial" w:hAnsi="Arial"/>
          <w:bCs/>
          <w:sz w:val="20"/>
          <w:lang w:val="en-US"/>
        </w:rPr>
        <w:t xml:space="preserve">in </w:t>
      </w:r>
      <w:r w:rsidRPr="006E20A2">
        <w:rPr>
          <w:rFonts w:ascii="Arial" w:hAnsi="Arial"/>
          <w:bCs/>
          <w:sz w:val="20"/>
          <w:lang w:val="en-US"/>
        </w:rPr>
        <w:t xml:space="preserve">8 cases unjustified production and trade with illegal drugs, </w:t>
      </w:r>
      <w:r w:rsidRPr="006E20A2">
        <w:rPr>
          <w:rFonts w:ascii="Arial" w:hAnsi="Arial"/>
          <w:bCs/>
          <w:color w:val="222222"/>
          <w:sz w:val="20"/>
          <w:lang w:val="en-US"/>
        </w:rPr>
        <w:t>illicit substances in sport and precursors for the manufacture of illicit drugs</w:t>
      </w:r>
      <w:r w:rsidR="00992081" w:rsidRPr="00992081">
        <w:rPr>
          <w:rFonts w:ascii="Arial" w:hAnsi="Arial"/>
          <w:bCs/>
          <w:sz w:val="20"/>
          <w:lang w:val="en-US"/>
        </w:rPr>
        <w:t xml:space="preserve"> </w:t>
      </w:r>
      <w:r w:rsidR="00992081">
        <w:rPr>
          <w:rFonts w:ascii="Arial" w:hAnsi="Arial"/>
          <w:bCs/>
          <w:sz w:val="20"/>
          <w:lang w:val="en-US"/>
        </w:rPr>
        <w:t>according to</w:t>
      </w:r>
      <w:r w:rsidRPr="006E20A2">
        <w:rPr>
          <w:rFonts w:ascii="Arial" w:hAnsi="Arial"/>
          <w:bCs/>
          <w:sz w:val="20"/>
          <w:lang w:val="en-US"/>
        </w:rPr>
        <w:t xml:space="preserve"> Article 186,</w:t>
      </w:r>
      <w:r w:rsidR="00992081">
        <w:rPr>
          <w:rFonts w:ascii="Arial" w:hAnsi="Arial"/>
          <w:bCs/>
          <w:sz w:val="20"/>
          <w:lang w:val="en-US"/>
        </w:rPr>
        <w:t xml:space="preserve"> in</w:t>
      </w:r>
      <w:r w:rsidRPr="006E20A2">
        <w:rPr>
          <w:rFonts w:ascii="Arial" w:hAnsi="Arial"/>
          <w:bCs/>
          <w:sz w:val="20"/>
          <w:lang w:val="en-US"/>
        </w:rPr>
        <w:t xml:space="preserve"> 7 cases abuse of prostitution</w:t>
      </w:r>
      <w:r w:rsidR="00992081" w:rsidRPr="00992081">
        <w:rPr>
          <w:rFonts w:ascii="Arial" w:hAnsi="Arial"/>
          <w:bCs/>
          <w:sz w:val="20"/>
          <w:lang w:val="en-US"/>
        </w:rPr>
        <w:t xml:space="preserve"> </w:t>
      </w:r>
      <w:r w:rsidR="00992081">
        <w:rPr>
          <w:rFonts w:ascii="Arial" w:hAnsi="Arial"/>
          <w:bCs/>
          <w:sz w:val="20"/>
          <w:lang w:val="en-US"/>
        </w:rPr>
        <w:t>according to</w:t>
      </w:r>
      <w:r w:rsidRPr="006E20A2">
        <w:rPr>
          <w:rFonts w:ascii="Arial" w:hAnsi="Arial"/>
          <w:bCs/>
          <w:sz w:val="20"/>
          <w:lang w:val="en-US"/>
        </w:rPr>
        <w:t xml:space="preserve"> Article 175</w:t>
      </w:r>
      <w:r w:rsidR="00A576F4" w:rsidRPr="006E20A2">
        <w:rPr>
          <w:rFonts w:ascii="Arial" w:hAnsi="Arial"/>
          <w:bCs/>
          <w:color w:val="000000"/>
          <w:sz w:val="20"/>
          <w:lang w:val="en-US" w:eastAsia="sl-SI"/>
        </w:rPr>
        <w:t xml:space="preserve">, </w:t>
      </w:r>
      <w:r w:rsidR="003B114E" w:rsidRPr="006E20A2">
        <w:rPr>
          <w:rFonts w:ascii="Arial" w:hAnsi="Arial"/>
          <w:bCs/>
          <w:color w:val="000000"/>
          <w:sz w:val="20"/>
          <w:lang w:val="en-US" w:eastAsia="sl-SI"/>
        </w:rPr>
        <w:t xml:space="preserve">in 3 </w:t>
      </w:r>
      <w:r w:rsidR="003B114E" w:rsidRPr="006E20A2">
        <w:rPr>
          <w:rFonts w:ascii="Arial" w:hAnsi="Arial"/>
          <w:b/>
          <w:sz w:val="20"/>
          <w:lang w:val="en-US"/>
        </w:rPr>
        <w:t>cases abuse of position or trust at economic activities</w:t>
      </w:r>
      <w:r w:rsidR="00992081" w:rsidRPr="00992081">
        <w:rPr>
          <w:rFonts w:ascii="Arial" w:hAnsi="Arial"/>
          <w:b/>
          <w:sz w:val="20"/>
          <w:lang w:val="en-US"/>
        </w:rPr>
        <w:t xml:space="preserve"> according to</w:t>
      </w:r>
      <w:r w:rsidR="003B114E" w:rsidRPr="006E20A2">
        <w:rPr>
          <w:rFonts w:ascii="Arial" w:hAnsi="Arial"/>
          <w:b/>
          <w:sz w:val="20"/>
          <w:lang w:val="en-US"/>
        </w:rPr>
        <w:t xml:space="preserve"> Article 240</w:t>
      </w:r>
      <w:r w:rsidR="00A576F4" w:rsidRPr="006E20A2">
        <w:rPr>
          <w:rFonts w:ascii="Arial" w:hAnsi="Arial"/>
          <w:bCs/>
          <w:sz w:val="20"/>
          <w:lang w:val="en-US"/>
        </w:rPr>
        <w:t xml:space="preserve">, </w:t>
      </w:r>
      <w:r w:rsidR="003B114E" w:rsidRPr="006E20A2">
        <w:rPr>
          <w:rFonts w:ascii="Arial" w:hAnsi="Arial"/>
          <w:bCs/>
          <w:sz w:val="20"/>
          <w:lang w:val="en-US"/>
        </w:rPr>
        <w:t xml:space="preserve">in </w:t>
      </w:r>
      <w:r w:rsidRPr="006E20A2">
        <w:rPr>
          <w:rFonts w:ascii="Arial" w:hAnsi="Arial"/>
          <w:bCs/>
          <w:sz w:val="20"/>
          <w:lang w:val="en-US"/>
        </w:rPr>
        <w:t>3 cases business fraud</w:t>
      </w:r>
      <w:r w:rsidR="00992081" w:rsidRPr="00992081">
        <w:rPr>
          <w:rFonts w:ascii="Arial" w:hAnsi="Arial"/>
          <w:bCs/>
          <w:sz w:val="20"/>
          <w:lang w:val="en-US"/>
        </w:rPr>
        <w:t xml:space="preserve"> </w:t>
      </w:r>
      <w:r w:rsidR="00992081">
        <w:rPr>
          <w:rFonts w:ascii="Arial" w:hAnsi="Arial"/>
          <w:bCs/>
          <w:sz w:val="20"/>
          <w:lang w:val="en-US"/>
        </w:rPr>
        <w:t>according to</w:t>
      </w:r>
      <w:r w:rsidRPr="006E20A2">
        <w:rPr>
          <w:rFonts w:ascii="Arial" w:hAnsi="Arial"/>
          <w:bCs/>
          <w:sz w:val="20"/>
          <w:lang w:val="en-US"/>
        </w:rPr>
        <w:t xml:space="preserve"> Article 228, </w:t>
      </w:r>
      <w:r w:rsidR="00992081">
        <w:rPr>
          <w:rFonts w:ascii="Arial" w:hAnsi="Arial"/>
          <w:bCs/>
          <w:sz w:val="20"/>
          <w:lang w:val="en-US"/>
        </w:rPr>
        <w:t xml:space="preserve">and </w:t>
      </w:r>
      <w:r w:rsidR="003B114E" w:rsidRPr="006E20A2">
        <w:rPr>
          <w:rFonts w:ascii="Arial" w:hAnsi="Arial"/>
          <w:bCs/>
          <w:sz w:val="20"/>
          <w:lang w:val="en-US"/>
        </w:rPr>
        <w:t xml:space="preserve">in some cases defrauding public funds </w:t>
      </w:r>
      <w:r w:rsidR="00992081">
        <w:rPr>
          <w:rFonts w:ascii="Arial" w:hAnsi="Arial"/>
          <w:bCs/>
          <w:sz w:val="20"/>
          <w:lang w:val="en-US"/>
        </w:rPr>
        <w:t>according to</w:t>
      </w:r>
      <w:r w:rsidR="00992081" w:rsidRPr="006E20A2">
        <w:rPr>
          <w:rFonts w:ascii="Arial" w:hAnsi="Arial"/>
          <w:bCs/>
          <w:sz w:val="20"/>
          <w:lang w:val="en-US"/>
        </w:rPr>
        <w:t xml:space="preserve"> </w:t>
      </w:r>
      <w:r w:rsidR="003B114E" w:rsidRPr="006E20A2">
        <w:rPr>
          <w:rFonts w:ascii="Arial" w:hAnsi="Arial"/>
          <w:bCs/>
          <w:sz w:val="20"/>
          <w:lang w:val="en-US"/>
        </w:rPr>
        <w:t>Article</w:t>
      </w:r>
      <w:r w:rsidR="00A576F4" w:rsidRPr="006E20A2">
        <w:rPr>
          <w:rFonts w:ascii="Arial" w:hAnsi="Arial"/>
          <w:bCs/>
          <w:sz w:val="20"/>
          <w:lang w:val="en-US"/>
        </w:rPr>
        <w:t xml:space="preserve"> 257a,</w:t>
      </w:r>
      <w:r w:rsidR="003B114E" w:rsidRPr="006E20A2">
        <w:rPr>
          <w:rFonts w:ascii="Arial" w:hAnsi="Arial"/>
          <w:bCs/>
          <w:sz w:val="20"/>
          <w:lang w:val="en-US"/>
        </w:rPr>
        <w:t xml:space="preserve"> illegal crossing of state border or territory </w:t>
      </w:r>
      <w:r w:rsidR="00992081">
        <w:rPr>
          <w:rFonts w:ascii="Arial" w:hAnsi="Arial"/>
          <w:bCs/>
          <w:sz w:val="20"/>
          <w:lang w:val="en-US"/>
        </w:rPr>
        <w:t>according to</w:t>
      </w:r>
      <w:r w:rsidR="00992081" w:rsidRPr="006E20A2">
        <w:rPr>
          <w:rFonts w:ascii="Arial" w:hAnsi="Arial"/>
          <w:bCs/>
          <w:sz w:val="20"/>
          <w:lang w:val="en-US"/>
        </w:rPr>
        <w:t xml:space="preserve"> </w:t>
      </w:r>
      <w:r w:rsidR="003B114E" w:rsidRPr="006E20A2">
        <w:rPr>
          <w:rFonts w:ascii="Arial" w:hAnsi="Arial"/>
          <w:bCs/>
          <w:sz w:val="20"/>
          <w:lang w:val="en-US"/>
        </w:rPr>
        <w:t>Article</w:t>
      </w:r>
      <w:r w:rsidR="00A576F4" w:rsidRPr="006E20A2">
        <w:rPr>
          <w:rFonts w:ascii="Arial" w:hAnsi="Arial"/>
          <w:bCs/>
          <w:color w:val="000000"/>
          <w:sz w:val="20"/>
          <w:lang w:val="en-US" w:eastAsia="sl-SI"/>
        </w:rPr>
        <w:t xml:space="preserve"> 308</w:t>
      </w:r>
      <w:r w:rsidR="003B114E" w:rsidRPr="006E20A2">
        <w:rPr>
          <w:rFonts w:ascii="Arial" w:hAnsi="Arial"/>
          <w:bCs/>
          <w:color w:val="000000"/>
          <w:sz w:val="20"/>
          <w:lang w:val="en-US" w:eastAsia="sl-SI"/>
        </w:rPr>
        <w:t xml:space="preserve">, illicit manufacturing or </w:t>
      </w:r>
      <w:r w:rsidR="0058169B" w:rsidRPr="006E20A2">
        <w:rPr>
          <w:rFonts w:ascii="Arial" w:hAnsi="Arial"/>
          <w:bCs/>
          <w:color w:val="000000"/>
          <w:sz w:val="20"/>
          <w:lang w:val="en-US" w:eastAsia="sl-SI"/>
        </w:rPr>
        <w:t>trafficking</w:t>
      </w:r>
      <w:r w:rsidR="003B114E" w:rsidRPr="006E20A2">
        <w:rPr>
          <w:rFonts w:ascii="Arial" w:hAnsi="Arial"/>
          <w:bCs/>
          <w:color w:val="000000"/>
          <w:sz w:val="20"/>
          <w:lang w:val="en-US" w:eastAsia="sl-SI"/>
        </w:rPr>
        <w:t xml:space="preserve"> in weapons or explosives </w:t>
      </w:r>
      <w:r w:rsidR="00992081">
        <w:rPr>
          <w:rFonts w:ascii="Arial" w:hAnsi="Arial"/>
          <w:bCs/>
          <w:sz w:val="20"/>
          <w:lang w:val="en-US"/>
        </w:rPr>
        <w:t>according to</w:t>
      </w:r>
      <w:r w:rsidR="00992081" w:rsidRPr="006E20A2">
        <w:rPr>
          <w:rFonts w:ascii="Arial" w:hAnsi="Arial"/>
          <w:bCs/>
          <w:color w:val="000000"/>
          <w:sz w:val="20"/>
          <w:lang w:val="en-US" w:eastAsia="sl-SI"/>
        </w:rPr>
        <w:t xml:space="preserve"> </w:t>
      </w:r>
      <w:r w:rsidR="003B114E" w:rsidRPr="006E20A2">
        <w:rPr>
          <w:rFonts w:ascii="Arial" w:hAnsi="Arial"/>
          <w:bCs/>
          <w:color w:val="000000"/>
          <w:sz w:val="20"/>
          <w:lang w:val="en-US" w:eastAsia="sl-SI"/>
        </w:rPr>
        <w:t>Article</w:t>
      </w:r>
      <w:r w:rsidR="00A576F4" w:rsidRPr="006E20A2">
        <w:rPr>
          <w:rFonts w:ascii="Arial" w:hAnsi="Arial"/>
          <w:bCs/>
          <w:color w:val="000000"/>
          <w:sz w:val="20"/>
          <w:lang w:val="en-US" w:eastAsia="sl-SI"/>
        </w:rPr>
        <w:t xml:space="preserve"> 307</w:t>
      </w:r>
      <w:r w:rsidR="003B114E" w:rsidRPr="006E20A2">
        <w:rPr>
          <w:rFonts w:ascii="Arial" w:hAnsi="Arial"/>
          <w:bCs/>
          <w:color w:val="000000"/>
          <w:sz w:val="20"/>
          <w:lang w:val="en-US" w:eastAsia="sl-SI"/>
        </w:rPr>
        <w:t xml:space="preserve">, making unlawful gifts </w:t>
      </w:r>
      <w:r w:rsidR="00992081">
        <w:rPr>
          <w:rFonts w:ascii="Arial" w:hAnsi="Arial"/>
          <w:bCs/>
          <w:sz w:val="20"/>
          <w:lang w:val="en-US"/>
        </w:rPr>
        <w:t>according to</w:t>
      </w:r>
      <w:r w:rsidR="00992081" w:rsidRPr="006E20A2">
        <w:rPr>
          <w:rFonts w:ascii="Arial" w:hAnsi="Arial"/>
          <w:bCs/>
          <w:color w:val="000000"/>
          <w:sz w:val="20"/>
          <w:lang w:val="en-US" w:eastAsia="sl-SI"/>
        </w:rPr>
        <w:t xml:space="preserve"> </w:t>
      </w:r>
      <w:r w:rsidR="003B114E" w:rsidRPr="006E20A2">
        <w:rPr>
          <w:rFonts w:ascii="Arial" w:hAnsi="Arial"/>
          <w:bCs/>
          <w:color w:val="000000"/>
          <w:sz w:val="20"/>
          <w:lang w:val="en-US" w:eastAsia="sl-SI"/>
        </w:rPr>
        <w:t xml:space="preserve">Article </w:t>
      </w:r>
      <w:r w:rsidR="00A576F4" w:rsidRPr="006E20A2">
        <w:rPr>
          <w:rFonts w:ascii="Arial" w:hAnsi="Arial"/>
          <w:bCs/>
          <w:color w:val="000000"/>
          <w:sz w:val="20"/>
          <w:lang w:val="en-US" w:eastAsia="sl-SI"/>
        </w:rPr>
        <w:t>242</w:t>
      </w:r>
      <w:r w:rsidR="003B114E" w:rsidRPr="006E20A2">
        <w:rPr>
          <w:rFonts w:ascii="Arial" w:hAnsi="Arial"/>
          <w:bCs/>
          <w:color w:val="000000"/>
          <w:sz w:val="20"/>
          <w:lang w:val="en-US" w:eastAsia="sl-SI"/>
        </w:rPr>
        <w:t xml:space="preserve">, </w:t>
      </w:r>
      <w:r w:rsidR="0058169B" w:rsidRPr="006E20A2">
        <w:rPr>
          <w:rFonts w:ascii="Arial" w:hAnsi="Arial"/>
          <w:bCs/>
          <w:color w:val="000000"/>
          <w:sz w:val="20"/>
          <w:lang w:val="en-US" w:eastAsia="sl-SI"/>
        </w:rPr>
        <w:t xml:space="preserve">larceny </w:t>
      </w:r>
      <w:r w:rsidR="00992081">
        <w:rPr>
          <w:rFonts w:ascii="Arial" w:hAnsi="Arial"/>
          <w:bCs/>
          <w:sz w:val="20"/>
          <w:lang w:val="en-US"/>
        </w:rPr>
        <w:t>according to</w:t>
      </w:r>
      <w:r w:rsidR="00992081" w:rsidRPr="006E20A2">
        <w:rPr>
          <w:rFonts w:ascii="Arial" w:hAnsi="Arial"/>
          <w:bCs/>
          <w:color w:val="000000"/>
          <w:sz w:val="20"/>
          <w:lang w:val="en-US" w:eastAsia="sl-SI"/>
        </w:rPr>
        <w:t xml:space="preserve"> </w:t>
      </w:r>
      <w:r w:rsidR="0058169B" w:rsidRPr="006E20A2">
        <w:rPr>
          <w:rFonts w:ascii="Arial" w:hAnsi="Arial"/>
          <w:bCs/>
          <w:color w:val="000000"/>
          <w:sz w:val="20"/>
          <w:lang w:val="en-US" w:eastAsia="sl-SI"/>
        </w:rPr>
        <w:t>Article</w:t>
      </w:r>
      <w:r w:rsidR="00A576F4" w:rsidRPr="006E20A2">
        <w:rPr>
          <w:rFonts w:ascii="Arial" w:hAnsi="Arial"/>
          <w:bCs/>
          <w:color w:val="000000"/>
          <w:sz w:val="20"/>
          <w:lang w:val="en-US" w:eastAsia="sl-SI"/>
        </w:rPr>
        <w:t xml:space="preserve"> 204</w:t>
      </w:r>
      <w:bookmarkStart w:id="29" w:name="_Toc21590828"/>
      <w:r w:rsidR="0058169B" w:rsidRPr="006E20A2">
        <w:rPr>
          <w:rFonts w:ascii="Arial" w:hAnsi="Arial"/>
          <w:bCs/>
          <w:color w:val="000000"/>
          <w:sz w:val="20"/>
          <w:lang w:val="en-US" w:eastAsia="sl-SI"/>
        </w:rPr>
        <w:t xml:space="preserve">, abuse of insider information </w:t>
      </w:r>
      <w:r w:rsidR="00992081">
        <w:rPr>
          <w:rFonts w:ascii="Arial" w:hAnsi="Arial"/>
          <w:bCs/>
          <w:sz w:val="20"/>
          <w:lang w:val="en-US"/>
        </w:rPr>
        <w:t>according to</w:t>
      </w:r>
      <w:r w:rsidR="00992081" w:rsidRPr="006E20A2">
        <w:rPr>
          <w:rFonts w:ascii="Arial" w:hAnsi="Arial"/>
          <w:bCs/>
          <w:color w:val="000000"/>
          <w:sz w:val="20"/>
          <w:lang w:val="en-US" w:eastAsia="sl-SI"/>
        </w:rPr>
        <w:t xml:space="preserve"> </w:t>
      </w:r>
      <w:r w:rsidR="0058169B" w:rsidRPr="006E20A2">
        <w:rPr>
          <w:rFonts w:ascii="Arial" w:hAnsi="Arial"/>
          <w:bCs/>
          <w:color w:val="000000"/>
          <w:sz w:val="20"/>
          <w:lang w:val="en-US" w:eastAsia="sl-SI"/>
        </w:rPr>
        <w:t>Article</w:t>
      </w:r>
      <w:r w:rsidR="00A576F4" w:rsidRPr="006E20A2">
        <w:rPr>
          <w:rFonts w:ascii="Arial" w:hAnsi="Arial"/>
          <w:bCs/>
          <w:color w:val="000000"/>
          <w:sz w:val="20"/>
          <w:lang w:val="en-US" w:eastAsia="sl-SI"/>
        </w:rPr>
        <w:t xml:space="preserve"> 243</w:t>
      </w:r>
      <w:r w:rsidR="0058169B" w:rsidRPr="006E20A2">
        <w:rPr>
          <w:rFonts w:ascii="Arial" w:hAnsi="Arial"/>
          <w:bCs/>
          <w:color w:val="000000"/>
          <w:sz w:val="20"/>
          <w:lang w:val="en-US" w:eastAsia="sl-SI"/>
        </w:rPr>
        <w:t xml:space="preserve">, disloyalty </w:t>
      </w:r>
      <w:r w:rsidR="00992081">
        <w:rPr>
          <w:rFonts w:ascii="Arial" w:hAnsi="Arial"/>
          <w:bCs/>
          <w:sz w:val="20"/>
          <w:lang w:val="en-US"/>
        </w:rPr>
        <w:t>according to</w:t>
      </w:r>
      <w:r w:rsidR="00992081" w:rsidRPr="006E20A2">
        <w:rPr>
          <w:rFonts w:ascii="Arial" w:hAnsi="Arial"/>
          <w:bCs/>
          <w:color w:val="000000"/>
          <w:sz w:val="20"/>
          <w:lang w:val="en-US" w:eastAsia="sl-SI"/>
        </w:rPr>
        <w:t xml:space="preserve"> </w:t>
      </w:r>
      <w:r w:rsidR="0058169B" w:rsidRPr="006E20A2">
        <w:rPr>
          <w:rFonts w:ascii="Arial" w:hAnsi="Arial"/>
          <w:bCs/>
          <w:color w:val="000000"/>
          <w:sz w:val="20"/>
          <w:lang w:val="en-US" w:eastAsia="sl-SI"/>
        </w:rPr>
        <w:t>Article</w:t>
      </w:r>
      <w:r w:rsidR="00A576F4" w:rsidRPr="006E20A2">
        <w:rPr>
          <w:rFonts w:ascii="Arial" w:hAnsi="Arial"/>
          <w:bCs/>
          <w:color w:val="000000"/>
          <w:sz w:val="20"/>
          <w:lang w:val="en-US" w:eastAsia="sl-SI"/>
        </w:rPr>
        <w:t xml:space="preserve"> 215</w:t>
      </w:r>
      <w:r w:rsidR="0058169B" w:rsidRPr="006E20A2">
        <w:rPr>
          <w:rFonts w:ascii="Arial" w:hAnsi="Arial"/>
          <w:bCs/>
          <w:color w:val="000000"/>
          <w:sz w:val="20"/>
          <w:lang w:val="en-US" w:eastAsia="sl-SI"/>
        </w:rPr>
        <w:t xml:space="preserve">, trafficking in human beings </w:t>
      </w:r>
      <w:r w:rsidR="00992081">
        <w:rPr>
          <w:rFonts w:ascii="Arial" w:hAnsi="Arial"/>
          <w:bCs/>
          <w:sz w:val="20"/>
          <w:lang w:val="en-US"/>
        </w:rPr>
        <w:t>according to</w:t>
      </w:r>
      <w:r w:rsidR="00992081" w:rsidRPr="006E20A2">
        <w:rPr>
          <w:rFonts w:ascii="Arial" w:hAnsi="Arial"/>
          <w:bCs/>
          <w:color w:val="000000"/>
          <w:sz w:val="20"/>
          <w:lang w:val="en-US" w:eastAsia="sl-SI"/>
        </w:rPr>
        <w:t xml:space="preserve"> </w:t>
      </w:r>
      <w:r w:rsidR="0058169B" w:rsidRPr="006E20A2">
        <w:rPr>
          <w:rFonts w:ascii="Arial" w:hAnsi="Arial"/>
          <w:bCs/>
          <w:color w:val="000000"/>
          <w:sz w:val="20"/>
          <w:lang w:val="en-US" w:eastAsia="sl-SI"/>
        </w:rPr>
        <w:t>Article 113, acceptance of bribes</w:t>
      </w:r>
      <w:r w:rsidR="00A576F4" w:rsidRPr="006E20A2">
        <w:rPr>
          <w:rFonts w:ascii="Arial" w:hAnsi="Arial"/>
          <w:bCs/>
          <w:color w:val="000000"/>
          <w:sz w:val="20"/>
          <w:lang w:val="en-US" w:eastAsia="sl-SI"/>
        </w:rPr>
        <w:t xml:space="preserve"> </w:t>
      </w:r>
      <w:r w:rsidR="00992081">
        <w:rPr>
          <w:rFonts w:ascii="Arial" w:hAnsi="Arial"/>
          <w:bCs/>
          <w:sz w:val="20"/>
          <w:lang w:val="en-US"/>
        </w:rPr>
        <w:t>according to</w:t>
      </w:r>
      <w:r w:rsidR="0058169B" w:rsidRPr="006E20A2">
        <w:rPr>
          <w:rFonts w:ascii="Arial" w:hAnsi="Arial"/>
          <w:bCs/>
          <w:color w:val="000000"/>
          <w:sz w:val="20"/>
          <w:lang w:val="en-US" w:eastAsia="sl-SI"/>
        </w:rPr>
        <w:t xml:space="preserve"> Article </w:t>
      </w:r>
      <w:r w:rsidR="00A576F4" w:rsidRPr="006E20A2">
        <w:rPr>
          <w:rFonts w:ascii="Arial" w:hAnsi="Arial"/>
          <w:bCs/>
          <w:color w:val="000000"/>
          <w:sz w:val="20"/>
          <w:lang w:val="en-US" w:eastAsia="sl-SI"/>
        </w:rPr>
        <w:t>261</w:t>
      </w:r>
      <w:r w:rsidR="0058169B" w:rsidRPr="006E20A2">
        <w:rPr>
          <w:rFonts w:ascii="Arial" w:hAnsi="Arial"/>
          <w:bCs/>
          <w:color w:val="000000"/>
          <w:sz w:val="20"/>
          <w:lang w:val="en-US" w:eastAsia="sl-SI"/>
        </w:rPr>
        <w:t xml:space="preserve"> and fraud to the detriment of European Union's financial interests </w:t>
      </w:r>
      <w:r w:rsidR="00992081">
        <w:rPr>
          <w:rFonts w:ascii="Arial" w:hAnsi="Arial"/>
          <w:bCs/>
          <w:sz w:val="20"/>
          <w:lang w:val="en-US"/>
        </w:rPr>
        <w:t>according to</w:t>
      </w:r>
      <w:r w:rsidR="00992081" w:rsidRPr="006E20A2">
        <w:rPr>
          <w:rFonts w:ascii="Arial" w:hAnsi="Arial"/>
          <w:bCs/>
          <w:color w:val="000000"/>
          <w:sz w:val="20"/>
          <w:lang w:val="en-US" w:eastAsia="sl-SI"/>
        </w:rPr>
        <w:t xml:space="preserve"> </w:t>
      </w:r>
      <w:r w:rsidR="0058169B" w:rsidRPr="006E20A2">
        <w:rPr>
          <w:rFonts w:ascii="Arial" w:hAnsi="Arial"/>
          <w:bCs/>
          <w:color w:val="000000"/>
          <w:sz w:val="20"/>
          <w:lang w:val="en-US" w:eastAsia="sl-SI"/>
        </w:rPr>
        <w:t>Article</w:t>
      </w:r>
      <w:r w:rsidR="00A576F4" w:rsidRPr="006E20A2">
        <w:rPr>
          <w:rFonts w:ascii="Arial" w:hAnsi="Arial"/>
          <w:bCs/>
          <w:color w:val="000000"/>
          <w:sz w:val="20"/>
          <w:lang w:val="en-US" w:eastAsia="sl-SI"/>
        </w:rPr>
        <w:t xml:space="preserve"> 229.</w:t>
      </w:r>
    </w:p>
    <w:p w14:paraId="14E3B96D" w14:textId="77777777" w:rsidR="00A576F4" w:rsidRPr="006E20A2" w:rsidRDefault="00A576F4" w:rsidP="00A576F4">
      <w:pPr>
        <w:rPr>
          <w:rFonts w:ascii="Arial" w:hAnsi="Arial"/>
          <w:sz w:val="20"/>
          <w:lang w:val="en-US"/>
        </w:rPr>
      </w:pPr>
    </w:p>
    <w:p w14:paraId="56C5A6BA" w14:textId="243F6476" w:rsidR="004F46B2" w:rsidRPr="006E20A2" w:rsidRDefault="004F46B2" w:rsidP="004F46B2">
      <w:pPr>
        <w:tabs>
          <w:tab w:val="left" w:pos="540"/>
          <w:tab w:val="left" w:pos="900"/>
        </w:tabs>
        <w:autoSpaceDE w:val="0"/>
        <w:autoSpaceDN w:val="0"/>
        <w:adjustRightInd w:val="0"/>
        <w:spacing w:line="276" w:lineRule="auto"/>
        <w:rPr>
          <w:rFonts w:ascii="Arial" w:hAnsi="Arial"/>
          <w:bCs/>
          <w:sz w:val="20"/>
          <w:lang w:val="en-US"/>
        </w:rPr>
      </w:pPr>
      <w:r w:rsidRPr="006E20A2">
        <w:rPr>
          <w:rFonts w:ascii="Arial" w:hAnsi="Arial"/>
          <w:bCs/>
          <w:sz w:val="20"/>
          <w:lang w:val="en-US"/>
        </w:rPr>
        <w:t xml:space="preserve">In 161 cases the OMLP </w:t>
      </w:r>
      <w:r w:rsidR="006E20A2" w:rsidRPr="006E20A2">
        <w:rPr>
          <w:rFonts w:ascii="Arial" w:hAnsi="Arial"/>
          <w:bCs/>
          <w:sz w:val="20"/>
          <w:lang w:val="en-US"/>
        </w:rPr>
        <w:t>established</w:t>
      </w:r>
      <w:r w:rsidRPr="006E20A2">
        <w:rPr>
          <w:rFonts w:ascii="Arial" w:hAnsi="Arial"/>
          <w:bCs/>
          <w:sz w:val="20"/>
          <w:lang w:val="en-US"/>
        </w:rPr>
        <w:t xml:space="preserve"> that the funds most probably originated from the criminal offences committed abroad (in 46 cases in Italy).</w:t>
      </w:r>
    </w:p>
    <w:p w14:paraId="76BE329B" w14:textId="22696F28" w:rsidR="00607A18" w:rsidRPr="006E20A2" w:rsidRDefault="00607A18" w:rsidP="00984925">
      <w:pPr>
        <w:spacing w:line="276" w:lineRule="auto"/>
        <w:rPr>
          <w:rFonts w:ascii="Arial" w:hAnsi="Arial"/>
          <w:sz w:val="20"/>
          <w:lang w:val="en-US"/>
        </w:rPr>
      </w:pPr>
    </w:p>
    <w:p w14:paraId="66B8CDE0" w14:textId="77777777" w:rsidR="004F46B2" w:rsidRPr="006E20A2" w:rsidRDefault="00292A8B" w:rsidP="00BA5BC9">
      <w:pPr>
        <w:pStyle w:val="Naslov3"/>
        <w:rPr>
          <w:lang w:val="en-US"/>
        </w:rPr>
      </w:pPr>
      <w:bookmarkStart w:id="30" w:name="_Toc262605338"/>
      <w:bookmarkStart w:id="31" w:name="_Toc113535458"/>
      <w:bookmarkEnd w:id="29"/>
      <w:r w:rsidRPr="006E20A2">
        <w:rPr>
          <w:lang w:val="en-US"/>
        </w:rPr>
        <w:t xml:space="preserve">3.1.4 </w:t>
      </w:r>
      <w:bookmarkEnd w:id="30"/>
      <w:bookmarkEnd w:id="31"/>
      <w:r w:rsidR="004F46B2" w:rsidRPr="006E20A2">
        <w:rPr>
          <w:lang w:val="en-US"/>
        </w:rPr>
        <w:t>Cases, forwarded to the Criminal Police Directorate and/or State Prosecutor`s Office due to the suspicion of committing the criminal offence of financing of terrorism according to Article 109 of the Criminal Code</w:t>
      </w:r>
    </w:p>
    <w:p w14:paraId="1B5B45F7" w14:textId="77777777" w:rsidR="00851C49" w:rsidRPr="006E20A2" w:rsidRDefault="00851C49" w:rsidP="00D21F86">
      <w:pPr>
        <w:pStyle w:val="Telobesedila-zamik"/>
        <w:tabs>
          <w:tab w:val="left" w:pos="9391"/>
          <w:tab w:val="left" w:pos="10111"/>
          <w:tab w:val="left" w:pos="10831"/>
          <w:tab w:val="left" w:pos="11551"/>
        </w:tabs>
        <w:spacing w:line="276" w:lineRule="auto"/>
        <w:ind w:left="0" w:right="-22"/>
        <w:rPr>
          <w:rFonts w:ascii="Arial" w:hAnsi="Arial"/>
          <w:bCs/>
          <w:sz w:val="20"/>
          <w:lang w:val="en-US"/>
        </w:rPr>
      </w:pPr>
    </w:p>
    <w:p w14:paraId="15177DEB" w14:textId="2FF44B03" w:rsidR="004F46B2" w:rsidRPr="006E20A2" w:rsidRDefault="004F46B2" w:rsidP="004F46B2">
      <w:pPr>
        <w:pStyle w:val="Telobesedila2"/>
        <w:widowControl/>
        <w:spacing w:line="276" w:lineRule="auto"/>
        <w:ind w:right="-22"/>
        <w:rPr>
          <w:rFonts w:ascii="Arial" w:hAnsi="Arial"/>
          <w:sz w:val="20"/>
          <w:lang w:val="en-US"/>
        </w:rPr>
      </w:pPr>
      <w:r w:rsidRPr="006E20A2">
        <w:rPr>
          <w:rFonts w:ascii="Arial" w:hAnsi="Arial"/>
          <w:sz w:val="20"/>
          <w:lang w:val="en-US"/>
        </w:rPr>
        <w:t xml:space="preserve">In 2020 the OMLP received </w:t>
      </w:r>
      <w:r w:rsidR="006E20A2" w:rsidRPr="006E20A2">
        <w:rPr>
          <w:rFonts w:ascii="Arial" w:hAnsi="Arial"/>
          <w:sz w:val="20"/>
          <w:lang w:val="en-US"/>
        </w:rPr>
        <w:t>53 reports</w:t>
      </w:r>
      <w:r w:rsidRPr="006E20A2">
        <w:rPr>
          <w:rFonts w:ascii="Arial" w:hAnsi="Arial"/>
          <w:sz w:val="20"/>
          <w:lang w:val="en-US"/>
        </w:rPr>
        <w:t xml:space="preserve">, where the transactions raised suspicions of committing the criminal offence of financing of terrorism according to Article 109 of the Criminal Code. Almost all reports were received from obliged entities, one report </w:t>
      </w:r>
      <w:r w:rsidR="006E20A2" w:rsidRPr="006E20A2">
        <w:rPr>
          <w:rFonts w:ascii="Arial" w:hAnsi="Arial"/>
          <w:sz w:val="20"/>
          <w:lang w:val="en-US"/>
        </w:rPr>
        <w:t>was</w:t>
      </w:r>
      <w:r w:rsidRPr="006E20A2">
        <w:rPr>
          <w:rFonts w:ascii="Arial" w:hAnsi="Arial"/>
          <w:sz w:val="20"/>
          <w:lang w:val="en-US"/>
        </w:rPr>
        <w:t xml:space="preserve"> obtained from the Slovenian Intelligence and Security Agency and one fro</w:t>
      </w:r>
      <w:r w:rsidR="006E20A2">
        <w:rPr>
          <w:rFonts w:ascii="Arial" w:hAnsi="Arial"/>
          <w:sz w:val="20"/>
          <w:lang w:val="en-US"/>
        </w:rPr>
        <w:t>m</w:t>
      </w:r>
      <w:r w:rsidRPr="006E20A2">
        <w:rPr>
          <w:rFonts w:ascii="Arial" w:hAnsi="Arial"/>
          <w:sz w:val="20"/>
          <w:lang w:val="en-US"/>
        </w:rPr>
        <w:t xml:space="preserve"> other sources.</w:t>
      </w:r>
    </w:p>
    <w:p w14:paraId="769DE577" w14:textId="227901B7" w:rsidR="004F46B2" w:rsidRPr="006E20A2" w:rsidRDefault="004F46B2" w:rsidP="004F46B2">
      <w:pPr>
        <w:widowControl/>
        <w:spacing w:line="276" w:lineRule="auto"/>
        <w:ind w:right="-22"/>
        <w:rPr>
          <w:rFonts w:ascii="Arial" w:hAnsi="Arial"/>
          <w:sz w:val="20"/>
          <w:highlight w:val="yellow"/>
          <w:lang w:val="en-US"/>
        </w:rPr>
      </w:pPr>
    </w:p>
    <w:p w14:paraId="2327A80C" w14:textId="4FBA1F9A" w:rsidR="004F46B2" w:rsidRPr="006E20A2" w:rsidRDefault="004F46B2" w:rsidP="004F46B2">
      <w:pPr>
        <w:pStyle w:val="Telobesedila2"/>
        <w:widowControl/>
        <w:spacing w:line="276" w:lineRule="auto"/>
        <w:ind w:right="-22"/>
        <w:rPr>
          <w:rFonts w:ascii="Arial" w:hAnsi="Arial"/>
          <w:sz w:val="20"/>
          <w:lang w:val="en-US"/>
        </w:rPr>
      </w:pPr>
      <w:r w:rsidRPr="006E20A2">
        <w:rPr>
          <w:rFonts w:ascii="Arial" w:hAnsi="Arial"/>
          <w:sz w:val="20"/>
          <w:lang w:val="en-US"/>
        </w:rPr>
        <w:t xml:space="preserve">In 2020, within its </w:t>
      </w:r>
      <w:r w:rsidR="004E5A21" w:rsidRPr="006E20A2">
        <w:rPr>
          <w:rFonts w:ascii="Arial" w:hAnsi="Arial"/>
          <w:sz w:val="20"/>
          <w:lang w:val="en-US"/>
        </w:rPr>
        <w:t>analys</w:t>
      </w:r>
      <w:r w:rsidR="004E5A21">
        <w:rPr>
          <w:rFonts w:ascii="Arial" w:hAnsi="Arial"/>
          <w:sz w:val="20"/>
          <w:lang w:val="en-US"/>
        </w:rPr>
        <w:t>e</w:t>
      </w:r>
      <w:r w:rsidR="004E5A21" w:rsidRPr="006E20A2">
        <w:rPr>
          <w:rFonts w:ascii="Arial" w:hAnsi="Arial"/>
          <w:sz w:val="20"/>
          <w:lang w:val="en-US"/>
        </w:rPr>
        <w:t xml:space="preserve">s </w:t>
      </w:r>
      <w:r w:rsidRPr="006E20A2">
        <w:rPr>
          <w:rFonts w:ascii="Arial" w:hAnsi="Arial"/>
          <w:sz w:val="20"/>
          <w:lang w:val="en-US"/>
        </w:rPr>
        <w:t xml:space="preserve">the OMLP established </w:t>
      </w:r>
      <w:r w:rsidR="004E5A21">
        <w:rPr>
          <w:rFonts w:ascii="Arial" w:hAnsi="Arial"/>
          <w:sz w:val="20"/>
          <w:lang w:val="en-US"/>
        </w:rPr>
        <w:t>grounds</w:t>
      </w:r>
      <w:r w:rsidR="004E5A21" w:rsidRPr="006E20A2">
        <w:rPr>
          <w:rFonts w:ascii="Arial" w:hAnsi="Arial"/>
          <w:sz w:val="20"/>
          <w:lang w:val="en-US"/>
        </w:rPr>
        <w:t xml:space="preserve"> </w:t>
      </w:r>
      <w:r w:rsidRPr="006E20A2">
        <w:rPr>
          <w:rFonts w:ascii="Arial" w:hAnsi="Arial"/>
          <w:sz w:val="20"/>
          <w:lang w:val="en-US"/>
        </w:rPr>
        <w:t xml:space="preserve">for suspicion of committing the criminal offence of financing of terrorism according to Article 109 in 12 cases and sent them as 11 information to the competent authorities. In this information, we have investigated 39 persons (16 were foreign ones).  </w:t>
      </w:r>
    </w:p>
    <w:p w14:paraId="34DE13A9" w14:textId="46A50001" w:rsidR="004F46B2" w:rsidRPr="006E20A2" w:rsidRDefault="004F46B2" w:rsidP="004F46B2">
      <w:pPr>
        <w:pStyle w:val="Telobesedila2"/>
        <w:widowControl/>
        <w:spacing w:line="276" w:lineRule="auto"/>
        <w:ind w:right="-22"/>
        <w:rPr>
          <w:rFonts w:ascii="Arial" w:hAnsi="Arial"/>
          <w:sz w:val="20"/>
          <w:lang w:val="en-US"/>
        </w:rPr>
      </w:pPr>
    </w:p>
    <w:p w14:paraId="6BAB3F15" w14:textId="2E33C0C8" w:rsidR="004F46B2" w:rsidRPr="006E20A2" w:rsidRDefault="004F46B2" w:rsidP="004F46B2">
      <w:pPr>
        <w:pStyle w:val="Telobesedila2"/>
        <w:widowControl/>
        <w:spacing w:line="276" w:lineRule="auto"/>
        <w:ind w:right="-22"/>
        <w:rPr>
          <w:rFonts w:ascii="Arial" w:hAnsi="Arial"/>
          <w:sz w:val="20"/>
          <w:lang w:val="en-US"/>
        </w:rPr>
      </w:pPr>
      <w:r w:rsidRPr="006E20A2">
        <w:rPr>
          <w:rFonts w:ascii="Arial" w:hAnsi="Arial"/>
          <w:sz w:val="20"/>
          <w:lang w:val="en-US"/>
        </w:rPr>
        <w:lastRenderedPageBreak/>
        <w:t xml:space="preserve">At the same time, the OMLP also (in the field of the prevention of financing of terrorism) performed regular reviews of the lists of persons and organizations from the EU list against </w:t>
      </w:r>
      <w:r w:rsidR="004E5A21">
        <w:rPr>
          <w:rFonts w:ascii="Arial" w:hAnsi="Arial"/>
          <w:sz w:val="20"/>
          <w:lang w:val="en-US"/>
        </w:rPr>
        <w:t>whom</w:t>
      </w:r>
      <w:r w:rsidR="004E5A21" w:rsidRPr="006E20A2">
        <w:rPr>
          <w:rFonts w:ascii="Arial" w:hAnsi="Arial"/>
          <w:sz w:val="20"/>
          <w:lang w:val="en-US"/>
        </w:rPr>
        <w:t xml:space="preserve"> </w:t>
      </w:r>
      <w:r w:rsidRPr="006E20A2">
        <w:rPr>
          <w:rFonts w:ascii="Arial" w:hAnsi="Arial"/>
          <w:sz w:val="20"/>
          <w:lang w:val="en-US"/>
        </w:rPr>
        <w:t xml:space="preserve">certain financial sanctions have been imposed </w:t>
      </w:r>
      <w:proofErr w:type="gramStart"/>
      <w:r w:rsidRPr="006E20A2">
        <w:rPr>
          <w:rFonts w:ascii="Arial" w:hAnsi="Arial"/>
          <w:sz w:val="20"/>
          <w:lang w:val="en-US"/>
        </w:rPr>
        <w:t>on the basis of</w:t>
      </w:r>
      <w:proofErr w:type="gramEnd"/>
      <w:r w:rsidRPr="006E20A2">
        <w:rPr>
          <w:rFonts w:ascii="Arial" w:hAnsi="Arial"/>
          <w:sz w:val="20"/>
          <w:lang w:val="en-US"/>
        </w:rPr>
        <w:t xml:space="preserve"> EU Directives and UN Resolutions (Consolidated List of Persons, Groups, Entities subject to EU Financial Sanctions). With the introduction of the new STR reporting system, those reviews are performed as soon as the report is received. </w:t>
      </w:r>
      <w:r w:rsidR="004E5A21">
        <w:rPr>
          <w:rFonts w:ascii="Arial" w:hAnsi="Arial"/>
          <w:sz w:val="20"/>
          <w:lang w:val="en-US"/>
        </w:rPr>
        <w:t>In those</w:t>
      </w:r>
      <w:r w:rsidR="004E5A21" w:rsidRPr="006E20A2">
        <w:rPr>
          <w:rFonts w:ascii="Arial" w:hAnsi="Arial"/>
          <w:sz w:val="20"/>
          <w:lang w:val="en-US"/>
        </w:rPr>
        <w:t xml:space="preserve"> </w:t>
      </w:r>
      <w:r w:rsidRPr="006E20A2">
        <w:rPr>
          <w:rFonts w:ascii="Arial" w:hAnsi="Arial"/>
          <w:sz w:val="20"/>
          <w:lang w:val="en-US"/>
        </w:rPr>
        <w:t xml:space="preserve">reviews in 2020, it has been established that none of the persons from that list have performed or have </w:t>
      </w:r>
      <w:proofErr w:type="gramStart"/>
      <w:r w:rsidRPr="006E20A2">
        <w:rPr>
          <w:rFonts w:ascii="Arial" w:hAnsi="Arial"/>
          <w:sz w:val="20"/>
          <w:lang w:val="en-US"/>
        </w:rPr>
        <w:t>been connected with</w:t>
      </w:r>
      <w:proofErr w:type="gramEnd"/>
      <w:r w:rsidRPr="006E20A2">
        <w:rPr>
          <w:rFonts w:ascii="Arial" w:hAnsi="Arial"/>
          <w:sz w:val="20"/>
          <w:lang w:val="en-US"/>
        </w:rPr>
        <w:t xml:space="preserve"> reported financial transactions in Slovenia.</w:t>
      </w:r>
    </w:p>
    <w:p w14:paraId="38372E0C" w14:textId="003594B0" w:rsidR="00851C49" w:rsidRPr="006E20A2" w:rsidRDefault="00292A8B" w:rsidP="00BA5BC9">
      <w:pPr>
        <w:pStyle w:val="Naslov3"/>
        <w:rPr>
          <w:lang w:val="en-US"/>
        </w:rPr>
      </w:pPr>
      <w:bookmarkStart w:id="32" w:name="_Toc107306491"/>
      <w:bookmarkStart w:id="33" w:name="_Toc135206724"/>
      <w:bookmarkStart w:id="34" w:name="_Toc200524143"/>
      <w:bookmarkStart w:id="35" w:name="_Toc262605340"/>
      <w:bookmarkStart w:id="36" w:name="_Toc113535462"/>
      <w:bookmarkStart w:id="37" w:name="_Hlk73528952"/>
      <w:r w:rsidRPr="006E20A2">
        <w:rPr>
          <w:lang w:val="en-US"/>
        </w:rPr>
        <w:t xml:space="preserve">3.1.8 </w:t>
      </w:r>
      <w:bookmarkEnd w:id="32"/>
      <w:bookmarkEnd w:id="33"/>
      <w:bookmarkEnd w:id="34"/>
      <w:bookmarkEnd w:id="35"/>
      <w:bookmarkEnd w:id="36"/>
      <w:r w:rsidR="004F46B2" w:rsidRPr="006E20A2">
        <w:rPr>
          <w:lang w:val="en-US"/>
        </w:rPr>
        <w:t xml:space="preserve">Temporary </w:t>
      </w:r>
      <w:r w:rsidR="0060078B" w:rsidRPr="006E20A2">
        <w:rPr>
          <w:lang w:val="en-US"/>
        </w:rPr>
        <w:t>postponement of transactions</w:t>
      </w:r>
      <w:r w:rsidR="00851C49" w:rsidRPr="006E20A2">
        <w:rPr>
          <w:lang w:val="en-US"/>
        </w:rPr>
        <w:t xml:space="preserve"> </w:t>
      </w:r>
    </w:p>
    <w:p w14:paraId="76F05F9E" w14:textId="1A03CEBC" w:rsidR="00BA1474" w:rsidRPr="006E20A2" w:rsidRDefault="00BA1474" w:rsidP="00D21F86">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napToGrid w:val="0"/>
        <w:spacing w:line="276" w:lineRule="auto"/>
        <w:ind w:right="-22"/>
        <w:rPr>
          <w:rFonts w:ascii="Arial" w:hAnsi="Arial"/>
          <w:color w:val="FF0000"/>
          <w:sz w:val="20"/>
          <w:lang w:val="en-US"/>
        </w:rPr>
      </w:pPr>
    </w:p>
    <w:p w14:paraId="0156F7AE" w14:textId="127784B6" w:rsidR="00BA1474" w:rsidRPr="006E20A2" w:rsidRDefault="00BA1474" w:rsidP="008F002C">
      <w:pPr>
        <w:pStyle w:val="Telobesedila2"/>
        <w:widowControl/>
        <w:spacing w:line="276" w:lineRule="auto"/>
        <w:ind w:right="-22"/>
        <w:rPr>
          <w:rFonts w:ascii="Arial" w:hAnsi="Arial"/>
          <w:sz w:val="20"/>
          <w:lang w:val="en-US"/>
        </w:rPr>
      </w:pPr>
      <w:proofErr w:type="gramStart"/>
      <w:r w:rsidRPr="006E20A2">
        <w:rPr>
          <w:rFonts w:ascii="Arial" w:hAnsi="Arial"/>
          <w:sz w:val="20"/>
          <w:lang w:val="en-US"/>
        </w:rPr>
        <w:t>On the basis of</w:t>
      </w:r>
      <w:proofErr w:type="gramEnd"/>
      <w:r w:rsidRPr="006E20A2">
        <w:rPr>
          <w:rFonts w:ascii="Arial" w:hAnsi="Arial"/>
          <w:sz w:val="20"/>
          <w:lang w:val="en-US"/>
        </w:rPr>
        <w:t xml:space="preserve"> Article 96 of APMLFT-1, the OMLP may issue a written order for temporary postponement of transactions for a maximum of three working days, if it considers there are reasonable grounds to suspect ML/FT. </w:t>
      </w:r>
      <w:r w:rsidRPr="006E20A2">
        <w:rPr>
          <w:rFonts w:ascii="Arial" w:hAnsi="Arial"/>
          <w:b/>
          <w:sz w:val="20"/>
          <w:lang w:val="en-US"/>
        </w:rPr>
        <w:t xml:space="preserve">In 2020, the OMLP issued such orders in 12 cases, postponing transactions in the total amount of </w:t>
      </w:r>
      <w:r w:rsidRPr="006E20A2">
        <w:rPr>
          <w:rFonts w:ascii="Arial" w:hAnsi="Arial"/>
          <w:sz w:val="20"/>
          <w:lang w:val="en-US"/>
        </w:rPr>
        <w:t>817.371 EUR, 450.000 USD and 156.856 GBP</w:t>
      </w:r>
      <w:r w:rsidRPr="006E20A2">
        <w:rPr>
          <w:rFonts w:ascii="Arial" w:hAnsi="Arial"/>
          <w:b/>
          <w:sz w:val="20"/>
          <w:lang w:val="en-US"/>
        </w:rPr>
        <w:t xml:space="preserve"> </w:t>
      </w:r>
      <w:r w:rsidR="004E5A21">
        <w:rPr>
          <w:rFonts w:ascii="Arial" w:hAnsi="Arial"/>
          <w:b/>
          <w:sz w:val="20"/>
          <w:lang w:val="en-US"/>
        </w:rPr>
        <w:t>on</w:t>
      </w:r>
      <w:r w:rsidRPr="006E20A2">
        <w:rPr>
          <w:rFonts w:ascii="Arial" w:hAnsi="Arial"/>
          <w:b/>
          <w:sz w:val="20"/>
          <w:lang w:val="en-US"/>
        </w:rPr>
        <w:t xml:space="preserve"> 13 bank accounts (7 bank accounts held in Slovenia by 4 domestic legal persons</w:t>
      </w:r>
      <w:r w:rsidR="00D730F9">
        <w:rPr>
          <w:rFonts w:ascii="Arial" w:hAnsi="Arial"/>
          <w:b/>
          <w:sz w:val="20"/>
          <w:lang w:val="en-US"/>
        </w:rPr>
        <w:t>,</w:t>
      </w:r>
      <w:r w:rsidRPr="006E20A2">
        <w:rPr>
          <w:rFonts w:ascii="Arial" w:hAnsi="Arial"/>
          <w:b/>
          <w:sz w:val="20"/>
          <w:lang w:val="en-US"/>
        </w:rPr>
        <w:t xml:space="preserve"> 1 foreign legal person,</w:t>
      </w:r>
      <w:r w:rsidR="003B114E" w:rsidRPr="006E20A2">
        <w:rPr>
          <w:rFonts w:ascii="Arial" w:hAnsi="Arial"/>
          <w:b/>
          <w:sz w:val="20"/>
          <w:lang w:val="en-US"/>
        </w:rPr>
        <w:t xml:space="preserve"> </w:t>
      </w:r>
      <w:r w:rsidRPr="006E20A2">
        <w:rPr>
          <w:rFonts w:ascii="Arial" w:hAnsi="Arial"/>
          <w:b/>
          <w:sz w:val="20"/>
          <w:lang w:val="en-US"/>
        </w:rPr>
        <w:t>1 domestic natura</w:t>
      </w:r>
      <w:r w:rsidR="003B114E" w:rsidRPr="006E20A2">
        <w:rPr>
          <w:rFonts w:ascii="Arial" w:hAnsi="Arial"/>
          <w:b/>
          <w:sz w:val="20"/>
          <w:lang w:val="en-US"/>
        </w:rPr>
        <w:t>l</w:t>
      </w:r>
      <w:r w:rsidRPr="006E20A2">
        <w:rPr>
          <w:rFonts w:ascii="Arial" w:hAnsi="Arial"/>
          <w:b/>
          <w:sz w:val="20"/>
          <w:lang w:val="en-US"/>
        </w:rPr>
        <w:t xml:space="preserve"> person and 6 foreign bank </w:t>
      </w:r>
      <w:r w:rsidR="006E20A2" w:rsidRPr="006E20A2">
        <w:rPr>
          <w:rFonts w:ascii="Arial" w:hAnsi="Arial"/>
          <w:b/>
          <w:sz w:val="20"/>
          <w:lang w:val="en-US"/>
        </w:rPr>
        <w:t>accounts</w:t>
      </w:r>
      <w:r w:rsidRPr="006E20A2">
        <w:rPr>
          <w:rFonts w:ascii="Arial" w:hAnsi="Arial"/>
          <w:b/>
          <w:sz w:val="20"/>
          <w:lang w:val="en-US"/>
        </w:rPr>
        <w:t xml:space="preserve"> held by 3 foreign </w:t>
      </w:r>
      <w:r w:rsidR="006E20A2" w:rsidRPr="006E20A2">
        <w:rPr>
          <w:rFonts w:ascii="Arial" w:hAnsi="Arial"/>
          <w:b/>
          <w:sz w:val="20"/>
          <w:lang w:val="en-US"/>
        </w:rPr>
        <w:t>natural</w:t>
      </w:r>
      <w:r w:rsidRPr="006E20A2">
        <w:rPr>
          <w:rFonts w:ascii="Arial" w:hAnsi="Arial"/>
          <w:b/>
          <w:sz w:val="20"/>
          <w:lang w:val="en-US"/>
        </w:rPr>
        <w:t xml:space="preserve"> </w:t>
      </w:r>
      <w:r w:rsidR="006E20A2" w:rsidRPr="006E20A2">
        <w:rPr>
          <w:rFonts w:ascii="Arial" w:hAnsi="Arial"/>
          <w:b/>
          <w:sz w:val="20"/>
          <w:lang w:val="en-US"/>
        </w:rPr>
        <w:t>person</w:t>
      </w:r>
      <w:r w:rsidR="006E20A2">
        <w:rPr>
          <w:rFonts w:ascii="Arial" w:hAnsi="Arial"/>
          <w:b/>
          <w:sz w:val="20"/>
          <w:lang w:val="en-US"/>
        </w:rPr>
        <w:t>s</w:t>
      </w:r>
      <w:r w:rsidRPr="006E20A2">
        <w:rPr>
          <w:rFonts w:ascii="Arial" w:hAnsi="Arial"/>
          <w:b/>
          <w:sz w:val="20"/>
          <w:lang w:val="en-US"/>
        </w:rPr>
        <w:t xml:space="preserve"> and 3 foreign legal </w:t>
      </w:r>
      <w:r w:rsidR="006E20A2" w:rsidRPr="006E20A2">
        <w:rPr>
          <w:rFonts w:ascii="Arial" w:hAnsi="Arial"/>
          <w:b/>
          <w:sz w:val="20"/>
          <w:lang w:val="en-US"/>
        </w:rPr>
        <w:t>persons</w:t>
      </w:r>
      <w:r w:rsidR="008F002C" w:rsidRPr="006E20A2">
        <w:rPr>
          <w:rFonts w:ascii="Arial" w:hAnsi="Arial"/>
          <w:b/>
          <w:sz w:val="20"/>
          <w:lang w:val="en-US"/>
        </w:rPr>
        <w:t>)</w:t>
      </w:r>
      <w:r w:rsidRPr="006E20A2">
        <w:rPr>
          <w:rFonts w:ascii="Arial" w:hAnsi="Arial"/>
          <w:b/>
          <w:sz w:val="20"/>
          <w:lang w:val="en-US"/>
        </w:rPr>
        <w:t>.</w:t>
      </w:r>
      <w:r w:rsidRPr="006E20A2">
        <w:rPr>
          <w:rFonts w:ascii="Arial" w:hAnsi="Arial"/>
          <w:sz w:val="20"/>
          <w:lang w:val="en-US"/>
        </w:rPr>
        <w:t xml:space="preserve"> </w:t>
      </w:r>
      <w:proofErr w:type="gramStart"/>
      <w:r w:rsidR="00D730F9">
        <w:rPr>
          <w:rFonts w:ascii="Arial" w:hAnsi="Arial"/>
          <w:sz w:val="20"/>
          <w:lang w:val="en-US"/>
        </w:rPr>
        <w:t>With regard to</w:t>
      </w:r>
      <w:proofErr w:type="gramEnd"/>
      <w:r w:rsidRPr="006E20A2">
        <w:rPr>
          <w:rFonts w:ascii="Arial" w:hAnsi="Arial"/>
          <w:sz w:val="20"/>
          <w:lang w:val="en-US"/>
        </w:rPr>
        <w:t xml:space="preserve"> part of those cases, the State Prosecutor Office proposed (before </w:t>
      </w:r>
      <w:r w:rsidR="00D730F9">
        <w:rPr>
          <w:rFonts w:ascii="Arial" w:hAnsi="Arial"/>
          <w:sz w:val="20"/>
          <w:lang w:val="en-US"/>
        </w:rPr>
        <w:t xml:space="preserve">the </w:t>
      </w:r>
      <w:r w:rsidRPr="006E20A2">
        <w:rPr>
          <w:rFonts w:ascii="Arial" w:hAnsi="Arial"/>
          <w:sz w:val="20"/>
          <w:lang w:val="en-US"/>
        </w:rPr>
        <w:t>temporary postponement of transaction</w:t>
      </w:r>
      <w:r w:rsidR="00D730F9">
        <w:rPr>
          <w:rFonts w:ascii="Arial" w:hAnsi="Arial"/>
          <w:sz w:val="20"/>
          <w:lang w:val="en-US"/>
        </w:rPr>
        <w:t xml:space="preserve"> was expired</w:t>
      </w:r>
      <w:r w:rsidRPr="006E20A2">
        <w:rPr>
          <w:rFonts w:ascii="Arial" w:hAnsi="Arial"/>
          <w:sz w:val="20"/>
          <w:lang w:val="en-US"/>
        </w:rPr>
        <w:t xml:space="preserve">) the temporary prohibition of disposing with all the funds at the accounts. </w:t>
      </w:r>
      <w:proofErr w:type="gramStart"/>
      <w:r w:rsidRPr="006E20A2">
        <w:rPr>
          <w:rFonts w:ascii="Arial" w:hAnsi="Arial"/>
          <w:sz w:val="20"/>
          <w:lang w:val="en-US"/>
        </w:rPr>
        <w:t>On the basis of</w:t>
      </w:r>
      <w:proofErr w:type="gramEnd"/>
      <w:r w:rsidRPr="006E20A2">
        <w:rPr>
          <w:rFonts w:ascii="Arial" w:hAnsi="Arial"/>
          <w:sz w:val="20"/>
          <w:lang w:val="en-US"/>
        </w:rPr>
        <w:t xml:space="preserve"> this proposal, the courts issued decrees for provisional securing of the assets at the accounts accordingly.</w:t>
      </w:r>
    </w:p>
    <w:p w14:paraId="75FCA71A" w14:textId="63864A86" w:rsidR="00851C49" w:rsidRPr="006E20A2" w:rsidRDefault="00292A8B" w:rsidP="00BA5BC9">
      <w:pPr>
        <w:pStyle w:val="Naslov3"/>
        <w:rPr>
          <w:lang w:val="en-US"/>
        </w:rPr>
      </w:pPr>
      <w:bookmarkStart w:id="38" w:name="_Toc107306492"/>
      <w:bookmarkStart w:id="39" w:name="_Toc135206725"/>
      <w:bookmarkStart w:id="40" w:name="_Toc200524144"/>
      <w:bookmarkStart w:id="41" w:name="_Toc262605341"/>
      <w:bookmarkStart w:id="42" w:name="_Toc113535463"/>
      <w:bookmarkEnd w:id="37"/>
      <w:r w:rsidRPr="006E20A2">
        <w:rPr>
          <w:lang w:val="en-US"/>
        </w:rPr>
        <w:t xml:space="preserve">3.1.9 </w:t>
      </w:r>
      <w:bookmarkEnd w:id="38"/>
      <w:bookmarkEnd w:id="39"/>
      <w:bookmarkEnd w:id="40"/>
      <w:bookmarkEnd w:id="41"/>
      <w:bookmarkEnd w:id="42"/>
      <w:r w:rsidR="008F002C" w:rsidRPr="006E20A2">
        <w:rPr>
          <w:lang w:val="en-US"/>
        </w:rPr>
        <w:t xml:space="preserve">Value of the provisionally secured assets in ML </w:t>
      </w:r>
      <w:r w:rsidR="00473657" w:rsidRPr="006E20A2">
        <w:rPr>
          <w:lang w:val="en-US"/>
        </w:rPr>
        <w:t>cases</w:t>
      </w:r>
    </w:p>
    <w:p w14:paraId="78A37B4A" w14:textId="4ADF2FA0" w:rsidR="00851C49" w:rsidRPr="006E20A2" w:rsidRDefault="00851C49" w:rsidP="00D21F86">
      <w:pPr>
        <w:spacing w:line="276" w:lineRule="auto"/>
        <w:ind w:right="-22"/>
        <w:rPr>
          <w:rFonts w:ascii="Arial" w:hAnsi="Arial"/>
          <w:color w:val="FF0000"/>
          <w:sz w:val="20"/>
          <w:lang w:val="en-US"/>
        </w:rPr>
      </w:pPr>
    </w:p>
    <w:p w14:paraId="2B9FA2FD" w14:textId="24FFDE2B" w:rsidR="00CC1F59" w:rsidRPr="00D730F9" w:rsidRDefault="00CC1F59" w:rsidP="00D730F9">
      <w:pPr>
        <w:pStyle w:val="Telobesedila2"/>
        <w:widowControl/>
        <w:spacing w:line="276" w:lineRule="auto"/>
        <w:ind w:right="-22"/>
        <w:rPr>
          <w:rFonts w:ascii="Arial" w:hAnsi="Arial"/>
          <w:sz w:val="20"/>
          <w:lang w:val="en-US"/>
        </w:rPr>
      </w:pPr>
      <w:r w:rsidRPr="00D730F9">
        <w:rPr>
          <w:rFonts w:ascii="Arial" w:hAnsi="Arial"/>
          <w:b/>
          <w:sz w:val="20"/>
          <w:lang w:val="en-US"/>
        </w:rPr>
        <w:t xml:space="preserve">In 2020, the courts (on the proposal of State Prosecutor`s Office) provisionally secured assets in one ML case, namely cash in the total amount of </w:t>
      </w:r>
      <w:r w:rsidRPr="00A94640">
        <w:rPr>
          <w:rFonts w:ascii="Arial" w:hAnsi="Arial"/>
          <w:b/>
          <w:bCs/>
          <w:sz w:val="20"/>
          <w:lang w:val="en-US"/>
        </w:rPr>
        <w:t>54.130</w:t>
      </w:r>
      <w:r w:rsidRPr="00D730F9">
        <w:rPr>
          <w:rFonts w:ascii="Arial" w:hAnsi="Arial"/>
          <w:sz w:val="20"/>
          <w:lang w:val="en-US"/>
        </w:rPr>
        <w:t xml:space="preserve"> </w:t>
      </w:r>
      <w:r w:rsidRPr="00D730F9">
        <w:rPr>
          <w:rFonts w:ascii="Arial" w:hAnsi="Arial"/>
          <w:b/>
          <w:sz w:val="20"/>
          <w:lang w:val="en-US"/>
        </w:rPr>
        <w:t xml:space="preserve">EUR. </w:t>
      </w:r>
      <w:r w:rsidRPr="00D730F9">
        <w:rPr>
          <w:rFonts w:ascii="Arial" w:hAnsi="Arial"/>
          <w:sz w:val="20"/>
          <w:lang w:val="en-US"/>
        </w:rPr>
        <w:t>In comparison with the year 201</w:t>
      </w:r>
      <w:r w:rsidR="00BA5BC9">
        <w:rPr>
          <w:rFonts w:ascii="Arial" w:hAnsi="Arial"/>
          <w:sz w:val="20"/>
          <w:lang w:val="en-US"/>
        </w:rPr>
        <w:t>9</w:t>
      </w:r>
      <w:r w:rsidRPr="00D730F9">
        <w:rPr>
          <w:rFonts w:ascii="Arial" w:hAnsi="Arial"/>
          <w:sz w:val="20"/>
          <w:lang w:val="en-US"/>
        </w:rPr>
        <w:t xml:space="preserve"> it has been established that the number of issued orders for temporary securing and the number of subjects significantly decreased, whereas the amount of property cannot be compared, as the value of the temporary secured real assets in 2019 has not been determined. </w:t>
      </w:r>
    </w:p>
    <w:p w14:paraId="263C9582" w14:textId="77777777" w:rsidR="00CC1F59" w:rsidRPr="00D730F9" w:rsidRDefault="00CC1F59" w:rsidP="00D730F9">
      <w:pPr>
        <w:pStyle w:val="Telobesedila2"/>
        <w:widowControl/>
        <w:spacing w:line="276" w:lineRule="auto"/>
        <w:ind w:right="-22"/>
        <w:rPr>
          <w:rFonts w:ascii="Arial" w:hAnsi="Arial"/>
          <w:b/>
          <w:sz w:val="20"/>
          <w:lang w:val="en-US"/>
        </w:rPr>
      </w:pPr>
      <w:r w:rsidRPr="00D730F9">
        <w:rPr>
          <w:rFonts w:ascii="Arial" w:hAnsi="Arial"/>
          <w:b/>
          <w:sz w:val="20"/>
          <w:lang w:val="en-US"/>
        </w:rPr>
        <w:t>The value of the provisionally secured assets on 31. 12. 2019 was of 33.546.745 EUR.</w:t>
      </w:r>
    </w:p>
    <w:p w14:paraId="6F32F666" w14:textId="5F9A4031" w:rsidR="00CC1F59" w:rsidRPr="00D730F9" w:rsidRDefault="00CC1F59" w:rsidP="00D21F86">
      <w:pPr>
        <w:spacing w:line="276" w:lineRule="auto"/>
        <w:ind w:right="-22"/>
        <w:rPr>
          <w:rFonts w:ascii="Arial" w:hAnsi="Arial"/>
          <w:color w:val="FF0000"/>
          <w:sz w:val="20"/>
          <w:lang w:val="en-US"/>
        </w:rPr>
      </w:pPr>
    </w:p>
    <w:p w14:paraId="1595E48D" w14:textId="220339B5" w:rsidR="00C059A2" w:rsidRPr="006E20A2" w:rsidRDefault="00473657" w:rsidP="00C059A2">
      <w:pPr>
        <w:widowControl/>
        <w:spacing w:line="276" w:lineRule="auto"/>
        <w:rPr>
          <w:rFonts w:ascii="Arial" w:hAnsi="Arial"/>
          <w:sz w:val="20"/>
          <w:lang w:val="en-US"/>
        </w:rPr>
      </w:pPr>
      <w:r w:rsidRPr="006E20A2">
        <w:rPr>
          <w:rFonts w:ascii="Arial" w:hAnsi="Arial"/>
          <w:sz w:val="20"/>
          <w:lang w:val="en-US"/>
        </w:rPr>
        <w:t xml:space="preserve">At the end of 2020 the amount of provisionally secures assets </w:t>
      </w:r>
      <w:r w:rsidR="006E20A2" w:rsidRPr="006E20A2">
        <w:rPr>
          <w:rFonts w:ascii="Arial" w:hAnsi="Arial"/>
          <w:sz w:val="20"/>
          <w:lang w:val="en-US"/>
        </w:rPr>
        <w:t>amounted</w:t>
      </w:r>
      <w:r w:rsidRPr="006E20A2">
        <w:rPr>
          <w:rFonts w:ascii="Arial" w:hAnsi="Arial"/>
          <w:sz w:val="20"/>
          <w:lang w:val="en-US"/>
        </w:rPr>
        <w:t xml:space="preserve"> to </w:t>
      </w:r>
      <w:r w:rsidR="00C059A2" w:rsidRPr="006E20A2">
        <w:rPr>
          <w:rFonts w:ascii="Arial" w:hAnsi="Arial"/>
          <w:b/>
          <w:i/>
          <w:sz w:val="20"/>
          <w:u w:val="single"/>
          <w:lang w:val="en-US" w:eastAsia="sl-SI"/>
        </w:rPr>
        <w:t>33.961.118 EU</w:t>
      </w:r>
      <w:r w:rsidR="00C059A2" w:rsidRPr="006E20A2">
        <w:rPr>
          <w:rFonts w:ascii="Arial" w:hAnsi="Arial"/>
          <w:b/>
          <w:i/>
          <w:sz w:val="20"/>
          <w:u w:val="single"/>
          <w:lang w:val="en-US"/>
        </w:rPr>
        <w:t xml:space="preserve">R </w:t>
      </w:r>
      <w:r w:rsidRPr="006E20A2">
        <w:rPr>
          <w:rFonts w:ascii="Arial" w:hAnsi="Arial"/>
          <w:b/>
          <w:i/>
          <w:sz w:val="20"/>
          <w:u w:val="single"/>
          <w:lang w:val="en-US"/>
        </w:rPr>
        <w:t>and</w:t>
      </w:r>
      <w:r w:rsidR="00C059A2" w:rsidRPr="006E20A2">
        <w:rPr>
          <w:rFonts w:ascii="Arial" w:hAnsi="Arial"/>
          <w:b/>
          <w:i/>
          <w:sz w:val="20"/>
          <w:u w:val="single"/>
          <w:lang w:val="en-US"/>
        </w:rPr>
        <w:t xml:space="preserve"> 5.939 USD</w:t>
      </w:r>
      <w:r w:rsidR="00C059A2" w:rsidRPr="006E20A2">
        <w:rPr>
          <w:rFonts w:ascii="Arial" w:hAnsi="Arial"/>
          <w:sz w:val="20"/>
          <w:lang w:val="en-US"/>
        </w:rPr>
        <w:t xml:space="preserve">. </w:t>
      </w:r>
      <w:proofErr w:type="gramStart"/>
      <w:r w:rsidRPr="006E20A2">
        <w:rPr>
          <w:rFonts w:ascii="Arial" w:hAnsi="Arial"/>
          <w:sz w:val="20"/>
          <w:lang w:val="en-US"/>
        </w:rPr>
        <w:t xml:space="preserve">The </w:t>
      </w:r>
      <w:r w:rsidR="006E20A2" w:rsidRPr="006E20A2">
        <w:rPr>
          <w:rFonts w:ascii="Arial" w:hAnsi="Arial"/>
          <w:sz w:val="20"/>
          <w:lang w:val="en-US"/>
        </w:rPr>
        <w:t>majority</w:t>
      </w:r>
      <w:r w:rsidRPr="006E20A2">
        <w:rPr>
          <w:rFonts w:ascii="Arial" w:hAnsi="Arial"/>
          <w:sz w:val="20"/>
          <w:lang w:val="en-US"/>
        </w:rPr>
        <w:t xml:space="preserve"> of</w:t>
      </w:r>
      <w:proofErr w:type="gramEnd"/>
      <w:r w:rsidRPr="006E20A2">
        <w:rPr>
          <w:rFonts w:ascii="Arial" w:hAnsi="Arial"/>
          <w:sz w:val="20"/>
          <w:lang w:val="en-US"/>
        </w:rPr>
        <w:t xml:space="preserve"> these assets were business shares in foreign companies, followed by funds on bank accounts or cash. Compared to the provisionally secured assets on 31 December 2019, the provisionally secured assets relate to slightly less cases, but the value remained practically unchanged. </w:t>
      </w:r>
    </w:p>
    <w:p w14:paraId="5A762E37" w14:textId="6535541E" w:rsidR="00851C49" w:rsidRPr="006E20A2" w:rsidRDefault="00292A8B" w:rsidP="00BA5BC9">
      <w:pPr>
        <w:pStyle w:val="Naslov3"/>
        <w:rPr>
          <w:lang w:val="en-US"/>
        </w:rPr>
      </w:pPr>
      <w:bookmarkStart w:id="43" w:name="_Toc113535465"/>
      <w:r w:rsidRPr="006E20A2">
        <w:rPr>
          <w:lang w:val="en-US"/>
        </w:rPr>
        <w:t>3.1.1</w:t>
      </w:r>
      <w:r w:rsidR="00187888" w:rsidRPr="006E20A2">
        <w:rPr>
          <w:lang w:val="en-US"/>
        </w:rPr>
        <w:t>0</w:t>
      </w:r>
      <w:r w:rsidRPr="006E20A2">
        <w:rPr>
          <w:lang w:val="en-US"/>
        </w:rPr>
        <w:t xml:space="preserve"> </w:t>
      </w:r>
      <w:bookmarkEnd w:id="43"/>
      <w:r w:rsidR="00473657" w:rsidRPr="006E20A2">
        <w:rPr>
          <w:lang w:val="en-US"/>
        </w:rPr>
        <w:t>Typology of suspicious transactions</w:t>
      </w:r>
    </w:p>
    <w:p w14:paraId="0FD64561" w14:textId="77777777" w:rsidR="00785F67" w:rsidRPr="006E20A2" w:rsidRDefault="00785F67" w:rsidP="00785F67">
      <w:pPr>
        <w:widowControl/>
        <w:ind w:right="-22"/>
        <w:rPr>
          <w:rFonts w:ascii="Arial" w:eastAsia="Arial" w:hAnsi="Arial"/>
          <w:sz w:val="20"/>
          <w:szCs w:val="22"/>
          <w:lang w:val="en-US" w:eastAsia="sl-SI"/>
        </w:rPr>
      </w:pPr>
      <w:bookmarkStart w:id="44" w:name="_Toc107306496"/>
      <w:bookmarkStart w:id="45" w:name="_Toc135206729"/>
      <w:bookmarkStart w:id="46" w:name="_Toc200524148"/>
    </w:p>
    <w:p w14:paraId="4A819442" w14:textId="70C9AAC5" w:rsidR="0050406F" w:rsidRPr="006E20A2" w:rsidRDefault="0050406F" w:rsidP="0050406F">
      <w:pPr>
        <w:spacing w:line="276" w:lineRule="auto"/>
        <w:ind w:right="-22"/>
        <w:rPr>
          <w:rFonts w:ascii="Arial" w:hAnsi="Arial"/>
          <w:sz w:val="20"/>
          <w:lang w:val="en-US"/>
        </w:rPr>
      </w:pPr>
      <w:proofErr w:type="gramStart"/>
      <w:r w:rsidRPr="006E20A2">
        <w:rPr>
          <w:rFonts w:ascii="Arial" w:hAnsi="Arial"/>
          <w:sz w:val="20"/>
          <w:lang w:val="en-US"/>
        </w:rPr>
        <w:t>On the basis of</w:t>
      </w:r>
      <w:proofErr w:type="gramEnd"/>
      <w:r w:rsidRPr="006E20A2">
        <w:rPr>
          <w:rFonts w:ascii="Arial" w:hAnsi="Arial"/>
          <w:sz w:val="20"/>
          <w:lang w:val="en-US"/>
        </w:rPr>
        <w:t xml:space="preserve"> performed </w:t>
      </w:r>
      <w:r w:rsidR="006E20A2" w:rsidRPr="006E20A2">
        <w:rPr>
          <w:rFonts w:ascii="Arial" w:hAnsi="Arial"/>
          <w:sz w:val="20"/>
          <w:lang w:val="en-US"/>
        </w:rPr>
        <w:t>analy</w:t>
      </w:r>
      <w:r w:rsidR="006E20A2">
        <w:rPr>
          <w:rFonts w:ascii="Arial" w:hAnsi="Arial"/>
          <w:sz w:val="20"/>
          <w:lang w:val="en-US"/>
        </w:rPr>
        <w:t>ses</w:t>
      </w:r>
      <w:r w:rsidRPr="006E20A2">
        <w:rPr>
          <w:rFonts w:ascii="Arial" w:hAnsi="Arial"/>
          <w:sz w:val="20"/>
          <w:lang w:val="en-US"/>
        </w:rPr>
        <w:t xml:space="preserve"> of 351 notifications on suspicious transactions with </w:t>
      </w:r>
      <w:r w:rsidR="001F0AFC">
        <w:rPr>
          <w:rFonts w:ascii="Arial" w:hAnsi="Arial"/>
          <w:sz w:val="20"/>
          <w:lang w:val="en-US"/>
        </w:rPr>
        <w:t>grounds for suspicion</w:t>
      </w:r>
      <w:r w:rsidRPr="006E20A2">
        <w:rPr>
          <w:rFonts w:ascii="Arial" w:hAnsi="Arial"/>
          <w:sz w:val="20"/>
          <w:lang w:val="en-US"/>
        </w:rPr>
        <w:t xml:space="preserve"> of committing the criminal offence of money laundering, which were sent to the competent authorities (Criminal Police Directorate of the Ministry of Interior/State Prosecutor’s Office), it has been established that the typology of those suspicious transactions has not significantly changed in comparison with the previous year. Namely, the classic ML techniques have still been used, typical for first ML phase “placement” and second one “layering”, but in some cases, all three ML phases were used (including the third one “integration”).</w:t>
      </w:r>
    </w:p>
    <w:p w14:paraId="5B1DA45A" w14:textId="77777777" w:rsidR="0050406F" w:rsidRPr="006E20A2" w:rsidRDefault="0050406F" w:rsidP="0050406F">
      <w:pPr>
        <w:spacing w:line="276" w:lineRule="auto"/>
        <w:ind w:right="-22"/>
        <w:rPr>
          <w:rFonts w:ascii="Arial" w:eastAsia="Arial" w:hAnsi="Arial"/>
          <w:sz w:val="20"/>
          <w:lang w:val="en-US" w:eastAsia="sl-SI"/>
        </w:rPr>
      </w:pPr>
    </w:p>
    <w:p w14:paraId="544A44F7" w14:textId="77777777" w:rsidR="0050406F" w:rsidRPr="006E20A2" w:rsidRDefault="0050406F" w:rsidP="0050406F">
      <w:pPr>
        <w:pStyle w:val="Telobesedila2"/>
        <w:widowControl/>
        <w:spacing w:line="276" w:lineRule="auto"/>
        <w:ind w:right="-22"/>
        <w:rPr>
          <w:rFonts w:ascii="Arial" w:hAnsi="Arial"/>
          <w:sz w:val="20"/>
          <w:lang w:val="en-US"/>
        </w:rPr>
      </w:pPr>
      <w:r w:rsidRPr="006E20A2">
        <w:rPr>
          <w:rFonts w:ascii="Arial" w:hAnsi="Arial"/>
          <w:sz w:val="20"/>
          <w:lang w:val="en-US"/>
        </w:rPr>
        <w:t xml:space="preserve">A certain typology of money laundering can only be established when we detect the sample or series of similar procedures (methods) of concealment of the illegal source of money or other assets, which include different mechanisms, </w:t>
      </w:r>
      <w:proofErr w:type="gramStart"/>
      <w:r w:rsidRPr="006E20A2">
        <w:rPr>
          <w:rFonts w:ascii="Arial" w:hAnsi="Arial"/>
          <w:sz w:val="20"/>
          <w:lang w:val="en-US"/>
        </w:rPr>
        <w:t>techniques</w:t>
      </w:r>
      <w:proofErr w:type="gramEnd"/>
      <w:r w:rsidRPr="006E20A2">
        <w:rPr>
          <w:rFonts w:ascii="Arial" w:hAnsi="Arial"/>
          <w:sz w:val="20"/>
          <w:lang w:val="en-US"/>
        </w:rPr>
        <w:t xml:space="preserve"> and instruments:</w:t>
      </w:r>
    </w:p>
    <w:p w14:paraId="5C9F6CE0" w14:textId="77777777" w:rsidR="00785F67" w:rsidRPr="006E20A2" w:rsidRDefault="00785F67" w:rsidP="0050406F">
      <w:pPr>
        <w:spacing w:line="276" w:lineRule="auto"/>
        <w:ind w:right="-22"/>
        <w:rPr>
          <w:rFonts w:ascii="Arial" w:eastAsia="Arial" w:hAnsi="Arial"/>
          <w:bCs/>
          <w:iCs/>
          <w:sz w:val="20"/>
          <w:lang w:val="en-US" w:eastAsia="sl-SI"/>
        </w:rPr>
      </w:pPr>
    </w:p>
    <w:p w14:paraId="7FD4C2B0" w14:textId="0CE4E192" w:rsidR="0050406F" w:rsidRPr="006E20A2" w:rsidRDefault="0050406F" w:rsidP="00636B18">
      <w:pPr>
        <w:pStyle w:val="Telobesedila2"/>
        <w:widowControl/>
        <w:numPr>
          <w:ilvl w:val="0"/>
          <w:numId w:val="18"/>
        </w:numPr>
        <w:spacing w:line="276" w:lineRule="auto"/>
        <w:ind w:right="-22"/>
        <w:rPr>
          <w:rFonts w:ascii="Arial" w:hAnsi="Arial"/>
          <w:sz w:val="20"/>
          <w:lang w:val="en-US"/>
        </w:rPr>
      </w:pPr>
      <w:r w:rsidRPr="006E20A2">
        <w:rPr>
          <w:rFonts w:ascii="Arial" w:hAnsi="Arial"/>
          <w:b/>
          <w:sz w:val="20"/>
          <w:lang w:val="en-US"/>
        </w:rPr>
        <w:t>mechanism of money laundering represents the environment or the system, where the money laundering activities have been entirely/partially performed</w:t>
      </w:r>
      <w:r w:rsidRPr="006E20A2">
        <w:rPr>
          <w:rFonts w:ascii="Arial" w:hAnsi="Arial"/>
          <w:sz w:val="20"/>
          <w:lang w:val="en-US"/>
        </w:rPr>
        <w:t>: financial institutions (banks, savings houses, brokerage houses, leasing houses), notaries, lawyers, natural persons, legal persons or companies (domestic companies, “straw” companies, off-shore companies), money transfer systems (Western Union, MoneyGram); traders with precious metal; casinos and gaming saloons, exchange platforms for virtual currencies etc.</w:t>
      </w:r>
    </w:p>
    <w:p w14:paraId="43AE60E0" w14:textId="77777777" w:rsidR="0050406F" w:rsidRPr="006E20A2" w:rsidRDefault="0050406F" w:rsidP="0050406F">
      <w:pPr>
        <w:pStyle w:val="Telobesedila2"/>
        <w:widowControl/>
        <w:spacing w:line="276" w:lineRule="auto"/>
        <w:ind w:right="-22"/>
        <w:rPr>
          <w:rFonts w:ascii="Arial" w:hAnsi="Arial"/>
          <w:sz w:val="20"/>
          <w:lang w:val="en-US"/>
        </w:rPr>
      </w:pPr>
    </w:p>
    <w:p w14:paraId="6E9A30FE" w14:textId="0A5240E7" w:rsidR="0050406F" w:rsidRPr="006E20A2" w:rsidRDefault="0050406F" w:rsidP="00636B18">
      <w:pPr>
        <w:pStyle w:val="Telobesedila2"/>
        <w:widowControl/>
        <w:numPr>
          <w:ilvl w:val="0"/>
          <w:numId w:val="18"/>
        </w:numPr>
        <w:spacing w:line="276" w:lineRule="auto"/>
        <w:ind w:right="-22"/>
        <w:rPr>
          <w:rFonts w:ascii="Arial" w:hAnsi="Arial"/>
          <w:sz w:val="20"/>
          <w:lang w:val="en-US"/>
        </w:rPr>
      </w:pPr>
      <w:r w:rsidRPr="006E20A2">
        <w:rPr>
          <w:rFonts w:ascii="Arial" w:hAnsi="Arial"/>
          <w:b/>
          <w:sz w:val="20"/>
          <w:lang w:val="en-US"/>
        </w:rPr>
        <w:t>money laundering technique is the method of performing money laundering</w:t>
      </w:r>
      <w:r w:rsidRPr="006E20A2">
        <w:rPr>
          <w:rFonts w:ascii="Arial" w:hAnsi="Arial"/>
          <w:sz w:val="20"/>
          <w:lang w:val="en-US"/>
        </w:rPr>
        <w:t xml:space="preserve">, represented by the following categories: cash withdrawals, cash deposits, wire transfers (electronic transfers </w:t>
      </w:r>
      <w:r w:rsidRPr="006E20A2">
        <w:rPr>
          <w:rFonts w:ascii="Arial" w:hAnsi="Arial"/>
          <w:sz w:val="20"/>
          <w:lang w:val="en-US"/>
        </w:rPr>
        <w:lastRenderedPageBreak/>
        <w:t>of money between the accounts), use of alternative systems for the transfers of funds, transfer of cash via state border, exchange of currencies, “smurfing” of the amounts, concealment via third persons, use of the accounts abroad etc.</w:t>
      </w:r>
    </w:p>
    <w:p w14:paraId="5FBFCD19" w14:textId="77777777" w:rsidR="0050406F" w:rsidRPr="006E20A2" w:rsidRDefault="0050406F" w:rsidP="0050406F">
      <w:pPr>
        <w:pStyle w:val="Telobesedila2"/>
        <w:widowControl/>
        <w:spacing w:line="276" w:lineRule="auto"/>
        <w:ind w:right="-22"/>
        <w:rPr>
          <w:rFonts w:ascii="Arial" w:hAnsi="Arial"/>
          <w:sz w:val="20"/>
          <w:lang w:val="en-US"/>
        </w:rPr>
      </w:pPr>
    </w:p>
    <w:p w14:paraId="01285A58" w14:textId="18052EC5" w:rsidR="0050406F" w:rsidRPr="006E20A2" w:rsidRDefault="0050406F" w:rsidP="00636B18">
      <w:pPr>
        <w:pStyle w:val="Telobesedila2"/>
        <w:widowControl/>
        <w:numPr>
          <w:ilvl w:val="0"/>
          <w:numId w:val="18"/>
        </w:numPr>
        <w:spacing w:line="276" w:lineRule="auto"/>
        <w:ind w:right="-22"/>
        <w:rPr>
          <w:lang w:val="en-US"/>
        </w:rPr>
      </w:pPr>
      <w:r w:rsidRPr="006E20A2">
        <w:rPr>
          <w:rFonts w:ascii="Arial" w:hAnsi="Arial"/>
          <w:b/>
          <w:sz w:val="20"/>
          <w:lang w:val="en-US"/>
        </w:rPr>
        <w:t>instrument of money laundering is the holder of the value, used for the money laundering activities</w:t>
      </w:r>
      <w:r w:rsidRPr="006E20A2">
        <w:rPr>
          <w:rFonts w:ascii="Arial" w:hAnsi="Arial"/>
          <w:sz w:val="20"/>
          <w:lang w:val="en-US"/>
        </w:rPr>
        <w:t xml:space="preserve"> and is mostly represented by the following categories: cash, cheques, securities, real assets, vehicles, boats, companies</w:t>
      </w:r>
      <w:r w:rsidRPr="006E20A2">
        <w:rPr>
          <w:lang w:val="en-US"/>
        </w:rPr>
        <w:t>.</w:t>
      </w:r>
    </w:p>
    <w:p w14:paraId="6930B3A4" w14:textId="0C687FCF" w:rsidR="001C347C" w:rsidRPr="006E20A2" w:rsidRDefault="001C347C" w:rsidP="00A93197">
      <w:pPr>
        <w:spacing w:line="276" w:lineRule="auto"/>
        <w:ind w:right="-22"/>
        <w:rPr>
          <w:rFonts w:ascii="Arial" w:eastAsia="Arial" w:hAnsi="Arial"/>
          <w:sz w:val="20"/>
          <w:szCs w:val="22"/>
          <w:lang w:val="en-US" w:eastAsia="sl-SI"/>
        </w:rPr>
      </w:pPr>
    </w:p>
    <w:p w14:paraId="1E6ED345" w14:textId="20E2146E" w:rsidR="001C347C" w:rsidRPr="006E20A2" w:rsidRDefault="001C347C" w:rsidP="001C347C">
      <w:pPr>
        <w:pStyle w:val="Telobesedila2"/>
        <w:widowControl/>
        <w:spacing w:line="276" w:lineRule="auto"/>
        <w:ind w:right="-22"/>
        <w:rPr>
          <w:rFonts w:ascii="Arial" w:hAnsi="Arial"/>
          <w:sz w:val="20"/>
          <w:lang w:val="en-US"/>
        </w:rPr>
      </w:pPr>
      <w:proofErr w:type="gramStart"/>
      <w:r w:rsidRPr="006E20A2">
        <w:rPr>
          <w:rFonts w:ascii="Arial" w:hAnsi="Arial"/>
          <w:sz w:val="20"/>
          <w:lang w:val="en-US"/>
        </w:rPr>
        <w:t>With regard to</w:t>
      </w:r>
      <w:proofErr w:type="gramEnd"/>
      <w:r w:rsidRPr="006E20A2">
        <w:rPr>
          <w:rFonts w:ascii="Arial" w:hAnsi="Arial"/>
          <w:sz w:val="20"/>
          <w:lang w:val="en-US"/>
        </w:rPr>
        <w:t xml:space="preserve"> the understanding of the typologies presented above and connected basic elements, we should point out that in a particular case several basic elements of typology could appear. Therefore, the sum of </w:t>
      </w:r>
      <w:proofErr w:type="gramStart"/>
      <w:r w:rsidRPr="006E20A2">
        <w:rPr>
          <w:rFonts w:ascii="Arial" w:hAnsi="Arial"/>
          <w:sz w:val="20"/>
          <w:lang w:val="en-US"/>
        </w:rPr>
        <w:t>particular established</w:t>
      </w:r>
      <w:proofErr w:type="gramEnd"/>
      <w:r w:rsidRPr="006E20A2">
        <w:rPr>
          <w:rFonts w:ascii="Arial" w:hAnsi="Arial"/>
          <w:sz w:val="20"/>
          <w:lang w:val="en-US"/>
        </w:rPr>
        <w:t xml:space="preserve"> money laundering techniques, which is represented by certain typologies and cases, does not represent the total number of the cases, as in the particular case, several basic money laundering techniques could be detected. In 2020, we established the following </w:t>
      </w:r>
      <w:r w:rsidRPr="006E20A2">
        <w:rPr>
          <w:rFonts w:ascii="Arial" w:hAnsi="Arial"/>
          <w:b/>
          <w:bCs/>
          <w:sz w:val="20"/>
          <w:lang w:val="en-US"/>
        </w:rPr>
        <w:t>most frequent used</w:t>
      </w:r>
      <w:r w:rsidRPr="006E20A2">
        <w:rPr>
          <w:rFonts w:ascii="Arial" w:hAnsi="Arial"/>
          <w:sz w:val="20"/>
          <w:lang w:val="en-US"/>
        </w:rPr>
        <w:t xml:space="preserve"> </w:t>
      </w:r>
      <w:r w:rsidRPr="006E20A2">
        <w:rPr>
          <w:rFonts w:ascii="Arial" w:hAnsi="Arial"/>
          <w:b/>
          <w:sz w:val="20"/>
          <w:lang w:val="en-US"/>
        </w:rPr>
        <w:t>mechanisms of money laundering</w:t>
      </w:r>
      <w:r w:rsidRPr="006E20A2">
        <w:rPr>
          <w:rFonts w:ascii="Arial" w:hAnsi="Arial"/>
          <w:sz w:val="20"/>
          <w:lang w:val="en-US"/>
        </w:rPr>
        <w:t xml:space="preserve"> </w:t>
      </w:r>
      <w:proofErr w:type="gramStart"/>
      <w:r w:rsidRPr="006E20A2">
        <w:rPr>
          <w:rFonts w:ascii="Arial" w:hAnsi="Arial"/>
          <w:sz w:val="20"/>
          <w:lang w:val="en-US"/>
        </w:rPr>
        <w:t>with regard to</w:t>
      </w:r>
      <w:proofErr w:type="gramEnd"/>
      <w:r w:rsidRPr="006E20A2">
        <w:rPr>
          <w:rFonts w:ascii="Arial" w:hAnsi="Arial"/>
          <w:sz w:val="20"/>
          <w:lang w:val="en-US"/>
        </w:rPr>
        <w:t xml:space="preserve"> the particular basic elements of money laundering techniques (mechanisms, techniques, instruments):</w:t>
      </w:r>
    </w:p>
    <w:p w14:paraId="1FFBEAE3" w14:textId="77777777" w:rsidR="001C347C" w:rsidRPr="006E20A2" w:rsidRDefault="001C347C" w:rsidP="001C347C">
      <w:pPr>
        <w:spacing w:line="276" w:lineRule="auto"/>
        <w:ind w:right="-22"/>
        <w:rPr>
          <w:rFonts w:ascii="Arial" w:eastAsia="Arial" w:hAnsi="Arial"/>
          <w:sz w:val="20"/>
          <w:lang w:val="en-US" w:eastAsia="sl-SI"/>
        </w:rPr>
      </w:pPr>
    </w:p>
    <w:p w14:paraId="7BF19F05" w14:textId="455889E3" w:rsidR="00785F67" w:rsidRPr="006E20A2" w:rsidRDefault="001C347C" w:rsidP="00636B18">
      <w:pPr>
        <w:widowControl/>
        <w:numPr>
          <w:ilvl w:val="0"/>
          <w:numId w:val="10"/>
        </w:numPr>
        <w:tabs>
          <w:tab w:val="left" w:pos="720"/>
        </w:tabs>
        <w:spacing w:before="80" w:after="200" w:line="276" w:lineRule="auto"/>
        <w:ind w:left="714" w:hanging="357"/>
        <w:rPr>
          <w:rFonts w:ascii="Arial" w:eastAsia="Arial" w:hAnsi="Arial"/>
          <w:sz w:val="20"/>
          <w:lang w:val="en-US" w:eastAsia="sl-SI"/>
        </w:rPr>
      </w:pPr>
      <w:r w:rsidRPr="006E20A2">
        <w:rPr>
          <w:rFonts w:ascii="Arial" w:hAnsi="Arial"/>
          <w:b/>
          <w:i/>
          <w:iCs/>
          <w:sz w:val="20"/>
          <w:lang w:val="en-US"/>
        </w:rPr>
        <w:t>Financial institutions</w:t>
      </w:r>
      <w:r w:rsidRPr="006E20A2">
        <w:rPr>
          <w:rFonts w:ascii="Arial" w:hAnsi="Arial"/>
          <w:sz w:val="20"/>
          <w:lang w:val="en-US"/>
        </w:rPr>
        <w:t xml:space="preserve"> (banks and savings houses): we discovered that in 285 cases the financial (banking) system was used. Among the services of the financial (banking institutions) or financial system, mostly the accounts of the companies and natural persons at banks were abused, as in at least 120 cases the foreign accounts were used. This means that the foreign natural and legal persons used accounts in Slovenia or that Slovenian natural and legal persons used foreign bank </w:t>
      </w:r>
      <w:proofErr w:type="gramStart"/>
      <w:r w:rsidRPr="006E20A2">
        <w:rPr>
          <w:rFonts w:ascii="Arial" w:hAnsi="Arial"/>
          <w:sz w:val="20"/>
          <w:lang w:val="en-US"/>
        </w:rPr>
        <w:t>accounts;</w:t>
      </w:r>
      <w:proofErr w:type="gramEnd"/>
    </w:p>
    <w:p w14:paraId="7F6E7A8C" w14:textId="6F919431" w:rsidR="00785F67" w:rsidRPr="006E20A2" w:rsidRDefault="001C347C" w:rsidP="00636B18">
      <w:pPr>
        <w:widowControl/>
        <w:numPr>
          <w:ilvl w:val="0"/>
          <w:numId w:val="10"/>
        </w:numPr>
        <w:tabs>
          <w:tab w:val="left" w:pos="720"/>
        </w:tabs>
        <w:spacing w:before="80" w:after="200" w:line="276" w:lineRule="auto"/>
        <w:ind w:left="714" w:hanging="357"/>
        <w:rPr>
          <w:rFonts w:ascii="Arial" w:eastAsia="Arial" w:hAnsi="Arial"/>
          <w:sz w:val="20"/>
          <w:lang w:val="en-US" w:eastAsia="sl-SI"/>
        </w:rPr>
      </w:pPr>
      <w:r w:rsidRPr="006E20A2">
        <w:rPr>
          <w:rFonts w:ascii="Arial" w:hAnsi="Arial"/>
          <w:b/>
          <w:i/>
          <w:iCs/>
          <w:sz w:val="20"/>
          <w:lang w:val="en-US"/>
        </w:rPr>
        <w:t>Natural persons</w:t>
      </w:r>
      <w:r w:rsidRPr="006E20A2">
        <w:rPr>
          <w:rFonts w:ascii="Arial" w:hAnsi="Arial"/>
          <w:sz w:val="20"/>
          <w:lang w:val="en-US"/>
        </w:rPr>
        <w:t xml:space="preserve"> were used in 209 cases. The method of use was different: </w:t>
      </w:r>
      <w:r w:rsidR="00AC267E">
        <w:rPr>
          <w:rFonts w:ascii="Arial" w:hAnsi="Arial"/>
          <w:sz w:val="20"/>
          <w:lang w:val="en-US"/>
        </w:rPr>
        <w:t xml:space="preserve">either </w:t>
      </w:r>
      <w:r w:rsidRPr="006E20A2">
        <w:rPr>
          <w:rFonts w:ascii="Arial" w:hAnsi="Arial"/>
          <w:sz w:val="20"/>
          <w:lang w:val="en-US"/>
        </w:rPr>
        <w:t>“self-laundering”, when the natural person commits the predicate criminal offence and criminal offence of money laundering as well;</w:t>
      </w:r>
      <w:r w:rsidR="00AC267E">
        <w:rPr>
          <w:rFonts w:ascii="Arial" w:hAnsi="Arial"/>
          <w:sz w:val="20"/>
          <w:lang w:val="en-US"/>
        </w:rPr>
        <w:t xml:space="preserve"> or the</w:t>
      </w:r>
      <w:r w:rsidRPr="006E20A2">
        <w:rPr>
          <w:rFonts w:ascii="Arial" w:hAnsi="Arial"/>
          <w:sz w:val="20"/>
          <w:lang w:val="en-US"/>
        </w:rPr>
        <w:t xml:space="preserve"> use of natural persons as authorized persons and use of natural persons as “third persons”, via whom the money laundering was </w:t>
      </w:r>
      <w:proofErr w:type="gramStart"/>
      <w:r w:rsidRPr="006E20A2">
        <w:rPr>
          <w:rFonts w:ascii="Arial" w:hAnsi="Arial"/>
          <w:sz w:val="20"/>
          <w:lang w:val="en-US"/>
        </w:rPr>
        <w:t>performed</w:t>
      </w:r>
      <w:r w:rsidRPr="006E20A2">
        <w:rPr>
          <w:rFonts w:ascii="Arial" w:eastAsia="Arial" w:hAnsi="Arial"/>
          <w:sz w:val="20"/>
          <w:lang w:val="en-US" w:eastAsia="sl-SI"/>
        </w:rPr>
        <w:t>;</w:t>
      </w:r>
      <w:proofErr w:type="gramEnd"/>
    </w:p>
    <w:p w14:paraId="4C605740" w14:textId="03A9357D" w:rsidR="00785F67" w:rsidRPr="006E20A2" w:rsidRDefault="001C347C" w:rsidP="00636B18">
      <w:pPr>
        <w:widowControl/>
        <w:numPr>
          <w:ilvl w:val="0"/>
          <w:numId w:val="10"/>
        </w:numPr>
        <w:tabs>
          <w:tab w:val="left" w:pos="720"/>
        </w:tabs>
        <w:spacing w:before="80" w:after="200" w:line="276" w:lineRule="auto"/>
        <w:ind w:left="714" w:hanging="357"/>
        <w:rPr>
          <w:rFonts w:ascii="Arial" w:eastAsia="Arial" w:hAnsi="Arial"/>
          <w:sz w:val="20"/>
          <w:lang w:val="en-US" w:eastAsia="sl-SI"/>
        </w:rPr>
      </w:pPr>
      <w:r w:rsidRPr="006E20A2">
        <w:rPr>
          <w:rFonts w:ascii="Arial" w:hAnsi="Arial"/>
          <w:b/>
          <w:i/>
          <w:iCs/>
          <w:sz w:val="20"/>
          <w:lang w:val="en-US"/>
        </w:rPr>
        <w:t>Legal persons</w:t>
      </w:r>
      <w:r w:rsidRPr="006E20A2">
        <w:rPr>
          <w:rFonts w:ascii="Arial" w:hAnsi="Arial"/>
          <w:sz w:val="20"/>
          <w:lang w:val="en-US"/>
        </w:rPr>
        <w:t xml:space="preserve"> were used in 198 cases, at least in 56 cases “straw” companies were used and in at least 4 cases offshore companies </w:t>
      </w:r>
      <w:proofErr w:type="gramStart"/>
      <w:r w:rsidRPr="006E20A2">
        <w:rPr>
          <w:rFonts w:ascii="Arial" w:hAnsi="Arial"/>
          <w:sz w:val="20"/>
          <w:lang w:val="en-US"/>
        </w:rPr>
        <w:t>appeared</w:t>
      </w:r>
      <w:r w:rsidR="00AC61E9" w:rsidRPr="006E20A2">
        <w:rPr>
          <w:rFonts w:ascii="Arial" w:hAnsi="Arial"/>
          <w:sz w:val="20"/>
          <w:lang w:val="en-US"/>
        </w:rPr>
        <w:t>;</w:t>
      </w:r>
      <w:proofErr w:type="gramEnd"/>
    </w:p>
    <w:p w14:paraId="27001EF9" w14:textId="1366802E" w:rsidR="00785F67" w:rsidRPr="006E20A2" w:rsidRDefault="001C347C" w:rsidP="00636B18">
      <w:pPr>
        <w:widowControl/>
        <w:numPr>
          <w:ilvl w:val="0"/>
          <w:numId w:val="10"/>
        </w:numPr>
        <w:tabs>
          <w:tab w:val="left" w:pos="720"/>
        </w:tabs>
        <w:spacing w:before="80" w:after="200" w:line="276" w:lineRule="auto"/>
        <w:ind w:left="714" w:hanging="357"/>
        <w:rPr>
          <w:rFonts w:ascii="Arial" w:eastAsia="Arial" w:hAnsi="Arial"/>
          <w:sz w:val="20"/>
          <w:lang w:val="en-US" w:eastAsia="sl-SI"/>
        </w:rPr>
      </w:pPr>
      <w:r w:rsidRPr="006E20A2">
        <w:rPr>
          <w:rFonts w:ascii="Arial" w:hAnsi="Arial"/>
          <w:b/>
          <w:i/>
          <w:iCs/>
          <w:sz w:val="20"/>
          <w:lang w:val="en-US"/>
        </w:rPr>
        <w:t>Systems for money transfer (</w:t>
      </w:r>
      <w:proofErr w:type="spellStart"/>
      <w:r w:rsidRPr="006E20A2">
        <w:rPr>
          <w:rFonts w:ascii="Arial" w:hAnsi="Arial"/>
          <w:b/>
          <w:i/>
          <w:iCs/>
          <w:sz w:val="20"/>
          <w:lang w:val="en-US"/>
        </w:rPr>
        <w:t>Moneygram</w:t>
      </w:r>
      <w:proofErr w:type="spellEnd"/>
      <w:r w:rsidRPr="006E20A2">
        <w:rPr>
          <w:rFonts w:ascii="Arial" w:hAnsi="Arial"/>
          <w:b/>
          <w:i/>
          <w:iCs/>
          <w:sz w:val="20"/>
          <w:lang w:val="en-US"/>
        </w:rPr>
        <w:t xml:space="preserve"> and Western Union)</w:t>
      </w:r>
      <w:r w:rsidRPr="006E20A2">
        <w:rPr>
          <w:rFonts w:ascii="Arial" w:hAnsi="Arial"/>
          <w:b/>
          <w:sz w:val="20"/>
          <w:lang w:val="en-US"/>
        </w:rPr>
        <w:t xml:space="preserve"> </w:t>
      </w:r>
      <w:r w:rsidRPr="006E20A2">
        <w:rPr>
          <w:rFonts w:ascii="Arial" w:hAnsi="Arial"/>
          <w:bCs/>
          <w:sz w:val="20"/>
          <w:lang w:val="en-US"/>
        </w:rPr>
        <w:t xml:space="preserve">were used in 15 </w:t>
      </w:r>
      <w:proofErr w:type="gramStart"/>
      <w:r w:rsidRPr="006E20A2">
        <w:rPr>
          <w:rFonts w:ascii="Arial" w:hAnsi="Arial"/>
          <w:bCs/>
          <w:sz w:val="20"/>
          <w:lang w:val="en-US"/>
        </w:rPr>
        <w:t>cases</w:t>
      </w:r>
      <w:r w:rsidR="00785F67" w:rsidRPr="006E20A2">
        <w:rPr>
          <w:rFonts w:ascii="Arial" w:eastAsia="Arial" w:hAnsi="Arial"/>
          <w:sz w:val="20"/>
          <w:lang w:val="en-US" w:eastAsia="sl-SI"/>
        </w:rPr>
        <w:t>;</w:t>
      </w:r>
      <w:proofErr w:type="gramEnd"/>
    </w:p>
    <w:p w14:paraId="4AB0FF70" w14:textId="20DEC970" w:rsidR="00785F67" w:rsidRPr="006E20A2" w:rsidRDefault="006E20A2" w:rsidP="00636B18">
      <w:pPr>
        <w:widowControl/>
        <w:numPr>
          <w:ilvl w:val="0"/>
          <w:numId w:val="10"/>
        </w:numPr>
        <w:tabs>
          <w:tab w:val="left" w:pos="720"/>
        </w:tabs>
        <w:spacing w:before="80" w:after="200" w:line="276" w:lineRule="auto"/>
        <w:ind w:left="714" w:hanging="357"/>
        <w:jc w:val="left"/>
        <w:rPr>
          <w:rFonts w:ascii="Arial" w:eastAsia="Arial" w:hAnsi="Arial"/>
          <w:sz w:val="20"/>
          <w:lang w:val="en-US" w:eastAsia="sl-SI"/>
        </w:rPr>
      </w:pPr>
      <w:r w:rsidRPr="006E20A2">
        <w:rPr>
          <w:rFonts w:ascii="Arial" w:eastAsia="Arial" w:hAnsi="Arial"/>
          <w:b/>
          <w:i/>
          <w:sz w:val="20"/>
          <w:lang w:val="en-US" w:eastAsia="sl-SI"/>
        </w:rPr>
        <w:t>Casinos</w:t>
      </w:r>
      <w:r w:rsidR="001C347C" w:rsidRPr="006E20A2">
        <w:rPr>
          <w:rFonts w:ascii="Arial" w:eastAsia="Arial" w:hAnsi="Arial"/>
          <w:b/>
          <w:i/>
          <w:sz w:val="20"/>
          <w:lang w:val="en-US" w:eastAsia="sl-SI"/>
        </w:rPr>
        <w:t xml:space="preserve"> and gaming saloons </w:t>
      </w:r>
      <w:r w:rsidR="001C347C" w:rsidRPr="00AC267E">
        <w:rPr>
          <w:rFonts w:ascii="Arial" w:eastAsia="Arial" w:hAnsi="Arial"/>
          <w:bCs/>
          <w:iCs/>
          <w:sz w:val="20"/>
          <w:lang w:val="en-US" w:eastAsia="sl-SI"/>
        </w:rPr>
        <w:t xml:space="preserve">were used in 6 </w:t>
      </w:r>
      <w:proofErr w:type="gramStart"/>
      <w:r w:rsidR="001C347C" w:rsidRPr="00AC267E">
        <w:rPr>
          <w:rFonts w:ascii="Arial" w:eastAsia="Arial" w:hAnsi="Arial"/>
          <w:bCs/>
          <w:iCs/>
          <w:sz w:val="20"/>
          <w:lang w:val="en-US" w:eastAsia="sl-SI"/>
        </w:rPr>
        <w:t>cases</w:t>
      </w:r>
      <w:r w:rsidR="002110AD" w:rsidRPr="006E20A2">
        <w:rPr>
          <w:rFonts w:ascii="Arial" w:eastAsia="Arial" w:hAnsi="Arial"/>
          <w:sz w:val="20"/>
          <w:lang w:val="en-US" w:eastAsia="sl-SI"/>
        </w:rPr>
        <w:t>;</w:t>
      </w:r>
      <w:proofErr w:type="gramEnd"/>
    </w:p>
    <w:p w14:paraId="03444262" w14:textId="799B4A18" w:rsidR="00785F67" w:rsidRPr="006E20A2" w:rsidRDefault="00AC61E9" w:rsidP="00636B18">
      <w:pPr>
        <w:widowControl/>
        <w:numPr>
          <w:ilvl w:val="0"/>
          <w:numId w:val="10"/>
        </w:numPr>
        <w:tabs>
          <w:tab w:val="left" w:pos="720"/>
        </w:tabs>
        <w:spacing w:before="80" w:after="200" w:line="276" w:lineRule="auto"/>
        <w:ind w:left="714" w:hanging="357"/>
        <w:rPr>
          <w:rFonts w:ascii="Arial" w:eastAsia="Arial" w:hAnsi="Arial"/>
          <w:sz w:val="20"/>
          <w:lang w:val="en-US" w:eastAsia="sl-SI"/>
        </w:rPr>
      </w:pPr>
      <w:r w:rsidRPr="006E20A2">
        <w:rPr>
          <w:rFonts w:ascii="Arial" w:hAnsi="Arial"/>
          <w:sz w:val="20"/>
          <w:lang w:val="en-US"/>
        </w:rPr>
        <w:t xml:space="preserve">In the remaining cases, we recorded individual </w:t>
      </w:r>
      <w:r w:rsidR="00AC267E">
        <w:rPr>
          <w:rFonts w:ascii="Arial" w:hAnsi="Arial"/>
          <w:sz w:val="20"/>
          <w:lang w:val="en-US"/>
        </w:rPr>
        <w:t>usage of</w:t>
      </w:r>
      <w:r w:rsidR="00AC267E" w:rsidRPr="006E20A2">
        <w:rPr>
          <w:rFonts w:ascii="Arial" w:hAnsi="Arial"/>
          <w:sz w:val="20"/>
          <w:lang w:val="en-US"/>
        </w:rPr>
        <w:t xml:space="preserve"> </w:t>
      </w:r>
      <w:r w:rsidRPr="006E20A2">
        <w:rPr>
          <w:rFonts w:ascii="Arial" w:hAnsi="Arial"/>
          <w:sz w:val="20"/>
          <w:lang w:val="en-US"/>
        </w:rPr>
        <w:t>trade</w:t>
      </w:r>
      <w:r w:rsidR="00AC267E">
        <w:rPr>
          <w:rFonts w:ascii="Arial" w:hAnsi="Arial"/>
          <w:sz w:val="20"/>
          <w:lang w:val="en-US"/>
        </w:rPr>
        <w:t>rs</w:t>
      </w:r>
      <w:r w:rsidRPr="006E20A2">
        <w:rPr>
          <w:rFonts w:ascii="Arial" w:hAnsi="Arial"/>
          <w:sz w:val="20"/>
          <w:lang w:val="en-US"/>
        </w:rPr>
        <w:t xml:space="preserve"> with precious metals (investment gold), exchange platforms for virtual currencies, </w:t>
      </w:r>
      <w:proofErr w:type="gramStart"/>
      <w:r w:rsidRPr="006E20A2">
        <w:rPr>
          <w:rFonts w:ascii="Arial" w:hAnsi="Arial"/>
          <w:sz w:val="20"/>
          <w:lang w:val="en-US"/>
        </w:rPr>
        <w:t>ATMs</w:t>
      </w:r>
      <w:proofErr w:type="gramEnd"/>
      <w:r w:rsidRPr="006E20A2">
        <w:rPr>
          <w:rFonts w:ascii="Arial" w:hAnsi="Arial"/>
          <w:sz w:val="20"/>
          <w:lang w:val="en-US"/>
        </w:rPr>
        <w:t xml:space="preserve"> and deposit boxes</w:t>
      </w:r>
      <w:r w:rsidR="00785F67" w:rsidRPr="006E20A2">
        <w:rPr>
          <w:rFonts w:ascii="Arial" w:eastAsia="Arial" w:hAnsi="Arial"/>
          <w:sz w:val="20"/>
          <w:lang w:val="en-US" w:eastAsia="sl-SI"/>
        </w:rPr>
        <w:t>.</w:t>
      </w:r>
    </w:p>
    <w:p w14:paraId="495EC608" w14:textId="2BAB9E43" w:rsidR="00AC61E9" w:rsidRPr="006E20A2" w:rsidRDefault="00AC61E9" w:rsidP="00174142">
      <w:pPr>
        <w:pStyle w:val="Telobesedila2"/>
        <w:widowControl/>
        <w:ind w:right="-22"/>
        <w:rPr>
          <w:rFonts w:ascii="Arial" w:hAnsi="Arial"/>
          <w:sz w:val="20"/>
          <w:lang w:val="en-US"/>
        </w:rPr>
      </w:pPr>
      <w:r w:rsidRPr="006E20A2">
        <w:rPr>
          <w:rFonts w:ascii="Arial" w:hAnsi="Arial"/>
          <w:sz w:val="20"/>
          <w:lang w:val="en-US"/>
        </w:rPr>
        <w:t xml:space="preserve">The most frequent money laundering </w:t>
      </w:r>
      <w:r w:rsidRPr="006E20A2">
        <w:rPr>
          <w:rFonts w:ascii="Arial" w:hAnsi="Arial"/>
          <w:b/>
          <w:sz w:val="20"/>
          <w:lang w:val="en-US"/>
        </w:rPr>
        <w:t>techniques</w:t>
      </w:r>
      <w:r w:rsidRPr="006E20A2">
        <w:rPr>
          <w:rFonts w:ascii="Arial" w:hAnsi="Arial"/>
          <w:sz w:val="20"/>
          <w:lang w:val="en-US"/>
        </w:rPr>
        <w:t xml:space="preserve"> in 2020 (detected in more than one case) have been as follows:</w:t>
      </w:r>
    </w:p>
    <w:p w14:paraId="71E3374B" w14:textId="77777777" w:rsidR="00174142" w:rsidRPr="006E20A2" w:rsidRDefault="00174142" w:rsidP="00174142">
      <w:pPr>
        <w:pStyle w:val="Telobesedila2"/>
        <w:widowControl/>
        <w:ind w:right="-22"/>
        <w:rPr>
          <w:rFonts w:ascii="Arial" w:eastAsia="Arial" w:hAnsi="Arial"/>
          <w:sz w:val="20"/>
          <w:lang w:val="en-US" w:eastAsia="sl-SI"/>
        </w:rPr>
      </w:pPr>
    </w:p>
    <w:p w14:paraId="5FDEC665" w14:textId="557682DD" w:rsidR="00FB61DE" w:rsidRPr="00AC267E" w:rsidRDefault="00022A38" w:rsidP="00BA5BC9">
      <w:pPr>
        <w:pStyle w:val="Telobesedila2"/>
        <w:widowControl/>
        <w:numPr>
          <w:ilvl w:val="0"/>
          <w:numId w:val="19"/>
        </w:numPr>
        <w:snapToGrid w:val="0"/>
        <w:spacing w:line="276" w:lineRule="auto"/>
        <w:ind w:right="-22"/>
        <w:rPr>
          <w:rFonts w:ascii="Arial" w:hAnsi="Arial"/>
          <w:sz w:val="20"/>
          <w:lang w:val="en-US"/>
        </w:rPr>
      </w:pPr>
      <w:r w:rsidRPr="006E20A2">
        <w:rPr>
          <w:rFonts w:ascii="Arial" w:hAnsi="Arial"/>
          <w:b/>
          <w:bCs/>
          <w:i/>
          <w:iCs/>
          <w:sz w:val="20"/>
          <w:lang w:val="en-US"/>
        </w:rPr>
        <w:t>transfer of funds between countries</w:t>
      </w:r>
      <w:r w:rsidRPr="006E20A2">
        <w:rPr>
          <w:rFonts w:ascii="Arial" w:hAnsi="Arial"/>
          <w:sz w:val="20"/>
          <w:lang w:val="en-US"/>
        </w:rPr>
        <w:t xml:space="preserve"> (detected in approximately 72% of cases</w:t>
      </w:r>
      <w:proofErr w:type="gramStart"/>
      <w:r w:rsidRPr="006E20A2">
        <w:rPr>
          <w:rFonts w:ascii="Arial" w:hAnsi="Arial"/>
          <w:sz w:val="20"/>
          <w:lang w:val="en-US"/>
        </w:rPr>
        <w:t>)</w:t>
      </w:r>
      <w:r w:rsidR="00E74A0D" w:rsidRPr="006E20A2">
        <w:rPr>
          <w:rFonts w:ascii="Arial" w:hAnsi="Arial"/>
          <w:sz w:val="20"/>
          <w:lang w:val="en-US"/>
        </w:rPr>
        <w:t>;</w:t>
      </w:r>
      <w:proofErr w:type="gramEnd"/>
    </w:p>
    <w:p w14:paraId="2AF0DDD8" w14:textId="4A9FEC9A" w:rsidR="00FB61DE" w:rsidRPr="00791BE2" w:rsidRDefault="00022A38" w:rsidP="002F3A19">
      <w:pPr>
        <w:pStyle w:val="Odstavekseznama"/>
        <w:numPr>
          <w:ilvl w:val="0"/>
          <w:numId w:val="19"/>
        </w:numPr>
        <w:tabs>
          <w:tab w:val="left" w:pos="720"/>
        </w:tabs>
        <w:spacing w:after="200" w:line="276" w:lineRule="auto"/>
        <w:ind w:right="-23"/>
        <w:rPr>
          <w:rFonts w:ascii="Arial" w:hAnsi="Arial"/>
          <w:sz w:val="20"/>
          <w:lang w:val="en-US"/>
        </w:rPr>
      </w:pPr>
      <w:r w:rsidRPr="00791BE2">
        <w:rPr>
          <w:rFonts w:ascii="Arial" w:hAnsi="Arial"/>
          <w:b/>
          <w:bCs/>
          <w:i/>
          <w:iCs/>
          <w:sz w:val="20"/>
          <w:lang w:val="en-US"/>
        </w:rPr>
        <w:t>transfers of funds between accounts</w:t>
      </w:r>
      <w:r w:rsidRPr="00791BE2">
        <w:rPr>
          <w:rFonts w:ascii="Arial" w:hAnsi="Arial"/>
          <w:sz w:val="20"/>
          <w:lang w:val="en-US"/>
        </w:rPr>
        <w:t xml:space="preserve"> (detected in approximately 61% cases</w:t>
      </w:r>
      <w:proofErr w:type="gramStart"/>
      <w:r w:rsidRPr="00791BE2">
        <w:rPr>
          <w:rFonts w:ascii="Arial" w:hAnsi="Arial"/>
          <w:sz w:val="20"/>
          <w:lang w:val="en-US"/>
        </w:rPr>
        <w:t>)</w:t>
      </w:r>
      <w:r w:rsidR="00E74A0D" w:rsidRPr="00791BE2">
        <w:rPr>
          <w:rFonts w:ascii="Arial" w:hAnsi="Arial"/>
          <w:sz w:val="20"/>
          <w:lang w:val="en-US"/>
        </w:rPr>
        <w:t>;</w:t>
      </w:r>
      <w:proofErr w:type="gramEnd"/>
    </w:p>
    <w:p w14:paraId="59FCB420" w14:textId="77777777" w:rsidR="00791BE2" w:rsidRDefault="00022A38" w:rsidP="000263F7">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withdrawals of cash from accounts</w:t>
      </w:r>
      <w:r w:rsidRPr="00791BE2">
        <w:rPr>
          <w:rFonts w:ascii="Arial" w:hAnsi="Arial"/>
          <w:sz w:val="20"/>
          <w:lang w:val="en-US"/>
        </w:rPr>
        <w:t xml:space="preserve"> (detected in approximately 32% of cases</w:t>
      </w:r>
      <w:proofErr w:type="gramStart"/>
      <w:r w:rsidRPr="00791BE2">
        <w:rPr>
          <w:rFonts w:ascii="Arial" w:hAnsi="Arial"/>
          <w:sz w:val="20"/>
          <w:lang w:val="en-US"/>
        </w:rPr>
        <w:t>)</w:t>
      </w:r>
      <w:r w:rsidR="00E74A0D" w:rsidRPr="00791BE2">
        <w:rPr>
          <w:rFonts w:ascii="Arial" w:hAnsi="Arial"/>
          <w:sz w:val="20"/>
          <w:lang w:val="en-US"/>
        </w:rPr>
        <w:t>;</w:t>
      </w:r>
      <w:proofErr w:type="gramEnd"/>
    </w:p>
    <w:p w14:paraId="5911147E" w14:textId="77777777" w:rsidR="00791BE2" w:rsidRDefault="00022A38" w:rsidP="00CB12AE">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transfers of funds via state borders</w:t>
      </w:r>
      <w:r w:rsidRPr="00791BE2">
        <w:rPr>
          <w:rFonts w:ascii="Arial" w:hAnsi="Arial"/>
          <w:sz w:val="20"/>
          <w:lang w:val="en-US"/>
        </w:rPr>
        <w:t xml:space="preserve"> (detected in approximately 17% of cases</w:t>
      </w:r>
      <w:proofErr w:type="gramStart"/>
      <w:r w:rsidRPr="00791BE2">
        <w:rPr>
          <w:rFonts w:ascii="Arial" w:hAnsi="Arial"/>
          <w:sz w:val="20"/>
          <w:lang w:val="en-US"/>
        </w:rPr>
        <w:t>)</w:t>
      </w:r>
      <w:r w:rsidR="00E74A0D" w:rsidRPr="00791BE2">
        <w:rPr>
          <w:rFonts w:ascii="Arial" w:hAnsi="Arial"/>
          <w:sz w:val="20"/>
          <w:lang w:val="en-US"/>
        </w:rPr>
        <w:t>;</w:t>
      </w:r>
      <w:proofErr w:type="gramEnd"/>
    </w:p>
    <w:p w14:paraId="25FA3417" w14:textId="77777777" w:rsidR="00791BE2" w:rsidRDefault="00E74A0D" w:rsidP="00744EBA">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cash deposits</w:t>
      </w:r>
      <w:r w:rsidRPr="00791BE2">
        <w:rPr>
          <w:rFonts w:ascii="Arial" w:hAnsi="Arial"/>
          <w:sz w:val="20"/>
          <w:lang w:val="en-US"/>
        </w:rPr>
        <w:t xml:space="preserve"> (detected in approximately 14% cases</w:t>
      </w:r>
      <w:proofErr w:type="gramStart"/>
      <w:r w:rsidRPr="00791BE2">
        <w:rPr>
          <w:rFonts w:ascii="Arial" w:hAnsi="Arial"/>
          <w:sz w:val="20"/>
          <w:lang w:val="en-US"/>
        </w:rPr>
        <w:t>);</w:t>
      </w:r>
      <w:proofErr w:type="gramEnd"/>
    </w:p>
    <w:p w14:paraId="2C493094" w14:textId="77777777" w:rsidR="00791BE2" w:rsidRDefault="00E74A0D" w:rsidP="00446317">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false representation of the purpose of transactions</w:t>
      </w:r>
      <w:r w:rsidRPr="00791BE2">
        <w:rPr>
          <w:rFonts w:ascii="Arial" w:hAnsi="Arial"/>
          <w:sz w:val="20"/>
          <w:lang w:val="en-US"/>
        </w:rPr>
        <w:t xml:space="preserve"> (detected in approximately 10% of cases</w:t>
      </w:r>
      <w:proofErr w:type="gramStart"/>
      <w:r w:rsidRPr="00791BE2">
        <w:rPr>
          <w:rFonts w:ascii="Arial" w:hAnsi="Arial"/>
          <w:sz w:val="20"/>
          <w:lang w:val="en-US"/>
        </w:rPr>
        <w:t>);</w:t>
      </w:r>
      <w:proofErr w:type="gramEnd"/>
    </w:p>
    <w:p w14:paraId="2C42938F" w14:textId="77777777" w:rsidR="00791BE2" w:rsidRDefault="00E74A0D" w:rsidP="00202EAD">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use of funds for economic activities</w:t>
      </w:r>
      <w:r w:rsidRPr="00791BE2">
        <w:rPr>
          <w:rFonts w:ascii="Arial" w:hAnsi="Arial"/>
          <w:sz w:val="20"/>
          <w:lang w:val="en-US"/>
        </w:rPr>
        <w:t xml:space="preserve"> (detected in approximately 8% of cases</w:t>
      </w:r>
      <w:proofErr w:type="gramStart"/>
      <w:r w:rsidRPr="00791BE2">
        <w:rPr>
          <w:rFonts w:ascii="Arial" w:hAnsi="Arial"/>
          <w:sz w:val="20"/>
          <w:lang w:val="en-US"/>
        </w:rPr>
        <w:t>);</w:t>
      </w:r>
      <w:proofErr w:type="gramEnd"/>
    </w:p>
    <w:p w14:paraId="79404256" w14:textId="77777777" w:rsidR="00791BE2" w:rsidRDefault="00E74A0D" w:rsidP="004241D8">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use of fictive contracts</w:t>
      </w:r>
      <w:r w:rsidRPr="00791BE2">
        <w:rPr>
          <w:rFonts w:ascii="Arial" w:hAnsi="Arial"/>
          <w:sz w:val="20"/>
          <w:lang w:val="en-US"/>
        </w:rPr>
        <w:t xml:space="preserve"> (detected in approximately 7% cases</w:t>
      </w:r>
      <w:proofErr w:type="gramStart"/>
      <w:r w:rsidRPr="00791BE2">
        <w:rPr>
          <w:rFonts w:ascii="Arial" w:hAnsi="Arial"/>
          <w:sz w:val="20"/>
          <w:lang w:val="en-US"/>
        </w:rPr>
        <w:t>)</w:t>
      </w:r>
      <w:r w:rsidR="00FB61DE" w:rsidRPr="00791BE2">
        <w:rPr>
          <w:rFonts w:ascii="Arial" w:hAnsi="Arial"/>
          <w:sz w:val="20"/>
          <w:lang w:val="en-US"/>
        </w:rPr>
        <w:t>;</w:t>
      </w:r>
      <w:proofErr w:type="gramEnd"/>
    </w:p>
    <w:p w14:paraId="431389DA" w14:textId="77777777" w:rsidR="00791BE2" w:rsidRDefault="00E74A0D" w:rsidP="00325EDE">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investments into real estates</w:t>
      </w:r>
      <w:r w:rsidRPr="00791BE2">
        <w:rPr>
          <w:rFonts w:ascii="Arial" w:hAnsi="Arial"/>
          <w:sz w:val="20"/>
          <w:lang w:val="en-US"/>
        </w:rPr>
        <w:t xml:space="preserve"> (detected in approximately 4% of cases</w:t>
      </w:r>
      <w:proofErr w:type="gramStart"/>
      <w:r w:rsidRPr="00791BE2">
        <w:rPr>
          <w:rFonts w:ascii="Arial" w:hAnsi="Arial"/>
          <w:sz w:val="20"/>
          <w:lang w:val="en-US"/>
        </w:rPr>
        <w:t>)</w:t>
      </w:r>
      <w:r w:rsidR="00FB61DE" w:rsidRPr="00791BE2">
        <w:rPr>
          <w:rFonts w:ascii="Arial" w:hAnsi="Arial"/>
          <w:sz w:val="20"/>
          <w:lang w:val="en-US"/>
        </w:rPr>
        <w:t>;</w:t>
      </w:r>
      <w:proofErr w:type="gramEnd"/>
    </w:p>
    <w:p w14:paraId="102D9505" w14:textId="77777777" w:rsidR="00791BE2" w:rsidRDefault="00E74A0D" w:rsidP="00AA6077">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use of money transfer systems</w:t>
      </w:r>
      <w:r w:rsidRPr="00791BE2">
        <w:rPr>
          <w:rFonts w:ascii="Arial" w:hAnsi="Arial"/>
          <w:sz w:val="20"/>
          <w:lang w:val="en-US"/>
        </w:rPr>
        <w:t xml:space="preserve"> (MoneyGram, Western Union) (detected in approximately 4% of cases</w:t>
      </w:r>
      <w:proofErr w:type="gramStart"/>
      <w:r w:rsidRPr="00791BE2">
        <w:rPr>
          <w:rFonts w:ascii="Arial" w:hAnsi="Arial"/>
          <w:sz w:val="20"/>
          <w:lang w:val="en-US"/>
        </w:rPr>
        <w:t>)</w:t>
      </w:r>
      <w:r w:rsidR="00FB61DE" w:rsidRPr="00791BE2">
        <w:rPr>
          <w:rFonts w:ascii="Arial" w:hAnsi="Arial"/>
          <w:sz w:val="20"/>
          <w:lang w:val="en-US"/>
        </w:rPr>
        <w:t>;</w:t>
      </w:r>
      <w:proofErr w:type="gramEnd"/>
    </w:p>
    <w:p w14:paraId="76BDD613" w14:textId="77777777" w:rsidR="00791BE2" w:rsidRDefault="00E74A0D" w:rsidP="005B7B2D">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withdrawal of cash at ATMs abroad</w:t>
      </w:r>
      <w:r w:rsidRPr="00791BE2">
        <w:rPr>
          <w:rFonts w:ascii="Arial" w:hAnsi="Arial"/>
          <w:sz w:val="20"/>
          <w:lang w:val="en-US"/>
        </w:rPr>
        <w:t xml:space="preserve"> (detected in approximately 4% of cases</w:t>
      </w:r>
      <w:proofErr w:type="gramStart"/>
      <w:r w:rsidRPr="00791BE2">
        <w:rPr>
          <w:rFonts w:ascii="Arial" w:hAnsi="Arial"/>
          <w:sz w:val="20"/>
          <w:lang w:val="en-US"/>
        </w:rPr>
        <w:t>)</w:t>
      </w:r>
      <w:r w:rsidR="00FB61DE" w:rsidRPr="00791BE2">
        <w:rPr>
          <w:rFonts w:ascii="Arial" w:hAnsi="Arial"/>
          <w:sz w:val="20"/>
          <w:lang w:val="en-US"/>
        </w:rPr>
        <w:t>;</w:t>
      </w:r>
      <w:proofErr w:type="gramEnd"/>
    </w:p>
    <w:p w14:paraId="592F614E" w14:textId="2C55D0A9" w:rsidR="00FB61DE" w:rsidRPr="00791BE2" w:rsidRDefault="00E74A0D" w:rsidP="00BF36DA">
      <w:pPr>
        <w:pStyle w:val="Odstavekseznama"/>
        <w:numPr>
          <w:ilvl w:val="0"/>
          <w:numId w:val="19"/>
        </w:numPr>
        <w:tabs>
          <w:tab w:val="left" w:pos="720"/>
        </w:tabs>
        <w:snapToGrid w:val="0"/>
        <w:spacing w:after="200" w:line="276" w:lineRule="auto"/>
        <w:ind w:right="-22"/>
        <w:rPr>
          <w:rFonts w:ascii="Arial" w:hAnsi="Arial"/>
          <w:sz w:val="20"/>
          <w:lang w:val="en-US"/>
        </w:rPr>
      </w:pPr>
      <w:r w:rsidRPr="00791BE2">
        <w:rPr>
          <w:rFonts w:ascii="Arial" w:hAnsi="Arial"/>
          <w:b/>
          <w:bCs/>
          <w:i/>
          <w:iCs/>
          <w:sz w:val="20"/>
          <w:lang w:val="en-US"/>
        </w:rPr>
        <w:t>creating false obligations</w:t>
      </w:r>
      <w:r w:rsidRPr="00791BE2">
        <w:rPr>
          <w:rFonts w:ascii="Arial" w:hAnsi="Arial"/>
          <w:sz w:val="20"/>
          <w:lang w:val="en-US"/>
        </w:rPr>
        <w:t xml:space="preserve"> (detected in approximately 2% of cases</w:t>
      </w:r>
      <w:proofErr w:type="gramStart"/>
      <w:r w:rsidRPr="00791BE2">
        <w:rPr>
          <w:rFonts w:ascii="Arial" w:hAnsi="Arial"/>
          <w:sz w:val="20"/>
          <w:lang w:val="en-US"/>
        </w:rPr>
        <w:t>)</w:t>
      </w:r>
      <w:r w:rsidR="00FB61DE" w:rsidRPr="00791BE2">
        <w:rPr>
          <w:rFonts w:ascii="Arial" w:hAnsi="Arial"/>
          <w:sz w:val="20"/>
          <w:lang w:val="en-US"/>
        </w:rPr>
        <w:t>;</w:t>
      </w:r>
      <w:proofErr w:type="gramEnd"/>
    </w:p>
    <w:p w14:paraId="7D19996A" w14:textId="121214CE" w:rsidR="00FB61DE" w:rsidRPr="00791BE2" w:rsidRDefault="00E74A0D" w:rsidP="00C371FA">
      <w:pPr>
        <w:pStyle w:val="Odstavekseznama"/>
        <w:numPr>
          <w:ilvl w:val="0"/>
          <w:numId w:val="19"/>
        </w:numPr>
        <w:tabs>
          <w:tab w:val="left" w:pos="720"/>
        </w:tabs>
        <w:spacing w:after="200" w:line="276" w:lineRule="auto"/>
        <w:ind w:right="-23"/>
        <w:rPr>
          <w:rFonts w:ascii="Arial" w:eastAsia="Arial" w:hAnsi="Arial"/>
          <w:sz w:val="20"/>
          <w:lang w:val="en-US" w:eastAsia="sl-SI"/>
        </w:rPr>
      </w:pPr>
      <w:r w:rsidRPr="00791BE2">
        <w:rPr>
          <w:rFonts w:ascii="Arial" w:eastAsia="Arial" w:hAnsi="Arial"/>
          <w:b/>
          <w:i/>
          <w:sz w:val="20"/>
          <w:lang w:val="en-US" w:eastAsia="sl-SI"/>
        </w:rPr>
        <w:t>Investments into virtual currencies</w:t>
      </w:r>
      <w:r w:rsidR="00785F67" w:rsidRPr="00791BE2">
        <w:rPr>
          <w:rFonts w:ascii="Arial" w:eastAsia="Arial" w:hAnsi="Arial"/>
          <w:b/>
          <w:i/>
          <w:sz w:val="20"/>
          <w:lang w:val="en-US" w:eastAsia="sl-SI"/>
        </w:rPr>
        <w:t xml:space="preserve"> </w:t>
      </w:r>
      <w:r w:rsidR="00785F67" w:rsidRPr="00791BE2">
        <w:rPr>
          <w:rFonts w:ascii="Arial" w:eastAsia="Arial" w:hAnsi="Arial"/>
          <w:sz w:val="20"/>
          <w:lang w:val="en-US" w:eastAsia="sl-SI"/>
        </w:rPr>
        <w:t>(</w:t>
      </w:r>
      <w:r w:rsidRPr="00791BE2">
        <w:rPr>
          <w:rFonts w:ascii="Arial" w:hAnsi="Arial"/>
          <w:sz w:val="20"/>
          <w:lang w:val="en-US"/>
        </w:rPr>
        <w:t xml:space="preserve">detected in approximately </w:t>
      </w:r>
      <w:r w:rsidR="00785F67" w:rsidRPr="00791BE2">
        <w:rPr>
          <w:rFonts w:ascii="Arial" w:eastAsia="Arial" w:hAnsi="Arial"/>
          <w:sz w:val="20"/>
          <w:lang w:val="en-US" w:eastAsia="sl-SI"/>
        </w:rPr>
        <w:t>2</w:t>
      </w:r>
      <w:r w:rsidR="00E94E1E" w:rsidRPr="00791BE2">
        <w:rPr>
          <w:rFonts w:ascii="Arial" w:eastAsia="Arial" w:hAnsi="Arial"/>
          <w:sz w:val="20"/>
          <w:lang w:val="en-US" w:eastAsia="sl-SI"/>
        </w:rPr>
        <w:t> </w:t>
      </w:r>
      <w:r w:rsidR="00785F67" w:rsidRPr="00791BE2">
        <w:rPr>
          <w:rFonts w:ascii="Arial" w:eastAsia="Arial" w:hAnsi="Arial"/>
          <w:sz w:val="20"/>
          <w:lang w:val="en-US" w:eastAsia="sl-SI"/>
        </w:rPr>
        <w:t xml:space="preserve">% </w:t>
      </w:r>
      <w:r w:rsidRPr="00791BE2">
        <w:rPr>
          <w:rFonts w:ascii="Arial" w:eastAsia="Arial" w:hAnsi="Arial"/>
          <w:sz w:val="20"/>
          <w:lang w:val="en-US" w:eastAsia="sl-SI"/>
        </w:rPr>
        <w:t>of cases</w:t>
      </w:r>
      <w:proofErr w:type="gramStart"/>
      <w:r w:rsidR="00785F67" w:rsidRPr="00791BE2">
        <w:rPr>
          <w:rFonts w:ascii="Arial" w:eastAsia="Arial" w:hAnsi="Arial"/>
          <w:sz w:val="20"/>
          <w:lang w:val="en-US" w:eastAsia="sl-SI"/>
        </w:rPr>
        <w:t>)</w:t>
      </w:r>
      <w:r w:rsidR="00FB61DE" w:rsidRPr="00791BE2">
        <w:rPr>
          <w:rFonts w:ascii="Arial" w:eastAsia="Arial" w:hAnsi="Arial"/>
          <w:sz w:val="20"/>
          <w:lang w:val="en-US" w:eastAsia="sl-SI"/>
        </w:rPr>
        <w:t>;</w:t>
      </w:r>
      <w:proofErr w:type="gramEnd"/>
    </w:p>
    <w:p w14:paraId="4B75DEBF" w14:textId="432E378A" w:rsidR="00FB61DE" w:rsidRPr="00791BE2" w:rsidRDefault="00E74A0D" w:rsidP="005525ED">
      <w:pPr>
        <w:pStyle w:val="Odstavekseznama"/>
        <w:numPr>
          <w:ilvl w:val="0"/>
          <w:numId w:val="19"/>
        </w:numPr>
        <w:tabs>
          <w:tab w:val="left" w:pos="720"/>
        </w:tabs>
        <w:spacing w:after="200" w:line="276" w:lineRule="auto"/>
        <w:ind w:right="-23"/>
        <w:rPr>
          <w:rFonts w:ascii="Arial" w:eastAsia="Arial" w:hAnsi="Arial"/>
          <w:sz w:val="20"/>
          <w:lang w:val="en-US" w:eastAsia="sl-SI"/>
        </w:rPr>
      </w:pPr>
      <w:r w:rsidRPr="00791BE2">
        <w:rPr>
          <w:rFonts w:ascii="Arial" w:hAnsi="Arial"/>
          <w:b/>
          <w:bCs/>
          <w:i/>
          <w:iCs/>
          <w:sz w:val="20"/>
          <w:lang w:val="en-US"/>
        </w:rPr>
        <w:t>smurfing and avoidance of identification</w:t>
      </w:r>
      <w:r w:rsidRPr="00791BE2">
        <w:rPr>
          <w:rFonts w:ascii="Arial" w:hAnsi="Arial"/>
          <w:sz w:val="20"/>
          <w:lang w:val="en-US"/>
        </w:rPr>
        <w:t xml:space="preserve"> (detected in approximately 2% of cases</w:t>
      </w:r>
      <w:proofErr w:type="gramStart"/>
      <w:r w:rsidRPr="00791BE2">
        <w:rPr>
          <w:rFonts w:ascii="Arial" w:hAnsi="Arial"/>
          <w:sz w:val="20"/>
          <w:lang w:val="en-US"/>
        </w:rPr>
        <w:t>)</w:t>
      </w:r>
      <w:r w:rsidR="00FB61DE" w:rsidRPr="00791BE2">
        <w:rPr>
          <w:rFonts w:ascii="Arial" w:hAnsi="Arial"/>
          <w:sz w:val="20"/>
          <w:lang w:val="en-US"/>
        </w:rPr>
        <w:t>;</w:t>
      </w:r>
      <w:proofErr w:type="gramEnd"/>
    </w:p>
    <w:p w14:paraId="0748E88F" w14:textId="05CA90E2" w:rsidR="00785F67" w:rsidRPr="006E20A2" w:rsidRDefault="00E74A0D" w:rsidP="00636B18">
      <w:pPr>
        <w:pStyle w:val="Odstavekseznama"/>
        <w:numPr>
          <w:ilvl w:val="0"/>
          <w:numId w:val="19"/>
        </w:numPr>
        <w:tabs>
          <w:tab w:val="left" w:pos="720"/>
        </w:tabs>
        <w:spacing w:after="200" w:line="276" w:lineRule="auto"/>
        <w:ind w:right="-23"/>
        <w:rPr>
          <w:rFonts w:ascii="Arial" w:eastAsia="Arial" w:hAnsi="Arial"/>
          <w:b/>
          <w:i/>
          <w:sz w:val="20"/>
          <w:lang w:val="en-US" w:eastAsia="sl-SI"/>
        </w:rPr>
      </w:pPr>
      <w:r w:rsidRPr="006E20A2">
        <w:rPr>
          <w:rFonts w:ascii="Arial" w:eastAsia="Arial" w:hAnsi="Arial"/>
          <w:b/>
          <w:i/>
          <w:sz w:val="20"/>
          <w:lang w:val="en-US" w:eastAsia="sl-SI"/>
        </w:rPr>
        <w:t xml:space="preserve">use of money mules or so called </w:t>
      </w:r>
      <w:r w:rsidR="00785F67" w:rsidRPr="006E20A2">
        <w:rPr>
          <w:rFonts w:ascii="Arial" w:eastAsia="Arial" w:hAnsi="Arial"/>
          <w:b/>
          <w:i/>
          <w:sz w:val="20"/>
          <w:lang w:val="en-US" w:eastAsia="sl-SI"/>
        </w:rPr>
        <w:t xml:space="preserve">»cash </w:t>
      </w:r>
      <w:r w:rsidR="006E20A2" w:rsidRPr="006E20A2">
        <w:rPr>
          <w:rFonts w:ascii="Arial" w:eastAsia="Arial" w:hAnsi="Arial"/>
          <w:b/>
          <w:i/>
          <w:sz w:val="20"/>
          <w:lang w:val="en-US" w:eastAsia="sl-SI"/>
        </w:rPr>
        <w:t>c</w:t>
      </w:r>
      <w:r w:rsidR="00D730F9">
        <w:rPr>
          <w:rFonts w:ascii="Arial" w:eastAsia="Arial" w:hAnsi="Arial"/>
          <w:b/>
          <w:i/>
          <w:sz w:val="20"/>
          <w:lang w:val="en-US" w:eastAsia="sl-SI"/>
        </w:rPr>
        <w:t>o</w:t>
      </w:r>
      <w:r w:rsidR="006E20A2" w:rsidRPr="006E20A2">
        <w:rPr>
          <w:rFonts w:ascii="Arial" w:eastAsia="Arial" w:hAnsi="Arial"/>
          <w:b/>
          <w:i/>
          <w:sz w:val="20"/>
          <w:lang w:val="en-US" w:eastAsia="sl-SI"/>
        </w:rPr>
        <w:t>uriers</w:t>
      </w:r>
      <w:r w:rsidR="00785F67" w:rsidRPr="006E20A2">
        <w:rPr>
          <w:rFonts w:ascii="Arial" w:eastAsia="Arial" w:hAnsi="Arial"/>
          <w:b/>
          <w:i/>
          <w:sz w:val="20"/>
          <w:lang w:val="en-US" w:eastAsia="sl-SI"/>
        </w:rPr>
        <w:t xml:space="preserve">« </w:t>
      </w:r>
      <w:r w:rsidR="00785F67" w:rsidRPr="006E20A2">
        <w:rPr>
          <w:rFonts w:ascii="Arial" w:eastAsia="Arial" w:hAnsi="Arial"/>
          <w:i/>
          <w:sz w:val="20"/>
          <w:lang w:val="en-US" w:eastAsia="sl-SI"/>
        </w:rPr>
        <w:t>(</w:t>
      </w:r>
      <w:r w:rsidRPr="006E20A2">
        <w:rPr>
          <w:rFonts w:ascii="Arial" w:hAnsi="Arial"/>
          <w:sz w:val="20"/>
          <w:lang w:val="en-US"/>
        </w:rPr>
        <w:t>detected in approximately</w:t>
      </w:r>
      <w:r w:rsidR="00785F67" w:rsidRPr="006E20A2">
        <w:rPr>
          <w:rFonts w:ascii="Arial" w:eastAsia="Arial" w:hAnsi="Arial"/>
          <w:i/>
          <w:sz w:val="20"/>
          <w:lang w:val="en-US" w:eastAsia="sl-SI"/>
        </w:rPr>
        <w:t xml:space="preserve"> 2</w:t>
      </w:r>
      <w:r w:rsidR="00E94E1E" w:rsidRPr="006E20A2">
        <w:rPr>
          <w:rFonts w:ascii="Arial" w:eastAsia="Arial" w:hAnsi="Arial"/>
          <w:i/>
          <w:sz w:val="20"/>
          <w:lang w:val="en-US" w:eastAsia="sl-SI"/>
        </w:rPr>
        <w:t> </w:t>
      </w:r>
      <w:r w:rsidR="00785F67" w:rsidRPr="006E20A2">
        <w:rPr>
          <w:rFonts w:ascii="Arial" w:eastAsia="Arial" w:hAnsi="Arial"/>
          <w:i/>
          <w:sz w:val="20"/>
          <w:lang w:val="en-US" w:eastAsia="sl-SI"/>
        </w:rPr>
        <w:t xml:space="preserve">% </w:t>
      </w:r>
      <w:r w:rsidRPr="006E20A2">
        <w:rPr>
          <w:rFonts w:ascii="Arial" w:eastAsia="Arial" w:hAnsi="Arial"/>
          <w:i/>
          <w:sz w:val="20"/>
          <w:lang w:val="en-US" w:eastAsia="sl-SI"/>
        </w:rPr>
        <w:t>of cases)</w:t>
      </w:r>
      <w:r w:rsidR="00B54224" w:rsidRPr="006E20A2">
        <w:rPr>
          <w:rFonts w:ascii="Arial" w:eastAsia="Arial" w:hAnsi="Arial"/>
          <w:i/>
          <w:sz w:val="20"/>
          <w:lang w:val="en-US" w:eastAsia="sl-SI"/>
        </w:rPr>
        <w:t>.</w:t>
      </w:r>
    </w:p>
    <w:p w14:paraId="4BAD20C5" w14:textId="418C0062" w:rsidR="00851C49" w:rsidRPr="006E20A2" w:rsidRDefault="00174142" w:rsidP="00636B18">
      <w:pPr>
        <w:pStyle w:val="Naslov1"/>
        <w:numPr>
          <w:ilvl w:val="0"/>
          <w:numId w:val="4"/>
        </w:numPr>
        <w:spacing w:line="276" w:lineRule="auto"/>
        <w:rPr>
          <w:rFonts w:ascii="Arial" w:hAnsi="Arial"/>
          <w:sz w:val="20"/>
          <w:lang w:val="en-US"/>
        </w:rPr>
      </w:pPr>
      <w:bookmarkStart w:id="47" w:name="_Toc113535467"/>
      <w:bookmarkEnd w:id="44"/>
      <w:bookmarkEnd w:id="45"/>
      <w:bookmarkEnd w:id="46"/>
      <w:r w:rsidRPr="006E20A2">
        <w:rPr>
          <w:rFonts w:ascii="Arial" w:hAnsi="Arial"/>
          <w:sz w:val="20"/>
          <w:lang w:val="en-US"/>
        </w:rPr>
        <w:lastRenderedPageBreak/>
        <w:t xml:space="preserve">COOPERATION WITH OTHER STATE AUTHORITIES AT DETECTION, INVESTIGATION AND PROSECUTION OF MONEY LAUNDERING </w:t>
      </w:r>
      <w:bookmarkEnd w:id="47"/>
    </w:p>
    <w:p w14:paraId="4BCEF883" w14:textId="77777777" w:rsidR="00851C49" w:rsidRPr="006E20A2" w:rsidRDefault="00851C49" w:rsidP="005537CE">
      <w:pPr>
        <w:pStyle w:val="Telobesedila"/>
        <w:spacing w:line="276" w:lineRule="auto"/>
        <w:ind w:right="-22"/>
        <w:rPr>
          <w:rFonts w:ascii="Arial" w:hAnsi="Arial"/>
          <w:sz w:val="20"/>
          <w:lang w:val="en-US"/>
        </w:rPr>
      </w:pPr>
    </w:p>
    <w:p w14:paraId="7CADB799" w14:textId="3DE9A198" w:rsidR="00357C84" w:rsidRPr="006E20A2" w:rsidRDefault="00357C84" w:rsidP="005B19B5">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sz w:val="20"/>
          <w:lang w:val="en-US"/>
        </w:rPr>
      </w:pPr>
      <w:r w:rsidRPr="006E20A2">
        <w:rPr>
          <w:rFonts w:ascii="Arial" w:hAnsi="Arial"/>
          <w:sz w:val="20"/>
          <w:lang w:val="en-US"/>
        </w:rPr>
        <w:t xml:space="preserve">In this period, in its activities for the detection and prevention of the criminal offence of money laundering, the OMLP especially cooperated with the Criminal Police Directorate of the Ministry of Interior (Police), Special Group of Prosecutors for the Fight Against Organized Crime at Supreme State Prosecutor`s Office, Financial Administration of the Republic of Slovenia and Slovenian Intelligence and Security Agency. OMLP also closely cooperated in concrete cases with </w:t>
      </w:r>
      <w:r w:rsidR="00AC267E" w:rsidRPr="00AC267E">
        <w:rPr>
          <w:rFonts w:ascii="Arial" w:hAnsi="Arial"/>
          <w:sz w:val="20"/>
          <w:lang w:val="en-US"/>
        </w:rPr>
        <w:t xml:space="preserve">criminal investigation officers </w:t>
      </w:r>
      <w:r w:rsidRPr="006E20A2">
        <w:rPr>
          <w:rFonts w:ascii="Arial" w:hAnsi="Arial"/>
          <w:sz w:val="20"/>
          <w:lang w:val="en-US"/>
        </w:rPr>
        <w:t xml:space="preserve">from several police directorates and other state prosecutor`s offices. Cooperation with the afore mentioned state authorities has been </w:t>
      </w:r>
      <w:r w:rsidR="00AC267E">
        <w:rPr>
          <w:rFonts w:ascii="Arial" w:hAnsi="Arial"/>
          <w:sz w:val="20"/>
          <w:lang w:val="en-US"/>
        </w:rPr>
        <w:t>conducted</w:t>
      </w:r>
      <w:r w:rsidR="00AC267E" w:rsidRPr="006E20A2">
        <w:rPr>
          <w:rFonts w:ascii="Arial" w:hAnsi="Arial"/>
          <w:sz w:val="20"/>
          <w:lang w:val="en-US"/>
        </w:rPr>
        <w:t xml:space="preserve"> </w:t>
      </w:r>
      <w:r w:rsidRPr="006E20A2">
        <w:rPr>
          <w:rFonts w:ascii="Arial" w:hAnsi="Arial"/>
          <w:sz w:val="20"/>
          <w:lang w:val="en-US"/>
        </w:rPr>
        <w:t>at the level of principals and operative level between the authorized representatives of authorities.</w:t>
      </w:r>
    </w:p>
    <w:p w14:paraId="54B04588" w14:textId="49FFFD85" w:rsidR="004C2B54" w:rsidRPr="006E20A2" w:rsidRDefault="004C2B54" w:rsidP="005B19B5">
      <w:pPr>
        <w:widowControl/>
        <w:spacing w:line="276" w:lineRule="auto"/>
        <w:ind w:right="-22"/>
        <w:rPr>
          <w:rFonts w:ascii="Arial" w:hAnsi="Arial"/>
          <w:sz w:val="20"/>
          <w:lang w:val="en-US"/>
        </w:rPr>
      </w:pPr>
    </w:p>
    <w:p w14:paraId="23F0A4D1" w14:textId="46E91AB0" w:rsidR="00357C84" w:rsidRPr="006E20A2" w:rsidRDefault="00357C84" w:rsidP="005B19B5">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color w:val="222222"/>
          <w:sz w:val="20"/>
          <w:lang w:val="en-US"/>
        </w:rPr>
      </w:pPr>
      <w:r w:rsidRPr="006E20A2">
        <w:rPr>
          <w:rFonts w:ascii="Arial" w:hAnsi="Arial"/>
          <w:sz w:val="20"/>
          <w:lang w:val="en-US"/>
        </w:rPr>
        <w:t xml:space="preserve">In 2020, the OMLP agreed to cooperate in four specialized investigative groups, which have been all established </w:t>
      </w:r>
      <w:proofErr w:type="gramStart"/>
      <w:r w:rsidRPr="006E20A2">
        <w:rPr>
          <w:rFonts w:ascii="Arial" w:hAnsi="Arial"/>
          <w:sz w:val="20"/>
          <w:lang w:val="en-US"/>
        </w:rPr>
        <w:t>later on</w:t>
      </w:r>
      <w:proofErr w:type="gramEnd"/>
      <w:r w:rsidRPr="006E20A2">
        <w:rPr>
          <w:rFonts w:ascii="Arial" w:hAnsi="Arial"/>
          <w:sz w:val="20"/>
          <w:lang w:val="en-US"/>
        </w:rPr>
        <w:t xml:space="preserve">. In all cases, the cooperation within those groups referred to the financial investigative group </w:t>
      </w:r>
      <w:proofErr w:type="gramStart"/>
      <w:r w:rsidRPr="006E20A2">
        <w:rPr>
          <w:rFonts w:ascii="Arial" w:hAnsi="Arial"/>
          <w:sz w:val="20"/>
          <w:lang w:val="en-US"/>
        </w:rPr>
        <w:t>on the basis of</w:t>
      </w:r>
      <w:proofErr w:type="gramEnd"/>
      <w:r w:rsidRPr="006E20A2">
        <w:rPr>
          <w:rFonts w:ascii="Arial" w:hAnsi="Arial"/>
          <w:sz w:val="20"/>
          <w:lang w:val="en-US"/>
        </w:rPr>
        <w:t xml:space="preserve"> Confiscation of Proceeds of Crime Act</w:t>
      </w:r>
      <w:r w:rsidRPr="006E20A2">
        <w:rPr>
          <w:rFonts w:ascii="Arial" w:hAnsi="Arial"/>
          <w:color w:val="222222"/>
          <w:sz w:val="20"/>
          <w:lang w:val="en-US"/>
        </w:rPr>
        <w:t xml:space="preserve">. Until </w:t>
      </w:r>
      <w:r w:rsidRPr="006E20A2">
        <w:rPr>
          <w:rFonts w:ascii="Arial" w:hAnsi="Arial"/>
          <w:sz w:val="20"/>
          <w:lang w:val="en-US"/>
        </w:rPr>
        <w:t xml:space="preserve">the end of 2020, OMLP altogether took an active role in 69 specialized groups (51 of them have been established </w:t>
      </w:r>
      <w:proofErr w:type="gramStart"/>
      <w:r w:rsidRPr="006E20A2">
        <w:rPr>
          <w:rFonts w:ascii="Arial" w:hAnsi="Arial"/>
          <w:sz w:val="20"/>
          <w:lang w:val="en-US"/>
        </w:rPr>
        <w:t>on the basis of</w:t>
      </w:r>
      <w:proofErr w:type="gramEnd"/>
      <w:r w:rsidRPr="006E20A2">
        <w:rPr>
          <w:rFonts w:ascii="Arial" w:hAnsi="Arial"/>
          <w:sz w:val="20"/>
          <w:lang w:val="en-US"/>
        </w:rPr>
        <w:t xml:space="preserve"> the afore mentioned act</w:t>
      </w:r>
      <w:r w:rsidRPr="006E20A2">
        <w:rPr>
          <w:rFonts w:ascii="Arial" w:hAnsi="Arial"/>
          <w:color w:val="222222"/>
          <w:sz w:val="20"/>
          <w:lang w:val="en-US"/>
        </w:rPr>
        <w:t>). We assess the cooperation with the Police as successful</w:t>
      </w:r>
      <w:r w:rsidR="00AC267E">
        <w:rPr>
          <w:rFonts w:ascii="Arial" w:hAnsi="Arial"/>
          <w:color w:val="222222"/>
          <w:sz w:val="20"/>
          <w:lang w:val="en-US"/>
        </w:rPr>
        <w:t xml:space="preserve"> as</w:t>
      </w:r>
      <w:r w:rsidRPr="006E20A2">
        <w:rPr>
          <w:rFonts w:ascii="Arial" w:hAnsi="Arial"/>
          <w:color w:val="222222"/>
          <w:sz w:val="20"/>
          <w:lang w:val="en-US"/>
        </w:rPr>
        <w:t xml:space="preserve"> it took place in concrete cases </w:t>
      </w:r>
      <w:proofErr w:type="gramStart"/>
      <w:r w:rsidRPr="006E20A2">
        <w:rPr>
          <w:rFonts w:ascii="Arial" w:hAnsi="Arial"/>
          <w:color w:val="222222"/>
          <w:sz w:val="20"/>
          <w:lang w:val="en-US"/>
        </w:rPr>
        <w:t>and also</w:t>
      </w:r>
      <w:proofErr w:type="gramEnd"/>
      <w:r w:rsidRPr="006E20A2">
        <w:rPr>
          <w:rFonts w:ascii="Arial" w:hAnsi="Arial"/>
          <w:color w:val="222222"/>
          <w:sz w:val="20"/>
          <w:lang w:val="en-US"/>
        </w:rPr>
        <w:t xml:space="preserve"> at joint trainings and trainings for obliged entities according to APMLFT-1.</w:t>
      </w:r>
    </w:p>
    <w:p w14:paraId="25B809D2" w14:textId="6523C3D2" w:rsidR="00357C84" w:rsidRPr="006E20A2" w:rsidRDefault="00357C84" w:rsidP="005B19B5">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color w:val="222222"/>
          <w:sz w:val="20"/>
          <w:lang w:val="en-US"/>
        </w:rPr>
      </w:pPr>
    </w:p>
    <w:p w14:paraId="70D0BA16" w14:textId="318EC680" w:rsidR="00357C84" w:rsidRPr="006E20A2" w:rsidRDefault="00357C84" w:rsidP="005B19B5">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color w:val="222222"/>
          <w:sz w:val="20"/>
          <w:lang w:val="en-US"/>
        </w:rPr>
      </w:pPr>
      <w:r w:rsidRPr="006E20A2">
        <w:rPr>
          <w:rFonts w:ascii="Arial" w:hAnsi="Arial"/>
          <w:color w:val="222222"/>
          <w:sz w:val="20"/>
          <w:lang w:val="en-US"/>
        </w:rPr>
        <w:t xml:space="preserve">The data received from the Police and </w:t>
      </w:r>
      <w:r w:rsidR="00AC267E">
        <w:rPr>
          <w:rFonts w:ascii="Arial" w:hAnsi="Arial"/>
          <w:color w:val="222222"/>
          <w:sz w:val="20"/>
          <w:lang w:val="en-US"/>
        </w:rPr>
        <w:t xml:space="preserve">the State </w:t>
      </w:r>
      <w:r w:rsidRPr="006E20A2">
        <w:rPr>
          <w:rFonts w:ascii="Arial" w:hAnsi="Arial"/>
          <w:color w:val="222222"/>
          <w:sz w:val="20"/>
          <w:lang w:val="en-US"/>
        </w:rPr>
        <w:t>Prosecutors show that the Police in 2020 filed 26 criminal complaints on the ground</w:t>
      </w:r>
      <w:r w:rsidR="00AC267E">
        <w:rPr>
          <w:rFonts w:ascii="Arial" w:hAnsi="Arial"/>
          <w:color w:val="222222"/>
          <w:sz w:val="20"/>
          <w:lang w:val="en-US"/>
        </w:rPr>
        <w:t>s</w:t>
      </w:r>
      <w:r w:rsidRPr="006E20A2">
        <w:rPr>
          <w:rFonts w:ascii="Arial" w:hAnsi="Arial"/>
          <w:color w:val="222222"/>
          <w:sz w:val="20"/>
          <w:lang w:val="en-US"/>
        </w:rPr>
        <w:t xml:space="preserve"> of </w:t>
      </w:r>
      <w:r w:rsidR="00AC267E">
        <w:rPr>
          <w:rFonts w:ascii="Arial" w:hAnsi="Arial"/>
          <w:color w:val="222222"/>
          <w:sz w:val="20"/>
          <w:lang w:val="en-US"/>
        </w:rPr>
        <w:t>reasonable</w:t>
      </w:r>
      <w:r w:rsidRPr="006E20A2">
        <w:rPr>
          <w:rFonts w:ascii="Arial" w:hAnsi="Arial"/>
          <w:color w:val="222222"/>
          <w:sz w:val="20"/>
          <w:lang w:val="en-US"/>
        </w:rPr>
        <w:t xml:space="preserve"> suspicion of committing the criminal offence of ML</w:t>
      </w:r>
      <w:r w:rsidR="00AC267E">
        <w:rPr>
          <w:rFonts w:ascii="Arial" w:hAnsi="Arial"/>
          <w:color w:val="222222"/>
          <w:sz w:val="20"/>
          <w:lang w:val="en-US"/>
        </w:rPr>
        <w:t>, whereas</w:t>
      </w:r>
      <w:r w:rsidRPr="006E20A2">
        <w:rPr>
          <w:rFonts w:ascii="Arial" w:hAnsi="Arial"/>
          <w:color w:val="222222"/>
          <w:sz w:val="20"/>
          <w:lang w:val="en-US"/>
        </w:rPr>
        <w:t xml:space="preserve"> the </w:t>
      </w:r>
      <w:r w:rsidR="00AC267E">
        <w:rPr>
          <w:rFonts w:ascii="Arial" w:hAnsi="Arial"/>
          <w:color w:val="222222"/>
          <w:sz w:val="20"/>
          <w:lang w:val="en-US"/>
        </w:rPr>
        <w:t xml:space="preserve">State </w:t>
      </w:r>
      <w:r w:rsidRPr="006E20A2">
        <w:rPr>
          <w:rFonts w:ascii="Arial" w:hAnsi="Arial"/>
          <w:color w:val="222222"/>
          <w:sz w:val="20"/>
          <w:lang w:val="en-US"/>
        </w:rPr>
        <w:t>Prosecutor</w:t>
      </w:r>
      <w:r w:rsidR="00FD6AB9">
        <w:rPr>
          <w:rFonts w:ascii="Arial" w:hAnsi="Arial"/>
          <w:color w:val="222222"/>
          <w:sz w:val="20"/>
          <w:lang w:val="en-US"/>
        </w:rPr>
        <w:t>s</w:t>
      </w:r>
      <w:r w:rsidRPr="006E20A2">
        <w:rPr>
          <w:rFonts w:ascii="Arial" w:hAnsi="Arial"/>
          <w:color w:val="222222"/>
          <w:sz w:val="20"/>
          <w:lang w:val="en-US"/>
        </w:rPr>
        <w:t xml:space="preserve"> </w:t>
      </w:r>
      <w:r w:rsidR="00FD6AB9">
        <w:rPr>
          <w:rFonts w:ascii="Arial" w:hAnsi="Arial"/>
          <w:color w:val="222222"/>
          <w:sz w:val="20"/>
          <w:lang w:val="en-US"/>
        </w:rPr>
        <w:t>initiated</w:t>
      </w:r>
      <w:r w:rsidR="00FD6AB9" w:rsidRPr="006E20A2">
        <w:rPr>
          <w:rFonts w:ascii="Arial" w:hAnsi="Arial"/>
          <w:color w:val="222222"/>
          <w:sz w:val="20"/>
          <w:lang w:val="en-US"/>
        </w:rPr>
        <w:t xml:space="preserve"> </w:t>
      </w:r>
      <w:r w:rsidRPr="006E20A2">
        <w:rPr>
          <w:rFonts w:ascii="Arial" w:hAnsi="Arial"/>
          <w:color w:val="222222"/>
          <w:sz w:val="20"/>
          <w:lang w:val="en-US"/>
        </w:rPr>
        <w:t>five pre</w:t>
      </w:r>
      <w:r w:rsidR="00AC267E">
        <w:rPr>
          <w:rFonts w:ascii="Arial" w:hAnsi="Arial"/>
          <w:color w:val="222222"/>
          <w:sz w:val="20"/>
          <w:lang w:val="en-US"/>
        </w:rPr>
        <w:t>-</w:t>
      </w:r>
      <w:r w:rsidRPr="006E20A2">
        <w:rPr>
          <w:rFonts w:ascii="Arial" w:hAnsi="Arial"/>
          <w:color w:val="222222"/>
          <w:sz w:val="20"/>
          <w:lang w:val="en-US"/>
        </w:rPr>
        <w:t xml:space="preserve">trial or </w:t>
      </w:r>
      <w:r w:rsidR="00807BCC" w:rsidRPr="006E20A2">
        <w:rPr>
          <w:rFonts w:ascii="Arial" w:hAnsi="Arial"/>
          <w:color w:val="222222"/>
          <w:sz w:val="20"/>
          <w:lang w:val="en-US"/>
        </w:rPr>
        <w:t xml:space="preserve">criminal </w:t>
      </w:r>
      <w:r w:rsidR="00AC267E">
        <w:rPr>
          <w:rFonts w:ascii="Arial" w:hAnsi="Arial"/>
          <w:color w:val="222222"/>
          <w:sz w:val="20"/>
          <w:lang w:val="en-US"/>
        </w:rPr>
        <w:t>proceedings</w:t>
      </w:r>
      <w:r w:rsidR="00AC267E" w:rsidRPr="006E20A2">
        <w:rPr>
          <w:rFonts w:ascii="Arial" w:hAnsi="Arial"/>
          <w:color w:val="222222"/>
          <w:sz w:val="20"/>
          <w:lang w:val="en-US"/>
        </w:rPr>
        <w:t xml:space="preserve"> </w:t>
      </w:r>
      <w:r w:rsidRPr="006E20A2">
        <w:rPr>
          <w:rFonts w:ascii="Arial" w:hAnsi="Arial"/>
          <w:color w:val="222222"/>
          <w:sz w:val="20"/>
          <w:lang w:val="en-US"/>
        </w:rPr>
        <w:t xml:space="preserve">related to </w:t>
      </w:r>
      <w:r w:rsidR="00AC267E">
        <w:rPr>
          <w:rFonts w:ascii="Arial" w:hAnsi="Arial"/>
          <w:color w:val="222222"/>
          <w:sz w:val="20"/>
          <w:lang w:val="en-US"/>
        </w:rPr>
        <w:t xml:space="preserve">the </w:t>
      </w:r>
      <w:r w:rsidRPr="006E20A2">
        <w:rPr>
          <w:rFonts w:ascii="Arial" w:hAnsi="Arial"/>
          <w:color w:val="222222"/>
          <w:sz w:val="20"/>
          <w:lang w:val="en-US"/>
        </w:rPr>
        <w:t xml:space="preserve">suspicion of commitment of criminal offence of money laundering (Article 245 of Penal Code) </w:t>
      </w:r>
      <w:r w:rsidR="00FD6AB9">
        <w:rPr>
          <w:rFonts w:ascii="Arial" w:hAnsi="Arial"/>
          <w:color w:val="222222"/>
          <w:sz w:val="20"/>
          <w:lang w:val="en-US"/>
        </w:rPr>
        <w:t>without prior criminal complaints by the Police. T</w:t>
      </w:r>
      <w:r w:rsidR="005B19B5" w:rsidRPr="006E20A2">
        <w:rPr>
          <w:rFonts w:ascii="Arial" w:hAnsi="Arial"/>
          <w:color w:val="222222"/>
          <w:sz w:val="20"/>
          <w:lang w:val="en-US"/>
        </w:rPr>
        <w:t>herefore,</w:t>
      </w:r>
      <w:r w:rsidRPr="006E20A2">
        <w:rPr>
          <w:rFonts w:ascii="Arial" w:hAnsi="Arial"/>
          <w:color w:val="222222"/>
          <w:sz w:val="20"/>
          <w:lang w:val="en-US"/>
        </w:rPr>
        <w:t xml:space="preserve"> </w:t>
      </w:r>
      <w:r w:rsidR="00FD6AB9">
        <w:rPr>
          <w:rFonts w:ascii="Arial" w:hAnsi="Arial"/>
          <w:color w:val="222222"/>
          <w:sz w:val="20"/>
          <w:lang w:val="en-US"/>
        </w:rPr>
        <w:t xml:space="preserve">in 2020 31 </w:t>
      </w:r>
      <w:r w:rsidRPr="006E20A2">
        <w:rPr>
          <w:rFonts w:ascii="Arial" w:hAnsi="Arial"/>
          <w:color w:val="222222"/>
          <w:sz w:val="20"/>
          <w:lang w:val="en-US"/>
        </w:rPr>
        <w:t xml:space="preserve">proceedings </w:t>
      </w:r>
      <w:r w:rsidR="00FD6AB9">
        <w:rPr>
          <w:rFonts w:ascii="Arial" w:hAnsi="Arial"/>
          <w:color w:val="222222"/>
          <w:sz w:val="20"/>
          <w:lang w:val="en-US"/>
        </w:rPr>
        <w:t>commenced</w:t>
      </w:r>
      <w:r w:rsidRPr="006E20A2">
        <w:rPr>
          <w:rFonts w:ascii="Arial" w:hAnsi="Arial"/>
          <w:color w:val="222222"/>
          <w:sz w:val="20"/>
          <w:lang w:val="en-US"/>
        </w:rPr>
        <w:t>, where during the pre-</w:t>
      </w:r>
      <w:r w:rsidR="00FD6AB9">
        <w:rPr>
          <w:rFonts w:ascii="Arial" w:hAnsi="Arial"/>
          <w:color w:val="222222"/>
          <w:sz w:val="20"/>
          <w:lang w:val="en-US"/>
        </w:rPr>
        <w:t>trial</w:t>
      </w:r>
      <w:r w:rsidR="00FD6AB9" w:rsidRPr="006E20A2">
        <w:rPr>
          <w:rFonts w:ascii="Arial" w:hAnsi="Arial"/>
          <w:color w:val="222222"/>
          <w:sz w:val="20"/>
          <w:lang w:val="en-US"/>
        </w:rPr>
        <w:t xml:space="preserve"> </w:t>
      </w:r>
      <w:r w:rsidRPr="006E20A2">
        <w:rPr>
          <w:rFonts w:ascii="Arial" w:hAnsi="Arial"/>
          <w:color w:val="222222"/>
          <w:sz w:val="20"/>
          <w:lang w:val="en-US"/>
        </w:rPr>
        <w:t xml:space="preserve">or criminal </w:t>
      </w:r>
      <w:r w:rsidR="00FD6AB9">
        <w:rPr>
          <w:rFonts w:ascii="Arial" w:hAnsi="Arial"/>
          <w:color w:val="222222"/>
          <w:sz w:val="20"/>
          <w:lang w:val="en-US"/>
        </w:rPr>
        <w:t>proceedings</w:t>
      </w:r>
      <w:r w:rsidRPr="006E20A2">
        <w:rPr>
          <w:rFonts w:ascii="Arial" w:hAnsi="Arial"/>
          <w:color w:val="222222"/>
          <w:sz w:val="20"/>
          <w:lang w:val="en-US"/>
        </w:rPr>
        <w:t xml:space="preserve"> the suspicions of committing the criminal offence of money laundering according to Article 245 of the Criminal Code have been investigated.  </w:t>
      </w:r>
    </w:p>
    <w:p w14:paraId="3AE63776" w14:textId="77777777" w:rsidR="004C2B54" w:rsidRPr="006E20A2" w:rsidRDefault="004C2B54" w:rsidP="004C2B54">
      <w:pPr>
        <w:widowControl/>
        <w:spacing w:line="276" w:lineRule="auto"/>
        <w:ind w:right="-22"/>
        <w:rPr>
          <w:rFonts w:ascii="Arial" w:hAnsi="Arial"/>
          <w:sz w:val="20"/>
          <w:lang w:val="en-US"/>
        </w:rPr>
      </w:pPr>
    </w:p>
    <w:p w14:paraId="2CEA8D26" w14:textId="1C79D5E2" w:rsidR="004C2B54" w:rsidRDefault="00FD6AB9" w:rsidP="004C2B54">
      <w:pPr>
        <w:widowControl/>
        <w:spacing w:line="276" w:lineRule="auto"/>
        <w:ind w:right="-22"/>
        <w:rPr>
          <w:rFonts w:ascii="Arial" w:hAnsi="Arial"/>
          <w:b/>
          <w:i/>
          <w:sz w:val="20"/>
          <w:u w:val="single"/>
          <w:lang w:val="en-US"/>
        </w:rPr>
      </w:pPr>
      <w:r>
        <w:rPr>
          <w:rFonts w:ascii="Arial" w:hAnsi="Arial"/>
          <w:b/>
          <w:i/>
          <w:sz w:val="20"/>
          <w:u w:val="single"/>
          <w:lang w:val="en-US"/>
        </w:rPr>
        <w:t>Thus, i</w:t>
      </w:r>
      <w:r w:rsidR="00807BCC" w:rsidRPr="006E20A2">
        <w:rPr>
          <w:rFonts w:ascii="Arial" w:hAnsi="Arial"/>
          <w:b/>
          <w:i/>
          <w:sz w:val="20"/>
          <w:u w:val="single"/>
          <w:lang w:val="en-US"/>
        </w:rPr>
        <w:t xml:space="preserve">n the period from 1995 to 2020 </w:t>
      </w:r>
      <w:r>
        <w:rPr>
          <w:rFonts w:ascii="Arial" w:hAnsi="Arial"/>
          <w:b/>
          <w:i/>
          <w:sz w:val="20"/>
          <w:u w:val="single"/>
          <w:lang w:val="en-US"/>
        </w:rPr>
        <w:t xml:space="preserve">pre-trial or </w:t>
      </w:r>
      <w:r w:rsidR="00807BCC" w:rsidRPr="006E20A2">
        <w:rPr>
          <w:rFonts w:ascii="Arial" w:hAnsi="Arial"/>
          <w:b/>
          <w:i/>
          <w:sz w:val="20"/>
          <w:u w:val="single"/>
          <w:lang w:val="en-US"/>
        </w:rPr>
        <w:t xml:space="preserve">criminal </w:t>
      </w:r>
      <w:r>
        <w:rPr>
          <w:rFonts w:ascii="Arial" w:hAnsi="Arial"/>
          <w:b/>
          <w:i/>
          <w:sz w:val="20"/>
          <w:u w:val="single"/>
          <w:lang w:val="en-US"/>
        </w:rPr>
        <w:t>proceedings</w:t>
      </w:r>
      <w:r w:rsidRPr="006E20A2">
        <w:rPr>
          <w:rFonts w:ascii="Arial" w:hAnsi="Arial"/>
          <w:b/>
          <w:i/>
          <w:sz w:val="20"/>
          <w:u w:val="single"/>
          <w:lang w:val="en-US"/>
        </w:rPr>
        <w:t xml:space="preserve"> </w:t>
      </w:r>
      <w:r w:rsidR="00807BCC" w:rsidRPr="006E20A2">
        <w:rPr>
          <w:rFonts w:ascii="Arial" w:hAnsi="Arial"/>
          <w:b/>
          <w:i/>
          <w:sz w:val="20"/>
          <w:u w:val="single"/>
          <w:lang w:val="en-US"/>
        </w:rPr>
        <w:t>ha</w:t>
      </w:r>
      <w:r w:rsidR="00D730F9">
        <w:rPr>
          <w:rFonts w:ascii="Arial" w:hAnsi="Arial"/>
          <w:b/>
          <w:i/>
          <w:sz w:val="20"/>
          <w:u w:val="single"/>
          <w:lang w:val="en-US"/>
        </w:rPr>
        <w:t>ve</w:t>
      </w:r>
      <w:r w:rsidR="00807BCC" w:rsidRPr="006E20A2">
        <w:rPr>
          <w:rFonts w:ascii="Arial" w:hAnsi="Arial"/>
          <w:b/>
          <w:i/>
          <w:sz w:val="20"/>
          <w:u w:val="single"/>
          <w:lang w:val="en-US"/>
        </w:rPr>
        <w:t xml:space="preserve"> been </w:t>
      </w:r>
      <w:r>
        <w:rPr>
          <w:rFonts w:ascii="Arial" w:hAnsi="Arial"/>
          <w:b/>
          <w:i/>
          <w:sz w:val="20"/>
          <w:u w:val="single"/>
          <w:lang w:val="en-US"/>
        </w:rPr>
        <w:t>initiated</w:t>
      </w:r>
      <w:r w:rsidRPr="006E20A2">
        <w:rPr>
          <w:rFonts w:ascii="Arial" w:hAnsi="Arial"/>
          <w:b/>
          <w:i/>
          <w:sz w:val="20"/>
          <w:u w:val="single"/>
          <w:lang w:val="en-US"/>
        </w:rPr>
        <w:t xml:space="preserve"> </w:t>
      </w:r>
      <w:r w:rsidR="00807BCC" w:rsidRPr="006E20A2">
        <w:rPr>
          <w:rFonts w:ascii="Arial" w:hAnsi="Arial"/>
          <w:b/>
          <w:i/>
          <w:sz w:val="20"/>
          <w:u w:val="single"/>
          <w:lang w:val="en-US"/>
        </w:rPr>
        <w:t>in 667 cases</w:t>
      </w:r>
      <w:r>
        <w:rPr>
          <w:rFonts w:ascii="Arial" w:hAnsi="Arial"/>
          <w:b/>
          <w:i/>
          <w:sz w:val="20"/>
          <w:u w:val="single"/>
          <w:lang w:val="en-US"/>
        </w:rPr>
        <w:t xml:space="preserve"> on the grounds of reasonable suspicion of committing the criminal offence of money laundering</w:t>
      </w:r>
      <w:r w:rsidR="00807BCC" w:rsidRPr="006E20A2">
        <w:rPr>
          <w:rFonts w:ascii="Arial" w:hAnsi="Arial"/>
          <w:b/>
          <w:i/>
          <w:sz w:val="20"/>
          <w:u w:val="single"/>
          <w:lang w:val="en-US"/>
        </w:rPr>
        <w:t xml:space="preserve">. </w:t>
      </w:r>
    </w:p>
    <w:p w14:paraId="54A51AC7" w14:textId="30129596" w:rsidR="00791BE2" w:rsidRDefault="00791BE2" w:rsidP="004C2B54">
      <w:pPr>
        <w:widowControl/>
        <w:spacing w:line="276" w:lineRule="auto"/>
        <w:ind w:right="-22"/>
        <w:rPr>
          <w:rFonts w:ascii="Arial" w:hAnsi="Arial"/>
          <w:b/>
          <w:i/>
          <w:sz w:val="20"/>
          <w:u w:val="single"/>
          <w:lang w:val="en-US"/>
        </w:rPr>
      </w:pPr>
    </w:p>
    <w:p w14:paraId="5401660C" w14:textId="77777777" w:rsidR="00C774DE" w:rsidRPr="006E20A2" w:rsidRDefault="00C774DE" w:rsidP="004C2B54">
      <w:pPr>
        <w:widowControl/>
        <w:spacing w:line="276" w:lineRule="auto"/>
        <w:ind w:right="-22"/>
        <w:rPr>
          <w:rFonts w:ascii="Arial" w:hAnsi="Arial"/>
          <w:b/>
          <w:i/>
          <w:sz w:val="20"/>
          <w:u w:val="single"/>
          <w:lang w:val="en-US"/>
        </w:rPr>
      </w:pPr>
    </w:p>
    <w:p w14:paraId="3D35B822" w14:textId="77777777" w:rsidR="004C2B54" w:rsidRPr="006E20A2" w:rsidRDefault="004C2B54" w:rsidP="004C2B54">
      <w:pPr>
        <w:widowControl/>
        <w:spacing w:line="276" w:lineRule="auto"/>
        <w:ind w:right="-22"/>
        <w:rPr>
          <w:rFonts w:ascii="Arial" w:hAnsi="Arial"/>
          <w:iCs/>
          <w:sz w:val="20"/>
          <w:lang w:val="en-US"/>
        </w:rPr>
      </w:pPr>
    </w:p>
    <w:p w14:paraId="78278F9F" w14:textId="090EFA13" w:rsidR="00851C49" w:rsidRPr="006E20A2" w:rsidRDefault="006831EB">
      <w:pPr>
        <w:pStyle w:val="Naslov2"/>
        <w:rPr>
          <w:lang w:val="en-US"/>
        </w:rPr>
      </w:pPr>
      <w:bookmarkStart w:id="48" w:name="_Toc113535468"/>
      <w:r w:rsidRPr="006E20A2">
        <w:rPr>
          <w:lang w:val="en-US"/>
        </w:rPr>
        <w:t xml:space="preserve">CRIMINAL OFFENCES AND </w:t>
      </w:r>
      <w:r w:rsidR="00FD6AB9">
        <w:rPr>
          <w:lang w:val="en-US"/>
        </w:rPr>
        <w:t>THE IMPLEMENTATION OF</w:t>
      </w:r>
      <w:r w:rsidR="00FD6AB9" w:rsidRPr="006E20A2">
        <w:rPr>
          <w:lang w:val="en-US"/>
        </w:rPr>
        <w:t xml:space="preserve"> </w:t>
      </w:r>
      <w:r w:rsidRPr="006E20A2">
        <w:rPr>
          <w:lang w:val="en-US"/>
        </w:rPr>
        <w:t>ARTICLE 212 OF APMLFT-1</w:t>
      </w:r>
      <w:bookmarkEnd w:id="48"/>
    </w:p>
    <w:p w14:paraId="20BDAF37" w14:textId="77777777" w:rsidR="00851C49" w:rsidRPr="006E20A2" w:rsidRDefault="00851C49" w:rsidP="00D21F86">
      <w:pPr>
        <w:pStyle w:val="Telobesedila2"/>
        <w:widowControl/>
        <w:tabs>
          <w:tab w:val="clear" w:pos="-689"/>
          <w:tab w:val="clear" w:pos="31"/>
          <w:tab w:val="clear" w:pos="751"/>
          <w:tab w:val="clear" w:pos="1471"/>
          <w:tab w:val="clear" w:pos="2191"/>
          <w:tab w:val="clear" w:pos="2911"/>
          <w:tab w:val="clear" w:pos="3631"/>
          <w:tab w:val="clear" w:pos="4351"/>
          <w:tab w:val="clear" w:pos="4531"/>
          <w:tab w:val="clear" w:pos="5071"/>
          <w:tab w:val="clear" w:pos="5791"/>
          <w:tab w:val="clear" w:pos="6511"/>
          <w:tab w:val="clear" w:pos="7231"/>
          <w:tab w:val="clear" w:pos="7951"/>
          <w:tab w:val="clear" w:pos="8671"/>
          <w:tab w:val="clear" w:pos="9391"/>
          <w:tab w:val="clear" w:pos="10111"/>
          <w:tab w:val="clear" w:pos="10831"/>
          <w:tab w:val="clear" w:pos="11551"/>
          <w:tab w:val="left" w:pos="-787"/>
          <w:tab w:val="left" w:pos="0"/>
          <w:tab w:val="left" w:pos="720"/>
          <w:tab w:val="left" w:pos="1440"/>
          <w:tab w:val="left" w:pos="2160"/>
          <w:tab w:val="left" w:pos="2880"/>
          <w:tab w:val="left" w:pos="3600"/>
          <w:tab w:val="left" w:pos="4320"/>
          <w:tab w:val="left" w:pos="4500"/>
        </w:tabs>
        <w:snapToGrid w:val="0"/>
        <w:spacing w:line="276" w:lineRule="auto"/>
        <w:ind w:right="-22"/>
        <w:rPr>
          <w:rFonts w:ascii="Arial" w:hAnsi="Arial"/>
          <w:sz w:val="20"/>
          <w:lang w:val="en-US"/>
        </w:rPr>
      </w:pPr>
    </w:p>
    <w:p w14:paraId="1A058009" w14:textId="2BF6CF7C" w:rsidR="00140563" w:rsidRPr="006E20A2" w:rsidRDefault="00140563" w:rsidP="00305939">
      <w:pPr>
        <w:pStyle w:val="Telobesedila2"/>
        <w:widowControl/>
        <w:tabs>
          <w:tab w:val="clear" w:pos="-689"/>
          <w:tab w:val="clear" w:pos="31"/>
          <w:tab w:val="clear" w:pos="751"/>
          <w:tab w:val="clear" w:pos="1471"/>
          <w:tab w:val="clear" w:pos="2191"/>
          <w:tab w:val="clear" w:pos="2911"/>
          <w:tab w:val="clear" w:pos="3631"/>
          <w:tab w:val="clear" w:pos="4351"/>
          <w:tab w:val="clear" w:pos="4531"/>
          <w:tab w:val="clear" w:pos="5071"/>
          <w:tab w:val="clear" w:pos="5791"/>
          <w:tab w:val="clear" w:pos="6511"/>
          <w:tab w:val="clear" w:pos="7231"/>
          <w:tab w:val="clear" w:pos="7951"/>
          <w:tab w:val="clear" w:pos="8671"/>
          <w:tab w:val="clear" w:pos="9391"/>
          <w:tab w:val="clear" w:pos="10111"/>
          <w:tab w:val="clear" w:pos="10831"/>
          <w:tab w:val="clear" w:pos="11551"/>
          <w:tab w:val="left" w:pos="-787"/>
          <w:tab w:val="left" w:pos="0"/>
          <w:tab w:val="left" w:pos="720"/>
          <w:tab w:val="left" w:pos="1440"/>
          <w:tab w:val="left" w:pos="2160"/>
          <w:tab w:val="left" w:pos="2880"/>
          <w:tab w:val="left" w:pos="3600"/>
          <w:tab w:val="left" w:pos="4320"/>
          <w:tab w:val="left" w:pos="4500"/>
        </w:tabs>
        <w:snapToGrid w:val="0"/>
        <w:spacing w:line="276" w:lineRule="auto"/>
        <w:ind w:right="-22"/>
        <w:rPr>
          <w:rFonts w:ascii="Arial" w:hAnsi="Arial"/>
          <w:sz w:val="20"/>
          <w:lang w:val="en-US"/>
        </w:rPr>
      </w:pPr>
    </w:p>
    <w:p w14:paraId="36829A3E" w14:textId="1C76066E" w:rsidR="00140563" w:rsidRPr="006E20A2" w:rsidRDefault="00140563" w:rsidP="00305939">
      <w:pPr>
        <w:pStyle w:val="Telobesedila2"/>
        <w:widowControl/>
        <w:tabs>
          <w:tab w:val="clear" w:pos="-689"/>
          <w:tab w:val="clear" w:pos="31"/>
          <w:tab w:val="clear" w:pos="751"/>
          <w:tab w:val="clear" w:pos="1471"/>
          <w:tab w:val="clear" w:pos="2191"/>
          <w:tab w:val="clear" w:pos="2911"/>
          <w:tab w:val="clear" w:pos="3631"/>
          <w:tab w:val="clear" w:pos="4351"/>
          <w:tab w:val="clear" w:pos="4531"/>
          <w:tab w:val="clear" w:pos="5071"/>
          <w:tab w:val="clear" w:pos="5791"/>
          <w:tab w:val="clear" w:pos="6511"/>
          <w:tab w:val="clear" w:pos="7231"/>
          <w:tab w:val="clear" w:pos="7951"/>
          <w:tab w:val="clear" w:pos="8671"/>
          <w:tab w:val="clear" w:pos="9391"/>
          <w:tab w:val="clear" w:pos="10111"/>
          <w:tab w:val="clear" w:pos="10831"/>
          <w:tab w:val="clear" w:pos="11551"/>
          <w:tab w:val="left" w:pos="-787"/>
          <w:tab w:val="left" w:pos="0"/>
          <w:tab w:val="left" w:pos="720"/>
          <w:tab w:val="left" w:pos="1440"/>
          <w:tab w:val="left" w:pos="2160"/>
          <w:tab w:val="left" w:pos="2880"/>
          <w:tab w:val="left" w:pos="3600"/>
          <w:tab w:val="left" w:pos="4320"/>
          <w:tab w:val="left" w:pos="4500"/>
        </w:tabs>
        <w:snapToGrid w:val="0"/>
        <w:spacing w:line="276" w:lineRule="auto"/>
        <w:ind w:right="-22"/>
        <w:rPr>
          <w:rFonts w:ascii="Arial" w:hAnsi="Arial"/>
          <w:sz w:val="20"/>
          <w:lang w:val="en-US"/>
        </w:rPr>
      </w:pPr>
      <w:r w:rsidRPr="006E20A2">
        <w:rPr>
          <w:rFonts w:ascii="Arial" w:hAnsi="Arial"/>
          <w:sz w:val="20"/>
          <w:lang w:val="en-US"/>
        </w:rPr>
        <w:t>Article 121 of APMLFT-1 determines that due to centralization and analysis of all data related to money laundering, courts, State Prosecutors</w:t>
      </w:r>
      <w:r w:rsidR="00FD6AB9">
        <w:rPr>
          <w:rFonts w:ascii="Arial" w:hAnsi="Arial"/>
          <w:sz w:val="20"/>
          <w:lang w:val="en-US"/>
        </w:rPr>
        <w:t>’</w:t>
      </w:r>
      <w:r w:rsidRPr="006E20A2">
        <w:rPr>
          <w:rFonts w:ascii="Arial" w:hAnsi="Arial"/>
          <w:sz w:val="20"/>
          <w:lang w:val="en-US"/>
        </w:rPr>
        <w:t xml:space="preserve"> </w:t>
      </w:r>
      <w:proofErr w:type="gramStart"/>
      <w:r w:rsidRPr="006E20A2">
        <w:rPr>
          <w:rFonts w:ascii="Arial" w:hAnsi="Arial"/>
          <w:sz w:val="20"/>
          <w:lang w:val="en-US"/>
        </w:rPr>
        <w:t>Offices</w:t>
      </w:r>
      <w:proofErr w:type="gramEnd"/>
      <w:r w:rsidRPr="006E20A2">
        <w:rPr>
          <w:rFonts w:ascii="Arial" w:hAnsi="Arial"/>
          <w:sz w:val="20"/>
          <w:lang w:val="en-US"/>
        </w:rPr>
        <w:t xml:space="preserve"> and other state authorities are obliged to forward to the OMLP data on criminal offences on money laundering and violations of APMLFT-1. </w:t>
      </w:r>
      <w:proofErr w:type="gramStart"/>
      <w:r w:rsidRPr="006E20A2">
        <w:rPr>
          <w:rFonts w:ascii="Arial" w:hAnsi="Arial"/>
          <w:sz w:val="20"/>
          <w:lang w:val="en-US"/>
        </w:rPr>
        <w:t>On the basis of</w:t>
      </w:r>
      <w:proofErr w:type="gramEnd"/>
      <w:r w:rsidRPr="006E20A2">
        <w:rPr>
          <w:rFonts w:ascii="Arial" w:hAnsi="Arial"/>
          <w:sz w:val="20"/>
          <w:lang w:val="en-US"/>
        </w:rPr>
        <w:t xml:space="preserve"> this article, the state authorities are obliged to currently forward certain data to the OMLP and annually inform the OMLP on their findings referring to the received notifications and information and the State Prosecutors</w:t>
      </w:r>
      <w:r w:rsidR="00FD6AB9">
        <w:rPr>
          <w:rFonts w:ascii="Arial" w:hAnsi="Arial"/>
          <w:sz w:val="20"/>
          <w:lang w:val="en-US"/>
        </w:rPr>
        <w:t>’</w:t>
      </w:r>
      <w:r w:rsidRPr="006E20A2">
        <w:rPr>
          <w:rFonts w:ascii="Arial" w:hAnsi="Arial"/>
          <w:sz w:val="20"/>
          <w:lang w:val="en-US"/>
        </w:rPr>
        <w:t xml:space="preserve"> Offices and courts on persons and procedures, against whom the pre</w:t>
      </w:r>
      <w:r w:rsidR="00FD6AB9">
        <w:rPr>
          <w:rFonts w:ascii="Arial" w:hAnsi="Arial"/>
          <w:sz w:val="20"/>
          <w:lang w:val="en-US"/>
        </w:rPr>
        <w:t>-trial</w:t>
      </w:r>
      <w:r w:rsidRPr="006E20A2">
        <w:rPr>
          <w:rFonts w:ascii="Arial" w:hAnsi="Arial"/>
          <w:sz w:val="20"/>
          <w:lang w:val="en-US"/>
        </w:rPr>
        <w:t>, criminal or administrative proceedings have been introduced.</w:t>
      </w:r>
    </w:p>
    <w:p w14:paraId="6142F2F2" w14:textId="19173825" w:rsidR="00305939" w:rsidRPr="006E20A2" w:rsidRDefault="00305939" w:rsidP="00305939">
      <w:pPr>
        <w:pStyle w:val="Telobesedila"/>
        <w:spacing w:line="276" w:lineRule="auto"/>
        <w:ind w:right="-22"/>
        <w:rPr>
          <w:rFonts w:ascii="Arial" w:hAnsi="Arial"/>
          <w:b/>
          <w:i/>
          <w:sz w:val="20"/>
          <w:lang w:val="en-US"/>
        </w:rPr>
      </w:pPr>
    </w:p>
    <w:p w14:paraId="5673DB37" w14:textId="4DFF2DE0" w:rsidR="00140563" w:rsidRPr="006E20A2" w:rsidRDefault="00140563" w:rsidP="00140563">
      <w:pPr>
        <w:pStyle w:val="Telobesedila2"/>
        <w:widowControl/>
        <w:tabs>
          <w:tab w:val="clear" w:pos="-689"/>
          <w:tab w:val="clear" w:pos="31"/>
          <w:tab w:val="clear" w:pos="751"/>
          <w:tab w:val="clear" w:pos="1471"/>
          <w:tab w:val="clear" w:pos="2191"/>
          <w:tab w:val="clear" w:pos="2911"/>
          <w:tab w:val="clear" w:pos="3631"/>
          <w:tab w:val="clear" w:pos="4351"/>
          <w:tab w:val="left" w:pos="-787"/>
          <w:tab w:val="left" w:pos="0"/>
          <w:tab w:val="left" w:pos="720"/>
          <w:tab w:val="left" w:pos="1440"/>
          <w:tab w:val="left" w:pos="2160"/>
          <w:tab w:val="left" w:pos="2880"/>
          <w:tab w:val="left" w:pos="3600"/>
          <w:tab w:val="left" w:pos="4320"/>
          <w:tab w:val="left" w:pos="4500"/>
        </w:tabs>
        <w:ind w:right="-22"/>
        <w:rPr>
          <w:rFonts w:ascii="Arial" w:hAnsi="Arial"/>
          <w:b/>
          <w:i/>
          <w:iCs/>
          <w:sz w:val="20"/>
          <w:lang w:val="en-US"/>
        </w:rPr>
      </w:pPr>
      <w:r w:rsidRPr="006E20A2">
        <w:rPr>
          <w:rFonts w:ascii="Arial" w:hAnsi="Arial"/>
          <w:b/>
          <w:i/>
          <w:iCs/>
          <w:sz w:val="20"/>
          <w:lang w:val="en-US"/>
        </w:rPr>
        <w:t xml:space="preserve">In 2020, the Police and </w:t>
      </w:r>
      <w:r w:rsidR="00FD6AB9">
        <w:rPr>
          <w:rFonts w:ascii="Arial" w:hAnsi="Arial"/>
          <w:b/>
          <w:i/>
          <w:iCs/>
          <w:sz w:val="20"/>
          <w:lang w:val="en-US"/>
        </w:rPr>
        <w:t xml:space="preserve">the </w:t>
      </w:r>
      <w:r w:rsidRPr="006E20A2">
        <w:rPr>
          <w:rFonts w:ascii="Arial" w:hAnsi="Arial"/>
          <w:b/>
          <w:i/>
          <w:iCs/>
          <w:sz w:val="20"/>
          <w:lang w:val="en-US"/>
        </w:rPr>
        <w:t>State Prosecutor`s Office filed criminal reports or started criminal proceedings in 31 cases (within their competences) against 49 natural and 20 legal persons.</w:t>
      </w:r>
    </w:p>
    <w:p w14:paraId="606F15FD" w14:textId="77777777" w:rsidR="00305939" w:rsidRPr="006E20A2" w:rsidRDefault="00305939" w:rsidP="00305939">
      <w:pPr>
        <w:pStyle w:val="Telobesedila"/>
        <w:spacing w:line="276" w:lineRule="auto"/>
        <w:ind w:right="-22"/>
        <w:rPr>
          <w:rFonts w:ascii="Arial" w:hAnsi="Arial"/>
          <w:iCs/>
          <w:sz w:val="20"/>
          <w:lang w:val="en-US"/>
        </w:rPr>
      </w:pPr>
    </w:p>
    <w:p w14:paraId="20AB7037" w14:textId="02DED729" w:rsidR="00305939" w:rsidRPr="006E20A2" w:rsidRDefault="00140563" w:rsidP="00305939">
      <w:pPr>
        <w:pStyle w:val="Telobesedila"/>
        <w:spacing w:line="276" w:lineRule="auto"/>
        <w:ind w:right="-22"/>
        <w:rPr>
          <w:rFonts w:ascii="Arial" w:hAnsi="Arial"/>
          <w:iCs/>
          <w:sz w:val="20"/>
          <w:lang w:val="en-US"/>
        </w:rPr>
      </w:pPr>
      <w:r w:rsidRPr="006E20A2">
        <w:rPr>
          <w:rFonts w:ascii="Arial" w:hAnsi="Arial"/>
          <w:iCs/>
          <w:sz w:val="20"/>
          <w:lang w:val="en-US"/>
        </w:rPr>
        <w:t>In 2020</w:t>
      </w:r>
      <w:r w:rsidR="00D730F9">
        <w:rPr>
          <w:rFonts w:ascii="Arial" w:hAnsi="Arial"/>
          <w:iCs/>
          <w:sz w:val="20"/>
          <w:lang w:val="en-US"/>
        </w:rPr>
        <w:t xml:space="preserve">, </w:t>
      </w:r>
      <w:r w:rsidRPr="006E20A2">
        <w:rPr>
          <w:rFonts w:ascii="Arial" w:hAnsi="Arial"/>
          <w:iCs/>
          <w:sz w:val="20"/>
          <w:lang w:val="en-US"/>
        </w:rPr>
        <w:t xml:space="preserve">the number of new </w:t>
      </w:r>
      <w:r w:rsidR="00FD6AB9">
        <w:rPr>
          <w:rFonts w:ascii="Arial" w:hAnsi="Arial"/>
          <w:iCs/>
          <w:sz w:val="20"/>
          <w:lang w:val="en-US"/>
        </w:rPr>
        <w:t xml:space="preserve">pre-trial </w:t>
      </w:r>
      <w:r w:rsidRPr="006E20A2">
        <w:rPr>
          <w:rFonts w:ascii="Arial" w:hAnsi="Arial"/>
          <w:iCs/>
          <w:sz w:val="20"/>
          <w:lang w:val="en-US"/>
        </w:rPr>
        <w:t xml:space="preserve">and criminal </w:t>
      </w:r>
      <w:proofErr w:type="gramStart"/>
      <w:r w:rsidRPr="006E20A2">
        <w:rPr>
          <w:rFonts w:ascii="Arial" w:hAnsi="Arial"/>
          <w:iCs/>
          <w:sz w:val="20"/>
          <w:lang w:val="en-US"/>
        </w:rPr>
        <w:t xml:space="preserve">proceedings </w:t>
      </w:r>
      <w:r w:rsidR="00D730F9">
        <w:rPr>
          <w:rFonts w:ascii="Arial" w:hAnsi="Arial"/>
          <w:iCs/>
          <w:sz w:val="20"/>
          <w:lang w:val="en-US"/>
        </w:rPr>
        <w:t xml:space="preserve"> decreased</w:t>
      </w:r>
      <w:proofErr w:type="gramEnd"/>
      <w:r w:rsidR="00D730F9">
        <w:rPr>
          <w:rFonts w:ascii="Arial" w:hAnsi="Arial"/>
          <w:iCs/>
          <w:sz w:val="20"/>
          <w:lang w:val="en-US"/>
        </w:rPr>
        <w:t xml:space="preserve"> </w:t>
      </w:r>
      <w:r w:rsidR="00D730F9" w:rsidRPr="006E20A2">
        <w:rPr>
          <w:rFonts w:ascii="Arial" w:hAnsi="Arial"/>
          <w:iCs/>
          <w:sz w:val="20"/>
          <w:lang w:val="en-US"/>
        </w:rPr>
        <w:t>from 53 to 31</w:t>
      </w:r>
      <w:r w:rsidR="00D730F9">
        <w:rPr>
          <w:rFonts w:ascii="Arial" w:hAnsi="Arial"/>
          <w:iCs/>
          <w:sz w:val="20"/>
          <w:lang w:val="en-US"/>
        </w:rPr>
        <w:t xml:space="preserve"> </w:t>
      </w:r>
      <w:r w:rsidRPr="006E20A2">
        <w:rPr>
          <w:rFonts w:ascii="Arial" w:hAnsi="Arial"/>
          <w:iCs/>
          <w:sz w:val="20"/>
          <w:lang w:val="en-US"/>
        </w:rPr>
        <w:t xml:space="preserve">in comparison to the previous year, which </w:t>
      </w:r>
      <w:r w:rsidR="00FA1A1F">
        <w:rPr>
          <w:rFonts w:ascii="Arial" w:hAnsi="Arial"/>
          <w:iCs/>
          <w:sz w:val="20"/>
          <w:lang w:val="en-US"/>
        </w:rPr>
        <w:t>represented</w:t>
      </w:r>
      <w:r w:rsidRPr="006E20A2">
        <w:rPr>
          <w:rFonts w:ascii="Arial" w:hAnsi="Arial"/>
          <w:iCs/>
          <w:sz w:val="20"/>
          <w:lang w:val="en-US"/>
        </w:rPr>
        <w:t xml:space="preserve"> half </w:t>
      </w:r>
      <w:r w:rsidR="00FA1A1F">
        <w:rPr>
          <w:rFonts w:ascii="Arial" w:hAnsi="Arial"/>
          <w:iCs/>
          <w:sz w:val="20"/>
          <w:lang w:val="en-US"/>
        </w:rPr>
        <w:t xml:space="preserve">of </w:t>
      </w:r>
      <w:r w:rsidRPr="006E20A2">
        <w:rPr>
          <w:rFonts w:ascii="Arial" w:hAnsi="Arial"/>
          <w:iCs/>
          <w:sz w:val="20"/>
          <w:lang w:val="en-US"/>
        </w:rPr>
        <w:t xml:space="preserve">the number of new proceedings in the years 2010-2015, when the average number of new proceedings </w:t>
      </w:r>
      <w:r w:rsidR="00FA1A1F">
        <w:rPr>
          <w:rFonts w:ascii="Arial" w:hAnsi="Arial"/>
          <w:iCs/>
          <w:sz w:val="20"/>
          <w:lang w:val="en-US"/>
        </w:rPr>
        <w:t>was up to 60.</w:t>
      </w:r>
    </w:p>
    <w:p w14:paraId="6BFCB7A2" w14:textId="77777777" w:rsidR="00305939" w:rsidRPr="006E20A2" w:rsidRDefault="00305939" w:rsidP="00305939">
      <w:pPr>
        <w:pStyle w:val="Telobesedila2"/>
        <w:tabs>
          <w:tab w:val="clear" w:pos="-689"/>
          <w:tab w:val="clear" w:pos="31"/>
          <w:tab w:val="clear" w:pos="751"/>
          <w:tab w:val="clear" w:pos="1471"/>
          <w:tab w:val="clear" w:pos="2191"/>
          <w:tab w:val="clear" w:pos="2911"/>
          <w:tab w:val="clear" w:pos="3631"/>
          <w:tab w:val="clear" w:pos="4351"/>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iCs/>
          <w:sz w:val="20"/>
          <w:lang w:val="en-US"/>
        </w:rPr>
      </w:pPr>
    </w:p>
    <w:p w14:paraId="591DB0E5" w14:textId="6B9150D6" w:rsidR="00305939" w:rsidRPr="006E20A2" w:rsidRDefault="00140563" w:rsidP="00305939">
      <w:pPr>
        <w:pStyle w:val="Telobesedila2"/>
        <w:tabs>
          <w:tab w:val="clear" w:pos="-689"/>
          <w:tab w:val="clear" w:pos="31"/>
          <w:tab w:val="clear" w:pos="751"/>
          <w:tab w:val="clear" w:pos="1471"/>
          <w:tab w:val="clear" w:pos="2191"/>
          <w:tab w:val="clear" w:pos="2911"/>
          <w:tab w:val="clear" w:pos="3631"/>
          <w:tab w:val="clear" w:pos="4351"/>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b/>
          <w:i/>
          <w:iCs/>
          <w:sz w:val="20"/>
          <w:lang w:val="en-US"/>
        </w:rPr>
      </w:pPr>
      <w:r w:rsidRPr="006E20A2">
        <w:rPr>
          <w:rFonts w:ascii="Arial" w:hAnsi="Arial"/>
          <w:b/>
          <w:i/>
          <w:iCs/>
          <w:sz w:val="20"/>
          <w:lang w:val="en-US"/>
        </w:rPr>
        <w:t xml:space="preserve">In the last eight years 402 new criminal proceedings </w:t>
      </w:r>
      <w:r w:rsidR="006B7882" w:rsidRPr="006E20A2">
        <w:rPr>
          <w:rFonts w:ascii="Arial" w:hAnsi="Arial"/>
          <w:b/>
          <w:i/>
          <w:iCs/>
          <w:sz w:val="20"/>
          <w:lang w:val="en-US"/>
        </w:rPr>
        <w:t xml:space="preserve">related to criminal offence of money laundering </w:t>
      </w:r>
      <w:r w:rsidR="006E20A2">
        <w:rPr>
          <w:rFonts w:ascii="Arial" w:hAnsi="Arial"/>
          <w:b/>
          <w:i/>
          <w:iCs/>
          <w:sz w:val="20"/>
          <w:lang w:val="en-US"/>
        </w:rPr>
        <w:t>started</w:t>
      </w:r>
      <w:r w:rsidR="006B7882" w:rsidRPr="006E20A2">
        <w:rPr>
          <w:rFonts w:ascii="Arial" w:hAnsi="Arial"/>
          <w:b/>
          <w:i/>
          <w:iCs/>
          <w:sz w:val="20"/>
          <w:lang w:val="en-US"/>
        </w:rPr>
        <w:t xml:space="preserve">, which </w:t>
      </w:r>
      <w:r w:rsidR="00FA1A1F">
        <w:rPr>
          <w:rFonts w:ascii="Arial" w:hAnsi="Arial"/>
          <w:b/>
          <w:i/>
          <w:iCs/>
          <w:sz w:val="20"/>
          <w:lang w:val="en-US"/>
        </w:rPr>
        <w:t>was</w:t>
      </w:r>
      <w:r w:rsidR="006B7882" w:rsidRPr="006E20A2">
        <w:rPr>
          <w:rFonts w:ascii="Arial" w:hAnsi="Arial"/>
          <w:b/>
          <w:i/>
          <w:iCs/>
          <w:sz w:val="20"/>
          <w:lang w:val="en-US"/>
        </w:rPr>
        <w:t xml:space="preserve"> more than </w:t>
      </w:r>
      <w:r w:rsidR="00FA1A1F">
        <w:rPr>
          <w:rFonts w:ascii="Arial" w:hAnsi="Arial"/>
          <w:b/>
          <w:i/>
          <w:iCs/>
          <w:sz w:val="20"/>
          <w:lang w:val="en-US"/>
        </w:rPr>
        <w:t xml:space="preserve">a </w:t>
      </w:r>
      <w:r w:rsidR="006B7882" w:rsidRPr="006E20A2">
        <w:rPr>
          <w:rFonts w:ascii="Arial" w:hAnsi="Arial"/>
          <w:b/>
          <w:i/>
          <w:iCs/>
          <w:sz w:val="20"/>
          <w:lang w:val="en-US"/>
        </w:rPr>
        <w:t xml:space="preserve">half of all criminal proceedings </w:t>
      </w:r>
      <w:r w:rsidR="002970B6">
        <w:rPr>
          <w:rFonts w:ascii="Arial" w:hAnsi="Arial"/>
          <w:b/>
          <w:i/>
          <w:iCs/>
          <w:sz w:val="20"/>
          <w:lang w:val="en-US"/>
        </w:rPr>
        <w:t>related to</w:t>
      </w:r>
      <w:r w:rsidR="002970B6" w:rsidRPr="006E20A2">
        <w:rPr>
          <w:rFonts w:ascii="Arial" w:hAnsi="Arial"/>
          <w:b/>
          <w:i/>
          <w:iCs/>
          <w:sz w:val="20"/>
          <w:lang w:val="en-US"/>
        </w:rPr>
        <w:t xml:space="preserve"> </w:t>
      </w:r>
      <w:r w:rsidR="006B7882" w:rsidRPr="006E20A2">
        <w:rPr>
          <w:rFonts w:ascii="Arial" w:hAnsi="Arial"/>
          <w:b/>
          <w:i/>
          <w:iCs/>
          <w:sz w:val="20"/>
          <w:lang w:val="en-US"/>
        </w:rPr>
        <w:t xml:space="preserve">criminal offence of money laundering (636) from 1995 onwards. </w:t>
      </w:r>
    </w:p>
    <w:p w14:paraId="5F20BD26" w14:textId="5D012F4A" w:rsidR="00851C49" w:rsidRPr="006E20A2" w:rsidRDefault="00292A8B" w:rsidP="00BA5BC9">
      <w:pPr>
        <w:pStyle w:val="Naslov3"/>
        <w:rPr>
          <w:lang w:val="en-US"/>
        </w:rPr>
      </w:pPr>
      <w:bookmarkStart w:id="49" w:name="_Toc113535469"/>
      <w:r w:rsidRPr="006E20A2">
        <w:rPr>
          <w:lang w:val="en-US"/>
        </w:rPr>
        <w:t xml:space="preserve">4.1.1 </w:t>
      </w:r>
      <w:bookmarkEnd w:id="49"/>
      <w:r w:rsidR="006B7882" w:rsidRPr="006E20A2">
        <w:rPr>
          <w:lang w:val="en-US"/>
        </w:rPr>
        <w:t xml:space="preserve">Statistical data of Police on criminal </w:t>
      </w:r>
      <w:r w:rsidR="006E20A2" w:rsidRPr="006E20A2">
        <w:rPr>
          <w:lang w:val="en-US"/>
        </w:rPr>
        <w:t>offences</w:t>
      </w:r>
      <w:r w:rsidR="006B7882" w:rsidRPr="006E20A2">
        <w:rPr>
          <w:lang w:val="en-US"/>
        </w:rPr>
        <w:t xml:space="preserve"> of money laundering</w:t>
      </w:r>
    </w:p>
    <w:p w14:paraId="2DF9BE9C" w14:textId="61122B14" w:rsidR="006B7882" w:rsidRPr="006E20A2" w:rsidRDefault="006B7882" w:rsidP="00B0453B">
      <w:pPr>
        <w:widowControl/>
        <w:spacing w:line="276" w:lineRule="auto"/>
        <w:ind w:right="-22"/>
        <w:rPr>
          <w:rFonts w:ascii="Arial" w:hAnsi="Arial"/>
          <w:sz w:val="20"/>
          <w:lang w:val="en-US"/>
        </w:rPr>
      </w:pPr>
    </w:p>
    <w:p w14:paraId="04DC9E01" w14:textId="2245A1D1" w:rsidR="006B7882" w:rsidRPr="006E20A2" w:rsidRDefault="006B7882" w:rsidP="001A6F37">
      <w:pPr>
        <w:pStyle w:val="Telobesedila2"/>
        <w:widowControl/>
        <w:tabs>
          <w:tab w:val="clear" w:pos="-689"/>
          <w:tab w:val="clear" w:pos="31"/>
          <w:tab w:val="clear" w:pos="751"/>
          <w:tab w:val="clear" w:pos="1471"/>
          <w:tab w:val="clear" w:pos="2191"/>
          <w:tab w:val="clear" w:pos="2911"/>
          <w:tab w:val="clear" w:pos="3631"/>
          <w:tab w:val="clear" w:pos="4351"/>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sz w:val="20"/>
          <w:lang w:val="en-US"/>
        </w:rPr>
      </w:pPr>
      <w:proofErr w:type="gramStart"/>
      <w:r w:rsidRPr="006E20A2">
        <w:rPr>
          <w:rFonts w:ascii="Arial" w:hAnsi="Arial"/>
          <w:sz w:val="20"/>
          <w:lang w:val="en-US"/>
        </w:rPr>
        <w:lastRenderedPageBreak/>
        <w:t>On the basis of</w:t>
      </w:r>
      <w:proofErr w:type="gramEnd"/>
      <w:r w:rsidRPr="006E20A2">
        <w:rPr>
          <w:rFonts w:ascii="Arial" w:hAnsi="Arial"/>
          <w:sz w:val="20"/>
          <w:lang w:val="en-US"/>
        </w:rPr>
        <w:t xml:space="preserve"> data on filed criminal reports, that </w:t>
      </w:r>
      <w:r w:rsidR="002970B6">
        <w:rPr>
          <w:rFonts w:ascii="Arial" w:hAnsi="Arial"/>
          <w:sz w:val="20"/>
          <w:lang w:val="en-US"/>
        </w:rPr>
        <w:t xml:space="preserve">the Police </w:t>
      </w:r>
      <w:r w:rsidRPr="006E20A2">
        <w:rPr>
          <w:rFonts w:ascii="Arial" w:hAnsi="Arial"/>
          <w:sz w:val="20"/>
          <w:lang w:val="en-US"/>
        </w:rPr>
        <w:t xml:space="preserve">has to </w:t>
      </w:r>
      <w:r w:rsidR="002970B6">
        <w:rPr>
          <w:rFonts w:ascii="Arial" w:hAnsi="Arial"/>
          <w:sz w:val="20"/>
          <w:lang w:val="en-US"/>
        </w:rPr>
        <w:t>send promptly</w:t>
      </w:r>
      <w:r w:rsidRPr="006E20A2">
        <w:rPr>
          <w:rFonts w:ascii="Arial" w:hAnsi="Arial"/>
          <w:sz w:val="20"/>
          <w:lang w:val="en-US"/>
        </w:rPr>
        <w:t xml:space="preserve"> to </w:t>
      </w:r>
      <w:r w:rsidR="002970B6">
        <w:rPr>
          <w:rFonts w:ascii="Arial" w:hAnsi="Arial"/>
          <w:sz w:val="20"/>
          <w:lang w:val="en-US"/>
        </w:rPr>
        <w:t xml:space="preserve">the </w:t>
      </w:r>
      <w:r w:rsidRPr="006E20A2">
        <w:rPr>
          <w:rFonts w:ascii="Arial" w:hAnsi="Arial"/>
          <w:sz w:val="20"/>
          <w:lang w:val="en-US"/>
        </w:rPr>
        <w:t>OMLP,</w:t>
      </w:r>
      <w:r w:rsidR="002970B6">
        <w:rPr>
          <w:rFonts w:ascii="Arial" w:hAnsi="Arial"/>
          <w:sz w:val="20"/>
          <w:lang w:val="en-US"/>
        </w:rPr>
        <w:t xml:space="preserve"> it</w:t>
      </w:r>
      <w:r w:rsidRPr="006E20A2">
        <w:rPr>
          <w:rFonts w:ascii="Arial" w:hAnsi="Arial"/>
          <w:sz w:val="20"/>
          <w:lang w:val="en-US"/>
        </w:rPr>
        <w:t xml:space="preserve"> can be seen that in 2020 the Police filed 26 criminal complaints for the criminal offence of money laundering - out of which 23 </w:t>
      </w:r>
      <w:r w:rsidR="00FA1A1F">
        <w:rPr>
          <w:rFonts w:ascii="Arial" w:hAnsi="Arial"/>
          <w:sz w:val="20"/>
          <w:lang w:val="en-US"/>
        </w:rPr>
        <w:t>contained</w:t>
      </w:r>
      <w:r w:rsidRPr="006E20A2">
        <w:rPr>
          <w:rFonts w:ascii="Arial" w:hAnsi="Arial"/>
          <w:sz w:val="20"/>
          <w:lang w:val="en-US"/>
        </w:rPr>
        <w:t xml:space="preserve"> the information, that were forwarded to the Police by </w:t>
      </w:r>
      <w:r w:rsidR="002970B6">
        <w:rPr>
          <w:rFonts w:ascii="Arial" w:hAnsi="Arial"/>
          <w:sz w:val="20"/>
          <w:lang w:val="en-US"/>
        </w:rPr>
        <w:t xml:space="preserve">the </w:t>
      </w:r>
      <w:r w:rsidRPr="006E20A2">
        <w:rPr>
          <w:rFonts w:ascii="Arial" w:hAnsi="Arial"/>
          <w:sz w:val="20"/>
          <w:lang w:val="en-US"/>
        </w:rPr>
        <w:t xml:space="preserve">OMLP.  </w:t>
      </w:r>
    </w:p>
    <w:p w14:paraId="54BE6F1D" w14:textId="28B992DD" w:rsidR="006B7882" w:rsidRPr="006E20A2" w:rsidRDefault="006B7882" w:rsidP="001A6F37">
      <w:pPr>
        <w:pStyle w:val="Telobesedila2"/>
        <w:widowControl/>
        <w:tabs>
          <w:tab w:val="clear" w:pos="-689"/>
          <w:tab w:val="clear" w:pos="31"/>
          <w:tab w:val="clear" w:pos="751"/>
          <w:tab w:val="clear" w:pos="1471"/>
          <w:tab w:val="clear" w:pos="2191"/>
          <w:tab w:val="clear" w:pos="2911"/>
          <w:tab w:val="clear" w:pos="3631"/>
          <w:tab w:val="clear" w:pos="4351"/>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sz w:val="20"/>
          <w:lang w:val="en-US"/>
        </w:rPr>
      </w:pPr>
    </w:p>
    <w:p w14:paraId="5D628C30" w14:textId="77C9FCC0" w:rsidR="001A6F37" w:rsidRPr="006E20A2" w:rsidRDefault="006B7882" w:rsidP="001A6F37">
      <w:pPr>
        <w:pStyle w:val="Telobesedila2"/>
        <w:tabs>
          <w:tab w:val="left" w:pos="-787"/>
          <w:tab w:val="left" w:pos="0"/>
          <w:tab w:val="left" w:pos="720"/>
          <w:tab w:val="left" w:pos="1440"/>
          <w:tab w:val="left" w:pos="2160"/>
          <w:tab w:val="left" w:pos="2880"/>
          <w:tab w:val="left" w:pos="3600"/>
          <w:tab w:val="left" w:pos="4320"/>
          <w:tab w:val="left" w:pos="4500"/>
        </w:tabs>
        <w:spacing w:line="276" w:lineRule="auto"/>
        <w:ind w:right="-22"/>
        <w:rPr>
          <w:rFonts w:ascii="Arial" w:hAnsi="Arial"/>
          <w:bCs/>
          <w:sz w:val="20"/>
          <w:lang w:val="en-US"/>
        </w:rPr>
      </w:pPr>
      <w:r w:rsidRPr="006E20A2">
        <w:rPr>
          <w:rFonts w:ascii="Arial" w:hAnsi="Arial"/>
          <w:b/>
          <w:sz w:val="20"/>
          <w:lang w:val="en-US"/>
        </w:rPr>
        <w:t xml:space="preserve">In the period 2010-2020, the Police altogether filed 461 criminal reports due to </w:t>
      </w:r>
      <w:r w:rsidR="002970B6">
        <w:rPr>
          <w:rFonts w:ascii="Arial" w:hAnsi="Arial"/>
          <w:b/>
          <w:sz w:val="20"/>
          <w:lang w:val="en-US"/>
        </w:rPr>
        <w:t>reasonable</w:t>
      </w:r>
      <w:r w:rsidRPr="006E20A2">
        <w:rPr>
          <w:rFonts w:ascii="Arial" w:hAnsi="Arial"/>
          <w:b/>
          <w:sz w:val="20"/>
          <w:lang w:val="en-US"/>
        </w:rPr>
        <w:t xml:space="preserve"> suspicion of committing the criminal offence of money laundering, which was more than 80,06% of all introduced procedures (555) </w:t>
      </w:r>
      <w:proofErr w:type="gramStart"/>
      <w:r w:rsidRPr="006E20A2">
        <w:rPr>
          <w:rFonts w:ascii="Arial" w:hAnsi="Arial"/>
          <w:b/>
          <w:sz w:val="20"/>
          <w:lang w:val="en-US"/>
        </w:rPr>
        <w:t>with regard to</w:t>
      </w:r>
      <w:proofErr w:type="gramEnd"/>
      <w:r w:rsidRPr="006E20A2">
        <w:rPr>
          <w:rFonts w:ascii="Arial" w:hAnsi="Arial"/>
          <w:b/>
          <w:sz w:val="20"/>
          <w:lang w:val="en-US"/>
        </w:rPr>
        <w:t xml:space="preserve"> money laundering in this period.  </w:t>
      </w:r>
      <w:r w:rsidR="001A6F37" w:rsidRPr="006E20A2">
        <w:rPr>
          <w:rFonts w:ascii="Arial" w:hAnsi="Arial"/>
          <w:bCs/>
          <w:sz w:val="20"/>
          <w:lang w:val="en-US"/>
        </w:rPr>
        <w:t>Other procedures were introduced by the State Prosecutor</w:t>
      </w:r>
      <w:r w:rsidR="002970B6">
        <w:rPr>
          <w:rFonts w:ascii="Arial" w:hAnsi="Arial"/>
          <w:bCs/>
          <w:sz w:val="20"/>
          <w:lang w:val="en-US"/>
        </w:rPr>
        <w:t>’</w:t>
      </w:r>
      <w:r w:rsidR="001A6F37" w:rsidRPr="006E20A2">
        <w:rPr>
          <w:rFonts w:ascii="Arial" w:hAnsi="Arial"/>
          <w:bCs/>
          <w:sz w:val="20"/>
          <w:lang w:val="en-US"/>
        </w:rPr>
        <w:t xml:space="preserve">s Office independently or from other criminal procedures. The number of filed criminal reports due to </w:t>
      </w:r>
      <w:r w:rsidR="002970B6">
        <w:rPr>
          <w:rFonts w:ascii="Arial" w:hAnsi="Arial"/>
          <w:bCs/>
          <w:sz w:val="20"/>
          <w:lang w:val="en-US"/>
        </w:rPr>
        <w:t>reasonable grounds for</w:t>
      </w:r>
      <w:r w:rsidR="001A6F37" w:rsidRPr="006E20A2">
        <w:rPr>
          <w:rFonts w:ascii="Arial" w:hAnsi="Arial"/>
          <w:bCs/>
          <w:sz w:val="20"/>
          <w:lang w:val="en-US"/>
        </w:rPr>
        <w:t xml:space="preserve"> suspicion of committing the criminal offence of money laundering of the Police in years of the period 2010-2020 </w:t>
      </w:r>
      <w:r w:rsidR="00FA1A1F">
        <w:rPr>
          <w:rFonts w:ascii="Arial" w:hAnsi="Arial"/>
          <w:bCs/>
          <w:sz w:val="20"/>
          <w:lang w:val="en-US"/>
        </w:rPr>
        <w:t>is</w:t>
      </w:r>
      <w:r w:rsidR="001A6F37" w:rsidRPr="006E20A2">
        <w:rPr>
          <w:rFonts w:ascii="Arial" w:hAnsi="Arial"/>
          <w:bCs/>
          <w:sz w:val="20"/>
          <w:lang w:val="en-US"/>
        </w:rPr>
        <w:t xml:space="preserve"> shown in the graph below.</w:t>
      </w:r>
    </w:p>
    <w:p w14:paraId="7151E04D" w14:textId="3B42D514" w:rsidR="00005CBE" w:rsidRDefault="00005CBE" w:rsidP="00D21F86">
      <w:pPr>
        <w:pStyle w:val="Telobesedila"/>
        <w:spacing w:line="276" w:lineRule="auto"/>
        <w:ind w:right="-22"/>
        <w:rPr>
          <w:rFonts w:ascii="Arial" w:hAnsi="Arial"/>
          <w:sz w:val="20"/>
          <w:lang w:val="en-US"/>
        </w:rPr>
      </w:pPr>
    </w:p>
    <w:p w14:paraId="0DF5256E" w14:textId="10A9932D" w:rsidR="00195336" w:rsidRDefault="00195336" w:rsidP="00D21F86">
      <w:pPr>
        <w:pStyle w:val="Telobesedila"/>
        <w:spacing w:line="276" w:lineRule="auto"/>
        <w:ind w:right="-22"/>
        <w:rPr>
          <w:rFonts w:ascii="Arial" w:hAnsi="Arial"/>
          <w:sz w:val="20"/>
          <w:lang w:val="en-US"/>
        </w:rPr>
      </w:pPr>
    </w:p>
    <w:p w14:paraId="547FF140" w14:textId="4B56FE2A" w:rsidR="00195336" w:rsidRDefault="00195336" w:rsidP="00D21F86">
      <w:pPr>
        <w:pStyle w:val="Telobesedila"/>
        <w:spacing w:line="276" w:lineRule="auto"/>
        <w:ind w:right="-22"/>
        <w:rPr>
          <w:rFonts w:ascii="Arial" w:hAnsi="Arial"/>
          <w:sz w:val="20"/>
          <w:lang w:val="en-US"/>
        </w:rPr>
      </w:pPr>
    </w:p>
    <w:p w14:paraId="636169E5" w14:textId="2B2871D3" w:rsidR="00195336" w:rsidRDefault="00195336" w:rsidP="00D21F86">
      <w:pPr>
        <w:pStyle w:val="Telobesedila"/>
        <w:spacing w:line="276" w:lineRule="auto"/>
        <w:ind w:right="-22"/>
        <w:rPr>
          <w:rFonts w:ascii="Arial" w:hAnsi="Arial"/>
          <w:sz w:val="20"/>
          <w:lang w:val="en-US"/>
        </w:rPr>
      </w:pPr>
    </w:p>
    <w:p w14:paraId="49A37A40" w14:textId="1F95D7D9" w:rsidR="00195336" w:rsidRDefault="00195336" w:rsidP="00D21F86">
      <w:pPr>
        <w:pStyle w:val="Telobesedila"/>
        <w:spacing w:line="276" w:lineRule="auto"/>
        <w:ind w:right="-22"/>
        <w:rPr>
          <w:rFonts w:ascii="Arial" w:hAnsi="Arial"/>
          <w:sz w:val="20"/>
          <w:lang w:val="en-US"/>
        </w:rPr>
      </w:pPr>
    </w:p>
    <w:p w14:paraId="52865734" w14:textId="06CC48A6" w:rsidR="00195336" w:rsidRDefault="00195336" w:rsidP="00D21F86">
      <w:pPr>
        <w:pStyle w:val="Telobesedila"/>
        <w:spacing w:line="276" w:lineRule="auto"/>
        <w:ind w:right="-22"/>
        <w:rPr>
          <w:rFonts w:ascii="Arial" w:hAnsi="Arial"/>
          <w:sz w:val="20"/>
          <w:lang w:val="en-US"/>
        </w:rPr>
      </w:pPr>
    </w:p>
    <w:p w14:paraId="660BCB37" w14:textId="6D7FDEAF" w:rsidR="00195336" w:rsidRDefault="00195336" w:rsidP="00D21F86">
      <w:pPr>
        <w:pStyle w:val="Telobesedila"/>
        <w:spacing w:line="276" w:lineRule="auto"/>
        <w:ind w:right="-22"/>
        <w:rPr>
          <w:rFonts w:ascii="Arial" w:hAnsi="Arial"/>
          <w:sz w:val="20"/>
          <w:lang w:val="en-US"/>
        </w:rPr>
      </w:pPr>
    </w:p>
    <w:p w14:paraId="5D8EDA61" w14:textId="4C5CB05A" w:rsidR="00195336" w:rsidRDefault="00195336" w:rsidP="00D21F86">
      <w:pPr>
        <w:pStyle w:val="Telobesedila"/>
        <w:spacing w:line="276" w:lineRule="auto"/>
        <w:ind w:right="-22"/>
        <w:rPr>
          <w:rFonts w:ascii="Arial" w:hAnsi="Arial"/>
          <w:sz w:val="20"/>
          <w:lang w:val="en-US"/>
        </w:rPr>
      </w:pPr>
    </w:p>
    <w:p w14:paraId="1AE642DE" w14:textId="0E9FEDC8" w:rsidR="00195336" w:rsidRDefault="00195336" w:rsidP="00D21F86">
      <w:pPr>
        <w:pStyle w:val="Telobesedila"/>
        <w:spacing w:line="276" w:lineRule="auto"/>
        <w:ind w:right="-22"/>
        <w:rPr>
          <w:rFonts w:ascii="Arial" w:hAnsi="Arial"/>
          <w:sz w:val="20"/>
          <w:lang w:val="en-US"/>
        </w:rPr>
      </w:pPr>
    </w:p>
    <w:p w14:paraId="2871CECD" w14:textId="31174A57" w:rsidR="00195336" w:rsidRDefault="00195336" w:rsidP="00D21F86">
      <w:pPr>
        <w:pStyle w:val="Telobesedila"/>
        <w:spacing w:line="276" w:lineRule="auto"/>
        <w:ind w:right="-22"/>
        <w:rPr>
          <w:rFonts w:ascii="Arial" w:hAnsi="Arial"/>
          <w:sz w:val="20"/>
          <w:lang w:val="en-US"/>
        </w:rPr>
      </w:pPr>
    </w:p>
    <w:p w14:paraId="658BCA76" w14:textId="3EE30F6C" w:rsidR="00195336" w:rsidRDefault="00195336" w:rsidP="00D21F86">
      <w:pPr>
        <w:pStyle w:val="Telobesedila"/>
        <w:spacing w:line="276" w:lineRule="auto"/>
        <w:ind w:right="-22"/>
        <w:rPr>
          <w:rFonts w:ascii="Arial" w:hAnsi="Arial"/>
          <w:sz w:val="20"/>
          <w:lang w:val="en-US"/>
        </w:rPr>
      </w:pPr>
    </w:p>
    <w:p w14:paraId="27D3740F" w14:textId="76182469" w:rsidR="00195336" w:rsidRDefault="00195336" w:rsidP="00D21F86">
      <w:pPr>
        <w:pStyle w:val="Telobesedila"/>
        <w:spacing w:line="276" w:lineRule="auto"/>
        <w:ind w:right="-22"/>
        <w:rPr>
          <w:rFonts w:ascii="Arial" w:hAnsi="Arial"/>
          <w:sz w:val="20"/>
          <w:lang w:val="en-US"/>
        </w:rPr>
      </w:pPr>
    </w:p>
    <w:p w14:paraId="1739BC7E" w14:textId="1D00FA6D" w:rsidR="00195336" w:rsidRDefault="00195336" w:rsidP="00D21F86">
      <w:pPr>
        <w:pStyle w:val="Telobesedila"/>
        <w:spacing w:line="276" w:lineRule="auto"/>
        <w:ind w:right="-22"/>
        <w:rPr>
          <w:rFonts w:ascii="Arial" w:hAnsi="Arial"/>
          <w:sz w:val="20"/>
          <w:lang w:val="en-US"/>
        </w:rPr>
      </w:pPr>
    </w:p>
    <w:p w14:paraId="4993FA78" w14:textId="4CFCA363" w:rsidR="00195336" w:rsidRDefault="00195336" w:rsidP="00D21F86">
      <w:pPr>
        <w:pStyle w:val="Telobesedila"/>
        <w:spacing w:line="276" w:lineRule="auto"/>
        <w:ind w:right="-22"/>
        <w:rPr>
          <w:rFonts w:ascii="Arial" w:hAnsi="Arial"/>
          <w:sz w:val="20"/>
          <w:lang w:val="en-US"/>
        </w:rPr>
      </w:pPr>
    </w:p>
    <w:p w14:paraId="1314E5FC" w14:textId="23C79FEF" w:rsidR="00195336" w:rsidRDefault="00195336" w:rsidP="00D21F86">
      <w:pPr>
        <w:pStyle w:val="Telobesedila"/>
        <w:spacing w:line="276" w:lineRule="auto"/>
        <w:ind w:right="-22"/>
        <w:rPr>
          <w:rFonts w:ascii="Arial" w:hAnsi="Arial"/>
          <w:sz w:val="20"/>
          <w:lang w:val="en-US"/>
        </w:rPr>
      </w:pPr>
    </w:p>
    <w:p w14:paraId="3C4F4DD2" w14:textId="49693B65" w:rsidR="00195336" w:rsidRDefault="00195336" w:rsidP="00D21F86">
      <w:pPr>
        <w:pStyle w:val="Telobesedila"/>
        <w:spacing w:line="276" w:lineRule="auto"/>
        <w:ind w:right="-22"/>
        <w:rPr>
          <w:rFonts w:ascii="Arial" w:hAnsi="Arial"/>
          <w:sz w:val="20"/>
          <w:lang w:val="en-US"/>
        </w:rPr>
      </w:pPr>
    </w:p>
    <w:p w14:paraId="65185DD1" w14:textId="72D409BE" w:rsidR="00195336" w:rsidRDefault="00195336" w:rsidP="00D21F86">
      <w:pPr>
        <w:pStyle w:val="Telobesedila"/>
        <w:spacing w:line="276" w:lineRule="auto"/>
        <w:ind w:right="-22"/>
        <w:rPr>
          <w:rFonts w:ascii="Arial" w:hAnsi="Arial"/>
          <w:sz w:val="20"/>
          <w:lang w:val="en-US"/>
        </w:rPr>
      </w:pPr>
    </w:p>
    <w:p w14:paraId="4B86B0AA" w14:textId="0934404E" w:rsidR="00195336" w:rsidRDefault="00195336" w:rsidP="00D21F86">
      <w:pPr>
        <w:pStyle w:val="Telobesedila"/>
        <w:spacing w:line="276" w:lineRule="auto"/>
        <w:ind w:right="-22"/>
        <w:rPr>
          <w:rFonts w:ascii="Arial" w:hAnsi="Arial"/>
          <w:sz w:val="20"/>
          <w:lang w:val="en-US"/>
        </w:rPr>
      </w:pPr>
    </w:p>
    <w:p w14:paraId="34939BF2" w14:textId="1DD261D1" w:rsidR="00195336" w:rsidRDefault="00195336" w:rsidP="00D21F86">
      <w:pPr>
        <w:pStyle w:val="Telobesedila"/>
        <w:spacing w:line="276" w:lineRule="auto"/>
        <w:ind w:right="-22"/>
        <w:rPr>
          <w:rFonts w:ascii="Arial" w:hAnsi="Arial"/>
          <w:sz w:val="20"/>
          <w:lang w:val="en-US"/>
        </w:rPr>
      </w:pPr>
    </w:p>
    <w:p w14:paraId="2AFF4CAB" w14:textId="1F2D0960" w:rsidR="00195336" w:rsidRDefault="00195336" w:rsidP="00D21F86">
      <w:pPr>
        <w:pStyle w:val="Telobesedila"/>
        <w:spacing w:line="276" w:lineRule="auto"/>
        <w:ind w:right="-22"/>
        <w:rPr>
          <w:rFonts w:ascii="Arial" w:hAnsi="Arial"/>
          <w:sz w:val="20"/>
          <w:lang w:val="en-US"/>
        </w:rPr>
      </w:pPr>
    </w:p>
    <w:p w14:paraId="1DCD65C5" w14:textId="6BC5EB63" w:rsidR="00195336" w:rsidRDefault="00195336" w:rsidP="00D21F86">
      <w:pPr>
        <w:pStyle w:val="Telobesedila"/>
        <w:spacing w:line="276" w:lineRule="auto"/>
        <w:ind w:right="-22"/>
        <w:rPr>
          <w:rFonts w:ascii="Arial" w:hAnsi="Arial"/>
          <w:sz w:val="20"/>
          <w:lang w:val="en-US"/>
        </w:rPr>
      </w:pPr>
    </w:p>
    <w:p w14:paraId="22E43758" w14:textId="282BE08B" w:rsidR="00195336" w:rsidRDefault="00195336" w:rsidP="00D21F86">
      <w:pPr>
        <w:pStyle w:val="Telobesedila"/>
        <w:spacing w:line="276" w:lineRule="auto"/>
        <w:ind w:right="-22"/>
        <w:rPr>
          <w:rFonts w:ascii="Arial" w:hAnsi="Arial"/>
          <w:sz w:val="20"/>
          <w:lang w:val="en-US"/>
        </w:rPr>
      </w:pPr>
    </w:p>
    <w:p w14:paraId="36520977" w14:textId="77777777" w:rsidR="00195336" w:rsidRPr="006E20A2" w:rsidRDefault="00195336" w:rsidP="00D21F86">
      <w:pPr>
        <w:pStyle w:val="Telobesedila"/>
        <w:spacing w:line="276" w:lineRule="auto"/>
        <w:ind w:right="-22"/>
        <w:rPr>
          <w:rFonts w:ascii="Arial" w:hAnsi="Arial"/>
          <w:sz w:val="20"/>
          <w:lang w:val="en-US"/>
        </w:rPr>
      </w:pPr>
    </w:p>
    <w:p w14:paraId="6E2876F3" w14:textId="1AF25A0C" w:rsidR="00552439" w:rsidRPr="006E20A2" w:rsidRDefault="001A6F37" w:rsidP="00552439">
      <w:pPr>
        <w:widowControl/>
        <w:spacing w:line="276" w:lineRule="auto"/>
        <w:ind w:left="851" w:right="-22" w:hanging="851"/>
        <w:rPr>
          <w:rFonts w:ascii="Arial" w:hAnsi="Arial"/>
          <w:b/>
          <w:i/>
          <w:sz w:val="20"/>
          <w:lang w:val="en-US"/>
        </w:rPr>
      </w:pPr>
      <w:r w:rsidRPr="006E20A2">
        <w:rPr>
          <w:rFonts w:ascii="Arial" w:hAnsi="Arial"/>
          <w:b/>
          <w:i/>
          <w:sz w:val="20"/>
          <w:lang w:val="en-US"/>
        </w:rPr>
        <w:t xml:space="preserve">Graph </w:t>
      </w:r>
      <w:r w:rsidR="00C62DE6" w:rsidRPr="006E20A2">
        <w:rPr>
          <w:rFonts w:ascii="Arial" w:hAnsi="Arial"/>
          <w:b/>
          <w:i/>
          <w:sz w:val="20"/>
          <w:lang w:val="en-US"/>
        </w:rPr>
        <w:t>1</w:t>
      </w:r>
      <w:r w:rsidR="00552439" w:rsidRPr="006E20A2">
        <w:rPr>
          <w:rFonts w:ascii="Arial" w:hAnsi="Arial"/>
          <w:b/>
          <w:i/>
          <w:sz w:val="20"/>
          <w:lang w:val="en-US"/>
        </w:rPr>
        <w:t xml:space="preserve">: </w:t>
      </w:r>
      <w:r w:rsidRPr="006E20A2">
        <w:rPr>
          <w:rFonts w:ascii="Arial" w:hAnsi="Arial"/>
          <w:b/>
          <w:i/>
          <w:sz w:val="20"/>
          <w:lang w:val="en-US"/>
        </w:rPr>
        <w:t xml:space="preserve">Number of filed criminal reports due to </w:t>
      </w:r>
      <w:r w:rsidR="002970B6">
        <w:rPr>
          <w:rFonts w:ascii="Arial" w:hAnsi="Arial"/>
          <w:b/>
          <w:i/>
          <w:sz w:val="20"/>
          <w:lang w:val="en-US"/>
        </w:rPr>
        <w:t>reasonable grounds for</w:t>
      </w:r>
      <w:r w:rsidRPr="006E20A2">
        <w:rPr>
          <w:rFonts w:ascii="Arial" w:hAnsi="Arial"/>
          <w:b/>
          <w:i/>
          <w:sz w:val="20"/>
          <w:lang w:val="en-US"/>
        </w:rPr>
        <w:t xml:space="preserve"> suspicion of committing the </w:t>
      </w:r>
      <w:r w:rsidR="006E20A2" w:rsidRPr="006E20A2">
        <w:rPr>
          <w:rFonts w:ascii="Arial" w:hAnsi="Arial"/>
          <w:b/>
          <w:i/>
          <w:sz w:val="20"/>
          <w:lang w:val="en-US"/>
        </w:rPr>
        <w:t>criminal</w:t>
      </w:r>
      <w:r w:rsidRPr="006E20A2">
        <w:rPr>
          <w:rFonts w:ascii="Arial" w:hAnsi="Arial"/>
          <w:b/>
          <w:i/>
          <w:sz w:val="20"/>
          <w:lang w:val="en-US"/>
        </w:rPr>
        <w:t xml:space="preserve"> offence of money </w:t>
      </w:r>
      <w:r w:rsidR="006E20A2" w:rsidRPr="006E20A2">
        <w:rPr>
          <w:rFonts w:ascii="Arial" w:hAnsi="Arial"/>
          <w:b/>
          <w:i/>
          <w:sz w:val="20"/>
          <w:lang w:val="en-US"/>
        </w:rPr>
        <w:t>laundering</w:t>
      </w:r>
      <w:r w:rsidRPr="006E20A2">
        <w:rPr>
          <w:rFonts w:ascii="Arial" w:hAnsi="Arial"/>
          <w:b/>
          <w:i/>
          <w:sz w:val="20"/>
          <w:lang w:val="en-US"/>
        </w:rPr>
        <w:t xml:space="preserve"> in the period from</w:t>
      </w:r>
      <w:r w:rsidR="00552439" w:rsidRPr="006E20A2">
        <w:rPr>
          <w:rFonts w:ascii="Arial" w:hAnsi="Arial"/>
          <w:b/>
          <w:i/>
          <w:sz w:val="20"/>
          <w:lang w:val="en-US"/>
        </w:rPr>
        <w:t xml:space="preserve"> 2010</w:t>
      </w:r>
      <w:r w:rsidR="00C56485">
        <w:rPr>
          <w:rFonts w:ascii="Arial" w:hAnsi="Arial"/>
          <w:b/>
          <w:i/>
          <w:sz w:val="20"/>
          <w:lang w:val="en-US"/>
        </w:rPr>
        <w:t xml:space="preserve"> </w:t>
      </w:r>
      <w:r w:rsidR="00552439" w:rsidRPr="006E20A2">
        <w:rPr>
          <w:rFonts w:ascii="Arial" w:hAnsi="Arial"/>
          <w:b/>
          <w:i/>
          <w:sz w:val="20"/>
          <w:lang w:val="en-US"/>
        </w:rPr>
        <w:t>–</w:t>
      </w:r>
      <w:r w:rsidR="00C56485">
        <w:rPr>
          <w:rFonts w:ascii="Arial" w:hAnsi="Arial"/>
          <w:b/>
          <w:i/>
          <w:sz w:val="20"/>
          <w:lang w:val="en-US"/>
        </w:rPr>
        <w:t xml:space="preserve"> </w:t>
      </w:r>
      <w:proofErr w:type="gramStart"/>
      <w:r w:rsidR="00552439" w:rsidRPr="006E20A2">
        <w:rPr>
          <w:rFonts w:ascii="Arial" w:hAnsi="Arial"/>
          <w:b/>
          <w:i/>
          <w:sz w:val="20"/>
          <w:lang w:val="en-US"/>
        </w:rPr>
        <w:t>2020</w:t>
      </w:r>
      <w:proofErr w:type="gramEnd"/>
    </w:p>
    <w:p w14:paraId="4124B665" w14:textId="38762027" w:rsidR="00FB7FF2" w:rsidRPr="006E20A2" w:rsidRDefault="00FB7FF2" w:rsidP="00552439">
      <w:pPr>
        <w:widowControl/>
        <w:spacing w:line="276" w:lineRule="auto"/>
        <w:ind w:left="851" w:right="-22" w:hanging="851"/>
        <w:rPr>
          <w:rFonts w:ascii="Arial" w:hAnsi="Arial"/>
          <w:b/>
          <w:i/>
          <w:sz w:val="20"/>
          <w:lang w:val="en-US"/>
        </w:rPr>
      </w:pPr>
    </w:p>
    <w:p w14:paraId="6AA97F76" w14:textId="2AA33CE0" w:rsidR="00FB7FF2" w:rsidRPr="006E20A2" w:rsidRDefault="00C56485" w:rsidP="00552439">
      <w:pPr>
        <w:widowControl/>
        <w:spacing w:line="276" w:lineRule="auto"/>
        <w:ind w:left="851" w:right="-22" w:hanging="851"/>
        <w:rPr>
          <w:rFonts w:ascii="Arial" w:hAnsi="Arial"/>
          <w:b/>
          <w:i/>
          <w:sz w:val="20"/>
          <w:lang w:val="en-US"/>
        </w:rPr>
      </w:pPr>
      <w:r>
        <w:rPr>
          <w:noProof/>
          <w:lang w:val="en-GB" w:eastAsia="en-GB"/>
        </w:rPr>
        <w:lastRenderedPageBreak/>
        <w:drawing>
          <wp:inline distT="0" distB="0" distL="0" distR="0" wp14:anchorId="5363186B" wp14:editId="62E41E29">
            <wp:extent cx="5746750" cy="3843836"/>
            <wp:effectExtent l="0" t="0" r="6350" b="4445"/>
            <wp:docPr id="2" name="Grafikon 2" descr="Number of filed criminal reports due to reasonable grounds for suspicion of committing the criminal offence of money laundering in the period from 2010 – 2020.">
              <a:extLst xmlns:a="http://schemas.openxmlformats.org/drawingml/2006/main">
                <a:ext uri="{FF2B5EF4-FFF2-40B4-BE49-F238E27FC236}">
                  <a16:creationId xmlns:a16="http://schemas.microsoft.com/office/drawing/2014/main" id="{00000000-0008-0000-0000-000005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F81693" w14:textId="6886CCCF" w:rsidR="001A6F37" w:rsidRPr="006E20A2" w:rsidRDefault="001A6F37" w:rsidP="00C62DE6">
      <w:pPr>
        <w:pStyle w:val="Telobesedila"/>
        <w:spacing w:line="276" w:lineRule="auto"/>
        <w:ind w:right="-22"/>
        <w:rPr>
          <w:rFonts w:ascii="Arial" w:hAnsi="Arial"/>
          <w:sz w:val="20"/>
          <w:lang w:val="en-US"/>
        </w:rPr>
      </w:pPr>
    </w:p>
    <w:p w14:paraId="32738D8B" w14:textId="535B9583" w:rsidR="001A6F37" w:rsidRPr="006E20A2" w:rsidRDefault="001A6F37" w:rsidP="001A6F37">
      <w:pPr>
        <w:pStyle w:val="Telobesedila"/>
        <w:spacing w:line="276" w:lineRule="auto"/>
        <w:ind w:right="-22"/>
        <w:rPr>
          <w:rFonts w:ascii="Arial" w:hAnsi="Arial"/>
          <w:sz w:val="20"/>
          <w:lang w:val="en-US"/>
        </w:rPr>
      </w:pPr>
      <w:r w:rsidRPr="006E20A2">
        <w:rPr>
          <w:rFonts w:ascii="Arial" w:hAnsi="Arial"/>
          <w:color w:val="000000" w:themeColor="text1"/>
          <w:sz w:val="20"/>
          <w:lang w:val="en-US"/>
        </w:rPr>
        <w:t>In 2020</w:t>
      </w:r>
      <w:r w:rsidR="00FA1A1F">
        <w:rPr>
          <w:rFonts w:ascii="Arial" w:hAnsi="Arial"/>
          <w:color w:val="000000" w:themeColor="text1"/>
          <w:sz w:val="20"/>
          <w:lang w:val="en-US"/>
        </w:rPr>
        <w:t>,</w:t>
      </w:r>
      <w:r w:rsidRPr="006E20A2">
        <w:rPr>
          <w:rFonts w:ascii="Arial" w:hAnsi="Arial"/>
          <w:color w:val="000000" w:themeColor="text1"/>
          <w:sz w:val="20"/>
          <w:lang w:val="en-US"/>
        </w:rPr>
        <w:t xml:space="preserve"> the Police filed 26 </w:t>
      </w:r>
      <w:r w:rsidRPr="006E20A2">
        <w:rPr>
          <w:rFonts w:ascii="Arial" w:hAnsi="Arial"/>
          <w:bCs/>
          <w:sz w:val="20"/>
          <w:lang w:val="en-US"/>
        </w:rPr>
        <w:t xml:space="preserve">criminal reports due to </w:t>
      </w:r>
      <w:r w:rsidR="006514B9">
        <w:rPr>
          <w:rFonts w:ascii="Arial" w:hAnsi="Arial"/>
          <w:bCs/>
          <w:sz w:val="20"/>
          <w:lang w:val="en-US"/>
        </w:rPr>
        <w:t>reasonable</w:t>
      </w:r>
      <w:r w:rsidRPr="006E20A2">
        <w:rPr>
          <w:rFonts w:ascii="Arial" w:hAnsi="Arial"/>
          <w:bCs/>
          <w:sz w:val="20"/>
          <w:lang w:val="en-US"/>
        </w:rPr>
        <w:t xml:space="preserve"> suspicion of committing the criminal offence of money laundering, </w:t>
      </w:r>
      <w:r w:rsidRPr="006E20A2">
        <w:rPr>
          <w:rFonts w:ascii="Arial" w:hAnsi="Arial"/>
          <w:color w:val="000000" w:themeColor="text1"/>
          <w:sz w:val="20"/>
          <w:lang w:val="en-US"/>
        </w:rPr>
        <w:t xml:space="preserve">which is above the average for the last six years. The graph shows that 60 % of </w:t>
      </w:r>
      <w:r w:rsidRPr="006E20A2">
        <w:rPr>
          <w:rFonts w:ascii="Arial" w:hAnsi="Arial"/>
          <w:bCs/>
          <w:sz w:val="20"/>
          <w:lang w:val="en-US"/>
        </w:rPr>
        <w:t>criminal reports</w:t>
      </w:r>
      <w:r w:rsidR="00FA1A1F">
        <w:rPr>
          <w:rFonts w:ascii="Arial" w:hAnsi="Arial"/>
          <w:bCs/>
          <w:sz w:val="20"/>
          <w:lang w:val="en-US"/>
        </w:rPr>
        <w:t xml:space="preserve"> filed</w:t>
      </w:r>
      <w:r w:rsidRPr="006E20A2">
        <w:rPr>
          <w:rFonts w:ascii="Arial" w:hAnsi="Arial"/>
          <w:bCs/>
          <w:sz w:val="20"/>
          <w:lang w:val="en-US"/>
        </w:rPr>
        <w:t xml:space="preserve"> due to </w:t>
      </w:r>
      <w:r w:rsidR="006514B9">
        <w:rPr>
          <w:rFonts w:ascii="Arial" w:hAnsi="Arial"/>
          <w:bCs/>
          <w:sz w:val="20"/>
          <w:lang w:val="en-US"/>
        </w:rPr>
        <w:t>reasonable</w:t>
      </w:r>
      <w:r w:rsidRPr="006E20A2">
        <w:rPr>
          <w:rFonts w:ascii="Arial" w:hAnsi="Arial"/>
          <w:bCs/>
          <w:sz w:val="20"/>
          <w:lang w:val="en-US"/>
        </w:rPr>
        <w:t xml:space="preserve"> suspicion of committing the criminal offence of money laundering, were based on information forwarded to the Police by the Office</w:t>
      </w:r>
      <w:r w:rsidR="00FA1A1F">
        <w:rPr>
          <w:rFonts w:ascii="Arial" w:hAnsi="Arial"/>
          <w:bCs/>
          <w:sz w:val="20"/>
          <w:lang w:val="en-US"/>
        </w:rPr>
        <w:t>.</w:t>
      </w:r>
      <w:r w:rsidRPr="006E20A2">
        <w:rPr>
          <w:rFonts w:ascii="Arial" w:hAnsi="Arial"/>
          <w:sz w:val="20"/>
          <w:lang w:val="en-US"/>
        </w:rPr>
        <w:t xml:space="preserve"> The rate deviates strongly only for </w:t>
      </w:r>
      <w:r w:rsidR="00FA1A1F">
        <w:rPr>
          <w:rFonts w:ascii="Arial" w:hAnsi="Arial"/>
          <w:sz w:val="20"/>
          <w:lang w:val="en-US"/>
        </w:rPr>
        <w:t xml:space="preserve">the years </w:t>
      </w:r>
      <w:r w:rsidRPr="006E20A2">
        <w:rPr>
          <w:rFonts w:ascii="Arial" w:hAnsi="Arial"/>
          <w:sz w:val="20"/>
          <w:lang w:val="en-US"/>
        </w:rPr>
        <w:t xml:space="preserve">2018 and 2020, when the </w:t>
      </w:r>
      <w:r w:rsidR="00E1625D">
        <w:rPr>
          <w:rFonts w:ascii="Arial" w:hAnsi="Arial"/>
          <w:sz w:val="20"/>
          <w:lang w:val="en-US"/>
        </w:rPr>
        <w:t xml:space="preserve">fewest </w:t>
      </w:r>
      <w:r w:rsidRPr="006E20A2">
        <w:rPr>
          <w:rFonts w:ascii="Arial" w:hAnsi="Arial"/>
          <w:sz w:val="20"/>
          <w:lang w:val="en-US"/>
        </w:rPr>
        <w:t>criminal reports in the last ten years were filed</w:t>
      </w:r>
      <w:r w:rsidR="00FA1A1F">
        <w:rPr>
          <w:rFonts w:ascii="Arial" w:hAnsi="Arial"/>
          <w:sz w:val="20"/>
          <w:lang w:val="en-US"/>
        </w:rPr>
        <w:t>.</w:t>
      </w:r>
    </w:p>
    <w:p w14:paraId="6080CA69" w14:textId="68FE9CA9" w:rsidR="00851C49" w:rsidRPr="006E20A2" w:rsidRDefault="00292A8B" w:rsidP="00BA5BC9">
      <w:pPr>
        <w:pStyle w:val="Naslov3"/>
        <w:rPr>
          <w:lang w:val="en-US"/>
        </w:rPr>
      </w:pPr>
      <w:bookmarkStart w:id="50" w:name="_Toc113535472"/>
      <w:r w:rsidRPr="006E20A2">
        <w:rPr>
          <w:lang w:val="en-US"/>
        </w:rPr>
        <w:t xml:space="preserve">4.1.4 </w:t>
      </w:r>
      <w:r w:rsidR="00103C30" w:rsidRPr="006E20A2">
        <w:rPr>
          <w:lang w:val="en-US"/>
        </w:rPr>
        <w:t>Statistical data on pre-</w:t>
      </w:r>
      <w:r w:rsidR="006514B9">
        <w:rPr>
          <w:lang w:val="en-US"/>
        </w:rPr>
        <w:t>trial</w:t>
      </w:r>
      <w:r w:rsidR="006514B9" w:rsidRPr="006E20A2">
        <w:rPr>
          <w:lang w:val="en-US"/>
        </w:rPr>
        <w:t xml:space="preserve"> </w:t>
      </w:r>
      <w:r w:rsidR="00103C30" w:rsidRPr="006E20A2">
        <w:rPr>
          <w:lang w:val="en-US"/>
        </w:rPr>
        <w:t xml:space="preserve">and criminal proceedings </w:t>
      </w:r>
      <w:r w:rsidR="006514B9">
        <w:rPr>
          <w:lang w:val="en-US"/>
        </w:rPr>
        <w:t>for</w:t>
      </w:r>
      <w:r w:rsidR="006514B9" w:rsidRPr="006E20A2">
        <w:rPr>
          <w:lang w:val="en-US"/>
        </w:rPr>
        <w:t xml:space="preserve"> </w:t>
      </w:r>
      <w:r w:rsidR="00103C30" w:rsidRPr="006E20A2">
        <w:rPr>
          <w:lang w:val="en-US"/>
        </w:rPr>
        <w:t>the criminal offence of money laundering</w:t>
      </w:r>
      <w:bookmarkEnd w:id="50"/>
      <w:r w:rsidR="00851C49" w:rsidRPr="006E20A2">
        <w:rPr>
          <w:lang w:val="en-US"/>
        </w:rPr>
        <w:t xml:space="preserve"> </w:t>
      </w:r>
    </w:p>
    <w:p w14:paraId="0D4031CD" w14:textId="762EDD46" w:rsidR="00F05655" w:rsidRPr="006E20A2" w:rsidRDefault="00F05655" w:rsidP="00D21F86">
      <w:pPr>
        <w:pStyle w:val="Telobesedila"/>
        <w:spacing w:line="276" w:lineRule="auto"/>
        <w:ind w:right="-22"/>
        <w:rPr>
          <w:rFonts w:ascii="Arial" w:hAnsi="Arial"/>
          <w:sz w:val="20"/>
          <w:lang w:val="en-US"/>
        </w:rPr>
      </w:pPr>
    </w:p>
    <w:p w14:paraId="177D76EC" w14:textId="510FBD7F" w:rsidR="00896443" w:rsidRPr="006E20A2" w:rsidRDefault="00896443" w:rsidP="00896443">
      <w:pPr>
        <w:rPr>
          <w:rFonts w:ascii="Arial" w:hAnsi="Arial"/>
          <w:sz w:val="20"/>
          <w:lang w:val="en-US"/>
        </w:rPr>
      </w:pPr>
      <w:r w:rsidRPr="006E20A2">
        <w:rPr>
          <w:rFonts w:ascii="Arial" w:hAnsi="Arial"/>
          <w:sz w:val="20"/>
          <w:lang w:val="en-US"/>
        </w:rPr>
        <w:t>From the data received for the year 2020 from the State Prosecutors</w:t>
      </w:r>
      <w:r w:rsidR="006514B9">
        <w:rPr>
          <w:rFonts w:ascii="Arial" w:hAnsi="Arial"/>
          <w:sz w:val="20"/>
          <w:lang w:val="en-US"/>
        </w:rPr>
        <w:t>’</w:t>
      </w:r>
      <w:r w:rsidRPr="006E20A2">
        <w:rPr>
          <w:rFonts w:ascii="Arial" w:hAnsi="Arial"/>
          <w:sz w:val="20"/>
          <w:lang w:val="en-US"/>
        </w:rPr>
        <w:t xml:space="preserve"> Offices and </w:t>
      </w:r>
      <w:r w:rsidR="00E1625D">
        <w:rPr>
          <w:rFonts w:ascii="Arial" w:hAnsi="Arial"/>
          <w:sz w:val="20"/>
          <w:lang w:val="en-US"/>
        </w:rPr>
        <w:t>c</w:t>
      </w:r>
      <w:r w:rsidRPr="006E20A2">
        <w:rPr>
          <w:rFonts w:ascii="Arial" w:hAnsi="Arial"/>
          <w:sz w:val="20"/>
          <w:lang w:val="en-US"/>
        </w:rPr>
        <w:t xml:space="preserve">ourts </w:t>
      </w:r>
      <w:r w:rsidR="006514B9">
        <w:rPr>
          <w:rFonts w:ascii="Arial" w:hAnsi="Arial"/>
          <w:sz w:val="20"/>
          <w:lang w:val="en-US"/>
        </w:rPr>
        <w:t xml:space="preserve">it </w:t>
      </w:r>
      <w:r w:rsidRPr="006E20A2">
        <w:rPr>
          <w:rFonts w:ascii="Arial" w:hAnsi="Arial"/>
          <w:sz w:val="20"/>
          <w:lang w:val="en-US"/>
        </w:rPr>
        <w:t xml:space="preserve">could be seen that </w:t>
      </w:r>
      <w:proofErr w:type="gramStart"/>
      <w:r w:rsidRPr="006E20A2">
        <w:rPr>
          <w:rFonts w:ascii="Arial" w:hAnsi="Arial"/>
          <w:sz w:val="20"/>
          <w:lang w:val="en-US"/>
        </w:rPr>
        <w:t>with regard to</w:t>
      </w:r>
      <w:proofErr w:type="gramEnd"/>
      <w:r w:rsidRPr="006E20A2">
        <w:rPr>
          <w:rFonts w:ascii="Arial" w:hAnsi="Arial"/>
          <w:sz w:val="20"/>
          <w:lang w:val="en-US"/>
        </w:rPr>
        <w:t xml:space="preserve"> </w:t>
      </w:r>
      <w:r w:rsidRPr="006E20A2">
        <w:rPr>
          <w:rFonts w:ascii="Arial" w:hAnsi="Arial"/>
          <w:b/>
          <w:sz w:val="20"/>
          <w:lang w:val="en-US"/>
        </w:rPr>
        <w:t xml:space="preserve">667 cases against 1231 natural persons and </w:t>
      </w:r>
      <w:r w:rsidR="00A97994" w:rsidRPr="006E20A2">
        <w:rPr>
          <w:rFonts w:ascii="Arial" w:hAnsi="Arial"/>
          <w:b/>
          <w:sz w:val="20"/>
          <w:lang w:val="en-US"/>
        </w:rPr>
        <w:t>147</w:t>
      </w:r>
      <w:r w:rsidRPr="006E20A2">
        <w:rPr>
          <w:rFonts w:ascii="Arial" w:hAnsi="Arial"/>
          <w:b/>
          <w:sz w:val="20"/>
          <w:lang w:val="en-US"/>
        </w:rPr>
        <w:t xml:space="preserve"> legal persons</w:t>
      </w:r>
      <w:r w:rsidRPr="006E20A2">
        <w:rPr>
          <w:rFonts w:ascii="Arial" w:hAnsi="Arial"/>
          <w:sz w:val="20"/>
          <w:lang w:val="en-US"/>
        </w:rPr>
        <w:t xml:space="preserve"> the </w:t>
      </w:r>
      <w:r w:rsidR="006514B9">
        <w:rPr>
          <w:rFonts w:ascii="Arial" w:hAnsi="Arial"/>
          <w:sz w:val="20"/>
          <w:lang w:val="en-US"/>
        </w:rPr>
        <w:t>pre-trial</w:t>
      </w:r>
      <w:r w:rsidRPr="006E20A2">
        <w:rPr>
          <w:rFonts w:ascii="Arial" w:hAnsi="Arial"/>
          <w:sz w:val="20"/>
          <w:lang w:val="en-US"/>
        </w:rPr>
        <w:t xml:space="preserve"> and criminal procedures were at the following stages on 31 December </w:t>
      </w:r>
      <w:r w:rsidR="00A97994" w:rsidRPr="006E20A2">
        <w:rPr>
          <w:rFonts w:ascii="Arial" w:hAnsi="Arial"/>
          <w:sz w:val="20"/>
          <w:lang w:val="en-US"/>
        </w:rPr>
        <w:t>2020</w:t>
      </w:r>
      <w:r w:rsidRPr="006E20A2">
        <w:rPr>
          <w:rFonts w:ascii="Arial" w:hAnsi="Arial"/>
          <w:sz w:val="20"/>
          <w:lang w:val="en-US"/>
        </w:rPr>
        <w:t>:</w:t>
      </w:r>
    </w:p>
    <w:p w14:paraId="6872D607" w14:textId="1889AF79" w:rsidR="00B805B8" w:rsidRPr="006E20A2" w:rsidRDefault="00B805B8" w:rsidP="00D21F86">
      <w:pPr>
        <w:pStyle w:val="Telobesedila"/>
        <w:spacing w:line="276" w:lineRule="auto"/>
        <w:ind w:right="-22"/>
        <w:rPr>
          <w:rFonts w:ascii="Arial" w:hAnsi="Arial"/>
          <w:sz w:val="20"/>
          <w:lang w:val="en-US"/>
        </w:rPr>
      </w:pPr>
    </w:p>
    <w:p w14:paraId="537A1B55" w14:textId="7146E6F3" w:rsidR="00631096" w:rsidRPr="006E20A2" w:rsidRDefault="00A97994" w:rsidP="00631096">
      <w:pPr>
        <w:widowControl/>
        <w:spacing w:line="276" w:lineRule="auto"/>
        <w:ind w:left="1140" w:right="-22" w:hanging="1140"/>
        <w:rPr>
          <w:rFonts w:ascii="Arial" w:hAnsi="Arial"/>
          <w:b/>
          <w:i/>
          <w:sz w:val="20"/>
          <w:lang w:val="en-US"/>
        </w:rPr>
      </w:pPr>
      <w:r w:rsidRPr="006E20A2">
        <w:rPr>
          <w:rFonts w:ascii="Arial" w:hAnsi="Arial"/>
          <w:b/>
          <w:i/>
          <w:sz w:val="20"/>
          <w:lang w:val="en-US"/>
        </w:rPr>
        <w:t xml:space="preserve">Table </w:t>
      </w:r>
      <w:r w:rsidR="00C62DE6" w:rsidRPr="006E20A2">
        <w:rPr>
          <w:rFonts w:ascii="Arial" w:hAnsi="Arial"/>
          <w:b/>
          <w:i/>
          <w:sz w:val="20"/>
          <w:lang w:val="en-US"/>
        </w:rPr>
        <w:t>4</w:t>
      </w:r>
      <w:r w:rsidR="00631096" w:rsidRPr="006E20A2">
        <w:rPr>
          <w:rFonts w:ascii="Arial" w:hAnsi="Arial"/>
          <w:b/>
          <w:i/>
          <w:sz w:val="20"/>
          <w:lang w:val="en-US"/>
        </w:rPr>
        <w:t xml:space="preserve">: </w:t>
      </w:r>
      <w:r w:rsidR="00631096" w:rsidRPr="006E20A2">
        <w:rPr>
          <w:rFonts w:ascii="Arial" w:hAnsi="Arial"/>
          <w:b/>
          <w:i/>
          <w:sz w:val="20"/>
          <w:lang w:val="en-US"/>
        </w:rPr>
        <w:tab/>
      </w:r>
      <w:r w:rsidRPr="006E20A2">
        <w:rPr>
          <w:rFonts w:ascii="Arial" w:hAnsi="Arial"/>
          <w:b/>
          <w:i/>
          <w:sz w:val="20"/>
          <w:lang w:val="en-US"/>
        </w:rPr>
        <w:t>Stages of procedures of cases connected with the criminal offence of money laundering on</w:t>
      </w:r>
      <w:r w:rsidR="00631096" w:rsidRPr="006E20A2">
        <w:rPr>
          <w:rFonts w:ascii="Arial" w:hAnsi="Arial"/>
          <w:b/>
          <w:i/>
          <w:sz w:val="20"/>
          <w:lang w:val="en-US"/>
        </w:rPr>
        <w:t xml:space="preserve"> 31. 12. 20</w:t>
      </w:r>
      <w:r w:rsidR="00E1625D">
        <w:rPr>
          <w:rFonts w:ascii="Arial" w:hAnsi="Arial"/>
          <w:b/>
          <w:i/>
          <w:sz w:val="20"/>
          <w:lang w:val="en-US"/>
        </w:rPr>
        <w:t>20</w:t>
      </w:r>
    </w:p>
    <w:p w14:paraId="7FF9843E" w14:textId="225338E2" w:rsidR="00D56A22" w:rsidRPr="006E20A2" w:rsidRDefault="00D56A22" w:rsidP="00631096">
      <w:pPr>
        <w:widowControl/>
        <w:spacing w:line="276" w:lineRule="auto"/>
        <w:ind w:left="1140" w:right="-22" w:hanging="1140"/>
        <w:rPr>
          <w:rFonts w:ascii="Arial" w:hAnsi="Arial"/>
          <w:b/>
          <w:i/>
          <w:sz w:val="20"/>
          <w:lang w:val="en-US"/>
        </w:rPr>
      </w:pPr>
    </w:p>
    <w:tbl>
      <w:tblPr>
        <w:tblW w:w="8573" w:type="dxa"/>
        <w:tblInd w:w="70" w:type="dxa"/>
        <w:tblCellMar>
          <w:left w:w="70" w:type="dxa"/>
          <w:right w:w="70" w:type="dxa"/>
        </w:tblCellMar>
        <w:tblLook w:val="04A0" w:firstRow="1" w:lastRow="0" w:firstColumn="1" w:lastColumn="0" w:noHBand="0" w:noVBand="1"/>
      </w:tblPr>
      <w:tblGrid>
        <w:gridCol w:w="3686"/>
        <w:gridCol w:w="992"/>
        <w:gridCol w:w="1041"/>
        <w:gridCol w:w="992"/>
        <w:gridCol w:w="1041"/>
        <w:gridCol w:w="992"/>
      </w:tblGrid>
      <w:tr w:rsidR="00AA39C7" w:rsidRPr="006E20A2" w14:paraId="38CABFF3" w14:textId="77777777" w:rsidTr="00AA7991">
        <w:trPr>
          <w:trHeight w:val="780"/>
        </w:trPr>
        <w:tc>
          <w:tcPr>
            <w:tcW w:w="3686" w:type="dxa"/>
            <w:tcBorders>
              <w:top w:val="single" w:sz="8" w:space="0" w:color="auto"/>
              <w:left w:val="single" w:sz="8" w:space="0" w:color="auto"/>
              <w:bottom w:val="single" w:sz="8" w:space="0" w:color="auto"/>
              <w:right w:val="single" w:sz="8" w:space="0" w:color="auto"/>
            </w:tcBorders>
            <w:shd w:val="clear" w:color="000000" w:fill="00CCFF"/>
            <w:hideMark/>
          </w:tcPr>
          <w:p w14:paraId="202842AA" w14:textId="602AF0CE" w:rsidR="00AA39C7" w:rsidRPr="006E20A2" w:rsidRDefault="00AA39C7" w:rsidP="00AA39C7">
            <w:pPr>
              <w:widowControl/>
              <w:jc w:val="center"/>
              <w:rPr>
                <w:rFonts w:ascii="Arial" w:hAnsi="Arial"/>
                <w:b/>
                <w:bCs/>
                <w:sz w:val="20"/>
                <w:lang w:val="en-US" w:eastAsia="sl-SI"/>
              </w:rPr>
            </w:pPr>
            <w:r w:rsidRPr="006E20A2">
              <w:rPr>
                <w:rFonts w:ascii="Arial" w:hAnsi="Arial"/>
                <w:b/>
                <w:bCs/>
                <w:sz w:val="20"/>
                <w:lang w:val="en-US"/>
              </w:rPr>
              <w:t>STAGE OF PROCEDURE</w:t>
            </w:r>
          </w:p>
        </w:tc>
        <w:tc>
          <w:tcPr>
            <w:tcW w:w="992" w:type="dxa"/>
            <w:tcBorders>
              <w:top w:val="single" w:sz="8" w:space="0" w:color="auto"/>
              <w:left w:val="nil"/>
              <w:bottom w:val="single" w:sz="8" w:space="0" w:color="auto"/>
              <w:right w:val="single" w:sz="8" w:space="0" w:color="auto"/>
            </w:tcBorders>
            <w:shd w:val="clear" w:color="000000" w:fill="00CCFF"/>
            <w:hideMark/>
          </w:tcPr>
          <w:p w14:paraId="43923086" w14:textId="4101CFB0" w:rsidR="00AA39C7" w:rsidRPr="006E20A2" w:rsidRDefault="00AA39C7" w:rsidP="00AA39C7">
            <w:pPr>
              <w:widowControl/>
              <w:jc w:val="center"/>
              <w:rPr>
                <w:rFonts w:ascii="Arial" w:hAnsi="Arial"/>
                <w:b/>
                <w:bCs/>
                <w:sz w:val="20"/>
                <w:lang w:val="en-US" w:eastAsia="sl-SI"/>
              </w:rPr>
            </w:pPr>
            <w:r w:rsidRPr="006E20A2">
              <w:rPr>
                <w:rFonts w:ascii="Arial" w:eastAsia="Arial Unicode MS" w:hAnsi="Arial"/>
                <w:b/>
                <w:bCs/>
                <w:sz w:val="20"/>
                <w:lang w:val="en-US"/>
              </w:rPr>
              <w:t>No. of cases</w:t>
            </w:r>
          </w:p>
        </w:tc>
        <w:tc>
          <w:tcPr>
            <w:tcW w:w="919" w:type="dxa"/>
            <w:tcBorders>
              <w:top w:val="single" w:sz="8" w:space="0" w:color="auto"/>
              <w:left w:val="nil"/>
              <w:bottom w:val="single" w:sz="8" w:space="0" w:color="auto"/>
              <w:right w:val="single" w:sz="8" w:space="0" w:color="auto"/>
            </w:tcBorders>
            <w:shd w:val="clear" w:color="000000" w:fill="00CCFF"/>
            <w:hideMark/>
          </w:tcPr>
          <w:p w14:paraId="5A5C6A6E" w14:textId="18E8C4F4" w:rsidR="00AA39C7" w:rsidRPr="006E20A2" w:rsidRDefault="00AA39C7" w:rsidP="00AA39C7">
            <w:pPr>
              <w:widowControl/>
              <w:jc w:val="center"/>
              <w:rPr>
                <w:rFonts w:ascii="Arial" w:hAnsi="Arial"/>
                <w:b/>
                <w:bCs/>
                <w:sz w:val="20"/>
                <w:lang w:val="en-US" w:eastAsia="sl-SI"/>
              </w:rPr>
            </w:pPr>
            <w:r w:rsidRPr="006E20A2">
              <w:rPr>
                <w:rFonts w:ascii="Arial" w:eastAsia="Arial Unicode MS" w:hAnsi="Arial"/>
                <w:b/>
                <w:bCs/>
                <w:sz w:val="20"/>
                <w:lang w:val="en-US"/>
              </w:rPr>
              <w:t>Domestic natural persons</w:t>
            </w:r>
          </w:p>
        </w:tc>
        <w:tc>
          <w:tcPr>
            <w:tcW w:w="992" w:type="dxa"/>
            <w:tcBorders>
              <w:top w:val="single" w:sz="8" w:space="0" w:color="auto"/>
              <w:left w:val="nil"/>
              <w:bottom w:val="single" w:sz="8" w:space="0" w:color="auto"/>
              <w:right w:val="single" w:sz="8" w:space="0" w:color="auto"/>
            </w:tcBorders>
            <w:shd w:val="clear" w:color="000000" w:fill="00CCFF"/>
            <w:hideMark/>
          </w:tcPr>
          <w:p w14:paraId="266BF16D" w14:textId="739B397E" w:rsidR="00AA39C7" w:rsidRPr="006E20A2" w:rsidRDefault="00AA39C7" w:rsidP="00AA39C7">
            <w:pPr>
              <w:widowControl/>
              <w:jc w:val="center"/>
              <w:rPr>
                <w:rFonts w:ascii="Arial" w:hAnsi="Arial"/>
                <w:b/>
                <w:bCs/>
                <w:sz w:val="20"/>
                <w:lang w:val="en-US" w:eastAsia="sl-SI"/>
              </w:rPr>
            </w:pPr>
            <w:r w:rsidRPr="006E20A2">
              <w:rPr>
                <w:rFonts w:ascii="Arial" w:eastAsia="Arial Unicode MS" w:hAnsi="Arial"/>
                <w:b/>
                <w:bCs/>
                <w:sz w:val="20"/>
                <w:lang w:val="en-US"/>
              </w:rPr>
              <w:t>Foreign natural persons</w:t>
            </w:r>
          </w:p>
        </w:tc>
        <w:tc>
          <w:tcPr>
            <w:tcW w:w="992" w:type="dxa"/>
            <w:tcBorders>
              <w:top w:val="single" w:sz="8" w:space="0" w:color="auto"/>
              <w:left w:val="nil"/>
              <w:bottom w:val="single" w:sz="8" w:space="0" w:color="auto"/>
              <w:right w:val="single" w:sz="8" w:space="0" w:color="auto"/>
            </w:tcBorders>
            <w:shd w:val="clear" w:color="000000" w:fill="00CCFF"/>
            <w:hideMark/>
          </w:tcPr>
          <w:p w14:paraId="1619B8EB" w14:textId="157B0E12" w:rsidR="00AA39C7" w:rsidRPr="006E20A2" w:rsidRDefault="00AA39C7" w:rsidP="00AA39C7">
            <w:pPr>
              <w:widowControl/>
              <w:jc w:val="center"/>
              <w:rPr>
                <w:rFonts w:ascii="Arial" w:hAnsi="Arial"/>
                <w:b/>
                <w:bCs/>
                <w:sz w:val="20"/>
                <w:lang w:val="en-US" w:eastAsia="sl-SI"/>
              </w:rPr>
            </w:pPr>
            <w:r w:rsidRPr="006E20A2">
              <w:rPr>
                <w:rFonts w:ascii="Arial" w:eastAsia="Arial Unicode MS" w:hAnsi="Arial"/>
                <w:b/>
                <w:bCs/>
                <w:sz w:val="20"/>
                <w:lang w:val="en-US"/>
              </w:rPr>
              <w:t>Domestic legal persons</w:t>
            </w:r>
          </w:p>
        </w:tc>
        <w:tc>
          <w:tcPr>
            <w:tcW w:w="992" w:type="dxa"/>
            <w:tcBorders>
              <w:top w:val="single" w:sz="8" w:space="0" w:color="auto"/>
              <w:left w:val="nil"/>
              <w:bottom w:val="single" w:sz="8" w:space="0" w:color="auto"/>
              <w:right w:val="single" w:sz="8" w:space="0" w:color="auto"/>
            </w:tcBorders>
            <w:shd w:val="clear" w:color="000000" w:fill="00CCFF"/>
            <w:hideMark/>
          </w:tcPr>
          <w:p w14:paraId="73D7CC6F" w14:textId="640ABC9C" w:rsidR="00AA39C7" w:rsidRPr="006E20A2" w:rsidRDefault="00AA39C7" w:rsidP="00AA39C7">
            <w:pPr>
              <w:widowControl/>
              <w:jc w:val="center"/>
              <w:rPr>
                <w:rFonts w:ascii="Arial" w:hAnsi="Arial"/>
                <w:b/>
                <w:bCs/>
                <w:sz w:val="20"/>
                <w:lang w:val="en-US" w:eastAsia="sl-SI"/>
              </w:rPr>
            </w:pPr>
            <w:r w:rsidRPr="006E20A2">
              <w:rPr>
                <w:rFonts w:ascii="Arial" w:eastAsia="Arial Unicode MS" w:hAnsi="Arial"/>
                <w:b/>
                <w:bCs/>
                <w:sz w:val="20"/>
                <w:lang w:val="en-US"/>
              </w:rPr>
              <w:t>Foreign legal persons</w:t>
            </w:r>
          </w:p>
        </w:tc>
      </w:tr>
      <w:tr w:rsidR="00AA39C7" w:rsidRPr="006E20A2" w14:paraId="7E30CD53"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5532B068" w14:textId="3BF99023" w:rsidR="00AA39C7" w:rsidRPr="006E20A2" w:rsidRDefault="00AA39C7" w:rsidP="00AA39C7">
            <w:pPr>
              <w:widowControl/>
              <w:jc w:val="left"/>
              <w:rPr>
                <w:rFonts w:ascii="Arial" w:hAnsi="Arial"/>
                <w:sz w:val="18"/>
                <w:szCs w:val="18"/>
                <w:lang w:val="en-US" w:eastAsia="sl-SI"/>
              </w:rPr>
            </w:pPr>
            <w:r w:rsidRPr="006E20A2">
              <w:rPr>
                <w:rFonts w:ascii="Arial" w:hAnsi="Arial"/>
                <w:sz w:val="18"/>
                <w:szCs w:val="18"/>
                <w:lang w:val="en-US"/>
              </w:rPr>
              <w:t>SP*:  decision has not been made yet</w:t>
            </w:r>
          </w:p>
        </w:tc>
        <w:tc>
          <w:tcPr>
            <w:tcW w:w="992" w:type="dxa"/>
            <w:tcBorders>
              <w:top w:val="nil"/>
              <w:left w:val="nil"/>
              <w:bottom w:val="single" w:sz="8" w:space="0" w:color="auto"/>
              <w:right w:val="single" w:sz="8" w:space="0" w:color="auto"/>
            </w:tcBorders>
            <w:shd w:val="clear" w:color="auto" w:fill="auto"/>
            <w:noWrap/>
            <w:vAlign w:val="bottom"/>
            <w:hideMark/>
          </w:tcPr>
          <w:p w14:paraId="14A66B89"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147</w:t>
            </w:r>
          </w:p>
        </w:tc>
        <w:tc>
          <w:tcPr>
            <w:tcW w:w="919" w:type="dxa"/>
            <w:tcBorders>
              <w:top w:val="nil"/>
              <w:left w:val="nil"/>
              <w:bottom w:val="single" w:sz="8" w:space="0" w:color="auto"/>
              <w:right w:val="single" w:sz="8" w:space="0" w:color="auto"/>
            </w:tcBorders>
            <w:shd w:val="clear" w:color="auto" w:fill="auto"/>
            <w:noWrap/>
            <w:vAlign w:val="bottom"/>
            <w:hideMark/>
          </w:tcPr>
          <w:p w14:paraId="4F7833DF"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153</w:t>
            </w:r>
          </w:p>
        </w:tc>
        <w:tc>
          <w:tcPr>
            <w:tcW w:w="992" w:type="dxa"/>
            <w:tcBorders>
              <w:top w:val="nil"/>
              <w:left w:val="nil"/>
              <w:bottom w:val="single" w:sz="8" w:space="0" w:color="auto"/>
              <w:right w:val="single" w:sz="8" w:space="0" w:color="auto"/>
            </w:tcBorders>
            <w:shd w:val="clear" w:color="auto" w:fill="auto"/>
            <w:noWrap/>
            <w:vAlign w:val="bottom"/>
            <w:hideMark/>
          </w:tcPr>
          <w:p w14:paraId="516AC854"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103</w:t>
            </w:r>
          </w:p>
        </w:tc>
        <w:tc>
          <w:tcPr>
            <w:tcW w:w="992" w:type="dxa"/>
            <w:tcBorders>
              <w:top w:val="nil"/>
              <w:left w:val="nil"/>
              <w:bottom w:val="single" w:sz="8" w:space="0" w:color="auto"/>
              <w:right w:val="single" w:sz="8" w:space="0" w:color="auto"/>
            </w:tcBorders>
            <w:shd w:val="clear" w:color="auto" w:fill="auto"/>
            <w:noWrap/>
            <w:vAlign w:val="bottom"/>
            <w:hideMark/>
          </w:tcPr>
          <w:p w14:paraId="089421F3"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36</w:t>
            </w:r>
          </w:p>
        </w:tc>
        <w:tc>
          <w:tcPr>
            <w:tcW w:w="992" w:type="dxa"/>
            <w:tcBorders>
              <w:top w:val="nil"/>
              <w:left w:val="nil"/>
              <w:bottom w:val="single" w:sz="8" w:space="0" w:color="auto"/>
              <w:right w:val="single" w:sz="8" w:space="0" w:color="auto"/>
            </w:tcBorders>
            <w:shd w:val="clear" w:color="auto" w:fill="auto"/>
            <w:noWrap/>
            <w:vAlign w:val="bottom"/>
            <w:hideMark/>
          </w:tcPr>
          <w:p w14:paraId="35E71C2D"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12</w:t>
            </w:r>
          </w:p>
        </w:tc>
      </w:tr>
      <w:tr w:rsidR="00AA39C7" w:rsidRPr="006E20A2" w14:paraId="3C39E7DA"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3141E755" w14:textId="65E308A1" w:rsidR="00AA39C7" w:rsidRPr="006E20A2" w:rsidRDefault="00AA39C7" w:rsidP="00AA39C7">
            <w:pPr>
              <w:widowControl/>
              <w:jc w:val="left"/>
              <w:rPr>
                <w:rFonts w:ascii="Arial" w:hAnsi="Arial"/>
                <w:color w:val="7030A0"/>
                <w:sz w:val="18"/>
                <w:szCs w:val="18"/>
                <w:lang w:val="en-US" w:eastAsia="sl-SI"/>
              </w:rPr>
            </w:pPr>
            <w:r w:rsidRPr="006E20A2">
              <w:rPr>
                <w:rFonts w:ascii="Arial" w:hAnsi="Arial"/>
                <w:sz w:val="18"/>
                <w:szCs w:val="18"/>
                <w:lang w:val="en-US"/>
              </w:rPr>
              <w:t>SP: criminal charge rejected</w:t>
            </w:r>
          </w:p>
        </w:tc>
        <w:tc>
          <w:tcPr>
            <w:tcW w:w="992" w:type="dxa"/>
            <w:tcBorders>
              <w:top w:val="nil"/>
              <w:left w:val="nil"/>
              <w:bottom w:val="single" w:sz="8" w:space="0" w:color="auto"/>
              <w:right w:val="single" w:sz="8" w:space="0" w:color="auto"/>
            </w:tcBorders>
            <w:shd w:val="clear" w:color="auto" w:fill="auto"/>
            <w:noWrap/>
            <w:vAlign w:val="bottom"/>
            <w:hideMark/>
          </w:tcPr>
          <w:p w14:paraId="48547D39"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112</w:t>
            </w:r>
          </w:p>
        </w:tc>
        <w:tc>
          <w:tcPr>
            <w:tcW w:w="919" w:type="dxa"/>
            <w:tcBorders>
              <w:top w:val="nil"/>
              <w:left w:val="nil"/>
              <w:bottom w:val="single" w:sz="8" w:space="0" w:color="auto"/>
              <w:right w:val="single" w:sz="8" w:space="0" w:color="auto"/>
            </w:tcBorders>
            <w:shd w:val="clear" w:color="auto" w:fill="auto"/>
            <w:noWrap/>
            <w:vAlign w:val="bottom"/>
            <w:hideMark/>
          </w:tcPr>
          <w:p w14:paraId="6C54C946"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166</w:t>
            </w:r>
          </w:p>
        </w:tc>
        <w:tc>
          <w:tcPr>
            <w:tcW w:w="992" w:type="dxa"/>
            <w:tcBorders>
              <w:top w:val="nil"/>
              <w:left w:val="nil"/>
              <w:bottom w:val="single" w:sz="8" w:space="0" w:color="auto"/>
              <w:right w:val="single" w:sz="8" w:space="0" w:color="auto"/>
            </w:tcBorders>
            <w:shd w:val="clear" w:color="auto" w:fill="auto"/>
            <w:noWrap/>
            <w:vAlign w:val="bottom"/>
            <w:hideMark/>
          </w:tcPr>
          <w:p w14:paraId="0BBA6CE8"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65</w:t>
            </w:r>
          </w:p>
        </w:tc>
        <w:tc>
          <w:tcPr>
            <w:tcW w:w="992" w:type="dxa"/>
            <w:tcBorders>
              <w:top w:val="nil"/>
              <w:left w:val="nil"/>
              <w:bottom w:val="single" w:sz="8" w:space="0" w:color="auto"/>
              <w:right w:val="single" w:sz="8" w:space="0" w:color="auto"/>
            </w:tcBorders>
            <w:shd w:val="clear" w:color="auto" w:fill="auto"/>
            <w:noWrap/>
            <w:vAlign w:val="bottom"/>
            <w:hideMark/>
          </w:tcPr>
          <w:p w14:paraId="09F0B81B"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36</w:t>
            </w:r>
          </w:p>
        </w:tc>
        <w:tc>
          <w:tcPr>
            <w:tcW w:w="992" w:type="dxa"/>
            <w:tcBorders>
              <w:top w:val="nil"/>
              <w:left w:val="nil"/>
              <w:bottom w:val="single" w:sz="8" w:space="0" w:color="auto"/>
              <w:right w:val="single" w:sz="8" w:space="0" w:color="auto"/>
            </w:tcBorders>
            <w:shd w:val="clear" w:color="auto" w:fill="auto"/>
            <w:noWrap/>
            <w:vAlign w:val="bottom"/>
            <w:hideMark/>
          </w:tcPr>
          <w:p w14:paraId="72D3A3A5"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5</w:t>
            </w:r>
          </w:p>
        </w:tc>
      </w:tr>
      <w:tr w:rsidR="00AA39C7" w:rsidRPr="006E20A2" w14:paraId="4B185E48"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14807A3A" w14:textId="09743AB1" w:rsidR="00AA39C7" w:rsidRPr="006E20A2" w:rsidRDefault="00AA39C7" w:rsidP="00AA39C7">
            <w:pPr>
              <w:widowControl/>
              <w:jc w:val="left"/>
              <w:rPr>
                <w:rFonts w:ascii="Arial" w:hAnsi="Arial"/>
                <w:sz w:val="18"/>
                <w:szCs w:val="18"/>
                <w:lang w:val="en-US" w:eastAsia="sl-SI"/>
              </w:rPr>
            </w:pPr>
            <w:r w:rsidRPr="006E20A2">
              <w:rPr>
                <w:rFonts w:ascii="Arial" w:hAnsi="Arial"/>
                <w:sz w:val="18"/>
                <w:szCs w:val="18"/>
                <w:lang w:val="en-US"/>
              </w:rPr>
              <w:t>SP: prosecution has been delayed</w:t>
            </w:r>
          </w:p>
        </w:tc>
        <w:tc>
          <w:tcPr>
            <w:tcW w:w="992" w:type="dxa"/>
            <w:tcBorders>
              <w:top w:val="nil"/>
              <w:left w:val="nil"/>
              <w:bottom w:val="single" w:sz="8" w:space="0" w:color="auto"/>
              <w:right w:val="single" w:sz="8" w:space="0" w:color="auto"/>
            </w:tcBorders>
            <w:shd w:val="clear" w:color="auto" w:fill="auto"/>
            <w:noWrap/>
            <w:vAlign w:val="bottom"/>
            <w:hideMark/>
          </w:tcPr>
          <w:p w14:paraId="1FDDC95B"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w:t>
            </w:r>
          </w:p>
        </w:tc>
        <w:tc>
          <w:tcPr>
            <w:tcW w:w="919" w:type="dxa"/>
            <w:tcBorders>
              <w:top w:val="nil"/>
              <w:left w:val="nil"/>
              <w:bottom w:val="single" w:sz="8" w:space="0" w:color="auto"/>
              <w:right w:val="single" w:sz="8" w:space="0" w:color="auto"/>
            </w:tcBorders>
            <w:shd w:val="clear" w:color="auto" w:fill="auto"/>
            <w:noWrap/>
            <w:vAlign w:val="bottom"/>
            <w:hideMark/>
          </w:tcPr>
          <w:p w14:paraId="1A826A13" w14:textId="77777777" w:rsidR="00AA39C7" w:rsidRPr="006E20A2" w:rsidRDefault="00AA39C7" w:rsidP="00AA39C7">
            <w:pPr>
              <w:ind w:firstLineChars="100" w:firstLine="200"/>
              <w:jc w:val="right"/>
              <w:rPr>
                <w:rFonts w:ascii="Arial" w:hAnsi="Arial"/>
                <w:sz w:val="20"/>
                <w:lang w:val="en-US"/>
              </w:rPr>
            </w:pPr>
            <w:r w:rsidRPr="006E20A2">
              <w:rPr>
                <w:rFonts w:ascii="Arial" w:hAnsi="Arial"/>
                <w:color w:val="000000"/>
                <w:sz w:val="20"/>
                <w:lang w:val="en-US"/>
              </w:rPr>
              <w:t>1</w:t>
            </w:r>
          </w:p>
        </w:tc>
        <w:tc>
          <w:tcPr>
            <w:tcW w:w="992" w:type="dxa"/>
            <w:tcBorders>
              <w:top w:val="nil"/>
              <w:left w:val="nil"/>
              <w:bottom w:val="single" w:sz="8" w:space="0" w:color="auto"/>
              <w:right w:val="single" w:sz="8" w:space="0" w:color="auto"/>
            </w:tcBorders>
            <w:shd w:val="clear" w:color="auto" w:fill="auto"/>
            <w:noWrap/>
            <w:vAlign w:val="bottom"/>
            <w:hideMark/>
          </w:tcPr>
          <w:p w14:paraId="182C0F5B" w14:textId="77777777" w:rsidR="00AA39C7" w:rsidRPr="006E20A2" w:rsidRDefault="00AA39C7" w:rsidP="00AA39C7">
            <w:pPr>
              <w:ind w:firstLineChars="100" w:firstLine="200"/>
              <w:jc w:val="right"/>
              <w:rPr>
                <w:rFonts w:ascii="Arial" w:hAnsi="Arial"/>
                <w:sz w:val="20"/>
                <w:lang w:val="en-US"/>
              </w:rPr>
            </w:pPr>
          </w:p>
        </w:tc>
        <w:tc>
          <w:tcPr>
            <w:tcW w:w="992" w:type="dxa"/>
            <w:tcBorders>
              <w:top w:val="nil"/>
              <w:left w:val="nil"/>
              <w:bottom w:val="single" w:sz="8" w:space="0" w:color="auto"/>
              <w:right w:val="single" w:sz="8" w:space="0" w:color="auto"/>
            </w:tcBorders>
            <w:shd w:val="clear" w:color="auto" w:fill="auto"/>
            <w:noWrap/>
            <w:vAlign w:val="bottom"/>
            <w:hideMark/>
          </w:tcPr>
          <w:p w14:paraId="6D55CF3A" w14:textId="77777777" w:rsidR="00AA39C7" w:rsidRPr="006E20A2" w:rsidRDefault="00AA39C7" w:rsidP="00AA39C7">
            <w:pPr>
              <w:ind w:firstLineChars="100" w:firstLine="200"/>
              <w:jc w:val="right"/>
              <w:rPr>
                <w:rFonts w:ascii="Arial" w:hAnsi="Arial"/>
                <w:sz w:val="20"/>
                <w:lang w:val="en-US"/>
              </w:rPr>
            </w:pPr>
          </w:p>
        </w:tc>
        <w:tc>
          <w:tcPr>
            <w:tcW w:w="992" w:type="dxa"/>
            <w:tcBorders>
              <w:top w:val="nil"/>
              <w:left w:val="nil"/>
              <w:bottom w:val="single" w:sz="8" w:space="0" w:color="auto"/>
              <w:right w:val="single" w:sz="8" w:space="0" w:color="auto"/>
            </w:tcBorders>
            <w:shd w:val="clear" w:color="auto" w:fill="auto"/>
            <w:noWrap/>
            <w:vAlign w:val="bottom"/>
            <w:hideMark/>
          </w:tcPr>
          <w:p w14:paraId="0FFBD49E" w14:textId="77777777" w:rsidR="00AA39C7" w:rsidRPr="006E20A2" w:rsidRDefault="00AA39C7" w:rsidP="00AA39C7">
            <w:pPr>
              <w:ind w:firstLineChars="100" w:firstLine="200"/>
              <w:jc w:val="right"/>
              <w:rPr>
                <w:rFonts w:ascii="Arial" w:hAnsi="Arial"/>
                <w:sz w:val="20"/>
                <w:lang w:val="en-US"/>
              </w:rPr>
            </w:pPr>
          </w:p>
        </w:tc>
      </w:tr>
      <w:tr w:rsidR="00AA39C7" w:rsidRPr="006E20A2" w14:paraId="7E136E9D"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00E5C26F" w14:textId="4A8F7300" w:rsidR="00AA39C7" w:rsidRPr="006E20A2" w:rsidRDefault="00AA39C7" w:rsidP="00AA39C7">
            <w:pPr>
              <w:widowControl/>
              <w:jc w:val="left"/>
              <w:rPr>
                <w:rFonts w:ascii="Arial" w:hAnsi="Arial"/>
                <w:sz w:val="18"/>
                <w:szCs w:val="18"/>
                <w:lang w:val="en-US" w:eastAsia="sl-SI"/>
              </w:rPr>
            </w:pPr>
            <w:r w:rsidRPr="006E20A2">
              <w:rPr>
                <w:rFonts w:ascii="Arial" w:hAnsi="Arial"/>
                <w:sz w:val="18"/>
                <w:szCs w:val="18"/>
                <w:lang w:val="en-US"/>
              </w:rPr>
              <w:t xml:space="preserve">SP: demand for investigation </w:t>
            </w:r>
          </w:p>
        </w:tc>
        <w:tc>
          <w:tcPr>
            <w:tcW w:w="992" w:type="dxa"/>
            <w:tcBorders>
              <w:top w:val="nil"/>
              <w:left w:val="nil"/>
              <w:bottom w:val="single" w:sz="8" w:space="0" w:color="auto"/>
              <w:right w:val="single" w:sz="8" w:space="0" w:color="auto"/>
            </w:tcBorders>
            <w:shd w:val="clear" w:color="auto" w:fill="auto"/>
            <w:noWrap/>
            <w:vAlign w:val="bottom"/>
            <w:hideMark/>
          </w:tcPr>
          <w:p w14:paraId="0960BA60"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45</w:t>
            </w:r>
          </w:p>
        </w:tc>
        <w:tc>
          <w:tcPr>
            <w:tcW w:w="919" w:type="dxa"/>
            <w:tcBorders>
              <w:top w:val="nil"/>
              <w:left w:val="nil"/>
              <w:bottom w:val="single" w:sz="8" w:space="0" w:color="auto"/>
              <w:right w:val="single" w:sz="8" w:space="0" w:color="auto"/>
            </w:tcBorders>
            <w:shd w:val="clear" w:color="auto" w:fill="auto"/>
            <w:noWrap/>
            <w:vAlign w:val="bottom"/>
            <w:hideMark/>
          </w:tcPr>
          <w:p w14:paraId="5EDAA222"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99</w:t>
            </w:r>
          </w:p>
        </w:tc>
        <w:tc>
          <w:tcPr>
            <w:tcW w:w="992" w:type="dxa"/>
            <w:tcBorders>
              <w:top w:val="nil"/>
              <w:left w:val="nil"/>
              <w:bottom w:val="single" w:sz="8" w:space="0" w:color="auto"/>
              <w:right w:val="single" w:sz="8" w:space="0" w:color="auto"/>
            </w:tcBorders>
            <w:shd w:val="clear" w:color="auto" w:fill="auto"/>
            <w:noWrap/>
            <w:vAlign w:val="bottom"/>
            <w:hideMark/>
          </w:tcPr>
          <w:p w14:paraId="048ACC9B"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19</w:t>
            </w:r>
          </w:p>
        </w:tc>
        <w:tc>
          <w:tcPr>
            <w:tcW w:w="992" w:type="dxa"/>
            <w:tcBorders>
              <w:top w:val="nil"/>
              <w:left w:val="nil"/>
              <w:bottom w:val="single" w:sz="8" w:space="0" w:color="auto"/>
              <w:right w:val="single" w:sz="8" w:space="0" w:color="auto"/>
            </w:tcBorders>
            <w:shd w:val="clear" w:color="auto" w:fill="auto"/>
            <w:noWrap/>
            <w:vAlign w:val="bottom"/>
            <w:hideMark/>
          </w:tcPr>
          <w:p w14:paraId="5BD814CC"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2</w:t>
            </w:r>
          </w:p>
        </w:tc>
        <w:tc>
          <w:tcPr>
            <w:tcW w:w="992" w:type="dxa"/>
            <w:tcBorders>
              <w:top w:val="nil"/>
              <w:left w:val="nil"/>
              <w:bottom w:val="single" w:sz="8" w:space="0" w:color="auto"/>
              <w:right w:val="single" w:sz="8" w:space="0" w:color="auto"/>
            </w:tcBorders>
            <w:shd w:val="clear" w:color="auto" w:fill="auto"/>
            <w:noWrap/>
            <w:vAlign w:val="bottom"/>
            <w:hideMark/>
          </w:tcPr>
          <w:p w14:paraId="0BA2C2AF"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w:t>
            </w:r>
          </w:p>
        </w:tc>
      </w:tr>
      <w:tr w:rsidR="00AA39C7" w:rsidRPr="006E20A2" w14:paraId="2F6A209D"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4A878255" w14:textId="185C5559" w:rsidR="00AA39C7" w:rsidRPr="006E20A2" w:rsidRDefault="00AA39C7" w:rsidP="00AA39C7">
            <w:pPr>
              <w:widowControl/>
              <w:jc w:val="left"/>
              <w:rPr>
                <w:rFonts w:ascii="Arial" w:hAnsi="Arial"/>
                <w:sz w:val="18"/>
                <w:szCs w:val="18"/>
                <w:lang w:val="en-US" w:eastAsia="sl-SI"/>
              </w:rPr>
            </w:pPr>
            <w:r w:rsidRPr="006E20A2">
              <w:rPr>
                <w:rFonts w:ascii="Arial" w:hAnsi="Arial"/>
                <w:sz w:val="18"/>
                <w:szCs w:val="18"/>
                <w:lang w:val="en-US"/>
              </w:rPr>
              <w:t xml:space="preserve">IJ**: investigation has been introduced </w:t>
            </w:r>
          </w:p>
        </w:tc>
        <w:tc>
          <w:tcPr>
            <w:tcW w:w="992" w:type="dxa"/>
            <w:tcBorders>
              <w:top w:val="nil"/>
              <w:left w:val="nil"/>
              <w:bottom w:val="single" w:sz="8" w:space="0" w:color="auto"/>
              <w:right w:val="single" w:sz="8" w:space="0" w:color="auto"/>
            </w:tcBorders>
            <w:shd w:val="clear" w:color="auto" w:fill="auto"/>
            <w:noWrap/>
            <w:vAlign w:val="bottom"/>
            <w:hideMark/>
          </w:tcPr>
          <w:p w14:paraId="4B9FD61D"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28</w:t>
            </w:r>
          </w:p>
        </w:tc>
        <w:tc>
          <w:tcPr>
            <w:tcW w:w="919" w:type="dxa"/>
            <w:tcBorders>
              <w:top w:val="nil"/>
              <w:left w:val="nil"/>
              <w:bottom w:val="single" w:sz="8" w:space="0" w:color="auto"/>
              <w:right w:val="single" w:sz="8" w:space="0" w:color="auto"/>
            </w:tcBorders>
            <w:shd w:val="clear" w:color="auto" w:fill="auto"/>
            <w:noWrap/>
            <w:vAlign w:val="bottom"/>
            <w:hideMark/>
          </w:tcPr>
          <w:p w14:paraId="4DE5EB34"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59</w:t>
            </w:r>
          </w:p>
        </w:tc>
        <w:tc>
          <w:tcPr>
            <w:tcW w:w="992" w:type="dxa"/>
            <w:tcBorders>
              <w:top w:val="nil"/>
              <w:left w:val="nil"/>
              <w:bottom w:val="single" w:sz="8" w:space="0" w:color="auto"/>
              <w:right w:val="single" w:sz="8" w:space="0" w:color="auto"/>
            </w:tcBorders>
            <w:shd w:val="clear" w:color="auto" w:fill="auto"/>
            <w:noWrap/>
            <w:vAlign w:val="bottom"/>
            <w:hideMark/>
          </w:tcPr>
          <w:p w14:paraId="087D0D79"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4</w:t>
            </w:r>
          </w:p>
        </w:tc>
        <w:tc>
          <w:tcPr>
            <w:tcW w:w="992" w:type="dxa"/>
            <w:tcBorders>
              <w:top w:val="nil"/>
              <w:left w:val="nil"/>
              <w:bottom w:val="single" w:sz="8" w:space="0" w:color="auto"/>
              <w:right w:val="single" w:sz="8" w:space="0" w:color="auto"/>
            </w:tcBorders>
            <w:shd w:val="clear" w:color="auto" w:fill="auto"/>
            <w:noWrap/>
            <w:vAlign w:val="bottom"/>
            <w:hideMark/>
          </w:tcPr>
          <w:p w14:paraId="407A9DCB"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11</w:t>
            </w:r>
          </w:p>
        </w:tc>
        <w:tc>
          <w:tcPr>
            <w:tcW w:w="992" w:type="dxa"/>
            <w:tcBorders>
              <w:top w:val="nil"/>
              <w:left w:val="nil"/>
              <w:bottom w:val="single" w:sz="8" w:space="0" w:color="auto"/>
              <w:right w:val="single" w:sz="8" w:space="0" w:color="auto"/>
            </w:tcBorders>
            <w:shd w:val="clear" w:color="auto" w:fill="auto"/>
            <w:noWrap/>
            <w:vAlign w:val="bottom"/>
            <w:hideMark/>
          </w:tcPr>
          <w:p w14:paraId="3B044F7C"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w:t>
            </w:r>
          </w:p>
        </w:tc>
      </w:tr>
      <w:tr w:rsidR="00AA39C7" w:rsidRPr="006E20A2" w14:paraId="4E8F8655"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1571F557" w14:textId="074DD7D7" w:rsidR="00AA39C7" w:rsidRPr="006E20A2" w:rsidRDefault="00AA39C7" w:rsidP="00AA39C7">
            <w:pPr>
              <w:widowControl/>
              <w:jc w:val="left"/>
              <w:rPr>
                <w:rFonts w:ascii="Arial" w:hAnsi="Arial"/>
                <w:sz w:val="18"/>
                <w:szCs w:val="18"/>
                <w:lang w:val="en-US" w:eastAsia="sl-SI"/>
              </w:rPr>
            </w:pPr>
            <w:r w:rsidRPr="006E20A2">
              <w:rPr>
                <w:rFonts w:ascii="Arial" w:hAnsi="Arial"/>
                <w:sz w:val="18"/>
                <w:szCs w:val="18"/>
                <w:lang w:val="en-US"/>
              </w:rPr>
              <w:t>COURT: indictment</w:t>
            </w:r>
          </w:p>
        </w:tc>
        <w:tc>
          <w:tcPr>
            <w:tcW w:w="992" w:type="dxa"/>
            <w:tcBorders>
              <w:top w:val="nil"/>
              <w:left w:val="nil"/>
              <w:bottom w:val="single" w:sz="8" w:space="0" w:color="auto"/>
              <w:right w:val="single" w:sz="8" w:space="0" w:color="auto"/>
            </w:tcBorders>
            <w:shd w:val="clear" w:color="auto" w:fill="auto"/>
            <w:noWrap/>
            <w:vAlign w:val="bottom"/>
            <w:hideMark/>
          </w:tcPr>
          <w:p w14:paraId="4FDDB6F6"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110</w:t>
            </w:r>
          </w:p>
        </w:tc>
        <w:tc>
          <w:tcPr>
            <w:tcW w:w="919" w:type="dxa"/>
            <w:tcBorders>
              <w:top w:val="nil"/>
              <w:left w:val="nil"/>
              <w:bottom w:val="single" w:sz="8" w:space="0" w:color="auto"/>
              <w:right w:val="single" w:sz="8" w:space="0" w:color="auto"/>
            </w:tcBorders>
            <w:shd w:val="clear" w:color="auto" w:fill="auto"/>
            <w:noWrap/>
            <w:vAlign w:val="bottom"/>
            <w:hideMark/>
          </w:tcPr>
          <w:p w14:paraId="07C0E997"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183</w:t>
            </w:r>
          </w:p>
        </w:tc>
        <w:tc>
          <w:tcPr>
            <w:tcW w:w="992" w:type="dxa"/>
            <w:tcBorders>
              <w:top w:val="nil"/>
              <w:left w:val="nil"/>
              <w:bottom w:val="single" w:sz="8" w:space="0" w:color="auto"/>
              <w:right w:val="single" w:sz="8" w:space="0" w:color="auto"/>
            </w:tcBorders>
            <w:shd w:val="clear" w:color="auto" w:fill="auto"/>
            <w:noWrap/>
            <w:vAlign w:val="bottom"/>
            <w:hideMark/>
          </w:tcPr>
          <w:p w14:paraId="0ECE00C1"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25</w:t>
            </w:r>
          </w:p>
        </w:tc>
        <w:tc>
          <w:tcPr>
            <w:tcW w:w="992" w:type="dxa"/>
            <w:tcBorders>
              <w:top w:val="nil"/>
              <w:left w:val="nil"/>
              <w:bottom w:val="single" w:sz="8" w:space="0" w:color="auto"/>
              <w:right w:val="single" w:sz="8" w:space="0" w:color="auto"/>
            </w:tcBorders>
            <w:shd w:val="clear" w:color="auto" w:fill="auto"/>
            <w:noWrap/>
            <w:vAlign w:val="bottom"/>
            <w:hideMark/>
          </w:tcPr>
          <w:p w14:paraId="0FFF96C0"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15</w:t>
            </w:r>
          </w:p>
        </w:tc>
        <w:tc>
          <w:tcPr>
            <w:tcW w:w="992" w:type="dxa"/>
            <w:tcBorders>
              <w:top w:val="nil"/>
              <w:left w:val="nil"/>
              <w:bottom w:val="single" w:sz="8" w:space="0" w:color="auto"/>
              <w:right w:val="single" w:sz="8" w:space="0" w:color="auto"/>
            </w:tcBorders>
            <w:shd w:val="clear" w:color="auto" w:fill="auto"/>
            <w:noWrap/>
            <w:vAlign w:val="bottom"/>
            <w:hideMark/>
          </w:tcPr>
          <w:p w14:paraId="5B4704C9" w14:textId="77777777" w:rsidR="00AA39C7" w:rsidRPr="006E20A2" w:rsidRDefault="00AA39C7" w:rsidP="00AA39C7">
            <w:pPr>
              <w:jc w:val="right"/>
              <w:rPr>
                <w:rFonts w:ascii="Arial" w:hAnsi="Arial"/>
                <w:sz w:val="20"/>
                <w:lang w:val="en-US"/>
              </w:rPr>
            </w:pPr>
            <w:r w:rsidRPr="006E20A2">
              <w:rPr>
                <w:rFonts w:ascii="Arial" w:hAnsi="Arial"/>
                <w:color w:val="000000"/>
                <w:sz w:val="20"/>
                <w:lang w:val="en-US"/>
              </w:rPr>
              <w:t>7</w:t>
            </w:r>
          </w:p>
        </w:tc>
      </w:tr>
      <w:tr w:rsidR="00AA39C7" w:rsidRPr="006E20A2" w14:paraId="6FC1608B"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7321599F" w14:textId="63E58AF9" w:rsidR="00AA39C7" w:rsidRPr="006E20A2" w:rsidRDefault="00AA39C7" w:rsidP="00AA39C7">
            <w:pPr>
              <w:widowControl/>
              <w:jc w:val="left"/>
              <w:rPr>
                <w:rFonts w:ascii="Arial" w:hAnsi="Arial"/>
                <w:color w:val="7030A0"/>
                <w:sz w:val="18"/>
                <w:szCs w:val="18"/>
                <w:lang w:val="en-US" w:eastAsia="sl-SI"/>
              </w:rPr>
            </w:pPr>
            <w:r w:rsidRPr="006E20A2">
              <w:rPr>
                <w:rFonts w:ascii="Arial" w:eastAsia="Arial Unicode MS" w:hAnsi="Arial"/>
                <w:sz w:val="18"/>
                <w:szCs w:val="18"/>
                <w:lang w:val="en-US"/>
              </w:rPr>
              <w:t>COURT: Convictions</w:t>
            </w:r>
          </w:p>
        </w:tc>
        <w:tc>
          <w:tcPr>
            <w:tcW w:w="992" w:type="dxa"/>
            <w:tcBorders>
              <w:top w:val="nil"/>
              <w:left w:val="nil"/>
              <w:bottom w:val="single" w:sz="8" w:space="0" w:color="auto"/>
              <w:right w:val="single" w:sz="8" w:space="0" w:color="auto"/>
            </w:tcBorders>
            <w:shd w:val="clear" w:color="auto" w:fill="auto"/>
            <w:noWrap/>
            <w:vAlign w:val="bottom"/>
            <w:hideMark/>
          </w:tcPr>
          <w:p w14:paraId="6178146F"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101</w:t>
            </w:r>
          </w:p>
        </w:tc>
        <w:tc>
          <w:tcPr>
            <w:tcW w:w="919" w:type="dxa"/>
            <w:tcBorders>
              <w:top w:val="nil"/>
              <w:left w:val="nil"/>
              <w:bottom w:val="single" w:sz="8" w:space="0" w:color="auto"/>
              <w:right w:val="single" w:sz="8" w:space="0" w:color="auto"/>
            </w:tcBorders>
            <w:shd w:val="clear" w:color="auto" w:fill="auto"/>
            <w:noWrap/>
            <w:vAlign w:val="bottom"/>
            <w:hideMark/>
          </w:tcPr>
          <w:p w14:paraId="56B4C0E9"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130</w:t>
            </w:r>
          </w:p>
        </w:tc>
        <w:tc>
          <w:tcPr>
            <w:tcW w:w="992" w:type="dxa"/>
            <w:tcBorders>
              <w:top w:val="nil"/>
              <w:left w:val="nil"/>
              <w:bottom w:val="single" w:sz="8" w:space="0" w:color="auto"/>
              <w:right w:val="single" w:sz="8" w:space="0" w:color="auto"/>
            </w:tcBorders>
            <w:shd w:val="clear" w:color="auto" w:fill="auto"/>
            <w:noWrap/>
            <w:vAlign w:val="bottom"/>
            <w:hideMark/>
          </w:tcPr>
          <w:p w14:paraId="6F599BA2"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16</w:t>
            </w:r>
          </w:p>
        </w:tc>
        <w:tc>
          <w:tcPr>
            <w:tcW w:w="992" w:type="dxa"/>
            <w:tcBorders>
              <w:top w:val="nil"/>
              <w:left w:val="nil"/>
              <w:bottom w:val="single" w:sz="8" w:space="0" w:color="auto"/>
              <w:right w:val="single" w:sz="8" w:space="0" w:color="auto"/>
            </w:tcBorders>
            <w:shd w:val="clear" w:color="auto" w:fill="auto"/>
            <w:noWrap/>
            <w:vAlign w:val="bottom"/>
            <w:hideMark/>
          </w:tcPr>
          <w:p w14:paraId="5BB492C1"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6</w:t>
            </w:r>
          </w:p>
        </w:tc>
        <w:tc>
          <w:tcPr>
            <w:tcW w:w="992" w:type="dxa"/>
            <w:tcBorders>
              <w:top w:val="nil"/>
              <w:left w:val="nil"/>
              <w:bottom w:val="single" w:sz="8" w:space="0" w:color="auto"/>
              <w:right w:val="single" w:sz="8" w:space="0" w:color="auto"/>
            </w:tcBorders>
            <w:shd w:val="clear" w:color="auto" w:fill="auto"/>
            <w:noWrap/>
            <w:vAlign w:val="bottom"/>
            <w:hideMark/>
          </w:tcPr>
          <w:p w14:paraId="396EEE86" w14:textId="77777777" w:rsidR="00AA39C7" w:rsidRPr="006E20A2" w:rsidRDefault="00AA39C7" w:rsidP="00AA39C7">
            <w:pPr>
              <w:jc w:val="right"/>
              <w:rPr>
                <w:rFonts w:ascii="Arial" w:hAnsi="Arial"/>
                <w:color w:val="7030A0"/>
                <w:sz w:val="20"/>
                <w:lang w:val="en-US"/>
              </w:rPr>
            </w:pPr>
          </w:p>
        </w:tc>
      </w:tr>
      <w:tr w:rsidR="00AA39C7" w:rsidRPr="006E20A2" w14:paraId="03EC09BD"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68A1BAD7" w14:textId="1FA371E5" w:rsidR="00AA39C7" w:rsidRPr="006E20A2" w:rsidRDefault="00AA39C7" w:rsidP="00AA39C7">
            <w:pPr>
              <w:widowControl/>
              <w:jc w:val="left"/>
              <w:rPr>
                <w:rFonts w:ascii="Arial" w:hAnsi="Arial"/>
                <w:color w:val="7030A0"/>
                <w:sz w:val="18"/>
                <w:szCs w:val="18"/>
                <w:lang w:val="en-US" w:eastAsia="sl-SI"/>
              </w:rPr>
            </w:pPr>
            <w:r w:rsidRPr="006E20A2">
              <w:rPr>
                <w:rFonts w:ascii="Arial" w:eastAsia="Arial Unicode MS" w:hAnsi="Arial"/>
                <w:sz w:val="18"/>
                <w:szCs w:val="18"/>
                <w:lang w:val="en-US"/>
              </w:rPr>
              <w:t>COURT: Acquittals (final)</w:t>
            </w:r>
          </w:p>
        </w:tc>
        <w:tc>
          <w:tcPr>
            <w:tcW w:w="992" w:type="dxa"/>
            <w:tcBorders>
              <w:top w:val="nil"/>
              <w:left w:val="nil"/>
              <w:bottom w:val="single" w:sz="8" w:space="0" w:color="auto"/>
              <w:right w:val="single" w:sz="8" w:space="0" w:color="auto"/>
            </w:tcBorders>
            <w:shd w:val="clear" w:color="auto" w:fill="auto"/>
            <w:noWrap/>
            <w:vAlign w:val="bottom"/>
            <w:hideMark/>
          </w:tcPr>
          <w:p w14:paraId="1F89BE2C"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29</w:t>
            </w:r>
          </w:p>
        </w:tc>
        <w:tc>
          <w:tcPr>
            <w:tcW w:w="919" w:type="dxa"/>
            <w:tcBorders>
              <w:top w:val="nil"/>
              <w:left w:val="nil"/>
              <w:bottom w:val="single" w:sz="8" w:space="0" w:color="auto"/>
              <w:right w:val="single" w:sz="8" w:space="0" w:color="auto"/>
            </w:tcBorders>
            <w:shd w:val="clear" w:color="auto" w:fill="auto"/>
            <w:noWrap/>
            <w:vAlign w:val="bottom"/>
            <w:hideMark/>
          </w:tcPr>
          <w:p w14:paraId="02515F53"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41</w:t>
            </w:r>
          </w:p>
        </w:tc>
        <w:tc>
          <w:tcPr>
            <w:tcW w:w="992" w:type="dxa"/>
            <w:tcBorders>
              <w:top w:val="nil"/>
              <w:left w:val="nil"/>
              <w:bottom w:val="single" w:sz="8" w:space="0" w:color="auto"/>
              <w:right w:val="single" w:sz="8" w:space="0" w:color="auto"/>
            </w:tcBorders>
            <w:shd w:val="clear" w:color="auto" w:fill="auto"/>
            <w:noWrap/>
            <w:vAlign w:val="bottom"/>
            <w:hideMark/>
          </w:tcPr>
          <w:p w14:paraId="06C2B59E"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9</w:t>
            </w:r>
          </w:p>
        </w:tc>
        <w:tc>
          <w:tcPr>
            <w:tcW w:w="992" w:type="dxa"/>
            <w:tcBorders>
              <w:top w:val="nil"/>
              <w:left w:val="nil"/>
              <w:bottom w:val="single" w:sz="8" w:space="0" w:color="auto"/>
              <w:right w:val="single" w:sz="8" w:space="0" w:color="auto"/>
            </w:tcBorders>
            <w:shd w:val="clear" w:color="auto" w:fill="auto"/>
            <w:noWrap/>
            <w:vAlign w:val="bottom"/>
            <w:hideMark/>
          </w:tcPr>
          <w:p w14:paraId="76BE264B"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7</w:t>
            </w:r>
          </w:p>
        </w:tc>
        <w:tc>
          <w:tcPr>
            <w:tcW w:w="992" w:type="dxa"/>
            <w:tcBorders>
              <w:top w:val="nil"/>
              <w:left w:val="nil"/>
              <w:bottom w:val="single" w:sz="8" w:space="0" w:color="auto"/>
              <w:right w:val="single" w:sz="8" w:space="0" w:color="auto"/>
            </w:tcBorders>
            <w:shd w:val="clear" w:color="auto" w:fill="auto"/>
            <w:noWrap/>
            <w:vAlign w:val="bottom"/>
            <w:hideMark/>
          </w:tcPr>
          <w:p w14:paraId="77D00F68"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1</w:t>
            </w:r>
          </w:p>
        </w:tc>
      </w:tr>
      <w:tr w:rsidR="00AA39C7" w:rsidRPr="006E20A2" w14:paraId="46C42F77"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113E3C01" w14:textId="49E0B8C5" w:rsidR="00AA39C7" w:rsidRPr="006E20A2" w:rsidRDefault="00AA39C7" w:rsidP="00AA39C7">
            <w:pPr>
              <w:widowControl/>
              <w:jc w:val="left"/>
              <w:rPr>
                <w:rFonts w:ascii="Arial" w:hAnsi="Arial"/>
                <w:color w:val="7030A0"/>
                <w:sz w:val="18"/>
                <w:szCs w:val="18"/>
                <w:lang w:val="en-US" w:eastAsia="sl-SI"/>
              </w:rPr>
            </w:pPr>
            <w:r w:rsidRPr="006E20A2">
              <w:rPr>
                <w:rFonts w:ascii="Arial" w:hAnsi="Arial"/>
                <w:sz w:val="18"/>
                <w:szCs w:val="18"/>
                <w:lang w:val="en-US"/>
              </w:rPr>
              <w:t>SP: Withdrawal from prosecution</w:t>
            </w:r>
          </w:p>
        </w:tc>
        <w:tc>
          <w:tcPr>
            <w:tcW w:w="992" w:type="dxa"/>
            <w:tcBorders>
              <w:top w:val="nil"/>
              <w:left w:val="nil"/>
              <w:bottom w:val="single" w:sz="8" w:space="0" w:color="auto"/>
              <w:right w:val="single" w:sz="8" w:space="0" w:color="auto"/>
            </w:tcBorders>
            <w:shd w:val="clear" w:color="auto" w:fill="auto"/>
            <w:noWrap/>
            <w:vAlign w:val="bottom"/>
            <w:hideMark/>
          </w:tcPr>
          <w:p w14:paraId="1B90A983"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46</w:t>
            </w:r>
          </w:p>
        </w:tc>
        <w:tc>
          <w:tcPr>
            <w:tcW w:w="919" w:type="dxa"/>
            <w:tcBorders>
              <w:top w:val="nil"/>
              <w:left w:val="nil"/>
              <w:bottom w:val="single" w:sz="8" w:space="0" w:color="auto"/>
              <w:right w:val="single" w:sz="8" w:space="0" w:color="auto"/>
            </w:tcBorders>
            <w:shd w:val="clear" w:color="auto" w:fill="auto"/>
            <w:noWrap/>
            <w:vAlign w:val="bottom"/>
            <w:hideMark/>
          </w:tcPr>
          <w:p w14:paraId="17C3D471"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91</w:t>
            </w:r>
          </w:p>
        </w:tc>
        <w:tc>
          <w:tcPr>
            <w:tcW w:w="992" w:type="dxa"/>
            <w:tcBorders>
              <w:top w:val="nil"/>
              <w:left w:val="nil"/>
              <w:bottom w:val="single" w:sz="8" w:space="0" w:color="auto"/>
              <w:right w:val="single" w:sz="8" w:space="0" w:color="auto"/>
            </w:tcBorders>
            <w:shd w:val="clear" w:color="auto" w:fill="auto"/>
            <w:noWrap/>
            <w:vAlign w:val="bottom"/>
            <w:hideMark/>
          </w:tcPr>
          <w:p w14:paraId="4EB9C253"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12</w:t>
            </w:r>
          </w:p>
        </w:tc>
        <w:tc>
          <w:tcPr>
            <w:tcW w:w="992" w:type="dxa"/>
            <w:tcBorders>
              <w:top w:val="nil"/>
              <w:left w:val="nil"/>
              <w:bottom w:val="single" w:sz="8" w:space="0" w:color="auto"/>
              <w:right w:val="single" w:sz="8" w:space="0" w:color="auto"/>
            </w:tcBorders>
            <w:shd w:val="clear" w:color="auto" w:fill="auto"/>
            <w:noWrap/>
            <w:vAlign w:val="bottom"/>
            <w:hideMark/>
          </w:tcPr>
          <w:p w14:paraId="4760CABC"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4</w:t>
            </w:r>
          </w:p>
        </w:tc>
        <w:tc>
          <w:tcPr>
            <w:tcW w:w="992" w:type="dxa"/>
            <w:tcBorders>
              <w:top w:val="nil"/>
              <w:left w:val="nil"/>
              <w:bottom w:val="single" w:sz="8" w:space="0" w:color="auto"/>
              <w:right w:val="single" w:sz="8" w:space="0" w:color="auto"/>
            </w:tcBorders>
            <w:shd w:val="clear" w:color="auto" w:fill="auto"/>
            <w:noWrap/>
            <w:vAlign w:val="bottom"/>
            <w:hideMark/>
          </w:tcPr>
          <w:p w14:paraId="674E6D4E" w14:textId="77777777" w:rsidR="00AA39C7" w:rsidRPr="006E20A2" w:rsidRDefault="00AA39C7" w:rsidP="00AA39C7">
            <w:pPr>
              <w:jc w:val="right"/>
              <w:rPr>
                <w:rFonts w:ascii="Arial" w:hAnsi="Arial"/>
                <w:color w:val="7030A0"/>
                <w:sz w:val="20"/>
                <w:lang w:val="en-US"/>
              </w:rPr>
            </w:pPr>
          </w:p>
        </w:tc>
      </w:tr>
      <w:tr w:rsidR="00AA39C7" w:rsidRPr="006E20A2" w14:paraId="1A59E210"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6F5DB1CF" w14:textId="7739478D" w:rsidR="00AA39C7" w:rsidRPr="006E20A2" w:rsidRDefault="00AA39C7" w:rsidP="00AA39C7">
            <w:pPr>
              <w:widowControl/>
              <w:jc w:val="left"/>
              <w:rPr>
                <w:rFonts w:ascii="Arial" w:hAnsi="Arial"/>
                <w:color w:val="7030A0"/>
                <w:sz w:val="18"/>
                <w:szCs w:val="18"/>
                <w:lang w:val="en-US" w:eastAsia="sl-SI"/>
              </w:rPr>
            </w:pPr>
            <w:r w:rsidRPr="006E20A2">
              <w:rPr>
                <w:rFonts w:ascii="Arial" w:hAnsi="Arial"/>
                <w:bCs/>
                <w:sz w:val="18"/>
                <w:szCs w:val="18"/>
                <w:lang w:val="en-US"/>
              </w:rPr>
              <w:t>COURT: Stop of the criminal procedures</w:t>
            </w:r>
          </w:p>
        </w:tc>
        <w:tc>
          <w:tcPr>
            <w:tcW w:w="992" w:type="dxa"/>
            <w:tcBorders>
              <w:top w:val="nil"/>
              <w:left w:val="nil"/>
              <w:bottom w:val="single" w:sz="8" w:space="0" w:color="auto"/>
              <w:right w:val="single" w:sz="8" w:space="0" w:color="auto"/>
            </w:tcBorders>
            <w:shd w:val="clear" w:color="auto" w:fill="auto"/>
            <w:noWrap/>
            <w:vAlign w:val="bottom"/>
            <w:hideMark/>
          </w:tcPr>
          <w:p w14:paraId="787B3A46"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24</w:t>
            </w:r>
          </w:p>
        </w:tc>
        <w:tc>
          <w:tcPr>
            <w:tcW w:w="919" w:type="dxa"/>
            <w:tcBorders>
              <w:top w:val="nil"/>
              <w:left w:val="nil"/>
              <w:bottom w:val="single" w:sz="8" w:space="0" w:color="auto"/>
              <w:right w:val="single" w:sz="8" w:space="0" w:color="auto"/>
            </w:tcBorders>
            <w:shd w:val="clear" w:color="auto" w:fill="auto"/>
            <w:noWrap/>
            <w:vAlign w:val="bottom"/>
            <w:hideMark/>
          </w:tcPr>
          <w:p w14:paraId="2A7774CF" w14:textId="77777777" w:rsidR="00AA39C7" w:rsidRPr="006E20A2" w:rsidRDefault="00AA39C7" w:rsidP="00AA39C7">
            <w:pPr>
              <w:ind w:firstLineChars="100" w:firstLine="200"/>
              <w:jc w:val="right"/>
              <w:rPr>
                <w:rFonts w:ascii="Arial" w:hAnsi="Arial"/>
                <w:color w:val="7030A0"/>
                <w:sz w:val="20"/>
                <w:lang w:val="en-US"/>
              </w:rPr>
            </w:pPr>
            <w:r w:rsidRPr="006E20A2">
              <w:rPr>
                <w:rFonts w:ascii="Arial" w:hAnsi="Arial"/>
                <w:color w:val="7030A0"/>
                <w:sz w:val="20"/>
                <w:lang w:val="en-US"/>
              </w:rPr>
              <w:t>31</w:t>
            </w:r>
          </w:p>
        </w:tc>
        <w:tc>
          <w:tcPr>
            <w:tcW w:w="992" w:type="dxa"/>
            <w:tcBorders>
              <w:top w:val="nil"/>
              <w:left w:val="nil"/>
              <w:bottom w:val="single" w:sz="8" w:space="0" w:color="auto"/>
              <w:right w:val="single" w:sz="8" w:space="0" w:color="auto"/>
            </w:tcBorders>
            <w:shd w:val="clear" w:color="auto" w:fill="auto"/>
            <w:noWrap/>
            <w:vAlign w:val="bottom"/>
            <w:hideMark/>
          </w:tcPr>
          <w:p w14:paraId="43C8F9E6" w14:textId="77777777" w:rsidR="00AA39C7" w:rsidRPr="006E20A2" w:rsidRDefault="00AA39C7" w:rsidP="00AA39C7">
            <w:pPr>
              <w:ind w:firstLineChars="100" w:firstLine="200"/>
              <w:jc w:val="right"/>
              <w:rPr>
                <w:rFonts w:ascii="Arial" w:hAnsi="Arial"/>
                <w:color w:val="7030A0"/>
                <w:sz w:val="20"/>
                <w:lang w:val="en-US"/>
              </w:rPr>
            </w:pPr>
            <w:r w:rsidRPr="006E20A2">
              <w:rPr>
                <w:rFonts w:ascii="Arial" w:hAnsi="Arial"/>
                <w:color w:val="7030A0"/>
                <w:sz w:val="20"/>
                <w:lang w:val="en-US"/>
              </w:rPr>
              <w:t>6</w:t>
            </w:r>
          </w:p>
        </w:tc>
        <w:tc>
          <w:tcPr>
            <w:tcW w:w="992" w:type="dxa"/>
            <w:tcBorders>
              <w:top w:val="nil"/>
              <w:left w:val="nil"/>
              <w:bottom w:val="single" w:sz="8" w:space="0" w:color="auto"/>
              <w:right w:val="single" w:sz="8" w:space="0" w:color="auto"/>
            </w:tcBorders>
            <w:shd w:val="clear" w:color="auto" w:fill="auto"/>
            <w:noWrap/>
            <w:vAlign w:val="bottom"/>
            <w:hideMark/>
          </w:tcPr>
          <w:p w14:paraId="1027B816" w14:textId="77777777" w:rsidR="00AA39C7" w:rsidRPr="006E20A2" w:rsidRDefault="00AA39C7" w:rsidP="00AA39C7">
            <w:pPr>
              <w:ind w:firstLineChars="100" w:firstLine="200"/>
              <w:jc w:val="right"/>
              <w:rPr>
                <w:rFonts w:ascii="Arial" w:hAnsi="Arial"/>
                <w:color w:val="7030A0"/>
                <w:sz w:val="20"/>
                <w:lang w:val="en-US"/>
              </w:rPr>
            </w:pPr>
            <w:r w:rsidRPr="006E20A2">
              <w:rPr>
                <w:rFonts w:ascii="Arial" w:hAnsi="Arial"/>
                <w:color w:val="7030A0"/>
                <w:sz w:val="20"/>
                <w:lang w:val="en-US"/>
              </w:rPr>
              <w:t>2</w:t>
            </w:r>
          </w:p>
        </w:tc>
        <w:tc>
          <w:tcPr>
            <w:tcW w:w="992" w:type="dxa"/>
            <w:tcBorders>
              <w:top w:val="nil"/>
              <w:left w:val="nil"/>
              <w:bottom w:val="single" w:sz="8" w:space="0" w:color="auto"/>
              <w:right w:val="single" w:sz="8" w:space="0" w:color="auto"/>
            </w:tcBorders>
            <w:shd w:val="clear" w:color="auto" w:fill="auto"/>
            <w:noWrap/>
            <w:vAlign w:val="bottom"/>
            <w:hideMark/>
          </w:tcPr>
          <w:p w14:paraId="5ECDDB10" w14:textId="77777777" w:rsidR="00AA39C7" w:rsidRPr="006E20A2" w:rsidRDefault="00AA39C7" w:rsidP="00AA39C7">
            <w:pPr>
              <w:ind w:firstLineChars="100" w:firstLine="200"/>
              <w:jc w:val="right"/>
              <w:rPr>
                <w:rFonts w:ascii="Arial" w:hAnsi="Arial"/>
                <w:color w:val="7030A0"/>
                <w:sz w:val="20"/>
                <w:lang w:val="en-US"/>
              </w:rPr>
            </w:pPr>
          </w:p>
        </w:tc>
      </w:tr>
      <w:tr w:rsidR="00AA39C7" w:rsidRPr="006E20A2" w14:paraId="3F276967"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05422CD9" w14:textId="63C1BAE1" w:rsidR="00AA39C7" w:rsidRPr="006E20A2" w:rsidRDefault="00AA39C7" w:rsidP="00AA39C7">
            <w:pPr>
              <w:widowControl/>
              <w:jc w:val="left"/>
              <w:rPr>
                <w:rFonts w:ascii="Arial" w:hAnsi="Arial"/>
                <w:color w:val="7030A0"/>
                <w:sz w:val="18"/>
                <w:szCs w:val="18"/>
                <w:lang w:val="en-US" w:eastAsia="sl-SI"/>
              </w:rPr>
            </w:pPr>
            <w:r w:rsidRPr="006E20A2">
              <w:rPr>
                <w:rFonts w:ascii="Arial" w:hAnsi="Arial"/>
                <w:bCs/>
                <w:sz w:val="18"/>
                <w:szCs w:val="18"/>
                <w:lang w:val="en-US"/>
              </w:rPr>
              <w:t>COURT: Withdrawal of prosecution abroad</w:t>
            </w:r>
          </w:p>
        </w:tc>
        <w:tc>
          <w:tcPr>
            <w:tcW w:w="992" w:type="dxa"/>
            <w:tcBorders>
              <w:top w:val="nil"/>
              <w:left w:val="nil"/>
              <w:bottom w:val="single" w:sz="8" w:space="0" w:color="auto"/>
              <w:right w:val="single" w:sz="8" w:space="0" w:color="auto"/>
            </w:tcBorders>
            <w:shd w:val="clear" w:color="auto" w:fill="auto"/>
            <w:noWrap/>
            <w:vAlign w:val="bottom"/>
            <w:hideMark/>
          </w:tcPr>
          <w:p w14:paraId="56BF3AAD"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6</w:t>
            </w:r>
          </w:p>
        </w:tc>
        <w:tc>
          <w:tcPr>
            <w:tcW w:w="919" w:type="dxa"/>
            <w:tcBorders>
              <w:top w:val="nil"/>
              <w:left w:val="nil"/>
              <w:bottom w:val="single" w:sz="8" w:space="0" w:color="auto"/>
              <w:right w:val="single" w:sz="8" w:space="0" w:color="auto"/>
            </w:tcBorders>
            <w:shd w:val="clear" w:color="auto" w:fill="auto"/>
            <w:noWrap/>
            <w:vAlign w:val="bottom"/>
            <w:hideMark/>
          </w:tcPr>
          <w:p w14:paraId="013AE162" w14:textId="77777777" w:rsidR="00AA39C7" w:rsidRPr="006E20A2" w:rsidRDefault="00AA39C7" w:rsidP="00AA39C7">
            <w:pPr>
              <w:ind w:firstLineChars="100" w:firstLine="200"/>
              <w:jc w:val="right"/>
              <w:rPr>
                <w:rFonts w:ascii="Arial" w:hAnsi="Arial"/>
                <w:color w:val="7030A0"/>
                <w:sz w:val="20"/>
                <w:lang w:val="en-US"/>
              </w:rPr>
            </w:pPr>
          </w:p>
        </w:tc>
        <w:tc>
          <w:tcPr>
            <w:tcW w:w="992" w:type="dxa"/>
            <w:tcBorders>
              <w:top w:val="nil"/>
              <w:left w:val="nil"/>
              <w:bottom w:val="single" w:sz="8" w:space="0" w:color="auto"/>
              <w:right w:val="single" w:sz="8" w:space="0" w:color="auto"/>
            </w:tcBorders>
            <w:shd w:val="clear" w:color="auto" w:fill="auto"/>
            <w:noWrap/>
            <w:vAlign w:val="bottom"/>
            <w:hideMark/>
          </w:tcPr>
          <w:p w14:paraId="4AE51A9B" w14:textId="77777777" w:rsidR="00AA39C7" w:rsidRPr="006E20A2" w:rsidRDefault="00AA39C7" w:rsidP="00AA39C7">
            <w:pPr>
              <w:ind w:firstLineChars="100" w:firstLine="200"/>
              <w:jc w:val="right"/>
              <w:rPr>
                <w:rFonts w:ascii="Arial" w:hAnsi="Arial"/>
                <w:color w:val="7030A0"/>
                <w:sz w:val="20"/>
                <w:lang w:val="en-US"/>
              </w:rPr>
            </w:pPr>
            <w:r w:rsidRPr="006E20A2">
              <w:rPr>
                <w:rFonts w:ascii="Arial" w:hAnsi="Arial"/>
                <w:color w:val="7030A0"/>
                <w:sz w:val="20"/>
                <w:lang w:val="en-US"/>
              </w:rPr>
              <w:t>8</w:t>
            </w:r>
          </w:p>
        </w:tc>
        <w:tc>
          <w:tcPr>
            <w:tcW w:w="992" w:type="dxa"/>
            <w:tcBorders>
              <w:top w:val="nil"/>
              <w:left w:val="nil"/>
              <w:bottom w:val="single" w:sz="8" w:space="0" w:color="auto"/>
              <w:right w:val="single" w:sz="8" w:space="0" w:color="auto"/>
            </w:tcBorders>
            <w:shd w:val="clear" w:color="auto" w:fill="auto"/>
            <w:noWrap/>
            <w:vAlign w:val="bottom"/>
            <w:hideMark/>
          </w:tcPr>
          <w:p w14:paraId="523A9A61" w14:textId="77777777" w:rsidR="00AA39C7" w:rsidRPr="006E20A2" w:rsidRDefault="00AA39C7" w:rsidP="00AA39C7">
            <w:pPr>
              <w:ind w:firstLineChars="100" w:firstLine="200"/>
              <w:jc w:val="right"/>
              <w:rPr>
                <w:rFonts w:ascii="Arial" w:hAnsi="Arial"/>
                <w:color w:val="7030A0"/>
                <w:sz w:val="20"/>
                <w:lang w:val="en-US"/>
              </w:rPr>
            </w:pPr>
            <w:r w:rsidRPr="006E20A2">
              <w:rPr>
                <w:rFonts w:ascii="Arial" w:hAnsi="Arial"/>
                <w:color w:val="7030A0"/>
                <w:sz w:val="20"/>
                <w:lang w:val="en-US"/>
              </w:rPr>
              <w:t>1</w:t>
            </w:r>
          </w:p>
        </w:tc>
        <w:tc>
          <w:tcPr>
            <w:tcW w:w="992" w:type="dxa"/>
            <w:tcBorders>
              <w:top w:val="nil"/>
              <w:left w:val="nil"/>
              <w:bottom w:val="single" w:sz="8" w:space="0" w:color="auto"/>
              <w:right w:val="single" w:sz="8" w:space="0" w:color="auto"/>
            </w:tcBorders>
            <w:shd w:val="clear" w:color="auto" w:fill="auto"/>
            <w:noWrap/>
            <w:vAlign w:val="bottom"/>
            <w:hideMark/>
          </w:tcPr>
          <w:p w14:paraId="2D415A06" w14:textId="77777777" w:rsidR="00AA39C7" w:rsidRPr="006E20A2" w:rsidRDefault="00AA39C7" w:rsidP="00AA39C7">
            <w:pPr>
              <w:ind w:firstLineChars="100" w:firstLine="200"/>
              <w:jc w:val="right"/>
              <w:rPr>
                <w:rFonts w:ascii="Arial" w:hAnsi="Arial"/>
                <w:color w:val="7030A0"/>
                <w:sz w:val="20"/>
                <w:lang w:val="en-US"/>
              </w:rPr>
            </w:pPr>
          </w:p>
        </w:tc>
      </w:tr>
      <w:tr w:rsidR="00AA39C7" w:rsidRPr="006E20A2" w14:paraId="4BD164A9"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66036A5C" w14:textId="78116A7D" w:rsidR="00AA39C7" w:rsidRPr="006E20A2" w:rsidRDefault="006514B9" w:rsidP="00AA39C7">
            <w:pPr>
              <w:widowControl/>
              <w:jc w:val="left"/>
              <w:rPr>
                <w:rFonts w:ascii="Arial" w:hAnsi="Arial"/>
                <w:color w:val="7030A0"/>
                <w:sz w:val="18"/>
                <w:szCs w:val="18"/>
                <w:lang w:val="en-US" w:eastAsia="sl-SI"/>
              </w:rPr>
            </w:pPr>
            <w:r w:rsidRPr="006514B9">
              <w:rPr>
                <w:rFonts w:ascii="Arial" w:hAnsi="Arial"/>
                <w:bCs/>
                <w:sz w:val="18"/>
                <w:szCs w:val="18"/>
                <w:lang w:val="en-US"/>
              </w:rPr>
              <w:t>Modification of the legal qualification</w:t>
            </w:r>
            <w:r w:rsidRPr="006514B9" w:rsidDel="006514B9">
              <w:rPr>
                <w:rFonts w:ascii="Arial" w:hAnsi="Arial"/>
                <w:bCs/>
                <w:sz w:val="18"/>
                <w:szCs w:val="18"/>
                <w:lang w:val="en-US"/>
              </w:rPr>
              <w:t xml:space="preserve"> </w:t>
            </w:r>
            <w:r w:rsidR="00AA39C7" w:rsidRPr="006E20A2">
              <w:rPr>
                <w:rFonts w:ascii="Arial" w:hAnsi="Arial"/>
                <w:bCs/>
                <w:sz w:val="18"/>
                <w:szCs w:val="18"/>
                <w:lang w:val="en-US"/>
              </w:rPr>
              <w:t xml:space="preserve">of </w:t>
            </w:r>
            <w:r>
              <w:rPr>
                <w:rFonts w:ascii="Arial" w:hAnsi="Arial"/>
                <w:bCs/>
                <w:sz w:val="18"/>
                <w:szCs w:val="18"/>
                <w:lang w:val="en-US"/>
              </w:rPr>
              <w:t xml:space="preserve">the </w:t>
            </w:r>
            <w:r w:rsidR="00AA39C7" w:rsidRPr="006E20A2">
              <w:rPr>
                <w:rFonts w:ascii="Arial" w:hAnsi="Arial"/>
                <w:bCs/>
                <w:sz w:val="18"/>
                <w:szCs w:val="18"/>
                <w:lang w:val="en-US"/>
              </w:rPr>
              <w:t xml:space="preserve">criminal offence </w:t>
            </w:r>
          </w:p>
        </w:tc>
        <w:tc>
          <w:tcPr>
            <w:tcW w:w="992" w:type="dxa"/>
            <w:tcBorders>
              <w:top w:val="nil"/>
              <w:left w:val="nil"/>
              <w:bottom w:val="single" w:sz="8" w:space="0" w:color="auto"/>
              <w:right w:val="single" w:sz="8" w:space="0" w:color="auto"/>
            </w:tcBorders>
            <w:shd w:val="clear" w:color="auto" w:fill="auto"/>
            <w:noWrap/>
            <w:vAlign w:val="bottom"/>
            <w:hideMark/>
          </w:tcPr>
          <w:p w14:paraId="2C143260"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5</w:t>
            </w:r>
          </w:p>
        </w:tc>
        <w:tc>
          <w:tcPr>
            <w:tcW w:w="919" w:type="dxa"/>
            <w:tcBorders>
              <w:top w:val="nil"/>
              <w:left w:val="nil"/>
              <w:bottom w:val="single" w:sz="8" w:space="0" w:color="auto"/>
              <w:right w:val="single" w:sz="8" w:space="0" w:color="auto"/>
            </w:tcBorders>
            <w:shd w:val="clear" w:color="auto" w:fill="auto"/>
            <w:noWrap/>
            <w:vAlign w:val="bottom"/>
            <w:hideMark/>
          </w:tcPr>
          <w:p w14:paraId="1DDD5662" w14:textId="77777777" w:rsidR="00AA39C7" w:rsidRPr="006E20A2" w:rsidRDefault="00AA39C7" w:rsidP="00AA39C7">
            <w:pPr>
              <w:ind w:firstLineChars="100" w:firstLine="200"/>
              <w:jc w:val="right"/>
              <w:rPr>
                <w:rFonts w:ascii="Arial" w:hAnsi="Arial"/>
                <w:color w:val="7030A0"/>
                <w:sz w:val="20"/>
                <w:lang w:val="en-US"/>
              </w:rPr>
            </w:pPr>
            <w:r w:rsidRPr="006E20A2">
              <w:rPr>
                <w:rFonts w:ascii="Arial" w:hAnsi="Arial"/>
                <w:color w:val="7030A0"/>
                <w:sz w:val="20"/>
                <w:lang w:val="en-US"/>
              </w:rPr>
              <w:t>11</w:t>
            </w:r>
          </w:p>
        </w:tc>
        <w:tc>
          <w:tcPr>
            <w:tcW w:w="992" w:type="dxa"/>
            <w:tcBorders>
              <w:top w:val="nil"/>
              <w:left w:val="nil"/>
              <w:bottom w:val="single" w:sz="8" w:space="0" w:color="auto"/>
              <w:right w:val="single" w:sz="8" w:space="0" w:color="auto"/>
            </w:tcBorders>
            <w:shd w:val="clear" w:color="auto" w:fill="auto"/>
            <w:noWrap/>
            <w:vAlign w:val="bottom"/>
            <w:hideMark/>
          </w:tcPr>
          <w:p w14:paraId="4F47A858" w14:textId="77777777" w:rsidR="00AA39C7" w:rsidRPr="006E20A2" w:rsidRDefault="00AA39C7" w:rsidP="00AA39C7">
            <w:pPr>
              <w:ind w:firstLineChars="100" w:firstLine="200"/>
              <w:jc w:val="right"/>
              <w:rPr>
                <w:rFonts w:ascii="Arial" w:hAnsi="Arial"/>
                <w:color w:val="7030A0"/>
                <w:sz w:val="20"/>
                <w:lang w:val="en-US"/>
              </w:rPr>
            </w:pPr>
          </w:p>
        </w:tc>
        <w:tc>
          <w:tcPr>
            <w:tcW w:w="992" w:type="dxa"/>
            <w:tcBorders>
              <w:top w:val="nil"/>
              <w:left w:val="nil"/>
              <w:bottom w:val="single" w:sz="8" w:space="0" w:color="auto"/>
              <w:right w:val="single" w:sz="8" w:space="0" w:color="auto"/>
            </w:tcBorders>
            <w:shd w:val="clear" w:color="auto" w:fill="auto"/>
            <w:noWrap/>
            <w:vAlign w:val="bottom"/>
            <w:hideMark/>
          </w:tcPr>
          <w:p w14:paraId="0B122165" w14:textId="77777777" w:rsidR="00AA39C7" w:rsidRPr="006E20A2" w:rsidRDefault="00AA39C7" w:rsidP="00AA39C7">
            <w:pPr>
              <w:ind w:firstLineChars="100" w:firstLine="200"/>
              <w:jc w:val="right"/>
              <w:rPr>
                <w:rFonts w:ascii="Arial" w:hAnsi="Arial"/>
                <w:color w:val="7030A0"/>
                <w:sz w:val="20"/>
                <w:lang w:val="en-US"/>
              </w:rPr>
            </w:pPr>
          </w:p>
        </w:tc>
        <w:tc>
          <w:tcPr>
            <w:tcW w:w="992" w:type="dxa"/>
            <w:tcBorders>
              <w:top w:val="nil"/>
              <w:left w:val="nil"/>
              <w:bottom w:val="single" w:sz="8" w:space="0" w:color="auto"/>
              <w:right w:val="single" w:sz="8" w:space="0" w:color="auto"/>
            </w:tcBorders>
            <w:shd w:val="clear" w:color="auto" w:fill="auto"/>
            <w:noWrap/>
            <w:vAlign w:val="bottom"/>
            <w:hideMark/>
          </w:tcPr>
          <w:p w14:paraId="5197E8F8" w14:textId="77777777" w:rsidR="00AA39C7" w:rsidRPr="006E20A2" w:rsidRDefault="00AA39C7" w:rsidP="00AA39C7">
            <w:pPr>
              <w:ind w:firstLineChars="100" w:firstLine="200"/>
              <w:jc w:val="right"/>
              <w:rPr>
                <w:rFonts w:ascii="Arial" w:hAnsi="Arial"/>
                <w:color w:val="7030A0"/>
                <w:sz w:val="20"/>
                <w:lang w:val="en-US"/>
              </w:rPr>
            </w:pPr>
          </w:p>
        </w:tc>
      </w:tr>
      <w:tr w:rsidR="00AA39C7" w:rsidRPr="006E20A2" w14:paraId="293F11A3" w14:textId="77777777" w:rsidTr="00FC266A">
        <w:trPr>
          <w:trHeight w:val="270"/>
        </w:trPr>
        <w:tc>
          <w:tcPr>
            <w:tcW w:w="3686" w:type="dxa"/>
            <w:tcBorders>
              <w:top w:val="nil"/>
              <w:left w:val="single" w:sz="8" w:space="0" w:color="auto"/>
              <w:bottom w:val="single" w:sz="8" w:space="0" w:color="auto"/>
              <w:right w:val="single" w:sz="8" w:space="0" w:color="auto"/>
            </w:tcBorders>
            <w:shd w:val="clear" w:color="000000" w:fill="99FF33"/>
            <w:noWrap/>
            <w:hideMark/>
          </w:tcPr>
          <w:p w14:paraId="3B0F76D2" w14:textId="624A428E" w:rsidR="00AA39C7" w:rsidRPr="006E20A2" w:rsidRDefault="006514B9" w:rsidP="00AA39C7">
            <w:pPr>
              <w:widowControl/>
              <w:jc w:val="left"/>
              <w:rPr>
                <w:rFonts w:ascii="Arial" w:hAnsi="Arial"/>
                <w:color w:val="7030A0"/>
                <w:sz w:val="18"/>
                <w:szCs w:val="18"/>
                <w:lang w:val="en-US" w:eastAsia="sl-SI"/>
              </w:rPr>
            </w:pPr>
            <w:r>
              <w:rPr>
                <w:rFonts w:ascii="Arial" w:hAnsi="Arial"/>
                <w:bCs/>
                <w:sz w:val="18"/>
                <w:szCs w:val="18"/>
                <w:lang w:val="en-US"/>
              </w:rPr>
              <w:t>Joinder</w:t>
            </w:r>
            <w:r w:rsidRPr="006E20A2">
              <w:rPr>
                <w:rFonts w:ascii="Arial" w:hAnsi="Arial"/>
                <w:bCs/>
                <w:sz w:val="18"/>
                <w:szCs w:val="18"/>
                <w:lang w:val="en-US"/>
              </w:rPr>
              <w:t xml:space="preserve"> </w:t>
            </w:r>
            <w:r w:rsidR="00AA39C7" w:rsidRPr="006E20A2">
              <w:rPr>
                <w:rFonts w:ascii="Arial" w:hAnsi="Arial"/>
                <w:bCs/>
                <w:sz w:val="18"/>
                <w:szCs w:val="18"/>
                <w:lang w:val="en-US"/>
              </w:rPr>
              <w:t xml:space="preserve">of </w:t>
            </w:r>
            <w:r>
              <w:rPr>
                <w:rFonts w:ascii="Arial" w:hAnsi="Arial"/>
                <w:bCs/>
                <w:sz w:val="18"/>
                <w:szCs w:val="18"/>
                <w:lang w:val="en-US"/>
              </w:rPr>
              <w:t>proceedings</w:t>
            </w:r>
          </w:p>
        </w:tc>
        <w:tc>
          <w:tcPr>
            <w:tcW w:w="992" w:type="dxa"/>
            <w:tcBorders>
              <w:top w:val="nil"/>
              <w:left w:val="nil"/>
              <w:bottom w:val="single" w:sz="8" w:space="0" w:color="auto"/>
              <w:right w:val="single" w:sz="8" w:space="0" w:color="auto"/>
            </w:tcBorders>
            <w:shd w:val="clear" w:color="auto" w:fill="auto"/>
            <w:noWrap/>
            <w:vAlign w:val="bottom"/>
            <w:hideMark/>
          </w:tcPr>
          <w:p w14:paraId="5B4E1E72" w14:textId="77777777" w:rsidR="00AA39C7" w:rsidRPr="006E20A2" w:rsidRDefault="00AA39C7" w:rsidP="00AA39C7">
            <w:pPr>
              <w:jc w:val="right"/>
              <w:rPr>
                <w:rFonts w:ascii="Arial" w:hAnsi="Arial"/>
                <w:color w:val="7030A0"/>
                <w:sz w:val="20"/>
                <w:lang w:val="en-US"/>
              </w:rPr>
            </w:pPr>
            <w:r w:rsidRPr="006E20A2">
              <w:rPr>
                <w:rFonts w:ascii="Arial" w:hAnsi="Arial"/>
                <w:color w:val="7030A0"/>
                <w:sz w:val="20"/>
                <w:lang w:val="en-US"/>
              </w:rPr>
              <w:t>13</w:t>
            </w:r>
          </w:p>
        </w:tc>
        <w:tc>
          <w:tcPr>
            <w:tcW w:w="919" w:type="dxa"/>
            <w:tcBorders>
              <w:top w:val="nil"/>
              <w:left w:val="nil"/>
              <w:bottom w:val="single" w:sz="8" w:space="0" w:color="auto"/>
              <w:right w:val="single" w:sz="8" w:space="0" w:color="auto"/>
            </w:tcBorders>
            <w:shd w:val="clear" w:color="auto" w:fill="auto"/>
            <w:noWrap/>
            <w:vAlign w:val="bottom"/>
            <w:hideMark/>
          </w:tcPr>
          <w:p w14:paraId="5EF2D22E" w14:textId="77777777" w:rsidR="00AA39C7" w:rsidRPr="006E20A2" w:rsidRDefault="00AA39C7" w:rsidP="00AA39C7">
            <w:pPr>
              <w:ind w:firstLineChars="100" w:firstLine="200"/>
              <w:jc w:val="right"/>
              <w:rPr>
                <w:rFonts w:ascii="Arial" w:hAnsi="Arial"/>
                <w:color w:val="7030A0"/>
                <w:sz w:val="20"/>
                <w:lang w:val="en-US"/>
              </w:rPr>
            </w:pPr>
          </w:p>
        </w:tc>
        <w:tc>
          <w:tcPr>
            <w:tcW w:w="992" w:type="dxa"/>
            <w:tcBorders>
              <w:top w:val="nil"/>
              <w:left w:val="nil"/>
              <w:bottom w:val="single" w:sz="8" w:space="0" w:color="auto"/>
              <w:right w:val="single" w:sz="8" w:space="0" w:color="auto"/>
            </w:tcBorders>
            <w:shd w:val="clear" w:color="auto" w:fill="auto"/>
            <w:noWrap/>
            <w:vAlign w:val="bottom"/>
            <w:hideMark/>
          </w:tcPr>
          <w:p w14:paraId="24761597" w14:textId="77777777" w:rsidR="00AA39C7" w:rsidRPr="006E20A2" w:rsidRDefault="00AA39C7" w:rsidP="00AA39C7">
            <w:pPr>
              <w:ind w:firstLineChars="100" w:firstLine="200"/>
              <w:jc w:val="right"/>
              <w:rPr>
                <w:rFonts w:ascii="Arial" w:hAnsi="Arial"/>
                <w:color w:val="7030A0"/>
                <w:sz w:val="20"/>
                <w:lang w:val="en-US"/>
              </w:rPr>
            </w:pPr>
          </w:p>
        </w:tc>
        <w:tc>
          <w:tcPr>
            <w:tcW w:w="992" w:type="dxa"/>
            <w:tcBorders>
              <w:top w:val="nil"/>
              <w:left w:val="nil"/>
              <w:bottom w:val="single" w:sz="8" w:space="0" w:color="auto"/>
              <w:right w:val="single" w:sz="8" w:space="0" w:color="auto"/>
            </w:tcBorders>
            <w:shd w:val="clear" w:color="auto" w:fill="auto"/>
            <w:noWrap/>
            <w:vAlign w:val="bottom"/>
            <w:hideMark/>
          </w:tcPr>
          <w:p w14:paraId="61270464" w14:textId="77777777" w:rsidR="00AA39C7" w:rsidRPr="006E20A2" w:rsidRDefault="00AA39C7" w:rsidP="00AA39C7">
            <w:pPr>
              <w:ind w:firstLineChars="100" w:firstLine="200"/>
              <w:jc w:val="right"/>
              <w:rPr>
                <w:rFonts w:ascii="Arial" w:hAnsi="Arial"/>
                <w:color w:val="7030A0"/>
                <w:sz w:val="20"/>
                <w:lang w:val="en-US"/>
              </w:rPr>
            </w:pPr>
          </w:p>
        </w:tc>
        <w:tc>
          <w:tcPr>
            <w:tcW w:w="992" w:type="dxa"/>
            <w:tcBorders>
              <w:top w:val="nil"/>
              <w:left w:val="nil"/>
              <w:bottom w:val="single" w:sz="8" w:space="0" w:color="auto"/>
              <w:right w:val="single" w:sz="8" w:space="0" w:color="auto"/>
            </w:tcBorders>
            <w:shd w:val="clear" w:color="auto" w:fill="auto"/>
            <w:noWrap/>
            <w:vAlign w:val="bottom"/>
            <w:hideMark/>
          </w:tcPr>
          <w:p w14:paraId="30E0558F" w14:textId="77777777" w:rsidR="00AA39C7" w:rsidRPr="006E20A2" w:rsidRDefault="00AA39C7" w:rsidP="00AA39C7">
            <w:pPr>
              <w:ind w:firstLineChars="100" w:firstLine="200"/>
              <w:jc w:val="right"/>
              <w:rPr>
                <w:rFonts w:ascii="Arial" w:hAnsi="Arial"/>
                <w:color w:val="7030A0"/>
                <w:sz w:val="20"/>
                <w:lang w:val="en-US"/>
              </w:rPr>
            </w:pPr>
          </w:p>
        </w:tc>
      </w:tr>
      <w:tr w:rsidR="00D56A22" w:rsidRPr="006E20A2" w14:paraId="5EC922BC" w14:textId="77777777" w:rsidTr="00472BE5">
        <w:trPr>
          <w:trHeight w:val="270"/>
        </w:trPr>
        <w:tc>
          <w:tcPr>
            <w:tcW w:w="3686" w:type="dxa"/>
            <w:tcBorders>
              <w:top w:val="nil"/>
              <w:left w:val="single" w:sz="8" w:space="0" w:color="auto"/>
              <w:bottom w:val="single" w:sz="8" w:space="0" w:color="auto"/>
              <w:right w:val="single" w:sz="8" w:space="0" w:color="auto"/>
            </w:tcBorders>
            <w:shd w:val="clear" w:color="000000" w:fill="00CCFF"/>
            <w:noWrap/>
            <w:vAlign w:val="center"/>
            <w:hideMark/>
          </w:tcPr>
          <w:p w14:paraId="73946703" w14:textId="5BAD7AEA" w:rsidR="00D56A22" w:rsidRPr="006E20A2" w:rsidRDefault="00AA39C7" w:rsidP="00D56A22">
            <w:pPr>
              <w:widowControl/>
              <w:jc w:val="left"/>
              <w:rPr>
                <w:rFonts w:ascii="Arial" w:hAnsi="Arial"/>
                <w:b/>
                <w:bCs/>
                <w:sz w:val="20"/>
                <w:lang w:val="en-US" w:eastAsia="sl-SI"/>
              </w:rPr>
            </w:pPr>
            <w:r w:rsidRPr="006E20A2">
              <w:rPr>
                <w:rFonts w:ascii="Arial" w:hAnsi="Arial"/>
                <w:b/>
                <w:bCs/>
                <w:sz w:val="20"/>
                <w:lang w:val="en-US" w:eastAsia="sl-SI"/>
              </w:rPr>
              <w:lastRenderedPageBreak/>
              <w:t>TOTAL</w:t>
            </w:r>
          </w:p>
        </w:tc>
        <w:tc>
          <w:tcPr>
            <w:tcW w:w="992" w:type="dxa"/>
            <w:tcBorders>
              <w:top w:val="nil"/>
              <w:left w:val="nil"/>
              <w:bottom w:val="single" w:sz="8" w:space="0" w:color="auto"/>
              <w:right w:val="single" w:sz="8" w:space="0" w:color="auto"/>
            </w:tcBorders>
            <w:shd w:val="clear" w:color="000000" w:fill="00CCFF"/>
            <w:noWrap/>
            <w:vAlign w:val="center"/>
            <w:hideMark/>
          </w:tcPr>
          <w:p w14:paraId="1F40E543" w14:textId="77777777" w:rsidR="00D56A22" w:rsidRPr="006E20A2" w:rsidRDefault="00D56A22" w:rsidP="00D56A22">
            <w:pPr>
              <w:widowControl/>
              <w:ind w:firstLineChars="100" w:firstLine="201"/>
              <w:jc w:val="right"/>
              <w:rPr>
                <w:rFonts w:ascii="Arial" w:hAnsi="Arial"/>
                <w:b/>
                <w:bCs/>
                <w:sz w:val="20"/>
                <w:lang w:val="en-US" w:eastAsia="sl-SI"/>
              </w:rPr>
            </w:pPr>
            <w:r w:rsidRPr="006E20A2">
              <w:rPr>
                <w:rFonts w:ascii="Arial" w:hAnsi="Arial"/>
                <w:b/>
                <w:bCs/>
                <w:sz w:val="20"/>
                <w:lang w:val="en-US" w:eastAsia="sl-SI"/>
              </w:rPr>
              <w:t>667</w:t>
            </w:r>
          </w:p>
        </w:tc>
        <w:tc>
          <w:tcPr>
            <w:tcW w:w="919" w:type="dxa"/>
            <w:tcBorders>
              <w:top w:val="nil"/>
              <w:left w:val="nil"/>
              <w:bottom w:val="single" w:sz="8" w:space="0" w:color="auto"/>
              <w:right w:val="single" w:sz="8" w:space="0" w:color="auto"/>
            </w:tcBorders>
            <w:shd w:val="clear" w:color="000000" w:fill="00CCFF"/>
            <w:noWrap/>
            <w:vAlign w:val="center"/>
            <w:hideMark/>
          </w:tcPr>
          <w:p w14:paraId="17A808E5" w14:textId="77777777" w:rsidR="00D56A22" w:rsidRPr="006E20A2" w:rsidRDefault="00D56A22" w:rsidP="00D56A22">
            <w:pPr>
              <w:widowControl/>
              <w:ind w:firstLineChars="100" w:firstLine="201"/>
              <w:jc w:val="right"/>
              <w:rPr>
                <w:rFonts w:ascii="Arial" w:hAnsi="Arial"/>
                <w:b/>
                <w:bCs/>
                <w:sz w:val="20"/>
                <w:lang w:val="en-US" w:eastAsia="sl-SI"/>
              </w:rPr>
            </w:pPr>
            <w:r w:rsidRPr="006E20A2">
              <w:rPr>
                <w:rFonts w:ascii="Arial" w:hAnsi="Arial"/>
                <w:b/>
                <w:bCs/>
                <w:sz w:val="20"/>
                <w:lang w:val="en-US" w:eastAsia="sl-SI"/>
              </w:rPr>
              <w:t>966</w:t>
            </w:r>
          </w:p>
        </w:tc>
        <w:tc>
          <w:tcPr>
            <w:tcW w:w="992" w:type="dxa"/>
            <w:tcBorders>
              <w:top w:val="nil"/>
              <w:left w:val="nil"/>
              <w:bottom w:val="single" w:sz="8" w:space="0" w:color="auto"/>
              <w:right w:val="single" w:sz="8" w:space="0" w:color="auto"/>
            </w:tcBorders>
            <w:shd w:val="clear" w:color="000000" w:fill="00CCFF"/>
            <w:noWrap/>
            <w:vAlign w:val="center"/>
            <w:hideMark/>
          </w:tcPr>
          <w:p w14:paraId="2469EC98" w14:textId="77777777" w:rsidR="00D56A22" w:rsidRPr="006E20A2" w:rsidRDefault="00D56A22" w:rsidP="00D56A22">
            <w:pPr>
              <w:widowControl/>
              <w:ind w:firstLineChars="100" w:firstLine="201"/>
              <w:jc w:val="right"/>
              <w:rPr>
                <w:rFonts w:ascii="Arial" w:hAnsi="Arial"/>
                <w:b/>
                <w:bCs/>
                <w:sz w:val="20"/>
                <w:lang w:val="en-US" w:eastAsia="sl-SI"/>
              </w:rPr>
            </w:pPr>
            <w:r w:rsidRPr="006E20A2">
              <w:rPr>
                <w:rFonts w:ascii="Arial" w:hAnsi="Arial"/>
                <w:b/>
                <w:bCs/>
                <w:sz w:val="20"/>
                <w:lang w:val="en-US" w:eastAsia="sl-SI"/>
              </w:rPr>
              <w:t>267</w:t>
            </w:r>
          </w:p>
        </w:tc>
        <w:tc>
          <w:tcPr>
            <w:tcW w:w="992" w:type="dxa"/>
            <w:tcBorders>
              <w:top w:val="nil"/>
              <w:left w:val="nil"/>
              <w:bottom w:val="single" w:sz="8" w:space="0" w:color="auto"/>
              <w:right w:val="single" w:sz="8" w:space="0" w:color="auto"/>
            </w:tcBorders>
            <w:shd w:val="clear" w:color="000000" w:fill="00CCFF"/>
            <w:noWrap/>
            <w:vAlign w:val="center"/>
            <w:hideMark/>
          </w:tcPr>
          <w:p w14:paraId="0EA64DED" w14:textId="77777777" w:rsidR="00D56A22" w:rsidRPr="006E20A2" w:rsidRDefault="00D56A22" w:rsidP="00D56A22">
            <w:pPr>
              <w:widowControl/>
              <w:ind w:firstLineChars="100" w:firstLine="201"/>
              <w:jc w:val="right"/>
              <w:rPr>
                <w:rFonts w:ascii="Arial" w:hAnsi="Arial"/>
                <w:b/>
                <w:bCs/>
                <w:sz w:val="20"/>
                <w:lang w:val="en-US" w:eastAsia="sl-SI"/>
              </w:rPr>
            </w:pPr>
            <w:r w:rsidRPr="006E20A2">
              <w:rPr>
                <w:rFonts w:ascii="Arial" w:hAnsi="Arial"/>
                <w:b/>
                <w:bCs/>
                <w:sz w:val="20"/>
                <w:lang w:val="en-US" w:eastAsia="sl-SI"/>
              </w:rPr>
              <w:t>120</w:t>
            </w:r>
          </w:p>
        </w:tc>
        <w:tc>
          <w:tcPr>
            <w:tcW w:w="992" w:type="dxa"/>
            <w:tcBorders>
              <w:top w:val="nil"/>
              <w:left w:val="nil"/>
              <w:bottom w:val="single" w:sz="8" w:space="0" w:color="auto"/>
              <w:right w:val="single" w:sz="8" w:space="0" w:color="auto"/>
            </w:tcBorders>
            <w:shd w:val="clear" w:color="000000" w:fill="00CCFF"/>
            <w:noWrap/>
            <w:vAlign w:val="center"/>
            <w:hideMark/>
          </w:tcPr>
          <w:p w14:paraId="1D08343F" w14:textId="77777777" w:rsidR="00D56A22" w:rsidRPr="006E20A2" w:rsidRDefault="00D56A22" w:rsidP="00D56A22">
            <w:pPr>
              <w:widowControl/>
              <w:ind w:firstLineChars="100" w:firstLine="201"/>
              <w:jc w:val="right"/>
              <w:rPr>
                <w:rFonts w:ascii="Arial" w:hAnsi="Arial"/>
                <w:b/>
                <w:bCs/>
                <w:sz w:val="20"/>
                <w:lang w:val="en-US" w:eastAsia="sl-SI"/>
              </w:rPr>
            </w:pPr>
            <w:r w:rsidRPr="006E20A2">
              <w:rPr>
                <w:rFonts w:ascii="Arial" w:hAnsi="Arial"/>
                <w:b/>
                <w:bCs/>
                <w:sz w:val="20"/>
                <w:lang w:val="en-US" w:eastAsia="sl-SI"/>
              </w:rPr>
              <w:t>27</w:t>
            </w:r>
          </w:p>
        </w:tc>
      </w:tr>
    </w:tbl>
    <w:p w14:paraId="0CEC499F" w14:textId="7010A93F" w:rsidR="00AA39C7" w:rsidRPr="006E20A2" w:rsidRDefault="00AA39C7" w:rsidP="00AA39C7">
      <w:pPr>
        <w:pStyle w:val="Telobesedila"/>
        <w:rPr>
          <w:rFonts w:ascii="Arial" w:hAnsi="Arial"/>
          <w:sz w:val="16"/>
          <w:szCs w:val="16"/>
          <w:lang w:val="en-US"/>
        </w:rPr>
      </w:pPr>
      <w:r w:rsidRPr="006E20A2">
        <w:rPr>
          <w:rFonts w:ascii="Arial" w:hAnsi="Arial"/>
          <w:sz w:val="16"/>
          <w:szCs w:val="16"/>
          <w:lang w:val="en-US"/>
        </w:rPr>
        <w:t>*   SP means State Prosecutor</w:t>
      </w:r>
      <w:r w:rsidR="00FD6001">
        <w:rPr>
          <w:rFonts w:ascii="Arial" w:hAnsi="Arial"/>
          <w:sz w:val="16"/>
          <w:szCs w:val="16"/>
          <w:lang w:val="en-US"/>
        </w:rPr>
        <w:t>’s</w:t>
      </w:r>
      <w:r w:rsidRPr="006E20A2">
        <w:rPr>
          <w:rFonts w:ascii="Arial" w:hAnsi="Arial"/>
          <w:sz w:val="16"/>
          <w:szCs w:val="16"/>
          <w:lang w:val="en-US"/>
        </w:rPr>
        <w:t xml:space="preserve"> Office</w:t>
      </w:r>
    </w:p>
    <w:p w14:paraId="5FD1226A" w14:textId="77777777" w:rsidR="00AA39C7" w:rsidRPr="006E20A2" w:rsidRDefault="00AA39C7" w:rsidP="00AA39C7">
      <w:pPr>
        <w:pStyle w:val="Telobesedila"/>
        <w:rPr>
          <w:rFonts w:ascii="Arial" w:hAnsi="Arial"/>
          <w:sz w:val="16"/>
          <w:szCs w:val="16"/>
          <w:lang w:val="en-US"/>
        </w:rPr>
      </w:pPr>
      <w:r w:rsidRPr="006E20A2">
        <w:rPr>
          <w:rFonts w:ascii="Arial" w:hAnsi="Arial"/>
          <w:sz w:val="16"/>
          <w:szCs w:val="16"/>
          <w:lang w:val="en-US"/>
        </w:rPr>
        <w:t>** IJ means Investigative Judge</w:t>
      </w:r>
    </w:p>
    <w:p w14:paraId="6DBA0167" w14:textId="13D4BB51" w:rsidR="00D56A22" w:rsidRPr="006E20A2" w:rsidRDefault="00D56A22" w:rsidP="00631096">
      <w:pPr>
        <w:widowControl/>
        <w:spacing w:line="276" w:lineRule="auto"/>
        <w:ind w:left="1140" w:right="-22" w:hanging="1140"/>
        <w:rPr>
          <w:rFonts w:ascii="Arial" w:hAnsi="Arial"/>
          <w:b/>
          <w:i/>
          <w:sz w:val="20"/>
          <w:lang w:val="en-US"/>
        </w:rPr>
      </w:pPr>
    </w:p>
    <w:p w14:paraId="2C05891A" w14:textId="5D570ADC" w:rsidR="00AA39C7" w:rsidRPr="006E20A2" w:rsidRDefault="00AA39C7" w:rsidP="00AA39C7">
      <w:pPr>
        <w:ind w:right="-22"/>
        <w:rPr>
          <w:rFonts w:ascii="Arial" w:hAnsi="Arial"/>
          <w:sz w:val="20"/>
          <w:lang w:val="en-US"/>
        </w:rPr>
      </w:pPr>
      <w:r w:rsidRPr="006E20A2">
        <w:rPr>
          <w:rFonts w:ascii="Arial" w:hAnsi="Arial"/>
          <w:sz w:val="20"/>
          <w:lang w:val="en-US"/>
        </w:rPr>
        <w:t>From the Table 4 can be seen that on 31 December 20</w:t>
      </w:r>
      <w:r w:rsidR="00E1625D">
        <w:rPr>
          <w:rFonts w:ascii="Arial" w:hAnsi="Arial"/>
          <w:sz w:val="20"/>
          <w:lang w:val="en-US"/>
        </w:rPr>
        <w:t>20</w:t>
      </w:r>
      <w:r w:rsidRPr="006E20A2">
        <w:rPr>
          <w:rFonts w:ascii="Arial" w:hAnsi="Arial"/>
          <w:sz w:val="20"/>
          <w:lang w:val="en-US"/>
        </w:rPr>
        <w:t xml:space="preserve"> </w:t>
      </w:r>
      <w:r w:rsidRPr="006E20A2">
        <w:rPr>
          <w:rFonts w:ascii="Arial" w:hAnsi="Arial"/>
          <w:b/>
          <w:sz w:val="20"/>
          <w:lang w:val="en-US"/>
        </w:rPr>
        <w:t>336</w:t>
      </w:r>
      <w:r w:rsidRPr="006E20A2">
        <w:rPr>
          <w:rFonts w:ascii="Arial" w:hAnsi="Arial"/>
          <w:sz w:val="20"/>
          <w:lang w:val="en-US"/>
        </w:rPr>
        <w:t xml:space="preserve"> </w:t>
      </w:r>
      <w:r w:rsidRPr="006E20A2">
        <w:rPr>
          <w:rFonts w:ascii="Arial" w:hAnsi="Arial"/>
          <w:b/>
          <w:sz w:val="20"/>
          <w:lang w:val="en-US"/>
        </w:rPr>
        <w:t>(out of 667) cases</w:t>
      </w:r>
      <w:r w:rsidRPr="006E20A2">
        <w:rPr>
          <w:rFonts w:ascii="Arial" w:hAnsi="Arial"/>
          <w:sz w:val="20"/>
          <w:lang w:val="en-US"/>
        </w:rPr>
        <w:t xml:space="preserve"> connected with the criminal offence of money laundering </w:t>
      </w:r>
      <w:r w:rsidRPr="006E20A2">
        <w:rPr>
          <w:rFonts w:ascii="Arial" w:hAnsi="Arial"/>
          <w:b/>
          <w:sz w:val="20"/>
          <w:lang w:val="en-US"/>
        </w:rPr>
        <w:t>became final</w:t>
      </w:r>
      <w:r w:rsidRPr="006E20A2">
        <w:rPr>
          <w:rFonts w:ascii="Arial" w:hAnsi="Arial"/>
          <w:sz w:val="20"/>
          <w:lang w:val="en-US"/>
        </w:rPr>
        <w:t xml:space="preserve"> as follows:</w:t>
      </w:r>
    </w:p>
    <w:p w14:paraId="6322BF4E" w14:textId="47120BF8" w:rsidR="00D56A22" w:rsidRPr="006E20A2" w:rsidRDefault="00D56A22" w:rsidP="00631096">
      <w:pPr>
        <w:widowControl/>
        <w:spacing w:line="276" w:lineRule="auto"/>
        <w:ind w:left="1140" w:right="-22" w:hanging="1140"/>
        <w:rPr>
          <w:rFonts w:ascii="Arial" w:hAnsi="Arial"/>
          <w:b/>
          <w:i/>
          <w:sz w:val="20"/>
          <w:lang w:val="en-US"/>
        </w:rPr>
      </w:pPr>
    </w:p>
    <w:p w14:paraId="558BC125" w14:textId="680720B2" w:rsidR="00AA39C7" w:rsidRPr="006E20A2" w:rsidRDefault="00AA39C7" w:rsidP="00636B18">
      <w:pPr>
        <w:numPr>
          <w:ilvl w:val="0"/>
          <w:numId w:val="20"/>
        </w:numPr>
        <w:snapToGrid w:val="0"/>
        <w:ind w:right="-22"/>
        <w:rPr>
          <w:rFonts w:ascii="Arial" w:hAnsi="Arial"/>
          <w:b/>
          <w:i/>
          <w:iCs/>
          <w:sz w:val="20"/>
          <w:lang w:val="en-US"/>
        </w:rPr>
      </w:pPr>
      <w:r w:rsidRPr="006E20A2">
        <w:rPr>
          <w:rFonts w:ascii="Arial" w:hAnsi="Arial"/>
          <w:b/>
          <w:i/>
          <w:iCs/>
          <w:sz w:val="20"/>
          <w:lang w:val="en-US"/>
        </w:rPr>
        <w:t>in 112 cases, the State Prosecutor`s Office rejected the criminal report</w:t>
      </w:r>
      <w:r w:rsidR="00791BE2">
        <w:rPr>
          <w:rFonts w:ascii="Arial" w:hAnsi="Arial"/>
          <w:b/>
          <w:i/>
          <w:iCs/>
          <w:sz w:val="20"/>
          <w:lang w:val="en-US"/>
        </w:rPr>
        <w:t>,</w:t>
      </w:r>
    </w:p>
    <w:p w14:paraId="6D7D98AE" w14:textId="747E3E07" w:rsidR="00AA39C7" w:rsidRPr="006E20A2" w:rsidRDefault="00AA39C7" w:rsidP="00636B18">
      <w:pPr>
        <w:numPr>
          <w:ilvl w:val="0"/>
          <w:numId w:val="20"/>
        </w:numPr>
        <w:snapToGrid w:val="0"/>
        <w:ind w:right="-22"/>
        <w:rPr>
          <w:rFonts w:ascii="Arial" w:hAnsi="Arial"/>
          <w:b/>
          <w:i/>
          <w:iCs/>
          <w:sz w:val="20"/>
          <w:u w:val="single"/>
          <w:lang w:val="en-US"/>
        </w:rPr>
      </w:pPr>
      <w:r w:rsidRPr="006E20A2">
        <w:rPr>
          <w:rFonts w:ascii="Arial" w:hAnsi="Arial"/>
          <w:b/>
          <w:i/>
          <w:iCs/>
          <w:sz w:val="20"/>
          <w:u w:val="single"/>
          <w:lang w:val="en-US"/>
        </w:rPr>
        <w:t>in 29 cases, the final acquittals were pronounced</w:t>
      </w:r>
      <w:r w:rsidR="00791BE2">
        <w:rPr>
          <w:rFonts w:ascii="Arial" w:hAnsi="Arial"/>
          <w:b/>
          <w:i/>
          <w:iCs/>
          <w:sz w:val="20"/>
          <w:u w:val="single"/>
          <w:lang w:val="en-US"/>
        </w:rPr>
        <w:t>,</w:t>
      </w:r>
    </w:p>
    <w:p w14:paraId="06574F2A" w14:textId="70EAE6D3" w:rsidR="00AA39C7" w:rsidRPr="006E20A2" w:rsidRDefault="00AA39C7" w:rsidP="00636B18">
      <w:pPr>
        <w:numPr>
          <w:ilvl w:val="0"/>
          <w:numId w:val="20"/>
        </w:numPr>
        <w:snapToGrid w:val="0"/>
        <w:ind w:right="-22"/>
        <w:rPr>
          <w:rFonts w:ascii="Arial" w:hAnsi="Arial"/>
          <w:b/>
          <w:i/>
          <w:iCs/>
          <w:sz w:val="20"/>
          <w:u w:val="single"/>
          <w:lang w:val="en-US"/>
        </w:rPr>
      </w:pPr>
      <w:r w:rsidRPr="006E20A2">
        <w:rPr>
          <w:rFonts w:ascii="Arial" w:hAnsi="Arial"/>
          <w:b/>
          <w:i/>
          <w:iCs/>
          <w:sz w:val="20"/>
          <w:u w:val="single"/>
          <w:lang w:val="en-US"/>
        </w:rPr>
        <w:t>101 cases ended with the final conviction</w:t>
      </w:r>
      <w:r w:rsidR="00791BE2">
        <w:rPr>
          <w:rFonts w:ascii="Arial" w:hAnsi="Arial"/>
          <w:b/>
          <w:i/>
          <w:iCs/>
          <w:sz w:val="20"/>
          <w:u w:val="single"/>
          <w:lang w:val="en-US"/>
        </w:rPr>
        <w:t xml:space="preserve">, </w:t>
      </w:r>
    </w:p>
    <w:p w14:paraId="5E84ACC9" w14:textId="190A60E7" w:rsidR="00AA39C7" w:rsidRPr="006E20A2" w:rsidRDefault="00AA39C7" w:rsidP="00636B18">
      <w:pPr>
        <w:numPr>
          <w:ilvl w:val="0"/>
          <w:numId w:val="20"/>
        </w:numPr>
        <w:snapToGrid w:val="0"/>
        <w:ind w:right="-22"/>
        <w:rPr>
          <w:rFonts w:ascii="Arial" w:hAnsi="Arial"/>
          <w:sz w:val="20"/>
          <w:lang w:val="en-US"/>
        </w:rPr>
      </w:pPr>
      <w:r w:rsidRPr="006E20A2">
        <w:rPr>
          <w:rFonts w:ascii="Arial" w:hAnsi="Arial"/>
          <w:sz w:val="20"/>
          <w:lang w:val="en-US"/>
        </w:rPr>
        <w:t xml:space="preserve">in 70 cases, </w:t>
      </w:r>
      <w:r w:rsidR="00FD6001">
        <w:rPr>
          <w:rFonts w:ascii="Arial" w:hAnsi="Arial"/>
          <w:sz w:val="20"/>
          <w:lang w:val="en-US"/>
        </w:rPr>
        <w:t xml:space="preserve">the </w:t>
      </w:r>
      <w:r w:rsidRPr="006E20A2">
        <w:rPr>
          <w:rFonts w:ascii="Arial" w:hAnsi="Arial"/>
          <w:sz w:val="20"/>
          <w:lang w:val="en-US"/>
        </w:rPr>
        <w:t>State Prosecutors</w:t>
      </w:r>
      <w:r w:rsidR="00FD6001">
        <w:rPr>
          <w:rFonts w:ascii="Arial" w:hAnsi="Arial"/>
          <w:sz w:val="20"/>
          <w:lang w:val="en-US"/>
        </w:rPr>
        <w:t>’</w:t>
      </w:r>
      <w:r w:rsidRPr="006E20A2">
        <w:rPr>
          <w:rFonts w:ascii="Arial" w:hAnsi="Arial"/>
          <w:sz w:val="20"/>
          <w:lang w:val="en-US"/>
        </w:rPr>
        <w:t xml:space="preserve"> Offices </w:t>
      </w:r>
      <w:r w:rsidR="00FD6001">
        <w:rPr>
          <w:rFonts w:ascii="Arial" w:hAnsi="Arial"/>
          <w:sz w:val="20"/>
          <w:lang w:val="en-US"/>
        </w:rPr>
        <w:t>discontinued</w:t>
      </w:r>
      <w:r w:rsidRPr="006E20A2">
        <w:rPr>
          <w:rFonts w:ascii="Arial" w:hAnsi="Arial"/>
          <w:sz w:val="20"/>
          <w:lang w:val="en-US"/>
        </w:rPr>
        <w:t xml:space="preserve"> </w:t>
      </w:r>
      <w:proofErr w:type="gramStart"/>
      <w:r w:rsidRPr="006E20A2">
        <w:rPr>
          <w:rFonts w:ascii="Arial" w:hAnsi="Arial"/>
          <w:sz w:val="20"/>
          <w:lang w:val="en-US"/>
        </w:rPr>
        <w:t>prosecution</w:t>
      </w:r>
      <w:proofErr w:type="gramEnd"/>
      <w:r w:rsidRPr="006E20A2">
        <w:rPr>
          <w:rFonts w:ascii="Arial" w:hAnsi="Arial"/>
          <w:sz w:val="20"/>
          <w:lang w:val="en-US"/>
        </w:rPr>
        <w:t xml:space="preserve"> or the court stopped the criminal prosecution</w:t>
      </w:r>
      <w:r w:rsidR="00791BE2">
        <w:rPr>
          <w:rFonts w:ascii="Arial" w:hAnsi="Arial"/>
          <w:sz w:val="20"/>
          <w:lang w:val="en-US"/>
        </w:rPr>
        <w:t>,</w:t>
      </w:r>
    </w:p>
    <w:p w14:paraId="22E59382" w14:textId="46B7CF07" w:rsidR="00AA39C7" w:rsidRPr="006E20A2" w:rsidRDefault="00AA39C7" w:rsidP="00636B18">
      <w:pPr>
        <w:numPr>
          <w:ilvl w:val="0"/>
          <w:numId w:val="20"/>
        </w:numPr>
        <w:snapToGrid w:val="0"/>
        <w:ind w:right="-22"/>
        <w:rPr>
          <w:rFonts w:ascii="Arial" w:hAnsi="Arial"/>
          <w:sz w:val="20"/>
          <w:lang w:val="en-US"/>
        </w:rPr>
      </w:pPr>
      <w:r w:rsidRPr="006E20A2">
        <w:rPr>
          <w:rFonts w:ascii="Arial" w:hAnsi="Arial"/>
          <w:sz w:val="20"/>
          <w:lang w:val="en-US"/>
        </w:rPr>
        <w:t>6 cases were forwarded abroad for further procedures</w:t>
      </w:r>
      <w:r w:rsidR="00791BE2">
        <w:rPr>
          <w:rFonts w:ascii="Arial" w:hAnsi="Arial"/>
          <w:sz w:val="20"/>
          <w:lang w:val="en-US"/>
        </w:rPr>
        <w:t>,</w:t>
      </w:r>
    </w:p>
    <w:p w14:paraId="5C5898B3" w14:textId="3E34464D" w:rsidR="00AA39C7" w:rsidRPr="006E20A2" w:rsidRDefault="00AA39C7" w:rsidP="00636B18">
      <w:pPr>
        <w:numPr>
          <w:ilvl w:val="0"/>
          <w:numId w:val="20"/>
        </w:numPr>
        <w:snapToGrid w:val="0"/>
        <w:ind w:right="-22"/>
        <w:rPr>
          <w:rFonts w:ascii="Arial" w:hAnsi="Arial"/>
          <w:sz w:val="20"/>
          <w:lang w:val="en-US"/>
        </w:rPr>
      </w:pPr>
      <w:r w:rsidRPr="006E20A2">
        <w:rPr>
          <w:rFonts w:ascii="Arial" w:hAnsi="Arial"/>
          <w:sz w:val="20"/>
          <w:lang w:val="en-US"/>
        </w:rPr>
        <w:t xml:space="preserve">5 cases ended with </w:t>
      </w:r>
      <w:r w:rsidR="00FD6001" w:rsidRPr="00FD6001">
        <w:rPr>
          <w:rFonts w:ascii="Arial" w:hAnsi="Arial"/>
          <w:sz w:val="20"/>
          <w:lang w:val="en-US"/>
        </w:rPr>
        <w:t xml:space="preserve">a modification of the legal qualification </w:t>
      </w:r>
      <w:r w:rsidRPr="006E20A2">
        <w:rPr>
          <w:rFonts w:ascii="Arial" w:hAnsi="Arial"/>
          <w:sz w:val="20"/>
          <w:lang w:val="en-US"/>
        </w:rPr>
        <w:t xml:space="preserve">to </w:t>
      </w:r>
      <w:r w:rsidR="00FD6001">
        <w:rPr>
          <w:rFonts w:ascii="Arial" w:hAnsi="Arial"/>
          <w:sz w:val="20"/>
          <w:lang w:val="en-US"/>
        </w:rPr>
        <w:t>an</w:t>
      </w:r>
      <w:r w:rsidRPr="006E20A2">
        <w:rPr>
          <w:rFonts w:ascii="Arial" w:hAnsi="Arial"/>
          <w:sz w:val="20"/>
          <w:lang w:val="en-US"/>
        </w:rPr>
        <w:t>other criminal offence</w:t>
      </w:r>
      <w:r w:rsidR="00791BE2">
        <w:rPr>
          <w:rFonts w:ascii="Arial" w:hAnsi="Arial"/>
          <w:sz w:val="20"/>
          <w:lang w:val="en-US"/>
        </w:rPr>
        <w:t>,</w:t>
      </w:r>
    </w:p>
    <w:p w14:paraId="4DE6E6E4" w14:textId="3D0EBB1C" w:rsidR="00AA39C7" w:rsidRPr="006E20A2" w:rsidRDefault="00AA39C7" w:rsidP="00636B18">
      <w:pPr>
        <w:numPr>
          <w:ilvl w:val="0"/>
          <w:numId w:val="20"/>
        </w:numPr>
        <w:snapToGrid w:val="0"/>
        <w:ind w:right="-22"/>
        <w:rPr>
          <w:rFonts w:ascii="Arial" w:hAnsi="Arial"/>
          <w:sz w:val="20"/>
          <w:lang w:val="en-US"/>
        </w:rPr>
      </w:pPr>
      <w:r w:rsidRPr="006E20A2">
        <w:rPr>
          <w:rFonts w:ascii="Arial" w:hAnsi="Arial"/>
          <w:sz w:val="20"/>
          <w:lang w:val="en-US"/>
        </w:rPr>
        <w:t xml:space="preserve">in 13 cases, the courts </w:t>
      </w:r>
      <w:r w:rsidR="00FD6001">
        <w:rPr>
          <w:rFonts w:ascii="Arial" w:hAnsi="Arial"/>
          <w:sz w:val="20"/>
          <w:lang w:val="en-US"/>
        </w:rPr>
        <w:t>or the</w:t>
      </w:r>
      <w:r w:rsidR="00FD6001" w:rsidRPr="006E20A2">
        <w:rPr>
          <w:rFonts w:ascii="Arial" w:hAnsi="Arial"/>
          <w:sz w:val="20"/>
          <w:lang w:val="en-US"/>
        </w:rPr>
        <w:t xml:space="preserve"> </w:t>
      </w:r>
      <w:r w:rsidR="00FD6001">
        <w:rPr>
          <w:rFonts w:ascii="Arial" w:hAnsi="Arial"/>
          <w:sz w:val="20"/>
          <w:lang w:val="en-US"/>
        </w:rPr>
        <w:t>S</w:t>
      </w:r>
      <w:r w:rsidR="00FD6001" w:rsidRPr="006E20A2">
        <w:rPr>
          <w:rFonts w:ascii="Arial" w:hAnsi="Arial"/>
          <w:sz w:val="20"/>
          <w:lang w:val="en-US"/>
        </w:rPr>
        <w:t xml:space="preserve">tate </w:t>
      </w:r>
      <w:r w:rsidR="00FD6001">
        <w:rPr>
          <w:rFonts w:ascii="Arial" w:hAnsi="Arial"/>
          <w:sz w:val="20"/>
          <w:lang w:val="en-US"/>
        </w:rPr>
        <w:t>P</w:t>
      </w:r>
      <w:r w:rsidR="00FD6001" w:rsidRPr="006E20A2">
        <w:rPr>
          <w:rFonts w:ascii="Arial" w:hAnsi="Arial"/>
          <w:sz w:val="20"/>
          <w:lang w:val="en-US"/>
        </w:rPr>
        <w:t>rosecutor</w:t>
      </w:r>
      <w:r w:rsidR="00FD6001">
        <w:rPr>
          <w:rFonts w:ascii="Arial" w:hAnsi="Arial"/>
          <w:sz w:val="20"/>
          <w:lang w:val="en-US"/>
        </w:rPr>
        <w:t>s’</w:t>
      </w:r>
      <w:r w:rsidR="00FD6001" w:rsidRPr="006E20A2">
        <w:rPr>
          <w:rFonts w:ascii="Arial" w:hAnsi="Arial"/>
          <w:sz w:val="20"/>
          <w:lang w:val="en-US"/>
        </w:rPr>
        <w:t xml:space="preserve"> </w:t>
      </w:r>
      <w:r w:rsidR="00FD6001">
        <w:rPr>
          <w:rFonts w:ascii="Arial" w:hAnsi="Arial"/>
          <w:sz w:val="20"/>
          <w:lang w:val="en-US"/>
        </w:rPr>
        <w:t>O</w:t>
      </w:r>
      <w:r w:rsidR="00FD6001" w:rsidRPr="006E20A2">
        <w:rPr>
          <w:rFonts w:ascii="Arial" w:hAnsi="Arial"/>
          <w:sz w:val="20"/>
          <w:lang w:val="en-US"/>
        </w:rPr>
        <w:t xml:space="preserve">ffices </w:t>
      </w:r>
      <w:r w:rsidRPr="006E20A2">
        <w:rPr>
          <w:rFonts w:ascii="Arial" w:hAnsi="Arial"/>
          <w:sz w:val="20"/>
          <w:lang w:val="en-US"/>
        </w:rPr>
        <w:t xml:space="preserve">decided to </w:t>
      </w:r>
      <w:r w:rsidR="00FD6001">
        <w:rPr>
          <w:rFonts w:ascii="Arial" w:hAnsi="Arial"/>
          <w:sz w:val="20"/>
          <w:lang w:val="en-US"/>
        </w:rPr>
        <w:t>join</w:t>
      </w:r>
      <w:r w:rsidR="00FD6001" w:rsidRPr="006E20A2">
        <w:rPr>
          <w:rFonts w:ascii="Arial" w:hAnsi="Arial"/>
          <w:sz w:val="20"/>
          <w:lang w:val="en-US"/>
        </w:rPr>
        <w:t xml:space="preserve"> </w:t>
      </w:r>
      <w:r w:rsidRPr="006E20A2">
        <w:rPr>
          <w:rFonts w:ascii="Arial" w:hAnsi="Arial"/>
          <w:sz w:val="20"/>
          <w:lang w:val="en-US"/>
        </w:rPr>
        <w:t xml:space="preserve">the </w:t>
      </w:r>
      <w:r w:rsidR="00FD6001">
        <w:rPr>
          <w:rFonts w:ascii="Arial" w:hAnsi="Arial"/>
          <w:sz w:val="20"/>
          <w:lang w:val="en-US"/>
        </w:rPr>
        <w:t>pre-trial</w:t>
      </w:r>
      <w:r w:rsidR="00FD6001" w:rsidRPr="006E20A2">
        <w:rPr>
          <w:rFonts w:ascii="Arial" w:hAnsi="Arial"/>
          <w:sz w:val="20"/>
          <w:lang w:val="en-US"/>
        </w:rPr>
        <w:t xml:space="preserve"> </w:t>
      </w:r>
      <w:r w:rsidR="00FD6001">
        <w:rPr>
          <w:rFonts w:ascii="Arial" w:hAnsi="Arial"/>
          <w:sz w:val="20"/>
          <w:lang w:val="en-US"/>
        </w:rPr>
        <w:t>or</w:t>
      </w:r>
      <w:r w:rsidRPr="006E20A2">
        <w:rPr>
          <w:rFonts w:ascii="Arial" w:hAnsi="Arial"/>
          <w:sz w:val="20"/>
          <w:lang w:val="en-US"/>
        </w:rPr>
        <w:t xml:space="preserve"> criminal procedures.</w:t>
      </w:r>
    </w:p>
    <w:p w14:paraId="2987B086" w14:textId="77777777" w:rsidR="00AA39C7" w:rsidRPr="006E20A2" w:rsidRDefault="00AA39C7" w:rsidP="00AA39C7">
      <w:pPr>
        <w:widowControl/>
        <w:spacing w:line="276" w:lineRule="auto"/>
        <w:ind w:right="-22"/>
        <w:rPr>
          <w:rFonts w:ascii="Arial" w:hAnsi="Arial"/>
          <w:sz w:val="20"/>
          <w:lang w:val="en-US"/>
        </w:rPr>
      </w:pPr>
    </w:p>
    <w:p w14:paraId="1C4AE529" w14:textId="2DB9881E" w:rsidR="00AA39C7" w:rsidRPr="006E20A2" w:rsidRDefault="00AA39C7" w:rsidP="00AA39C7">
      <w:pPr>
        <w:ind w:right="-22"/>
        <w:rPr>
          <w:rFonts w:ascii="Arial" w:hAnsi="Arial"/>
          <w:sz w:val="20"/>
          <w:lang w:val="en-US"/>
        </w:rPr>
      </w:pPr>
      <w:r w:rsidRPr="006E20A2">
        <w:rPr>
          <w:rFonts w:ascii="Arial" w:hAnsi="Arial"/>
          <w:sz w:val="20"/>
          <w:lang w:val="en-US"/>
        </w:rPr>
        <w:t>In 147</w:t>
      </w:r>
      <w:r w:rsidRPr="006E20A2">
        <w:rPr>
          <w:rFonts w:ascii="Arial" w:hAnsi="Arial"/>
          <w:b/>
          <w:sz w:val="20"/>
          <w:lang w:val="en-US"/>
        </w:rPr>
        <w:t xml:space="preserve"> </w:t>
      </w:r>
      <w:r w:rsidRPr="006E20A2">
        <w:rPr>
          <w:rFonts w:ascii="Arial" w:hAnsi="Arial"/>
          <w:sz w:val="20"/>
          <w:lang w:val="en-US"/>
        </w:rPr>
        <w:t>cases the State Prosecutor`s Office has not taken the decision on criminal prosecution and in 1 case it postponed the prosecution. In</w:t>
      </w:r>
      <w:r w:rsidRPr="006E20A2">
        <w:rPr>
          <w:rFonts w:ascii="Arial" w:hAnsi="Arial"/>
          <w:b/>
          <w:sz w:val="20"/>
          <w:lang w:val="en-US"/>
        </w:rPr>
        <w:t xml:space="preserve"> 183 cases</w:t>
      </w:r>
      <w:r w:rsidRPr="006E20A2">
        <w:rPr>
          <w:rFonts w:ascii="Arial" w:hAnsi="Arial"/>
          <w:sz w:val="20"/>
          <w:lang w:val="en-US"/>
        </w:rPr>
        <w:t xml:space="preserve"> the State Prosecutor`s Office began with the pre-</w:t>
      </w:r>
      <w:r w:rsidR="00FD6001">
        <w:rPr>
          <w:rFonts w:ascii="Arial" w:hAnsi="Arial"/>
          <w:sz w:val="20"/>
          <w:lang w:val="en-US"/>
        </w:rPr>
        <w:t>trial</w:t>
      </w:r>
      <w:r w:rsidR="00FD6001" w:rsidRPr="006E20A2">
        <w:rPr>
          <w:rFonts w:ascii="Arial" w:hAnsi="Arial"/>
          <w:sz w:val="20"/>
          <w:lang w:val="en-US"/>
        </w:rPr>
        <w:t xml:space="preserve"> </w:t>
      </w:r>
      <w:r w:rsidRPr="006E20A2">
        <w:rPr>
          <w:rFonts w:ascii="Arial" w:hAnsi="Arial"/>
          <w:sz w:val="20"/>
          <w:lang w:val="en-US"/>
        </w:rPr>
        <w:t>and criminal proceedings at court, which were on 31 December 2020 at the following stages:</w:t>
      </w:r>
    </w:p>
    <w:p w14:paraId="00460E8B" w14:textId="77777777" w:rsidR="00AA39C7" w:rsidRPr="006E20A2" w:rsidRDefault="00AA39C7" w:rsidP="00AA39C7">
      <w:pPr>
        <w:ind w:right="-22"/>
        <w:rPr>
          <w:rFonts w:ascii="Arial" w:hAnsi="Arial"/>
          <w:sz w:val="20"/>
          <w:lang w:val="en-US"/>
        </w:rPr>
      </w:pPr>
    </w:p>
    <w:p w14:paraId="1AA8AA43" w14:textId="41A7A16B" w:rsidR="00AA39C7" w:rsidRPr="006E20A2" w:rsidRDefault="00AA39C7" w:rsidP="00636B18">
      <w:pPr>
        <w:numPr>
          <w:ilvl w:val="0"/>
          <w:numId w:val="20"/>
        </w:numPr>
        <w:snapToGrid w:val="0"/>
        <w:ind w:right="-22"/>
        <w:rPr>
          <w:rFonts w:ascii="Arial" w:hAnsi="Arial"/>
          <w:b/>
          <w:sz w:val="20"/>
          <w:lang w:val="en-US"/>
        </w:rPr>
      </w:pPr>
      <w:r w:rsidRPr="006E20A2">
        <w:rPr>
          <w:rFonts w:ascii="Arial" w:hAnsi="Arial"/>
          <w:b/>
          <w:sz w:val="20"/>
          <w:lang w:val="en-US"/>
        </w:rPr>
        <w:t>in 45 cases in the stage of demand for investigation</w:t>
      </w:r>
      <w:r w:rsidR="00791BE2">
        <w:rPr>
          <w:rFonts w:ascii="Arial" w:hAnsi="Arial"/>
          <w:b/>
          <w:sz w:val="20"/>
          <w:lang w:val="en-US"/>
        </w:rPr>
        <w:t>,</w:t>
      </w:r>
    </w:p>
    <w:p w14:paraId="539895EC" w14:textId="56E85A64" w:rsidR="00AA39C7" w:rsidRPr="006E20A2" w:rsidRDefault="00AA39C7" w:rsidP="00636B18">
      <w:pPr>
        <w:numPr>
          <w:ilvl w:val="0"/>
          <w:numId w:val="20"/>
        </w:numPr>
        <w:snapToGrid w:val="0"/>
        <w:ind w:right="-22"/>
        <w:rPr>
          <w:rFonts w:ascii="Arial" w:hAnsi="Arial"/>
          <w:b/>
          <w:sz w:val="20"/>
          <w:lang w:val="en-US"/>
        </w:rPr>
      </w:pPr>
      <w:r w:rsidRPr="006E20A2">
        <w:rPr>
          <w:rFonts w:ascii="Arial" w:hAnsi="Arial"/>
          <w:b/>
          <w:sz w:val="20"/>
          <w:lang w:val="en-US"/>
        </w:rPr>
        <w:t>in 28 cases the investigation has been introduced</w:t>
      </w:r>
      <w:r w:rsidR="00791BE2">
        <w:rPr>
          <w:rFonts w:ascii="Arial" w:hAnsi="Arial"/>
          <w:b/>
          <w:sz w:val="20"/>
          <w:lang w:val="en-US"/>
        </w:rPr>
        <w:t>,</w:t>
      </w:r>
    </w:p>
    <w:p w14:paraId="1FBC4ED1" w14:textId="2AE083F9" w:rsidR="00AA39C7" w:rsidRPr="006E20A2" w:rsidRDefault="00AA39C7" w:rsidP="00636B18">
      <w:pPr>
        <w:numPr>
          <w:ilvl w:val="0"/>
          <w:numId w:val="20"/>
        </w:numPr>
        <w:snapToGrid w:val="0"/>
        <w:ind w:right="-22"/>
        <w:rPr>
          <w:rFonts w:ascii="Arial" w:hAnsi="Arial"/>
          <w:b/>
          <w:sz w:val="20"/>
          <w:lang w:val="en-US"/>
        </w:rPr>
      </w:pPr>
      <w:r w:rsidRPr="006E20A2">
        <w:rPr>
          <w:rFonts w:ascii="Arial" w:hAnsi="Arial"/>
          <w:b/>
          <w:sz w:val="20"/>
          <w:lang w:val="en-US"/>
        </w:rPr>
        <w:t>in 110 cases the indictment has been filed.</w:t>
      </w:r>
    </w:p>
    <w:p w14:paraId="117349C3" w14:textId="77777777" w:rsidR="004468B0" w:rsidRPr="006E20A2" w:rsidRDefault="004468B0" w:rsidP="004468B0">
      <w:pPr>
        <w:widowControl/>
        <w:spacing w:line="276" w:lineRule="auto"/>
        <w:ind w:right="-22"/>
        <w:rPr>
          <w:rFonts w:ascii="Arial" w:hAnsi="Arial"/>
          <w:sz w:val="20"/>
          <w:highlight w:val="yellow"/>
          <w:lang w:val="en-US"/>
        </w:rPr>
      </w:pPr>
    </w:p>
    <w:p w14:paraId="10166FFA" w14:textId="185EA39C" w:rsidR="00AA39C7" w:rsidRPr="006E20A2" w:rsidRDefault="00AA39C7" w:rsidP="00AA39C7">
      <w:pPr>
        <w:ind w:right="-22"/>
        <w:rPr>
          <w:rFonts w:ascii="Arial" w:hAnsi="Arial"/>
          <w:sz w:val="20"/>
          <w:lang w:val="en-US"/>
        </w:rPr>
      </w:pPr>
      <w:r w:rsidRPr="006E20A2">
        <w:rPr>
          <w:rFonts w:ascii="Arial" w:hAnsi="Arial"/>
          <w:sz w:val="20"/>
          <w:lang w:val="en-US"/>
        </w:rPr>
        <w:t xml:space="preserve">In the following table, you will find the number of all </w:t>
      </w:r>
      <w:r w:rsidR="00FD6001">
        <w:rPr>
          <w:rFonts w:ascii="Arial" w:hAnsi="Arial"/>
          <w:sz w:val="20"/>
          <w:lang w:val="en-US"/>
        </w:rPr>
        <w:t xml:space="preserve">the </w:t>
      </w:r>
      <w:r w:rsidRPr="006E20A2">
        <w:rPr>
          <w:rFonts w:ascii="Arial" w:hAnsi="Arial"/>
          <w:sz w:val="20"/>
          <w:lang w:val="en-US"/>
        </w:rPr>
        <w:t xml:space="preserve">cases on the last day of the particular year, where the criminal proceedings due to the criminal offence of money laundering have started. It could be seen that in the last </w:t>
      </w:r>
      <w:r w:rsidR="00636B18" w:rsidRPr="006E20A2">
        <w:rPr>
          <w:rFonts w:ascii="Arial" w:hAnsi="Arial"/>
          <w:sz w:val="20"/>
          <w:lang w:val="en-US"/>
        </w:rPr>
        <w:t>10</w:t>
      </w:r>
      <w:r w:rsidRPr="006E20A2">
        <w:rPr>
          <w:rFonts w:ascii="Arial" w:hAnsi="Arial"/>
          <w:sz w:val="20"/>
          <w:lang w:val="en-US"/>
        </w:rPr>
        <w:t xml:space="preserve"> years the procedures on average in </w:t>
      </w:r>
      <w:r w:rsidR="00636B18" w:rsidRPr="006E20A2">
        <w:rPr>
          <w:rFonts w:ascii="Arial" w:hAnsi="Arial"/>
          <w:sz w:val="20"/>
          <w:lang w:val="en-US"/>
        </w:rPr>
        <w:t>51</w:t>
      </w:r>
      <w:r w:rsidRPr="006E20A2">
        <w:rPr>
          <w:rFonts w:ascii="Arial" w:hAnsi="Arial"/>
          <w:sz w:val="20"/>
          <w:lang w:val="en-US"/>
        </w:rPr>
        <w:t xml:space="preserve"> new cases connected with the criminal offence of money laundering have been introduced.</w:t>
      </w:r>
    </w:p>
    <w:p w14:paraId="145F12E0" w14:textId="77777777" w:rsidR="00710289" w:rsidRPr="006E20A2" w:rsidRDefault="00710289" w:rsidP="00D21F86">
      <w:pPr>
        <w:pStyle w:val="Telobesedila"/>
        <w:spacing w:line="276" w:lineRule="auto"/>
        <w:ind w:right="-22"/>
        <w:rPr>
          <w:rFonts w:ascii="Arial" w:hAnsi="Arial"/>
          <w:sz w:val="20"/>
          <w:lang w:val="en-US"/>
        </w:rPr>
      </w:pPr>
    </w:p>
    <w:p w14:paraId="549B6445" w14:textId="281DC125" w:rsidR="00FF277B" w:rsidRPr="006E20A2" w:rsidRDefault="003661AA" w:rsidP="00BA5BC9">
      <w:pPr>
        <w:ind w:right="-22"/>
        <w:rPr>
          <w:rFonts w:ascii="Arial" w:hAnsi="Arial"/>
          <w:b/>
          <w:i/>
          <w:sz w:val="20"/>
          <w:lang w:val="en-US"/>
        </w:rPr>
      </w:pPr>
      <w:r w:rsidRPr="006E20A2">
        <w:rPr>
          <w:rFonts w:ascii="Arial" w:hAnsi="Arial"/>
          <w:b/>
          <w:i/>
          <w:sz w:val="20"/>
          <w:lang w:val="en-US"/>
        </w:rPr>
        <w:t>Table</w:t>
      </w:r>
      <w:r w:rsidR="00FF277B" w:rsidRPr="006E20A2">
        <w:rPr>
          <w:rFonts w:ascii="Arial" w:hAnsi="Arial"/>
          <w:b/>
          <w:i/>
          <w:sz w:val="20"/>
          <w:lang w:val="en-US"/>
        </w:rPr>
        <w:t xml:space="preserve"> </w:t>
      </w:r>
      <w:r w:rsidR="00C62DE6" w:rsidRPr="006E20A2">
        <w:rPr>
          <w:rFonts w:ascii="Arial" w:hAnsi="Arial"/>
          <w:b/>
          <w:i/>
          <w:sz w:val="20"/>
          <w:lang w:val="en-US"/>
        </w:rPr>
        <w:t>5</w:t>
      </w:r>
      <w:r w:rsidR="00FF277B" w:rsidRPr="006E20A2">
        <w:rPr>
          <w:rFonts w:ascii="Arial" w:hAnsi="Arial"/>
          <w:b/>
          <w:i/>
          <w:sz w:val="20"/>
          <w:lang w:val="en-US"/>
        </w:rPr>
        <w:t xml:space="preserve">: </w:t>
      </w:r>
      <w:r w:rsidR="00791BE2">
        <w:rPr>
          <w:rFonts w:ascii="Arial" w:hAnsi="Arial"/>
          <w:b/>
          <w:i/>
          <w:sz w:val="20"/>
          <w:lang w:val="en-US"/>
        </w:rPr>
        <w:t xml:space="preserve"> </w:t>
      </w:r>
      <w:r w:rsidRPr="006E20A2">
        <w:rPr>
          <w:rFonts w:ascii="Arial" w:hAnsi="Arial"/>
          <w:b/>
          <w:i/>
          <w:sz w:val="20"/>
          <w:lang w:val="en-US"/>
        </w:rPr>
        <w:t xml:space="preserve">Comparison of the number of cases connected with committing the criminal offence of money laundering </w:t>
      </w:r>
      <w:proofErr w:type="gramStart"/>
      <w:r w:rsidRPr="006E20A2">
        <w:rPr>
          <w:rFonts w:ascii="Arial" w:hAnsi="Arial"/>
          <w:b/>
          <w:i/>
          <w:sz w:val="20"/>
          <w:lang w:val="en-US"/>
        </w:rPr>
        <w:t>with regard to</w:t>
      </w:r>
      <w:proofErr w:type="gramEnd"/>
      <w:r w:rsidRPr="006E20A2">
        <w:rPr>
          <w:rFonts w:ascii="Arial" w:hAnsi="Arial"/>
          <w:b/>
          <w:i/>
          <w:sz w:val="20"/>
          <w:lang w:val="en-US"/>
        </w:rPr>
        <w:t xml:space="preserve"> the stages of procedures on the last day of the particular year (2011 – 2020)</w:t>
      </w:r>
      <w:r w:rsidRPr="006E20A2">
        <w:rPr>
          <w:b/>
          <w:i/>
          <w:lang w:val="en-US"/>
        </w:rPr>
        <w:t xml:space="preserve"> </w:t>
      </w:r>
    </w:p>
    <w:tbl>
      <w:tblPr>
        <w:tblW w:w="9608" w:type="dxa"/>
        <w:tblInd w:w="-40" w:type="dxa"/>
        <w:tblCellMar>
          <w:left w:w="70" w:type="dxa"/>
          <w:right w:w="70" w:type="dxa"/>
        </w:tblCellMar>
        <w:tblLook w:val="04A0" w:firstRow="1" w:lastRow="0" w:firstColumn="1" w:lastColumn="0" w:noHBand="0" w:noVBand="1"/>
      </w:tblPr>
      <w:tblGrid>
        <w:gridCol w:w="3688"/>
        <w:gridCol w:w="603"/>
        <w:gridCol w:w="603"/>
        <w:gridCol w:w="603"/>
        <w:gridCol w:w="604"/>
        <w:gridCol w:w="604"/>
        <w:gridCol w:w="560"/>
        <w:gridCol w:w="560"/>
        <w:gridCol w:w="560"/>
        <w:gridCol w:w="560"/>
        <w:gridCol w:w="663"/>
      </w:tblGrid>
      <w:tr w:rsidR="003661AA" w:rsidRPr="006E20A2" w14:paraId="512920D0" w14:textId="77777777" w:rsidTr="00472BE5">
        <w:trPr>
          <w:trHeight w:val="360"/>
        </w:trPr>
        <w:tc>
          <w:tcPr>
            <w:tcW w:w="3688" w:type="dxa"/>
            <w:tcBorders>
              <w:top w:val="single" w:sz="8" w:space="0" w:color="auto"/>
              <w:left w:val="single" w:sz="8" w:space="0" w:color="auto"/>
              <w:bottom w:val="single" w:sz="8" w:space="0" w:color="auto"/>
              <w:right w:val="single" w:sz="8" w:space="0" w:color="auto"/>
            </w:tcBorders>
            <w:shd w:val="clear" w:color="auto" w:fill="00CCFF"/>
            <w:noWrap/>
            <w:vAlign w:val="bottom"/>
            <w:hideMark/>
          </w:tcPr>
          <w:p w14:paraId="45CF6382" w14:textId="1AC1AC3D" w:rsidR="003661AA" w:rsidRPr="006E20A2" w:rsidRDefault="003661AA" w:rsidP="003661AA">
            <w:pPr>
              <w:widowControl/>
              <w:jc w:val="center"/>
              <w:rPr>
                <w:rFonts w:ascii="Arial" w:hAnsi="Arial"/>
                <w:b/>
                <w:bCs/>
                <w:sz w:val="18"/>
                <w:szCs w:val="18"/>
                <w:lang w:val="en-US" w:eastAsia="sl-SI"/>
              </w:rPr>
            </w:pPr>
            <w:r w:rsidRPr="006E20A2">
              <w:rPr>
                <w:b/>
                <w:bCs/>
                <w:sz w:val="20"/>
                <w:lang w:val="en-US" w:eastAsia="sl-SI"/>
              </w:rPr>
              <w:t>STAGES OF PROCEDURE</w:t>
            </w:r>
          </w:p>
        </w:tc>
        <w:tc>
          <w:tcPr>
            <w:tcW w:w="603" w:type="dxa"/>
            <w:tcBorders>
              <w:top w:val="single" w:sz="8" w:space="0" w:color="auto"/>
              <w:left w:val="nil"/>
              <w:bottom w:val="single" w:sz="8" w:space="0" w:color="auto"/>
              <w:right w:val="single" w:sz="8" w:space="0" w:color="auto"/>
            </w:tcBorders>
            <w:shd w:val="clear" w:color="auto" w:fill="00CCFF"/>
            <w:noWrap/>
            <w:vAlign w:val="bottom"/>
            <w:hideMark/>
          </w:tcPr>
          <w:p w14:paraId="40295761" w14:textId="77777777" w:rsidR="003661AA" w:rsidRPr="006E20A2" w:rsidRDefault="003661AA" w:rsidP="003661AA">
            <w:pPr>
              <w:widowControl/>
              <w:jc w:val="center"/>
              <w:rPr>
                <w:rFonts w:ascii="Arial" w:hAnsi="Arial"/>
                <w:b/>
                <w:bCs/>
                <w:sz w:val="18"/>
                <w:szCs w:val="18"/>
                <w:lang w:val="en-US" w:eastAsia="sl-SI"/>
              </w:rPr>
            </w:pPr>
            <w:r w:rsidRPr="006E20A2">
              <w:rPr>
                <w:rFonts w:ascii="Arial" w:hAnsi="Arial"/>
                <w:b/>
                <w:bCs/>
                <w:sz w:val="18"/>
                <w:szCs w:val="18"/>
                <w:lang w:val="en-US" w:eastAsia="sl-SI"/>
              </w:rPr>
              <w:t>2011</w:t>
            </w:r>
          </w:p>
        </w:tc>
        <w:tc>
          <w:tcPr>
            <w:tcW w:w="603" w:type="dxa"/>
            <w:tcBorders>
              <w:top w:val="single" w:sz="8" w:space="0" w:color="auto"/>
              <w:left w:val="nil"/>
              <w:bottom w:val="single" w:sz="8" w:space="0" w:color="auto"/>
              <w:right w:val="single" w:sz="8" w:space="0" w:color="auto"/>
            </w:tcBorders>
            <w:shd w:val="clear" w:color="auto" w:fill="00CCFF"/>
            <w:noWrap/>
            <w:vAlign w:val="bottom"/>
            <w:hideMark/>
          </w:tcPr>
          <w:p w14:paraId="0D0A0653" w14:textId="77777777" w:rsidR="003661AA" w:rsidRPr="006E20A2" w:rsidRDefault="003661AA" w:rsidP="003661AA">
            <w:pPr>
              <w:widowControl/>
              <w:jc w:val="center"/>
              <w:rPr>
                <w:rFonts w:ascii="Arial" w:hAnsi="Arial"/>
                <w:b/>
                <w:bCs/>
                <w:sz w:val="18"/>
                <w:szCs w:val="18"/>
                <w:lang w:val="en-US" w:eastAsia="sl-SI"/>
              </w:rPr>
            </w:pPr>
            <w:r w:rsidRPr="006E20A2">
              <w:rPr>
                <w:rFonts w:ascii="Arial" w:hAnsi="Arial"/>
                <w:b/>
                <w:bCs/>
                <w:sz w:val="18"/>
                <w:szCs w:val="18"/>
                <w:lang w:val="en-US" w:eastAsia="sl-SI"/>
              </w:rPr>
              <w:t>2012</w:t>
            </w:r>
          </w:p>
        </w:tc>
        <w:tc>
          <w:tcPr>
            <w:tcW w:w="603" w:type="dxa"/>
            <w:tcBorders>
              <w:top w:val="single" w:sz="8" w:space="0" w:color="auto"/>
              <w:left w:val="nil"/>
              <w:bottom w:val="single" w:sz="8" w:space="0" w:color="auto"/>
              <w:right w:val="single" w:sz="8" w:space="0" w:color="auto"/>
            </w:tcBorders>
            <w:shd w:val="clear" w:color="auto" w:fill="00CCFF"/>
            <w:noWrap/>
            <w:vAlign w:val="bottom"/>
            <w:hideMark/>
          </w:tcPr>
          <w:p w14:paraId="54A148B6" w14:textId="77777777" w:rsidR="003661AA" w:rsidRPr="006E20A2" w:rsidRDefault="003661AA" w:rsidP="003661AA">
            <w:pPr>
              <w:widowControl/>
              <w:jc w:val="center"/>
              <w:rPr>
                <w:rFonts w:ascii="Arial" w:hAnsi="Arial"/>
                <w:b/>
                <w:bCs/>
                <w:sz w:val="18"/>
                <w:szCs w:val="18"/>
                <w:lang w:val="en-US" w:eastAsia="sl-SI"/>
              </w:rPr>
            </w:pPr>
            <w:r w:rsidRPr="006E20A2">
              <w:rPr>
                <w:rFonts w:ascii="Arial" w:hAnsi="Arial"/>
                <w:b/>
                <w:bCs/>
                <w:sz w:val="18"/>
                <w:szCs w:val="18"/>
                <w:lang w:val="en-US" w:eastAsia="sl-SI"/>
              </w:rPr>
              <w:t>2013</w:t>
            </w:r>
          </w:p>
        </w:tc>
        <w:tc>
          <w:tcPr>
            <w:tcW w:w="604" w:type="dxa"/>
            <w:tcBorders>
              <w:top w:val="single" w:sz="8" w:space="0" w:color="auto"/>
              <w:left w:val="nil"/>
              <w:bottom w:val="single" w:sz="8" w:space="0" w:color="auto"/>
              <w:right w:val="single" w:sz="8" w:space="0" w:color="auto"/>
            </w:tcBorders>
            <w:shd w:val="clear" w:color="auto" w:fill="00CCFF"/>
            <w:noWrap/>
            <w:vAlign w:val="bottom"/>
            <w:hideMark/>
          </w:tcPr>
          <w:p w14:paraId="4A6F4E8D" w14:textId="77777777" w:rsidR="003661AA" w:rsidRPr="006E20A2" w:rsidRDefault="003661AA" w:rsidP="003661AA">
            <w:pPr>
              <w:widowControl/>
              <w:jc w:val="center"/>
              <w:rPr>
                <w:rFonts w:ascii="Arial" w:hAnsi="Arial"/>
                <w:b/>
                <w:bCs/>
                <w:sz w:val="18"/>
                <w:szCs w:val="18"/>
                <w:lang w:val="en-US" w:eastAsia="sl-SI"/>
              </w:rPr>
            </w:pPr>
            <w:r w:rsidRPr="006E20A2">
              <w:rPr>
                <w:rFonts w:ascii="Arial" w:hAnsi="Arial"/>
                <w:b/>
                <w:bCs/>
                <w:sz w:val="18"/>
                <w:szCs w:val="18"/>
                <w:lang w:val="en-US" w:eastAsia="sl-SI"/>
              </w:rPr>
              <w:t>2014</w:t>
            </w:r>
          </w:p>
        </w:tc>
        <w:tc>
          <w:tcPr>
            <w:tcW w:w="604" w:type="dxa"/>
            <w:tcBorders>
              <w:top w:val="single" w:sz="8" w:space="0" w:color="auto"/>
              <w:left w:val="nil"/>
              <w:bottom w:val="single" w:sz="8" w:space="0" w:color="auto"/>
              <w:right w:val="single" w:sz="4" w:space="0" w:color="auto"/>
            </w:tcBorders>
            <w:shd w:val="clear" w:color="auto" w:fill="00CCFF"/>
            <w:noWrap/>
            <w:vAlign w:val="bottom"/>
            <w:hideMark/>
          </w:tcPr>
          <w:p w14:paraId="2B25484C" w14:textId="77777777" w:rsidR="003661AA" w:rsidRPr="006E20A2" w:rsidRDefault="003661AA" w:rsidP="003661AA">
            <w:pPr>
              <w:widowControl/>
              <w:jc w:val="center"/>
              <w:rPr>
                <w:rFonts w:ascii="Arial" w:hAnsi="Arial"/>
                <w:b/>
                <w:bCs/>
                <w:sz w:val="18"/>
                <w:szCs w:val="18"/>
                <w:lang w:val="en-US" w:eastAsia="sl-SI"/>
              </w:rPr>
            </w:pPr>
            <w:r w:rsidRPr="006E20A2">
              <w:rPr>
                <w:rFonts w:ascii="Arial" w:hAnsi="Arial"/>
                <w:b/>
                <w:bCs/>
                <w:sz w:val="18"/>
                <w:szCs w:val="18"/>
                <w:lang w:val="en-US" w:eastAsia="sl-SI"/>
              </w:rPr>
              <w:t>2015</w:t>
            </w:r>
          </w:p>
        </w:tc>
        <w:tc>
          <w:tcPr>
            <w:tcW w:w="560" w:type="dxa"/>
            <w:tcBorders>
              <w:top w:val="single" w:sz="4" w:space="0" w:color="auto"/>
              <w:left w:val="single" w:sz="4" w:space="0" w:color="auto"/>
              <w:bottom w:val="single" w:sz="4" w:space="0" w:color="auto"/>
              <w:right w:val="single" w:sz="4" w:space="0" w:color="auto"/>
            </w:tcBorders>
            <w:shd w:val="clear" w:color="auto" w:fill="00CCFF"/>
            <w:vAlign w:val="bottom"/>
          </w:tcPr>
          <w:p w14:paraId="5053539D" w14:textId="77777777" w:rsidR="003661AA" w:rsidRPr="006E20A2" w:rsidRDefault="003661AA" w:rsidP="003661AA">
            <w:pPr>
              <w:widowControl/>
              <w:jc w:val="center"/>
              <w:rPr>
                <w:rFonts w:ascii="Arial" w:hAnsi="Arial"/>
                <w:b/>
                <w:bCs/>
                <w:sz w:val="18"/>
                <w:szCs w:val="18"/>
                <w:lang w:val="en-US" w:eastAsia="sl-SI"/>
              </w:rPr>
            </w:pPr>
            <w:r w:rsidRPr="006E20A2">
              <w:rPr>
                <w:rFonts w:ascii="Arial" w:hAnsi="Arial"/>
                <w:b/>
                <w:bCs/>
                <w:sz w:val="18"/>
                <w:szCs w:val="18"/>
                <w:lang w:val="en-US" w:eastAsia="sl-SI"/>
              </w:rPr>
              <w:t>2016</w:t>
            </w:r>
          </w:p>
        </w:tc>
        <w:tc>
          <w:tcPr>
            <w:tcW w:w="560" w:type="dxa"/>
            <w:tcBorders>
              <w:top w:val="single" w:sz="4" w:space="0" w:color="auto"/>
              <w:left w:val="single" w:sz="4" w:space="0" w:color="auto"/>
              <w:bottom w:val="single" w:sz="4" w:space="0" w:color="auto"/>
              <w:right w:val="single" w:sz="4" w:space="0" w:color="auto"/>
            </w:tcBorders>
            <w:shd w:val="clear" w:color="auto" w:fill="00CCFF"/>
            <w:vAlign w:val="bottom"/>
          </w:tcPr>
          <w:p w14:paraId="27BB9D3B" w14:textId="77777777" w:rsidR="003661AA" w:rsidRPr="006E20A2" w:rsidRDefault="003661AA" w:rsidP="003661AA">
            <w:pPr>
              <w:jc w:val="center"/>
              <w:rPr>
                <w:rFonts w:ascii="Arial" w:hAnsi="Arial"/>
                <w:b/>
                <w:bCs/>
                <w:sz w:val="18"/>
                <w:szCs w:val="18"/>
                <w:lang w:val="en-US" w:eastAsia="sl-SI"/>
              </w:rPr>
            </w:pPr>
            <w:r w:rsidRPr="006E20A2">
              <w:rPr>
                <w:rFonts w:ascii="Arial" w:hAnsi="Arial"/>
                <w:b/>
                <w:bCs/>
                <w:sz w:val="18"/>
                <w:szCs w:val="18"/>
                <w:lang w:val="en-US" w:eastAsia="sl-SI"/>
              </w:rPr>
              <w:t>2017</w:t>
            </w:r>
          </w:p>
        </w:tc>
        <w:tc>
          <w:tcPr>
            <w:tcW w:w="560" w:type="dxa"/>
            <w:tcBorders>
              <w:top w:val="single" w:sz="4" w:space="0" w:color="auto"/>
              <w:left w:val="single" w:sz="4" w:space="0" w:color="auto"/>
              <w:bottom w:val="single" w:sz="4" w:space="0" w:color="auto"/>
              <w:right w:val="single" w:sz="4" w:space="0" w:color="auto"/>
            </w:tcBorders>
            <w:shd w:val="clear" w:color="auto" w:fill="00CCFF"/>
            <w:vAlign w:val="bottom"/>
          </w:tcPr>
          <w:p w14:paraId="638BA930" w14:textId="77777777" w:rsidR="003661AA" w:rsidRPr="006E20A2" w:rsidRDefault="003661AA" w:rsidP="003661AA">
            <w:pPr>
              <w:jc w:val="center"/>
              <w:rPr>
                <w:rFonts w:ascii="Arial" w:hAnsi="Arial"/>
                <w:b/>
                <w:bCs/>
                <w:sz w:val="18"/>
                <w:szCs w:val="18"/>
                <w:lang w:val="en-US"/>
              </w:rPr>
            </w:pPr>
            <w:r w:rsidRPr="006E20A2">
              <w:rPr>
                <w:rFonts w:ascii="Arial" w:hAnsi="Arial"/>
                <w:b/>
                <w:bCs/>
                <w:sz w:val="18"/>
                <w:szCs w:val="18"/>
                <w:lang w:val="en-US"/>
              </w:rPr>
              <w:t>2018</w:t>
            </w:r>
          </w:p>
        </w:tc>
        <w:tc>
          <w:tcPr>
            <w:tcW w:w="560" w:type="dxa"/>
            <w:tcBorders>
              <w:top w:val="single" w:sz="4" w:space="0" w:color="auto"/>
              <w:left w:val="single" w:sz="4" w:space="0" w:color="auto"/>
              <w:bottom w:val="single" w:sz="4" w:space="0" w:color="auto"/>
              <w:right w:val="single" w:sz="4" w:space="0" w:color="auto"/>
            </w:tcBorders>
            <w:shd w:val="clear" w:color="auto" w:fill="00CCFF"/>
            <w:vAlign w:val="bottom"/>
          </w:tcPr>
          <w:p w14:paraId="7FE67E96" w14:textId="77777777" w:rsidR="003661AA" w:rsidRPr="006E20A2" w:rsidRDefault="003661AA" w:rsidP="003661AA">
            <w:pPr>
              <w:jc w:val="center"/>
              <w:rPr>
                <w:rFonts w:ascii="Arial" w:hAnsi="Arial"/>
                <w:b/>
                <w:bCs/>
                <w:sz w:val="18"/>
                <w:szCs w:val="18"/>
                <w:lang w:val="en-US"/>
              </w:rPr>
            </w:pPr>
            <w:r w:rsidRPr="006E20A2">
              <w:rPr>
                <w:rFonts w:ascii="Arial" w:hAnsi="Arial"/>
                <w:b/>
                <w:bCs/>
                <w:sz w:val="18"/>
                <w:szCs w:val="18"/>
                <w:lang w:val="en-US"/>
              </w:rPr>
              <w:t>2019</w:t>
            </w:r>
          </w:p>
        </w:tc>
        <w:tc>
          <w:tcPr>
            <w:tcW w:w="663" w:type="dxa"/>
            <w:tcBorders>
              <w:top w:val="single" w:sz="4" w:space="0" w:color="auto"/>
              <w:left w:val="single" w:sz="4" w:space="0" w:color="auto"/>
              <w:bottom w:val="single" w:sz="4" w:space="0" w:color="auto"/>
              <w:right w:val="single" w:sz="4" w:space="0" w:color="auto"/>
            </w:tcBorders>
            <w:shd w:val="clear" w:color="auto" w:fill="00CCFF"/>
            <w:vAlign w:val="bottom"/>
          </w:tcPr>
          <w:p w14:paraId="48932CC3" w14:textId="77777777" w:rsidR="003661AA" w:rsidRPr="006E20A2" w:rsidRDefault="003661AA" w:rsidP="003661AA">
            <w:pPr>
              <w:jc w:val="center"/>
              <w:rPr>
                <w:rFonts w:ascii="Arial" w:hAnsi="Arial"/>
                <w:b/>
                <w:bCs/>
                <w:sz w:val="18"/>
                <w:szCs w:val="18"/>
                <w:lang w:val="en-US"/>
              </w:rPr>
            </w:pPr>
            <w:r w:rsidRPr="006E20A2">
              <w:rPr>
                <w:rFonts w:ascii="Arial" w:hAnsi="Arial"/>
                <w:b/>
                <w:bCs/>
                <w:sz w:val="18"/>
                <w:szCs w:val="18"/>
                <w:lang w:val="en-US"/>
              </w:rPr>
              <w:t>2020</w:t>
            </w:r>
          </w:p>
        </w:tc>
      </w:tr>
      <w:tr w:rsidR="003661AA" w:rsidRPr="006E20A2" w14:paraId="01455F46"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auto"/>
            <w:noWrap/>
            <w:hideMark/>
          </w:tcPr>
          <w:p w14:paraId="31DC9B96" w14:textId="697494A3"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SP:  decision has not been made</w:t>
            </w:r>
          </w:p>
        </w:tc>
        <w:tc>
          <w:tcPr>
            <w:tcW w:w="603" w:type="dxa"/>
            <w:tcBorders>
              <w:top w:val="nil"/>
              <w:left w:val="nil"/>
              <w:bottom w:val="single" w:sz="8" w:space="0" w:color="auto"/>
              <w:right w:val="single" w:sz="8" w:space="0" w:color="auto"/>
            </w:tcBorders>
            <w:shd w:val="clear" w:color="auto" w:fill="auto"/>
            <w:noWrap/>
            <w:vAlign w:val="bottom"/>
            <w:hideMark/>
          </w:tcPr>
          <w:p w14:paraId="7749A307"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75</w:t>
            </w:r>
          </w:p>
        </w:tc>
        <w:tc>
          <w:tcPr>
            <w:tcW w:w="603" w:type="dxa"/>
            <w:tcBorders>
              <w:top w:val="nil"/>
              <w:left w:val="nil"/>
              <w:bottom w:val="single" w:sz="8" w:space="0" w:color="auto"/>
              <w:right w:val="single" w:sz="8" w:space="0" w:color="auto"/>
            </w:tcBorders>
            <w:shd w:val="clear" w:color="auto" w:fill="auto"/>
            <w:noWrap/>
            <w:vAlign w:val="bottom"/>
            <w:hideMark/>
          </w:tcPr>
          <w:p w14:paraId="5F004611"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64</w:t>
            </w:r>
          </w:p>
        </w:tc>
        <w:tc>
          <w:tcPr>
            <w:tcW w:w="603" w:type="dxa"/>
            <w:tcBorders>
              <w:top w:val="nil"/>
              <w:left w:val="nil"/>
              <w:bottom w:val="single" w:sz="8" w:space="0" w:color="auto"/>
              <w:right w:val="single" w:sz="8" w:space="0" w:color="auto"/>
            </w:tcBorders>
            <w:shd w:val="clear" w:color="auto" w:fill="auto"/>
            <w:noWrap/>
            <w:vAlign w:val="bottom"/>
            <w:hideMark/>
          </w:tcPr>
          <w:p w14:paraId="288CE433"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80</w:t>
            </w:r>
          </w:p>
        </w:tc>
        <w:tc>
          <w:tcPr>
            <w:tcW w:w="604" w:type="dxa"/>
            <w:tcBorders>
              <w:top w:val="nil"/>
              <w:left w:val="nil"/>
              <w:bottom w:val="single" w:sz="8" w:space="0" w:color="auto"/>
              <w:right w:val="single" w:sz="8" w:space="0" w:color="auto"/>
            </w:tcBorders>
            <w:shd w:val="clear" w:color="auto" w:fill="auto"/>
            <w:noWrap/>
            <w:vAlign w:val="bottom"/>
            <w:hideMark/>
          </w:tcPr>
          <w:p w14:paraId="401B5331"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104</w:t>
            </w:r>
          </w:p>
        </w:tc>
        <w:tc>
          <w:tcPr>
            <w:tcW w:w="604" w:type="dxa"/>
            <w:tcBorders>
              <w:top w:val="nil"/>
              <w:left w:val="nil"/>
              <w:bottom w:val="single" w:sz="8" w:space="0" w:color="auto"/>
              <w:right w:val="single" w:sz="4" w:space="0" w:color="auto"/>
            </w:tcBorders>
            <w:shd w:val="clear" w:color="auto" w:fill="auto"/>
            <w:noWrap/>
            <w:vAlign w:val="bottom"/>
            <w:hideMark/>
          </w:tcPr>
          <w:p w14:paraId="73535065"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94</w:t>
            </w:r>
          </w:p>
        </w:tc>
        <w:tc>
          <w:tcPr>
            <w:tcW w:w="560" w:type="dxa"/>
            <w:tcBorders>
              <w:top w:val="single" w:sz="4" w:space="0" w:color="auto"/>
              <w:left w:val="single" w:sz="4" w:space="0" w:color="auto"/>
              <w:bottom w:val="single" w:sz="4" w:space="0" w:color="auto"/>
              <w:right w:val="single" w:sz="4" w:space="0" w:color="auto"/>
            </w:tcBorders>
            <w:vAlign w:val="bottom"/>
          </w:tcPr>
          <w:p w14:paraId="5E402B79"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112</w:t>
            </w:r>
          </w:p>
        </w:tc>
        <w:tc>
          <w:tcPr>
            <w:tcW w:w="560" w:type="dxa"/>
            <w:tcBorders>
              <w:top w:val="single" w:sz="4" w:space="0" w:color="auto"/>
              <w:left w:val="single" w:sz="4" w:space="0" w:color="auto"/>
              <w:bottom w:val="single" w:sz="4" w:space="0" w:color="auto"/>
              <w:right w:val="single" w:sz="4" w:space="0" w:color="auto"/>
            </w:tcBorders>
            <w:vAlign w:val="bottom"/>
          </w:tcPr>
          <w:p w14:paraId="5ED0B9AA"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135</w:t>
            </w:r>
          </w:p>
        </w:tc>
        <w:tc>
          <w:tcPr>
            <w:tcW w:w="560" w:type="dxa"/>
            <w:tcBorders>
              <w:top w:val="single" w:sz="4" w:space="0" w:color="auto"/>
              <w:left w:val="single" w:sz="4" w:space="0" w:color="auto"/>
              <w:bottom w:val="single" w:sz="4" w:space="0" w:color="auto"/>
              <w:right w:val="single" w:sz="4" w:space="0" w:color="auto"/>
            </w:tcBorders>
            <w:vAlign w:val="bottom"/>
          </w:tcPr>
          <w:p w14:paraId="086FA081"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141</w:t>
            </w:r>
          </w:p>
        </w:tc>
        <w:tc>
          <w:tcPr>
            <w:tcW w:w="560" w:type="dxa"/>
            <w:tcBorders>
              <w:top w:val="single" w:sz="4" w:space="0" w:color="auto"/>
              <w:left w:val="single" w:sz="4" w:space="0" w:color="auto"/>
              <w:bottom w:val="single" w:sz="4" w:space="0" w:color="auto"/>
              <w:right w:val="single" w:sz="4" w:space="0" w:color="auto"/>
            </w:tcBorders>
            <w:vAlign w:val="bottom"/>
          </w:tcPr>
          <w:p w14:paraId="3D6D1E0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138</w:t>
            </w:r>
          </w:p>
        </w:tc>
        <w:tc>
          <w:tcPr>
            <w:tcW w:w="663" w:type="dxa"/>
            <w:tcBorders>
              <w:top w:val="single" w:sz="4" w:space="0" w:color="auto"/>
              <w:left w:val="single" w:sz="4" w:space="0" w:color="auto"/>
              <w:bottom w:val="single" w:sz="4" w:space="0" w:color="auto"/>
              <w:right w:val="single" w:sz="4" w:space="0" w:color="auto"/>
            </w:tcBorders>
            <w:vAlign w:val="bottom"/>
          </w:tcPr>
          <w:p w14:paraId="1E24B52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147</w:t>
            </w:r>
          </w:p>
        </w:tc>
      </w:tr>
      <w:tr w:rsidR="003661AA" w:rsidRPr="006E20A2" w14:paraId="28EFAB0B"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auto"/>
            <w:noWrap/>
            <w:hideMark/>
          </w:tcPr>
          <w:p w14:paraId="5D64C151" w14:textId="4D2604C5"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SP: criminal report rejected</w:t>
            </w:r>
          </w:p>
        </w:tc>
        <w:tc>
          <w:tcPr>
            <w:tcW w:w="603" w:type="dxa"/>
            <w:tcBorders>
              <w:top w:val="nil"/>
              <w:left w:val="nil"/>
              <w:bottom w:val="single" w:sz="8" w:space="0" w:color="auto"/>
              <w:right w:val="single" w:sz="8" w:space="0" w:color="auto"/>
            </w:tcBorders>
            <w:shd w:val="clear" w:color="auto" w:fill="auto"/>
            <w:noWrap/>
            <w:vAlign w:val="bottom"/>
            <w:hideMark/>
          </w:tcPr>
          <w:p w14:paraId="7D5925CD"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17</w:t>
            </w:r>
          </w:p>
        </w:tc>
        <w:tc>
          <w:tcPr>
            <w:tcW w:w="603" w:type="dxa"/>
            <w:tcBorders>
              <w:top w:val="nil"/>
              <w:left w:val="nil"/>
              <w:bottom w:val="single" w:sz="8" w:space="0" w:color="auto"/>
              <w:right w:val="single" w:sz="8" w:space="0" w:color="auto"/>
            </w:tcBorders>
            <w:shd w:val="clear" w:color="auto" w:fill="auto"/>
            <w:noWrap/>
            <w:vAlign w:val="bottom"/>
            <w:hideMark/>
          </w:tcPr>
          <w:p w14:paraId="600C2BEC"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50</w:t>
            </w:r>
          </w:p>
        </w:tc>
        <w:tc>
          <w:tcPr>
            <w:tcW w:w="603" w:type="dxa"/>
            <w:tcBorders>
              <w:top w:val="nil"/>
              <w:left w:val="nil"/>
              <w:bottom w:val="single" w:sz="8" w:space="0" w:color="auto"/>
              <w:right w:val="single" w:sz="8" w:space="0" w:color="auto"/>
            </w:tcBorders>
            <w:shd w:val="clear" w:color="auto" w:fill="auto"/>
            <w:noWrap/>
            <w:vAlign w:val="bottom"/>
            <w:hideMark/>
          </w:tcPr>
          <w:p w14:paraId="4DFDDFB7"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55</w:t>
            </w:r>
          </w:p>
        </w:tc>
        <w:tc>
          <w:tcPr>
            <w:tcW w:w="604" w:type="dxa"/>
            <w:tcBorders>
              <w:top w:val="nil"/>
              <w:left w:val="nil"/>
              <w:bottom w:val="single" w:sz="8" w:space="0" w:color="auto"/>
              <w:right w:val="single" w:sz="8" w:space="0" w:color="auto"/>
            </w:tcBorders>
            <w:shd w:val="clear" w:color="auto" w:fill="auto"/>
            <w:noWrap/>
            <w:vAlign w:val="bottom"/>
            <w:hideMark/>
          </w:tcPr>
          <w:p w14:paraId="1F7C474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55</w:t>
            </w:r>
          </w:p>
        </w:tc>
        <w:tc>
          <w:tcPr>
            <w:tcW w:w="604" w:type="dxa"/>
            <w:tcBorders>
              <w:top w:val="nil"/>
              <w:left w:val="nil"/>
              <w:bottom w:val="single" w:sz="8" w:space="0" w:color="auto"/>
              <w:right w:val="single" w:sz="4" w:space="0" w:color="auto"/>
            </w:tcBorders>
            <w:shd w:val="clear" w:color="auto" w:fill="auto"/>
            <w:noWrap/>
            <w:vAlign w:val="bottom"/>
            <w:hideMark/>
          </w:tcPr>
          <w:p w14:paraId="7DC803F3"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65</w:t>
            </w:r>
          </w:p>
        </w:tc>
        <w:tc>
          <w:tcPr>
            <w:tcW w:w="560" w:type="dxa"/>
            <w:tcBorders>
              <w:top w:val="single" w:sz="4" w:space="0" w:color="auto"/>
              <w:left w:val="single" w:sz="4" w:space="0" w:color="auto"/>
              <w:bottom w:val="single" w:sz="4" w:space="0" w:color="auto"/>
              <w:right w:val="single" w:sz="4" w:space="0" w:color="auto"/>
            </w:tcBorders>
            <w:vAlign w:val="bottom"/>
          </w:tcPr>
          <w:p w14:paraId="7D4C7D35"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74</w:t>
            </w:r>
          </w:p>
        </w:tc>
        <w:tc>
          <w:tcPr>
            <w:tcW w:w="560" w:type="dxa"/>
            <w:tcBorders>
              <w:top w:val="single" w:sz="4" w:space="0" w:color="auto"/>
              <w:left w:val="single" w:sz="4" w:space="0" w:color="auto"/>
              <w:bottom w:val="single" w:sz="4" w:space="0" w:color="auto"/>
              <w:right w:val="single" w:sz="4" w:space="0" w:color="auto"/>
            </w:tcBorders>
            <w:vAlign w:val="bottom"/>
          </w:tcPr>
          <w:p w14:paraId="7A6C44E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82</w:t>
            </w:r>
          </w:p>
        </w:tc>
        <w:tc>
          <w:tcPr>
            <w:tcW w:w="560" w:type="dxa"/>
            <w:tcBorders>
              <w:top w:val="single" w:sz="4" w:space="0" w:color="auto"/>
              <w:left w:val="single" w:sz="4" w:space="0" w:color="auto"/>
              <w:bottom w:val="single" w:sz="4" w:space="0" w:color="auto"/>
              <w:right w:val="single" w:sz="4" w:space="0" w:color="auto"/>
            </w:tcBorders>
            <w:vAlign w:val="bottom"/>
          </w:tcPr>
          <w:p w14:paraId="269B318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87</w:t>
            </w:r>
          </w:p>
        </w:tc>
        <w:tc>
          <w:tcPr>
            <w:tcW w:w="560" w:type="dxa"/>
            <w:tcBorders>
              <w:top w:val="single" w:sz="4" w:space="0" w:color="auto"/>
              <w:left w:val="single" w:sz="4" w:space="0" w:color="auto"/>
              <w:bottom w:val="single" w:sz="4" w:space="0" w:color="auto"/>
              <w:right w:val="single" w:sz="4" w:space="0" w:color="auto"/>
            </w:tcBorders>
            <w:vAlign w:val="bottom"/>
          </w:tcPr>
          <w:p w14:paraId="2AC6B32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103</w:t>
            </w:r>
          </w:p>
        </w:tc>
        <w:tc>
          <w:tcPr>
            <w:tcW w:w="663" w:type="dxa"/>
            <w:tcBorders>
              <w:top w:val="single" w:sz="4" w:space="0" w:color="auto"/>
              <w:left w:val="single" w:sz="4" w:space="0" w:color="auto"/>
              <w:bottom w:val="single" w:sz="4" w:space="0" w:color="auto"/>
              <w:right w:val="single" w:sz="4" w:space="0" w:color="auto"/>
            </w:tcBorders>
            <w:vAlign w:val="bottom"/>
          </w:tcPr>
          <w:p w14:paraId="23D4774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112</w:t>
            </w:r>
          </w:p>
        </w:tc>
      </w:tr>
      <w:tr w:rsidR="003661AA" w:rsidRPr="006E20A2" w14:paraId="49EC9C7F"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auto"/>
            <w:noWrap/>
            <w:hideMark/>
          </w:tcPr>
          <w:p w14:paraId="0D8181D7" w14:textId="64EEFCDD" w:rsidR="003661AA" w:rsidRPr="006E20A2" w:rsidRDefault="003661AA" w:rsidP="003661AA">
            <w:pPr>
              <w:widowControl/>
              <w:jc w:val="left"/>
              <w:rPr>
                <w:rFonts w:ascii="Arial" w:hAnsi="Arial"/>
                <w:sz w:val="18"/>
                <w:szCs w:val="18"/>
                <w:lang w:val="en-US" w:eastAsia="sl-SI"/>
              </w:rPr>
            </w:pPr>
            <w:r w:rsidRPr="006E20A2">
              <w:rPr>
                <w:rFonts w:ascii="Arial" w:eastAsia="Arial Unicode MS" w:hAnsi="Arial"/>
                <w:sz w:val="20"/>
                <w:lang w:val="en-US"/>
              </w:rPr>
              <w:t>SP: prosecution has been delayed</w:t>
            </w:r>
          </w:p>
        </w:tc>
        <w:tc>
          <w:tcPr>
            <w:tcW w:w="603" w:type="dxa"/>
            <w:tcBorders>
              <w:top w:val="nil"/>
              <w:left w:val="nil"/>
              <w:bottom w:val="single" w:sz="8" w:space="0" w:color="auto"/>
              <w:right w:val="single" w:sz="8" w:space="0" w:color="auto"/>
            </w:tcBorders>
            <w:shd w:val="clear" w:color="auto" w:fill="auto"/>
            <w:noWrap/>
            <w:vAlign w:val="bottom"/>
            <w:hideMark/>
          </w:tcPr>
          <w:p w14:paraId="3C5EDB77"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 </w:t>
            </w:r>
          </w:p>
        </w:tc>
        <w:tc>
          <w:tcPr>
            <w:tcW w:w="603" w:type="dxa"/>
            <w:tcBorders>
              <w:top w:val="nil"/>
              <w:left w:val="nil"/>
              <w:bottom w:val="single" w:sz="8" w:space="0" w:color="auto"/>
              <w:right w:val="single" w:sz="8" w:space="0" w:color="auto"/>
            </w:tcBorders>
            <w:shd w:val="clear" w:color="auto" w:fill="auto"/>
            <w:noWrap/>
            <w:vAlign w:val="bottom"/>
            <w:hideMark/>
          </w:tcPr>
          <w:p w14:paraId="1E162D37"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1</w:t>
            </w:r>
          </w:p>
        </w:tc>
        <w:tc>
          <w:tcPr>
            <w:tcW w:w="603" w:type="dxa"/>
            <w:tcBorders>
              <w:top w:val="nil"/>
              <w:left w:val="nil"/>
              <w:bottom w:val="single" w:sz="8" w:space="0" w:color="auto"/>
              <w:right w:val="single" w:sz="8" w:space="0" w:color="auto"/>
            </w:tcBorders>
            <w:shd w:val="clear" w:color="auto" w:fill="auto"/>
            <w:noWrap/>
            <w:vAlign w:val="bottom"/>
            <w:hideMark/>
          </w:tcPr>
          <w:p w14:paraId="53D1474F"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1</w:t>
            </w:r>
          </w:p>
        </w:tc>
        <w:tc>
          <w:tcPr>
            <w:tcW w:w="604" w:type="dxa"/>
            <w:tcBorders>
              <w:top w:val="nil"/>
              <w:left w:val="nil"/>
              <w:bottom w:val="single" w:sz="8" w:space="0" w:color="auto"/>
              <w:right w:val="single" w:sz="8" w:space="0" w:color="auto"/>
            </w:tcBorders>
            <w:shd w:val="clear" w:color="auto" w:fill="auto"/>
            <w:noWrap/>
            <w:vAlign w:val="bottom"/>
            <w:hideMark/>
          </w:tcPr>
          <w:p w14:paraId="1EA9819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w:t>
            </w:r>
          </w:p>
        </w:tc>
        <w:tc>
          <w:tcPr>
            <w:tcW w:w="604" w:type="dxa"/>
            <w:tcBorders>
              <w:top w:val="nil"/>
              <w:left w:val="nil"/>
              <w:bottom w:val="single" w:sz="8" w:space="0" w:color="auto"/>
              <w:right w:val="single" w:sz="4" w:space="0" w:color="auto"/>
            </w:tcBorders>
            <w:shd w:val="clear" w:color="auto" w:fill="auto"/>
            <w:noWrap/>
            <w:vAlign w:val="bottom"/>
            <w:hideMark/>
          </w:tcPr>
          <w:p w14:paraId="67DE0454"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14:paraId="4B58EF5E"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w:t>
            </w:r>
          </w:p>
        </w:tc>
        <w:tc>
          <w:tcPr>
            <w:tcW w:w="560" w:type="dxa"/>
            <w:tcBorders>
              <w:top w:val="single" w:sz="4" w:space="0" w:color="auto"/>
              <w:left w:val="single" w:sz="4" w:space="0" w:color="auto"/>
              <w:bottom w:val="single" w:sz="4" w:space="0" w:color="auto"/>
              <w:right w:val="single" w:sz="4" w:space="0" w:color="auto"/>
            </w:tcBorders>
            <w:vAlign w:val="bottom"/>
          </w:tcPr>
          <w:p w14:paraId="2DE3D5B9"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w:t>
            </w:r>
          </w:p>
        </w:tc>
        <w:tc>
          <w:tcPr>
            <w:tcW w:w="560" w:type="dxa"/>
            <w:tcBorders>
              <w:top w:val="single" w:sz="4" w:space="0" w:color="auto"/>
              <w:left w:val="single" w:sz="4" w:space="0" w:color="auto"/>
              <w:bottom w:val="single" w:sz="4" w:space="0" w:color="auto"/>
              <w:right w:val="single" w:sz="4" w:space="0" w:color="auto"/>
            </w:tcBorders>
            <w:vAlign w:val="bottom"/>
          </w:tcPr>
          <w:p w14:paraId="188AD541"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w:t>
            </w:r>
          </w:p>
        </w:tc>
        <w:tc>
          <w:tcPr>
            <w:tcW w:w="560" w:type="dxa"/>
            <w:tcBorders>
              <w:top w:val="single" w:sz="4" w:space="0" w:color="auto"/>
              <w:left w:val="single" w:sz="4" w:space="0" w:color="auto"/>
              <w:bottom w:val="single" w:sz="4" w:space="0" w:color="auto"/>
              <w:right w:val="single" w:sz="4" w:space="0" w:color="auto"/>
            </w:tcBorders>
            <w:vAlign w:val="bottom"/>
          </w:tcPr>
          <w:p w14:paraId="2123D73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w:t>
            </w:r>
          </w:p>
        </w:tc>
        <w:tc>
          <w:tcPr>
            <w:tcW w:w="663" w:type="dxa"/>
            <w:tcBorders>
              <w:top w:val="single" w:sz="4" w:space="0" w:color="auto"/>
              <w:left w:val="single" w:sz="4" w:space="0" w:color="auto"/>
              <w:bottom w:val="single" w:sz="4" w:space="0" w:color="auto"/>
              <w:right w:val="single" w:sz="4" w:space="0" w:color="auto"/>
            </w:tcBorders>
            <w:vAlign w:val="bottom"/>
          </w:tcPr>
          <w:p w14:paraId="7703053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w:t>
            </w:r>
          </w:p>
        </w:tc>
      </w:tr>
      <w:tr w:rsidR="003661AA" w:rsidRPr="006E20A2" w14:paraId="13B4DB80"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99FF33"/>
            <w:noWrap/>
            <w:hideMark/>
          </w:tcPr>
          <w:p w14:paraId="153C9BEA" w14:textId="03723836"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 xml:space="preserve">SP: demand for investigation </w:t>
            </w:r>
          </w:p>
        </w:tc>
        <w:tc>
          <w:tcPr>
            <w:tcW w:w="603" w:type="dxa"/>
            <w:tcBorders>
              <w:top w:val="nil"/>
              <w:left w:val="nil"/>
              <w:bottom w:val="single" w:sz="8" w:space="0" w:color="auto"/>
              <w:right w:val="single" w:sz="8" w:space="0" w:color="auto"/>
            </w:tcBorders>
            <w:shd w:val="clear" w:color="auto" w:fill="99FF33"/>
            <w:noWrap/>
            <w:vAlign w:val="bottom"/>
            <w:hideMark/>
          </w:tcPr>
          <w:p w14:paraId="51362970"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30</w:t>
            </w:r>
          </w:p>
        </w:tc>
        <w:tc>
          <w:tcPr>
            <w:tcW w:w="603" w:type="dxa"/>
            <w:tcBorders>
              <w:top w:val="nil"/>
              <w:left w:val="nil"/>
              <w:bottom w:val="single" w:sz="8" w:space="0" w:color="auto"/>
              <w:right w:val="single" w:sz="8" w:space="0" w:color="auto"/>
            </w:tcBorders>
            <w:shd w:val="clear" w:color="auto" w:fill="99FF33"/>
            <w:noWrap/>
            <w:vAlign w:val="bottom"/>
            <w:hideMark/>
          </w:tcPr>
          <w:p w14:paraId="25E087D4"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21</w:t>
            </w:r>
          </w:p>
        </w:tc>
        <w:tc>
          <w:tcPr>
            <w:tcW w:w="603" w:type="dxa"/>
            <w:tcBorders>
              <w:top w:val="nil"/>
              <w:left w:val="nil"/>
              <w:bottom w:val="single" w:sz="8" w:space="0" w:color="auto"/>
              <w:right w:val="single" w:sz="8" w:space="0" w:color="auto"/>
            </w:tcBorders>
            <w:shd w:val="clear" w:color="auto" w:fill="99FF33"/>
            <w:noWrap/>
            <w:vAlign w:val="bottom"/>
            <w:hideMark/>
          </w:tcPr>
          <w:p w14:paraId="31C79733"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27</w:t>
            </w:r>
          </w:p>
        </w:tc>
        <w:tc>
          <w:tcPr>
            <w:tcW w:w="604" w:type="dxa"/>
            <w:tcBorders>
              <w:top w:val="nil"/>
              <w:left w:val="nil"/>
              <w:bottom w:val="single" w:sz="8" w:space="0" w:color="auto"/>
              <w:right w:val="single" w:sz="8" w:space="0" w:color="auto"/>
            </w:tcBorders>
            <w:shd w:val="clear" w:color="auto" w:fill="99FF33"/>
            <w:noWrap/>
            <w:vAlign w:val="bottom"/>
            <w:hideMark/>
          </w:tcPr>
          <w:p w14:paraId="5100486F"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20</w:t>
            </w:r>
          </w:p>
        </w:tc>
        <w:tc>
          <w:tcPr>
            <w:tcW w:w="604" w:type="dxa"/>
            <w:tcBorders>
              <w:top w:val="nil"/>
              <w:left w:val="nil"/>
              <w:bottom w:val="single" w:sz="8" w:space="0" w:color="auto"/>
              <w:right w:val="single" w:sz="4" w:space="0" w:color="auto"/>
            </w:tcBorders>
            <w:shd w:val="clear" w:color="auto" w:fill="99FF33"/>
            <w:noWrap/>
            <w:vAlign w:val="bottom"/>
            <w:hideMark/>
          </w:tcPr>
          <w:p w14:paraId="12E79A0D"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27</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5A0DA263"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31</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581B9C9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31</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3653F50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34</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4DECA82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48</w:t>
            </w:r>
          </w:p>
        </w:tc>
        <w:tc>
          <w:tcPr>
            <w:tcW w:w="663" w:type="dxa"/>
            <w:tcBorders>
              <w:top w:val="single" w:sz="4" w:space="0" w:color="auto"/>
              <w:left w:val="single" w:sz="4" w:space="0" w:color="auto"/>
              <w:bottom w:val="single" w:sz="4" w:space="0" w:color="auto"/>
              <w:right w:val="single" w:sz="4" w:space="0" w:color="auto"/>
            </w:tcBorders>
            <w:shd w:val="clear" w:color="auto" w:fill="99FF33"/>
            <w:vAlign w:val="bottom"/>
          </w:tcPr>
          <w:p w14:paraId="0AFC7F86"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45</w:t>
            </w:r>
          </w:p>
        </w:tc>
      </w:tr>
      <w:tr w:rsidR="003661AA" w:rsidRPr="006E20A2" w14:paraId="3B4D0D36"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99FF33"/>
            <w:noWrap/>
            <w:hideMark/>
          </w:tcPr>
          <w:p w14:paraId="1C556A3C" w14:textId="58A09790"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 xml:space="preserve">IJ: investigation has been introduced </w:t>
            </w:r>
          </w:p>
        </w:tc>
        <w:tc>
          <w:tcPr>
            <w:tcW w:w="603" w:type="dxa"/>
            <w:tcBorders>
              <w:top w:val="nil"/>
              <w:left w:val="nil"/>
              <w:bottom w:val="single" w:sz="8" w:space="0" w:color="auto"/>
              <w:right w:val="single" w:sz="8" w:space="0" w:color="auto"/>
            </w:tcBorders>
            <w:shd w:val="clear" w:color="auto" w:fill="99FF33"/>
            <w:noWrap/>
            <w:vAlign w:val="bottom"/>
            <w:hideMark/>
          </w:tcPr>
          <w:p w14:paraId="13D94422"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25</w:t>
            </w:r>
          </w:p>
        </w:tc>
        <w:tc>
          <w:tcPr>
            <w:tcW w:w="603" w:type="dxa"/>
            <w:tcBorders>
              <w:top w:val="nil"/>
              <w:left w:val="nil"/>
              <w:bottom w:val="single" w:sz="8" w:space="0" w:color="auto"/>
              <w:right w:val="single" w:sz="8" w:space="0" w:color="auto"/>
            </w:tcBorders>
            <w:shd w:val="clear" w:color="auto" w:fill="99FF33"/>
            <w:noWrap/>
            <w:vAlign w:val="bottom"/>
            <w:hideMark/>
          </w:tcPr>
          <w:p w14:paraId="11179902"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37</w:t>
            </w:r>
          </w:p>
        </w:tc>
        <w:tc>
          <w:tcPr>
            <w:tcW w:w="603" w:type="dxa"/>
            <w:tcBorders>
              <w:top w:val="nil"/>
              <w:left w:val="nil"/>
              <w:bottom w:val="single" w:sz="8" w:space="0" w:color="auto"/>
              <w:right w:val="single" w:sz="8" w:space="0" w:color="auto"/>
            </w:tcBorders>
            <w:shd w:val="clear" w:color="auto" w:fill="99FF33"/>
            <w:noWrap/>
            <w:vAlign w:val="bottom"/>
            <w:hideMark/>
          </w:tcPr>
          <w:p w14:paraId="51558E3C"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54</w:t>
            </w:r>
          </w:p>
        </w:tc>
        <w:tc>
          <w:tcPr>
            <w:tcW w:w="604" w:type="dxa"/>
            <w:tcBorders>
              <w:top w:val="nil"/>
              <w:left w:val="nil"/>
              <w:bottom w:val="single" w:sz="8" w:space="0" w:color="auto"/>
              <w:right w:val="single" w:sz="8" w:space="0" w:color="auto"/>
            </w:tcBorders>
            <w:shd w:val="clear" w:color="auto" w:fill="99FF33"/>
            <w:noWrap/>
            <w:vAlign w:val="bottom"/>
            <w:hideMark/>
          </w:tcPr>
          <w:p w14:paraId="5A3E6997"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60</w:t>
            </w:r>
          </w:p>
        </w:tc>
        <w:tc>
          <w:tcPr>
            <w:tcW w:w="604" w:type="dxa"/>
            <w:tcBorders>
              <w:top w:val="nil"/>
              <w:left w:val="nil"/>
              <w:bottom w:val="single" w:sz="8" w:space="0" w:color="auto"/>
              <w:right w:val="single" w:sz="4" w:space="0" w:color="auto"/>
            </w:tcBorders>
            <w:shd w:val="clear" w:color="auto" w:fill="99FF33"/>
            <w:noWrap/>
            <w:vAlign w:val="bottom"/>
            <w:hideMark/>
          </w:tcPr>
          <w:p w14:paraId="27659EDF"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53</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008CA2C3"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57</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2E4CCCD6"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58</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535AF7D9"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57</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63E31775"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32</w:t>
            </w:r>
          </w:p>
        </w:tc>
        <w:tc>
          <w:tcPr>
            <w:tcW w:w="663" w:type="dxa"/>
            <w:tcBorders>
              <w:top w:val="single" w:sz="4" w:space="0" w:color="auto"/>
              <w:left w:val="single" w:sz="4" w:space="0" w:color="auto"/>
              <w:bottom w:val="single" w:sz="4" w:space="0" w:color="auto"/>
              <w:right w:val="single" w:sz="4" w:space="0" w:color="auto"/>
            </w:tcBorders>
            <w:shd w:val="clear" w:color="auto" w:fill="99FF33"/>
            <w:vAlign w:val="bottom"/>
          </w:tcPr>
          <w:p w14:paraId="1A07E0F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28</w:t>
            </w:r>
          </w:p>
        </w:tc>
      </w:tr>
      <w:tr w:rsidR="003661AA" w:rsidRPr="006E20A2" w14:paraId="6E7DEC1A"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99FF33"/>
            <w:noWrap/>
            <w:hideMark/>
          </w:tcPr>
          <w:p w14:paraId="1600A909" w14:textId="60777A7A"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COURT: indictment</w:t>
            </w:r>
          </w:p>
        </w:tc>
        <w:tc>
          <w:tcPr>
            <w:tcW w:w="603" w:type="dxa"/>
            <w:tcBorders>
              <w:top w:val="nil"/>
              <w:left w:val="nil"/>
              <w:bottom w:val="single" w:sz="8" w:space="0" w:color="auto"/>
              <w:right w:val="single" w:sz="8" w:space="0" w:color="auto"/>
            </w:tcBorders>
            <w:shd w:val="clear" w:color="auto" w:fill="99FF33"/>
            <w:noWrap/>
            <w:vAlign w:val="bottom"/>
            <w:hideMark/>
          </w:tcPr>
          <w:p w14:paraId="32617EA2"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27</w:t>
            </w:r>
          </w:p>
        </w:tc>
        <w:tc>
          <w:tcPr>
            <w:tcW w:w="603" w:type="dxa"/>
            <w:tcBorders>
              <w:top w:val="nil"/>
              <w:left w:val="nil"/>
              <w:bottom w:val="single" w:sz="8" w:space="0" w:color="auto"/>
              <w:right w:val="single" w:sz="8" w:space="0" w:color="auto"/>
            </w:tcBorders>
            <w:shd w:val="clear" w:color="auto" w:fill="99FF33"/>
            <w:noWrap/>
            <w:vAlign w:val="bottom"/>
            <w:hideMark/>
          </w:tcPr>
          <w:p w14:paraId="6143E7D0"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39</w:t>
            </w:r>
          </w:p>
        </w:tc>
        <w:tc>
          <w:tcPr>
            <w:tcW w:w="603" w:type="dxa"/>
            <w:tcBorders>
              <w:top w:val="nil"/>
              <w:left w:val="nil"/>
              <w:bottom w:val="single" w:sz="8" w:space="0" w:color="auto"/>
              <w:right w:val="single" w:sz="8" w:space="0" w:color="auto"/>
            </w:tcBorders>
            <w:shd w:val="clear" w:color="auto" w:fill="99FF33"/>
            <w:noWrap/>
            <w:vAlign w:val="bottom"/>
            <w:hideMark/>
          </w:tcPr>
          <w:p w14:paraId="05210409"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50</w:t>
            </w:r>
          </w:p>
        </w:tc>
        <w:tc>
          <w:tcPr>
            <w:tcW w:w="604" w:type="dxa"/>
            <w:tcBorders>
              <w:top w:val="nil"/>
              <w:left w:val="nil"/>
              <w:bottom w:val="single" w:sz="8" w:space="0" w:color="auto"/>
              <w:right w:val="single" w:sz="8" w:space="0" w:color="auto"/>
            </w:tcBorders>
            <w:shd w:val="clear" w:color="auto" w:fill="99FF33"/>
            <w:noWrap/>
            <w:vAlign w:val="bottom"/>
            <w:hideMark/>
          </w:tcPr>
          <w:p w14:paraId="5EA48F34"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60</w:t>
            </w:r>
          </w:p>
        </w:tc>
        <w:tc>
          <w:tcPr>
            <w:tcW w:w="604" w:type="dxa"/>
            <w:tcBorders>
              <w:top w:val="nil"/>
              <w:left w:val="nil"/>
              <w:bottom w:val="single" w:sz="8" w:space="0" w:color="auto"/>
              <w:right w:val="single" w:sz="4" w:space="0" w:color="auto"/>
            </w:tcBorders>
            <w:shd w:val="clear" w:color="auto" w:fill="99FF33"/>
            <w:noWrap/>
            <w:vAlign w:val="bottom"/>
            <w:hideMark/>
          </w:tcPr>
          <w:p w14:paraId="6A16B819"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73</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04A17ABE"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77</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41EE6E77"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74</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7310A1D8"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78</w:t>
            </w:r>
          </w:p>
        </w:tc>
        <w:tc>
          <w:tcPr>
            <w:tcW w:w="560" w:type="dxa"/>
            <w:tcBorders>
              <w:top w:val="single" w:sz="4" w:space="0" w:color="auto"/>
              <w:left w:val="single" w:sz="4" w:space="0" w:color="auto"/>
              <w:bottom w:val="single" w:sz="4" w:space="0" w:color="auto"/>
              <w:right w:val="single" w:sz="4" w:space="0" w:color="auto"/>
            </w:tcBorders>
            <w:shd w:val="clear" w:color="auto" w:fill="99FF33"/>
            <w:vAlign w:val="bottom"/>
          </w:tcPr>
          <w:p w14:paraId="601DDAC5"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101</w:t>
            </w:r>
          </w:p>
        </w:tc>
        <w:tc>
          <w:tcPr>
            <w:tcW w:w="663" w:type="dxa"/>
            <w:tcBorders>
              <w:top w:val="single" w:sz="4" w:space="0" w:color="auto"/>
              <w:left w:val="single" w:sz="4" w:space="0" w:color="auto"/>
              <w:bottom w:val="single" w:sz="4" w:space="0" w:color="auto"/>
              <w:right w:val="single" w:sz="4" w:space="0" w:color="auto"/>
            </w:tcBorders>
            <w:shd w:val="clear" w:color="auto" w:fill="99FF33"/>
            <w:vAlign w:val="bottom"/>
          </w:tcPr>
          <w:p w14:paraId="745EA8C8"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110</w:t>
            </w:r>
          </w:p>
        </w:tc>
      </w:tr>
      <w:tr w:rsidR="003661AA" w:rsidRPr="006E20A2" w14:paraId="4825E6F3" w14:textId="77777777" w:rsidTr="006F178C">
        <w:trPr>
          <w:trHeight w:val="360"/>
        </w:trPr>
        <w:tc>
          <w:tcPr>
            <w:tcW w:w="3688" w:type="dxa"/>
            <w:tcBorders>
              <w:top w:val="nil"/>
              <w:left w:val="single" w:sz="8" w:space="0" w:color="auto"/>
              <w:bottom w:val="single" w:sz="8" w:space="0" w:color="auto"/>
              <w:right w:val="single" w:sz="8" w:space="0" w:color="auto"/>
            </w:tcBorders>
            <w:shd w:val="clear" w:color="000000" w:fill="FFEB9C"/>
            <w:noWrap/>
            <w:hideMark/>
          </w:tcPr>
          <w:p w14:paraId="6FD78D90" w14:textId="1114EF1E"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COURT: conviction</w:t>
            </w:r>
          </w:p>
        </w:tc>
        <w:tc>
          <w:tcPr>
            <w:tcW w:w="603" w:type="dxa"/>
            <w:tcBorders>
              <w:top w:val="nil"/>
              <w:left w:val="nil"/>
              <w:bottom w:val="single" w:sz="8" w:space="0" w:color="auto"/>
              <w:right w:val="single" w:sz="8" w:space="0" w:color="auto"/>
            </w:tcBorders>
            <w:shd w:val="clear" w:color="000000" w:fill="FFEB9C"/>
            <w:noWrap/>
            <w:vAlign w:val="bottom"/>
            <w:hideMark/>
          </w:tcPr>
          <w:p w14:paraId="3B5ED1B6"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5</w:t>
            </w:r>
          </w:p>
        </w:tc>
        <w:tc>
          <w:tcPr>
            <w:tcW w:w="603" w:type="dxa"/>
            <w:tcBorders>
              <w:top w:val="nil"/>
              <w:left w:val="nil"/>
              <w:bottom w:val="single" w:sz="8" w:space="0" w:color="auto"/>
              <w:right w:val="single" w:sz="8" w:space="0" w:color="auto"/>
            </w:tcBorders>
            <w:shd w:val="clear" w:color="000000" w:fill="FFEB9C"/>
            <w:noWrap/>
            <w:vAlign w:val="bottom"/>
            <w:hideMark/>
          </w:tcPr>
          <w:p w14:paraId="3FA00B75"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9</w:t>
            </w:r>
          </w:p>
        </w:tc>
        <w:tc>
          <w:tcPr>
            <w:tcW w:w="603" w:type="dxa"/>
            <w:tcBorders>
              <w:top w:val="nil"/>
              <w:left w:val="nil"/>
              <w:bottom w:val="single" w:sz="8" w:space="0" w:color="auto"/>
              <w:right w:val="single" w:sz="8" w:space="0" w:color="auto"/>
            </w:tcBorders>
            <w:shd w:val="clear" w:color="000000" w:fill="FFEB9C"/>
            <w:noWrap/>
            <w:vAlign w:val="bottom"/>
            <w:hideMark/>
          </w:tcPr>
          <w:p w14:paraId="79E46742"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26</w:t>
            </w:r>
          </w:p>
        </w:tc>
        <w:tc>
          <w:tcPr>
            <w:tcW w:w="604" w:type="dxa"/>
            <w:tcBorders>
              <w:top w:val="nil"/>
              <w:left w:val="nil"/>
              <w:bottom w:val="single" w:sz="8" w:space="0" w:color="auto"/>
              <w:right w:val="single" w:sz="8" w:space="0" w:color="auto"/>
            </w:tcBorders>
            <w:shd w:val="clear" w:color="000000" w:fill="FFEB9C"/>
            <w:noWrap/>
            <w:vAlign w:val="bottom"/>
            <w:hideMark/>
          </w:tcPr>
          <w:p w14:paraId="4A5A546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42</w:t>
            </w:r>
          </w:p>
        </w:tc>
        <w:tc>
          <w:tcPr>
            <w:tcW w:w="604" w:type="dxa"/>
            <w:tcBorders>
              <w:top w:val="nil"/>
              <w:left w:val="nil"/>
              <w:bottom w:val="single" w:sz="8" w:space="0" w:color="auto"/>
              <w:right w:val="single" w:sz="4" w:space="0" w:color="auto"/>
            </w:tcBorders>
            <w:shd w:val="clear" w:color="000000" w:fill="FFEB9C"/>
            <w:noWrap/>
            <w:vAlign w:val="bottom"/>
            <w:hideMark/>
          </w:tcPr>
          <w:p w14:paraId="0665A069"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60</w:t>
            </w:r>
          </w:p>
        </w:tc>
        <w:tc>
          <w:tcPr>
            <w:tcW w:w="560" w:type="dxa"/>
            <w:tcBorders>
              <w:top w:val="single" w:sz="4" w:space="0" w:color="auto"/>
              <w:left w:val="single" w:sz="4" w:space="0" w:color="auto"/>
              <w:bottom w:val="single" w:sz="4" w:space="0" w:color="auto"/>
              <w:right w:val="single" w:sz="4" w:space="0" w:color="auto"/>
            </w:tcBorders>
            <w:shd w:val="clear" w:color="000000" w:fill="FFEB9C"/>
            <w:vAlign w:val="bottom"/>
          </w:tcPr>
          <w:p w14:paraId="03C78236"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68</w:t>
            </w:r>
          </w:p>
        </w:tc>
        <w:tc>
          <w:tcPr>
            <w:tcW w:w="560" w:type="dxa"/>
            <w:tcBorders>
              <w:top w:val="single" w:sz="4" w:space="0" w:color="auto"/>
              <w:left w:val="single" w:sz="4" w:space="0" w:color="auto"/>
              <w:bottom w:val="single" w:sz="4" w:space="0" w:color="auto"/>
              <w:right w:val="single" w:sz="4" w:space="0" w:color="auto"/>
            </w:tcBorders>
            <w:shd w:val="clear" w:color="000000" w:fill="FFEB9C"/>
            <w:vAlign w:val="bottom"/>
          </w:tcPr>
          <w:p w14:paraId="17DB0F96"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78</w:t>
            </w:r>
          </w:p>
        </w:tc>
        <w:tc>
          <w:tcPr>
            <w:tcW w:w="560" w:type="dxa"/>
            <w:tcBorders>
              <w:top w:val="single" w:sz="4" w:space="0" w:color="auto"/>
              <w:left w:val="single" w:sz="4" w:space="0" w:color="auto"/>
              <w:bottom w:val="single" w:sz="4" w:space="0" w:color="auto"/>
              <w:right w:val="single" w:sz="4" w:space="0" w:color="auto"/>
            </w:tcBorders>
            <w:shd w:val="clear" w:color="000000" w:fill="FFEB9C"/>
            <w:vAlign w:val="bottom"/>
          </w:tcPr>
          <w:p w14:paraId="49F1A949"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83</w:t>
            </w:r>
          </w:p>
        </w:tc>
        <w:tc>
          <w:tcPr>
            <w:tcW w:w="560" w:type="dxa"/>
            <w:tcBorders>
              <w:top w:val="single" w:sz="4" w:space="0" w:color="auto"/>
              <w:left w:val="single" w:sz="4" w:space="0" w:color="auto"/>
              <w:bottom w:val="single" w:sz="4" w:space="0" w:color="auto"/>
              <w:right w:val="single" w:sz="4" w:space="0" w:color="auto"/>
            </w:tcBorders>
            <w:shd w:val="clear" w:color="000000" w:fill="FFEB9C"/>
            <w:vAlign w:val="bottom"/>
          </w:tcPr>
          <w:p w14:paraId="56F82D69"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93</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14:paraId="09F2F176"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101</w:t>
            </w:r>
          </w:p>
        </w:tc>
      </w:tr>
      <w:tr w:rsidR="003661AA" w:rsidRPr="006E20A2" w14:paraId="2EDC332F" w14:textId="77777777" w:rsidTr="006F178C">
        <w:trPr>
          <w:trHeight w:val="360"/>
        </w:trPr>
        <w:tc>
          <w:tcPr>
            <w:tcW w:w="3688" w:type="dxa"/>
            <w:tcBorders>
              <w:top w:val="nil"/>
              <w:left w:val="single" w:sz="8" w:space="0" w:color="auto"/>
              <w:bottom w:val="single" w:sz="8" w:space="0" w:color="auto"/>
              <w:right w:val="single" w:sz="8" w:space="0" w:color="auto"/>
            </w:tcBorders>
            <w:shd w:val="clear" w:color="000000" w:fill="FFEB9C"/>
            <w:noWrap/>
            <w:hideMark/>
          </w:tcPr>
          <w:p w14:paraId="7119E31F" w14:textId="2C0DCC88"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COURT: final acquittal</w:t>
            </w:r>
          </w:p>
        </w:tc>
        <w:tc>
          <w:tcPr>
            <w:tcW w:w="603" w:type="dxa"/>
            <w:tcBorders>
              <w:top w:val="nil"/>
              <w:left w:val="nil"/>
              <w:bottom w:val="single" w:sz="8" w:space="0" w:color="auto"/>
              <w:right w:val="single" w:sz="8" w:space="0" w:color="auto"/>
            </w:tcBorders>
            <w:shd w:val="clear" w:color="000000" w:fill="FFEB9C"/>
            <w:noWrap/>
            <w:vAlign w:val="bottom"/>
            <w:hideMark/>
          </w:tcPr>
          <w:p w14:paraId="092B1D38"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10</w:t>
            </w:r>
          </w:p>
        </w:tc>
        <w:tc>
          <w:tcPr>
            <w:tcW w:w="603" w:type="dxa"/>
            <w:tcBorders>
              <w:top w:val="nil"/>
              <w:left w:val="nil"/>
              <w:bottom w:val="single" w:sz="8" w:space="0" w:color="auto"/>
              <w:right w:val="single" w:sz="8" w:space="0" w:color="auto"/>
            </w:tcBorders>
            <w:shd w:val="clear" w:color="000000" w:fill="FFEB9C"/>
            <w:noWrap/>
            <w:vAlign w:val="bottom"/>
            <w:hideMark/>
          </w:tcPr>
          <w:p w14:paraId="560C91AF"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13</w:t>
            </w:r>
          </w:p>
        </w:tc>
        <w:tc>
          <w:tcPr>
            <w:tcW w:w="603" w:type="dxa"/>
            <w:tcBorders>
              <w:top w:val="nil"/>
              <w:left w:val="nil"/>
              <w:bottom w:val="single" w:sz="8" w:space="0" w:color="auto"/>
              <w:right w:val="single" w:sz="8" w:space="0" w:color="auto"/>
            </w:tcBorders>
            <w:shd w:val="clear" w:color="000000" w:fill="FFEB9C"/>
            <w:noWrap/>
            <w:vAlign w:val="bottom"/>
            <w:hideMark/>
          </w:tcPr>
          <w:p w14:paraId="3B3DC416"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15</w:t>
            </w:r>
          </w:p>
        </w:tc>
        <w:tc>
          <w:tcPr>
            <w:tcW w:w="604" w:type="dxa"/>
            <w:tcBorders>
              <w:top w:val="nil"/>
              <w:left w:val="nil"/>
              <w:bottom w:val="single" w:sz="8" w:space="0" w:color="auto"/>
              <w:right w:val="single" w:sz="8" w:space="0" w:color="auto"/>
            </w:tcBorders>
            <w:shd w:val="clear" w:color="000000" w:fill="FFEB9C"/>
            <w:noWrap/>
            <w:vAlign w:val="bottom"/>
            <w:hideMark/>
          </w:tcPr>
          <w:p w14:paraId="4B984DD8"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16</w:t>
            </w:r>
          </w:p>
        </w:tc>
        <w:tc>
          <w:tcPr>
            <w:tcW w:w="604" w:type="dxa"/>
            <w:tcBorders>
              <w:top w:val="nil"/>
              <w:left w:val="nil"/>
              <w:bottom w:val="single" w:sz="8" w:space="0" w:color="auto"/>
              <w:right w:val="single" w:sz="4" w:space="0" w:color="auto"/>
            </w:tcBorders>
            <w:shd w:val="clear" w:color="000000" w:fill="FFEB9C"/>
            <w:noWrap/>
            <w:vAlign w:val="bottom"/>
            <w:hideMark/>
          </w:tcPr>
          <w:p w14:paraId="2CEF26BF"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19</w:t>
            </w:r>
          </w:p>
        </w:tc>
        <w:tc>
          <w:tcPr>
            <w:tcW w:w="560" w:type="dxa"/>
            <w:tcBorders>
              <w:top w:val="single" w:sz="4" w:space="0" w:color="auto"/>
              <w:left w:val="single" w:sz="4" w:space="0" w:color="auto"/>
              <w:bottom w:val="single" w:sz="4" w:space="0" w:color="auto"/>
              <w:right w:val="single" w:sz="4" w:space="0" w:color="auto"/>
            </w:tcBorders>
            <w:shd w:val="clear" w:color="000000" w:fill="FFEB9C"/>
            <w:vAlign w:val="bottom"/>
          </w:tcPr>
          <w:p w14:paraId="6DAE279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22</w:t>
            </w:r>
          </w:p>
        </w:tc>
        <w:tc>
          <w:tcPr>
            <w:tcW w:w="560" w:type="dxa"/>
            <w:tcBorders>
              <w:top w:val="single" w:sz="4" w:space="0" w:color="auto"/>
              <w:left w:val="single" w:sz="4" w:space="0" w:color="auto"/>
              <w:bottom w:val="single" w:sz="4" w:space="0" w:color="auto"/>
              <w:right w:val="single" w:sz="4" w:space="0" w:color="auto"/>
            </w:tcBorders>
            <w:shd w:val="clear" w:color="000000" w:fill="FFEB9C"/>
            <w:vAlign w:val="bottom"/>
          </w:tcPr>
          <w:p w14:paraId="4D324451"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26</w:t>
            </w:r>
          </w:p>
        </w:tc>
        <w:tc>
          <w:tcPr>
            <w:tcW w:w="560" w:type="dxa"/>
            <w:tcBorders>
              <w:top w:val="single" w:sz="4" w:space="0" w:color="auto"/>
              <w:left w:val="single" w:sz="4" w:space="0" w:color="auto"/>
              <w:bottom w:val="single" w:sz="4" w:space="0" w:color="auto"/>
              <w:right w:val="single" w:sz="4" w:space="0" w:color="auto"/>
            </w:tcBorders>
            <w:shd w:val="clear" w:color="000000" w:fill="FFEB9C"/>
            <w:vAlign w:val="bottom"/>
          </w:tcPr>
          <w:p w14:paraId="1C73BD8E"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27</w:t>
            </w:r>
          </w:p>
        </w:tc>
        <w:tc>
          <w:tcPr>
            <w:tcW w:w="560" w:type="dxa"/>
            <w:tcBorders>
              <w:top w:val="single" w:sz="4" w:space="0" w:color="auto"/>
              <w:left w:val="single" w:sz="4" w:space="0" w:color="auto"/>
              <w:bottom w:val="single" w:sz="4" w:space="0" w:color="auto"/>
              <w:right w:val="single" w:sz="4" w:space="0" w:color="auto"/>
            </w:tcBorders>
            <w:shd w:val="clear" w:color="000000" w:fill="FFEB9C"/>
            <w:vAlign w:val="bottom"/>
          </w:tcPr>
          <w:p w14:paraId="1F3BBA2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28</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14:paraId="5161C555"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29</w:t>
            </w:r>
          </w:p>
        </w:tc>
      </w:tr>
      <w:tr w:rsidR="003661AA" w:rsidRPr="006E20A2" w14:paraId="0699FC8A"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auto"/>
            <w:noWrap/>
            <w:hideMark/>
          </w:tcPr>
          <w:p w14:paraId="50A45BBA" w14:textId="5E256B86"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SP: withdrawal of prosecution</w:t>
            </w:r>
          </w:p>
        </w:tc>
        <w:tc>
          <w:tcPr>
            <w:tcW w:w="603" w:type="dxa"/>
            <w:tcBorders>
              <w:top w:val="nil"/>
              <w:left w:val="nil"/>
              <w:bottom w:val="single" w:sz="8" w:space="0" w:color="auto"/>
              <w:right w:val="single" w:sz="8" w:space="0" w:color="auto"/>
            </w:tcBorders>
            <w:shd w:val="clear" w:color="auto" w:fill="auto"/>
            <w:noWrap/>
            <w:vAlign w:val="bottom"/>
            <w:hideMark/>
          </w:tcPr>
          <w:p w14:paraId="4C5FDD9D"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15</w:t>
            </w:r>
          </w:p>
        </w:tc>
        <w:tc>
          <w:tcPr>
            <w:tcW w:w="603" w:type="dxa"/>
            <w:tcBorders>
              <w:top w:val="nil"/>
              <w:left w:val="nil"/>
              <w:bottom w:val="single" w:sz="8" w:space="0" w:color="auto"/>
              <w:right w:val="single" w:sz="8" w:space="0" w:color="auto"/>
            </w:tcBorders>
            <w:shd w:val="clear" w:color="auto" w:fill="auto"/>
            <w:noWrap/>
            <w:vAlign w:val="bottom"/>
            <w:hideMark/>
          </w:tcPr>
          <w:p w14:paraId="14C5B138"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24</w:t>
            </w:r>
          </w:p>
        </w:tc>
        <w:tc>
          <w:tcPr>
            <w:tcW w:w="603" w:type="dxa"/>
            <w:tcBorders>
              <w:top w:val="nil"/>
              <w:left w:val="nil"/>
              <w:bottom w:val="single" w:sz="8" w:space="0" w:color="auto"/>
              <w:right w:val="single" w:sz="8" w:space="0" w:color="auto"/>
            </w:tcBorders>
            <w:shd w:val="clear" w:color="auto" w:fill="auto"/>
            <w:noWrap/>
            <w:vAlign w:val="bottom"/>
            <w:hideMark/>
          </w:tcPr>
          <w:p w14:paraId="7F2C7B5F"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29</w:t>
            </w:r>
          </w:p>
        </w:tc>
        <w:tc>
          <w:tcPr>
            <w:tcW w:w="604" w:type="dxa"/>
            <w:tcBorders>
              <w:top w:val="nil"/>
              <w:left w:val="nil"/>
              <w:bottom w:val="single" w:sz="8" w:space="0" w:color="auto"/>
              <w:right w:val="single" w:sz="8" w:space="0" w:color="auto"/>
            </w:tcBorders>
            <w:shd w:val="clear" w:color="auto" w:fill="auto"/>
            <w:noWrap/>
            <w:vAlign w:val="bottom"/>
            <w:hideMark/>
          </w:tcPr>
          <w:p w14:paraId="6885D708"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20</w:t>
            </w:r>
          </w:p>
        </w:tc>
        <w:tc>
          <w:tcPr>
            <w:tcW w:w="604" w:type="dxa"/>
            <w:tcBorders>
              <w:top w:val="nil"/>
              <w:left w:val="nil"/>
              <w:bottom w:val="single" w:sz="8" w:space="0" w:color="auto"/>
              <w:right w:val="single" w:sz="4" w:space="0" w:color="auto"/>
            </w:tcBorders>
            <w:shd w:val="clear" w:color="auto" w:fill="auto"/>
            <w:noWrap/>
            <w:vAlign w:val="bottom"/>
            <w:hideMark/>
          </w:tcPr>
          <w:p w14:paraId="719740E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25</w:t>
            </w:r>
          </w:p>
        </w:tc>
        <w:tc>
          <w:tcPr>
            <w:tcW w:w="560" w:type="dxa"/>
            <w:tcBorders>
              <w:top w:val="single" w:sz="4" w:space="0" w:color="auto"/>
              <w:left w:val="single" w:sz="4" w:space="0" w:color="auto"/>
              <w:bottom w:val="single" w:sz="4" w:space="0" w:color="auto"/>
              <w:right w:val="single" w:sz="4" w:space="0" w:color="auto"/>
            </w:tcBorders>
            <w:vAlign w:val="bottom"/>
          </w:tcPr>
          <w:p w14:paraId="52A2709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28</w:t>
            </w:r>
          </w:p>
        </w:tc>
        <w:tc>
          <w:tcPr>
            <w:tcW w:w="560" w:type="dxa"/>
            <w:tcBorders>
              <w:top w:val="single" w:sz="4" w:space="0" w:color="auto"/>
              <w:left w:val="single" w:sz="4" w:space="0" w:color="auto"/>
              <w:bottom w:val="single" w:sz="4" w:space="0" w:color="auto"/>
              <w:right w:val="single" w:sz="4" w:space="0" w:color="auto"/>
            </w:tcBorders>
            <w:vAlign w:val="bottom"/>
          </w:tcPr>
          <w:p w14:paraId="3CC6C04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30</w:t>
            </w:r>
          </w:p>
        </w:tc>
        <w:tc>
          <w:tcPr>
            <w:tcW w:w="560" w:type="dxa"/>
            <w:tcBorders>
              <w:top w:val="single" w:sz="4" w:space="0" w:color="auto"/>
              <w:left w:val="single" w:sz="4" w:space="0" w:color="auto"/>
              <w:bottom w:val="single" w:sz="4" w:space="0" w:color="auto"/>
              <w:right w:val="single" w:sz="4" w:space="0" w:color="auto"/>
            </w:tcBorders>
            <w:vAlign w:val="bottom"/>
          </w:tcPr>
          <w:p w14:paraId="2FCA3E34"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31</w:t>
            </w:r>
          </w:p>
        </w:tc>
        <w:tc>
          <w:tcPr>
            <w:tcW w:w="560" w:type="dxa"/>
            <w:tcBorders>
              <w:top w:val="single" w:sz="4" w:space="0" w:color="auto"/>
              <w:left w:val="single" w:sz="4" w:space="0" w:color="auto"/>
              <w:bottom w:val="single" w:sz="4" w:space="0" w:color="auto"/>
              <w:right w:val="single" w:sz="4" w:space="0" w:color="auto"/>
            </w:tcBorders>
            <w:vAlign w:val="bottom"/>
          </w:tcPr>
          <w:p w14:paraId="7CC11A64"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45</w:t>
            </w:r>
          </w:p>
        </w:tc>
        <w:tc>
          <w:tcPr>
            <w:tcW w:w="663" w:type="dxa"/>
            <w:tcBorders>
              <w:top w:val="single" w:sz="4" w:space="0" w:color="auto"/>
              <w:left w:val="single" w:sz="4" w:space="0" w:color="auto"/>
              <w:bottom w:val="single" w:sz="4" w:space="0" w:color="auto"/>
              <w:right w:val="single" w:sz="4" w:space="0" w:color="auto"/>
            </w:tcBorders>
            <w:vAlign w:val="bottom"/>
          </w:tcPr>
          <w:p w14:paraId="171E75CD"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46</w:t>
            </w:r>
          </w:p>
        </w:tc>
      </w:tr>
      <w:tr w:rsidR="003661AA" w:rsidRPr="006E20A2" w14:paraId="7E176BB9"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auto"/>
            <w:noWrap/>
            <w:hideMark/>
          </w:tcPr>
          <w:p w14:paraId="5C79DD0C" w14:textId="3D2F51EF"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COURT: stop of the criminal procedure</w:t>
            </w:r>
          </w:p>
        </w:tc>
        <w:tc>
          <w:tcPr>
            <w:tcW w:w="603" w:type="dxa"/>
            <w:tcBorders>
              <w:top w:val="nil"/>
              <w:left w:val="nil"/>
              <w:bottom w:val="single" w:sz="8" w:space="0" w:color="auto"/>
              <w:right w:val="single" w:sz="8" w:space="0" w:color="auto"/>
            </w:tcBorders>
            <w:shd w:val="clear" w:color="auto" w:fill="auto"/>
            <w:noWrap/>
            <w:vAlign w:val="bottom"/>
            <w:hideMark/>
          </w:tcPr>
          <w:p w14:paraId="4A2207ED"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 </w:t>
            </w:r>
          </w:p>
        </w:tc>
        <w:tc>
          <w:tcPr>
            <w:tcW w:w="603" w:type="dxa"/>
            <w:tcBorders>
              <w:top w:val="nil"/>
              <w:left w:val="nil"/>
              <w:bottom w:val="single" w:sz="8" w:space="0" w:color="auto"/>
              <w:right w:val="single" w:sz="8" w:space="0" w:color="auto"/>
            </w:tcBorders>
            <w:shd w:val="clear" w:color="auto" w:fill="auto"/>
            <w:noWrap/>
            <w:vAlign w:val="bottom"/>
            <w:hideMark/>
          </w:tcPr>
          <w:p w14:paraId="1696DE86"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 </w:t>
            </w:r>
          </w:p>
        </w:tc>
        <w:tc>
          <w:tcPr>
            <w:tcW w:w="603" w:type="dxa"/>
            <w:tcBorders>
              <w:top w:val="nil"/>
              <w:left w:val="nil"/>
              <w:bottom w:val="single" w:sz="8" w:space="0" w:color="auto"/>
              <w:right w:val="single" w:sz="8" w:space="0" w:color="auto"/>
            </w:tcBorders>
            <w:shd w:val="clear" w:color="auto" w:fill="auto"/>
            <w:noWrap/>
            <w:vAlign w:val="bottom"/>
            <w:hideMark/>
          </w:tcPr>
          <w:p w14:paraId="34E382D6"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 </w:t>
            </w:r>
          </w:p>
        </w:tc>
        <w:tc>
          <w:tcPr>
            <w:tcW w:w="604" w:type="dxa"/>
            <w:tcBorders>
              <w:top w:val="nil"/>
              <w:left w:val="nil"/>
              <w:bottom w:val="single" w:sz="8" w:space="0" w:color="auto"/>
              <w:right w:val="single" w:sz="8" w:space="0" w:color="auto"/>
            </w:tcBorders>
            <w:shd w:val="clear" w:color="auto" w:fill="auto"/>
            <w:noWrap/>
            <w:vAlign w:val="bottom"/>
            <w:hideMark/>
          </w:tcPr>
          <w:p w14:paraId="171F2283"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13</w:t>
            </w:r>
          </w:p>
        </w:tc>
        <w:tc>
          <w:tcPr>
            <w:tcW w:w="604" w:type="dxa"/>
            <w:tcBorders>
              <w:top w:val="nil"/>
              <w:left w:val="nil"/>
              <w:bottom w:val="single" w:sz="8" w:space="0" w:color="auto"/>
              <w:right w:val="single" w:sz="4" w:space="0" w:color="auto"/>
            </w:tcBorders>
            <w:shd w:val="clear" w:color="auto" w:fill="auto"/>
            <w:noWrap/>
            <w:vAlign w:val="bottom"/>
            <w:hideMark/>
          </w:tcPr>
          <w:p w14:paraId="207BBC1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17</w:t>
            </w:r>
          </w:p>
        </w:tc>
        <w:tc>
          <w:tcPr>
            <w:tcW w:w="560" w:type="dxa"/>
            <w:tcBorders>
              <w:top w:val="single" w:sz="4" w:space="0" w:color="auto"/>
              <w:left w:val="single" w:sz="4" w:space="0" w:color="auto"/>
              <w:bottom w:val="single" w:sz="4" w:space="0" w:color="auto"/>
              <w:right w:val="single" w:sz="4" w:space="0" w:color="auto"/>
            </w:tcBorders>
            <w:vAlign w:val="bottom"/>
          </w:tcPr>
          <w:p w14:paraId="45EC1A58"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20</w:t>
            </w:r>
          </w:p>
        </w:tc>
        <w:tc>
          <w:tcPr>
            <w:tcW w:w="560" w:type="dxa"/>
            <w:tcBorders>
              <w:top w:val="single" w:sz="4" w:space="0" w:color="auto"/>
              <w:left w:val="single" w:sz="4" w:space="0" w:color="auto"/>
              <w:bottom w:val="single" w:sz="4" w:space="0" w:color="auto"/>
              <w:right w:val="single" w:sz="4" w:space="0" w:color="auto"/>
            </w:tcBorders>
            <w:vAlign w:val="bottom"/>
          </w:tcPr>
          <w:p w14:paraId="0DBB8733"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21</w:t>
            </w:r>
          </w:p>
        </w:tc>
        <w:tc>
          <w:tcPr>
            <w:tcW w:w="560" w:type="dxa"/>
            <w:tcBorders>
              <w:top w:val="single" w:sz="4" w:space="0" w:color="auto"/>
              <w:left w:val="single" w:sz="4" w:space="0" w:color="auto"/>
              <w:bottom w:val="single" w:sz="4" w:space="0" w:color="auto"/>
              <w:right w:val="single" w:sz="4" w:space="0" w:color="auto"/>
            </w:tcBorders>
            <w:vAlign w:val="bottom"/>
          </w:tcPr>
          <w:p w14:paraId="6E3E7236"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21</w:t>
            </w:r>
          </w:p>
        </w:tc>
        <w:tc>
          <w:tcPr>
            <w:tcW w:w="560" w:type="dxa"/>
            <w:tcBorders>
              <w:top w:val="single" w:sz="4" w:space="0" w:color="auto"/>
              <w:left w:val="single" w:sz="4" w:space="0" w:color="auto"/>
              <w:bottom w:val="single" w:sz="4" w:space="0" w:color="auto"/>
              <w:right w:val="single" w:sz="4" w:space="0" w:color="auto"/>
            </w:tcBorders>
            <w:vAlign w:val="bottom"/>
          </w:tcPr>
          <w:p w14:paraId="6CB074C8"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24</w:t>
            </w:r>
          </w:p>
        </w:tc>
        <w:tc>
          <w:tcPr>
            <w:tcW w:w="663" w:type="dxa"/>
            <w:tcBorders>
              <w:top w:val="single" w:sz="4" w:space="0" w:color="auto"/>
              <w:left w:val="single" w:sz="4" w:space="0" w:color="auto"/>
              <w:bottom w:val="single" w:sz="4" w:space="0" w:color="auto"/>
              <w:right w:val="single" w:sz="4" w:space="0" w:color="auto"/>
            </w:tcBorders>
            <w:vAlign w:val="bottom"/>
          </w:tcPr>
          <w:p w14:paraId="487CFD8A"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24</w:t>
            </w:r>
          </w:p>
        </w:tc>
      </w:tr>
      <w:tr w:rsidR="003661AA" w:rsidRPr="006E20A2" w14:paraId="154E9A8F"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auto"/>
            <w:noWrap/>
            <w:hideMark/>
          </w:tcPr>
          <w:p w14:paraId="638C9B2E" w14:textId="1A68C470" w:rsidR="003661AA" w:rsidRPr="006E20A2" w:rsidRDefault="003661AA" w:rsidP="003661AA">
            <w:pPr>
              <w:widowControl/>
              <w:jc w:val="left"/>
              <w:rPr>
                <w:rFonts w:ascii="Arial" w:hAnsi="Arial"/>
                <w:sz w:val="18"/>
                <w:szCs w:val="18"/>
                <w:lang w:val="en-US" w:eastAsia="sl-SI"/>
              </w:rPr>
            </w:pPr>
            <w:r w:rsidRPr="006E20A2">
              <w:rPr>
                <w:rFonts w:ascii="Arial" w:hAnsi="Arial"/>
                <w:sz w:val="20"/>
                <w:lang w:val="en-US"/>
              </w:rPr>
              <w:t>COURT: forwarding of criminal files abroad</w:t>
            </w:r>
          </w:p>
        </w:tc>
        <w:tc>
          <w:tcPr>
            <w:tcW w:w="603" w:type="dxa"/>
            <w:tcBorders>
              <w:top w:val="nil"/>
              <w:left w:val="nil"/>
              <w:bottom w:val="single" w:sz="8" w:space="0" w:color="auto"/>
              <w:right w:val="single" w:sz="8" w:space="0" w:color="auto"/>
            </w:tcBorders>
            <w:shd w:val="clear" w:color="auto" w:fill="auto"/>
            <w:noWrap/>
            <w:vAlign w:val="bottom"/>
            <w:hideMark/>
          </w:tcPr>
          <w:p w14:paraId="242A2109"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4</w:t>
            </w:r>
          </w:p>
        </w:tc>
        <w:tc>
          <w:tcPr>
            <w:tcW w:w="603" w:type="dxa"/>
            <w:tcBorders>
              <w:top w:val="nil"/>
              <w:left w:val="nil"/>
              <w:bottom w:val="single" w:sz="8" w:space="0" w:color="auto"/>
              <w:right w:val="single" w:sz="8" w:space="0" w:color="auto"/>
            </w:tcBorders>
            <w:shd w:val="clear" w:color="auto" w:fill="auto"/>
            <w:noWrap/>
            <w:vAlign w:val="bottom"/>
            <w:hideMark/>
          </w:tcPr>
          <w:p w14:paraId="7F420A44"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4</w:t>
            </w:r>
          </w:p>
        </w:tc>
        <w:tc>
          <w:tcPr>
            <w:tcW w:w="603" w:type="dxa"/>
            <w:tcBorders>
              <w:top w:val="nil"/>
              <w:left w:val="nil"/>
              <w:bottom w:val="single" w:sz="8" w:space="0" w:color="auto"/>
              <w:right w:val="single" w:sz="8" w:space="0" w:color="auto"/>
            </w:tcBorders>
            <w:shd w:val="clear" w:color="auto" w:fill="auto"/>
            <w:noWrap/>
            <w:vAlign w:val="bottom"/>
            <w:hideMark/>
          </w:tcPr>
          <w:p w14:paraId="2390D528"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5</w:t>
            </w:r>
          </w:p>
        </w:tc>
        <w:tc>
          <w:tcPr>
            <w:tcW w:w="604" w:type="dxa"/>
            <w:tcBorders>
              <w:top w:val="nil"/>
              <w:left w:val="nil"/>
              <w:bottom w:val="single" w:sz="8" w:space="0" w:color="auto"/>
              <w:right w:val="single" w:sz="8" w:space="0" w:color="auto"/>
            </w:tcBorders>
            <w:shd w:val="clear" w:color="auto" w:fill="auto"/>
            <w:noWrap/>
            <w:vAlign w:val="bottom"/>
            <w:hideMark/>
          </w:tcPr>
          <w:p w14:paraId="064E1C27"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w:t>
            </w:r>
          </w:p>
        </w:tc>
        <w:tc>
          <w:tcPr>
            <w:tcW w:w="604" w:type="dxa"/>
            <w:tcBorders>
              <w:top w:val="nil"/>
              <w:left w:val="nil"/>
              <w:bottom w:val="single" w:sz="8" w:space="0" w:color="auto"/>
              <w:right w:val="single" w:sz="4" w:space="0" w:color="auto"/>
            </w:tcBorders>
            <w:shd w:val="clear" w:color="auto" w:fill="auto"/>
            <w:noWrap/>
            <w:vAlign w:val="bottom"/>
            <w:hideMark/>
          </w:tcPr>
          <w:p w14:paraId="7D9AB59E"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w:t>
            </w:r>
          </w:p>
        </w:tc>
        <w:tc>
          <w:tcPr>
            <w:tcW w:w="560" w:type="dxa"/>
            <w:tcBorders>
              <w:top w:val="single" w:sz="4" w:space="0" w:color="auto"/>
              <w:left w:val="single" w:sz="4" w:space="0" w:color="auto"/>
              <w:bottom w:val="single" w:sz="4" w:space="0" w:color="auto"/>
              <w:right w:val="single" w:sz="4" w:space="0" w:color="auto"/>
            </w:tcBorders>
            <w:vAlign w:val="bottom"/>
          </w:tcPr>
          <w:p w14:paraId="33366A1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w:t>
            </w:r>
          </w:p>
        </w:tc>
        <w:tc>
          <w:tcPr>
            <w:tcW w:w="560" w:type="dxa"/>
            <w:tcBorders>
              <w:top w:val="single" w:sz="4" w:space="0" w:color="auto"/>
              <w:left w:val="single" w:sz="4" w:space="0" w:color="auto"/>
              <w:bottom w:val="single" w:sz="4" w:space="0" w:color="auto"/>
              <w:right w:val="single" w:sz="4" w:space="0" w:color="auto"/>
            </w:tcBorders>
            <w:vAlign w:val="bottom"/>
          </w:tcPr>
          <w:p w14:paraId="49916374"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w:t>
            </w:r>
          </w:p>
        </w:tc>
        <w:tc>
          <w:tcPr>
            <w:tcW w:w="560" w:type="dxa"/>
            <w:tcBorders>
              <w:top w:val="single" w:sz="4" w:space="0" w:color="auto"/>
              <w:left w:val="single" w:sz="4" w:space="0" w:color="auto"/>
              <w:bottom w:val="single" w:sz="4" w:space="0" w:color="auto"/>
              <w:right w:val="single" w:sz="4" w:space="0" w:color="auto"/>
            </w:tcBorders>
            <w:vAlign w:val="bottom"/>
          </w:tcPr>
          <w:p w14:paraId="69A12437"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w:t>
            </w:r>
          </w:p>
        </w:tc>
        <w:tc>
          <w:tcPr>
            <w:tcW w:w="560" w:type="dxa"/>
            <w:tcBorders>
              <w:top w:val="single" w:sz="4" w:space="0" w:color="auto"/>
              <w:left w:val="single" w:sz="4" w:space="0" w:color="auto"/>
              <w:bottom w:val="single" w:sz="4" w:space="0" w:color="auto"/>
              <w:right w:val="single" w:sz="4" w:space="0" w:color="auto"/>
            </w:tcBorders>
            <w:vAlign w:val="bottom"/>
          </w:tcPr>
          <w:p w14:paraId="65F75255"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w:t>
            </w:r>
          </w:p>
        </w:tc>
        <w:tc>
          <w:tcPr>
            <w:tcW w:w="663" w:type="dxa"/>
            <w:tcBorders>
              <w:top w:val="single" w:sz="4" w:space="0" w:color="auto"/>
              <w:left w:val="single" w:sz="4" w:space="0" w:color="auto"/>
              <w:bottom w:val="single" w:sz="4" w:space="0" w:color="auto"/>
              <w:right w:val="single" w:sz="4" w:space="0" w:color="auto"/>
            </w:tcBorders>
            <w:vAlign w:val="bottom"/>
          </w:tcPr>
          <w:p w14:paraId="5C1E667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w:t>
            </w:r>
          </w:p>
        </w:tc>
      </w:tr>
      <w:tr w:rsidR="003661AA" w:rsidRPr="006E20A2" w14:paraId="38613C8B"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auto"/>
            <w:noWrap/>
            <w:hideMark/>
          </w:tcPr>
          <w:p w14:paraId="038C2EED" w14:textId="18876E5A" w:rsidR="003661AA" w:rsidRPr="006E20A2" w:rsidRDefault="00FD6001" w:rsidP="003661AA">
            <w:pPr>
              <w:widowControl/>
              <w:jc w:val="left"/>
              <w:rPr>
                <w:rFonts w:ascii="Arial" w:hAnsi="Arial"/>
                <w:sz w:val="18"/>
                <w:szCs w:val="18"/>
                <w:lang w:val="en-US" w:eastAsia="sl-SI"/>
              </w:rPr>
            </w:pPr>
            <w:r w:rsidRPr="00FD6001">
              <w:rPr>
                <w:rFonts w:ascii="Arial" w:hAnsi="Arial"/>
                <w:bCs/>
                <w:sz w:val="20"/>
                <w:lang w:val="en-US"/>
              </w:rPr>
              <w:t xml:space="preserve">Modification of the legal qualification </w:t>
            </w:r>
            <w:r w:rsidR="003661AA" w:rsidRPr="006E20A2">
              <w:rPr>
                <w:rFonts w:ascii="Arial" w:hAnsi="Arial"/>
                <w:bCs/>
                <w:sz w:val="20"/>
                <w:lang w:val="en-US"/>
              </w:rPr>
              <w:t xml:space="preserve">of </w:t>
            </w:r>
            <w:r>
              <w:rPr>
                <w:rFonts w:ascii="Arial" w:hAnsi="Arial"/>
                <w:bCs/>
                <w:sz w:val="20"/>
                <w:lang w:val="en-US"/>
              </w:rPr>
              <w:t xml:space="preserve">the </w:t>
            </w:r>
            <w:r w:rsidR="003661AA" w:rsidRPr="006E20A2">
              <w:rPr>
                <w:rFonts w:ascii="Arial" w:hAnsi="Arial"/>
                <w:bCs/>
                <w:sz w:val="20"/>
                <w:lang w:val="en-US"/>
              </w:rPr>
              <w:t xml:space="preserve">criminal offence </w:t>
            </w:r>
          </w:p>
        </w:tc>
        <w:tc>
          <w:tcPr>
            <w:tcW w:w="603" w:type="dxa"/>
            <w:tcBorders>
              <w:top w:val="nil"/>
              <w:left w:val="nil"/>
              <w:bottom w:val="single" w:sz="8" w:space="0" w:color="auto"/>
              <w:right w:val="single" w:sz="8" w:space="0" w:color="auto"/>
            </w:tcBorders>
            <w:shd w:val="clear" w:color="auto" w:fill="auto"/>
            <w:noWrap/>
            <w:vAlign w:val="bottom"/>
            <w:hideMark/>
          </w:tcPr>
          <w:p w14:paraId="33F0FECF"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 </w:t>
            </w:r>
          </w:p>
        </w:tc>
        <w:tc>
          <w:tcPr>
            <w:tcW w:w="603" w:type="dxa"/>
            <w:tcBorders>
              <w:top w:val="nil"/>
              <w:left w:val="nil"/>
              <w:bottom w:val="single" w:sz="8" w:space="0" w:color="auto"/>
              <w:right w:val="single" w:sz="8" w:space="0" w:color="auto"/>
            </w:tcBorders>
            <w:shd w:val="clear" w:color="auto" w:fill="auto"/>
            <w:noWrap/>
            <w:vAlign w:val="bottom"/>
            <w:hideMark/>
          </w:tcPr>
          <w:p w14:paraId="3F6C1454"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 3</w:t>
            </w:r>
          </w:p>
        </w:tc>
        <w:tc>
          <w:tcPr>
            <w:tcW w:w="603" w:type="dxa"/>
            <w:tcBorders>
              <w:top w:val="nil"/>
              <w:left w:val="nil"/>
              <w:bottom w:val="single" w:sz="8" w:space="0" w:color="auto"/>
              <w:right w:val="single" w:sz="8" w:space="0" w:color="auto"/>
            </w:tcBorders>
            <w:shd w:val="clear" w:color="auto" w:fill="auto"/>
            <w:noWrap/>
            <w:vAlign w:val="bottom"/>
            <w:hideMark/>
          </w:tcPr>
          <w:p w14:paraId="3054BF25"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3</w:t>
            </w:r>
          </w:p>
        </w:tc>
        <w:tc>
          <w:tcPr>
            <w:tcW w:w="604" w:type="dxa"/>
            <w:tcBorders>
              <w:top w:val="nil"/>
              <w:left w:val="nil"/>
              <w:bottom w:val="single" w:sz="8" w:space="0" w:color="auto"/>
              <w:right w:val="single" w:sz="8" w:space="0" w:color="auto"/>
            </w:tcBorders>
            <w:shd w:val="clear" w:color="auto" w:fill="auto"/>
            <w:noWrap/>
            <w:vAlign w:val="bottom"/>
            <w:hideMark/>
          </w:tcPr>
          <w:p w14:paraId="3E35C61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w:t>
            </w:r>
          </w:p>
        </w:tc>
        <w:tc>
          <w:tcPr>
            <w:tcW w:w="604" w:type="dxa"/>
            <w:tcBorders>
              <w:top w:val="nil"/>
              <w:left w:val="nil"/>
              <w:bottom w:val="single" w:sz="8" w:space="0" w:color="auto"/>
              <w:right w:val="single" w:sz="4" w:space="0" w:color="auto"/>
            </w:tcBorders>
            <w:shd w:val="clear" w:color="auto" w:fill="auto"/>
            <w:noWrap/>
            <w:vAlign w:val="bottom"/>
            <w:hideMark/>
          </w:tcPr>
          <w:p w14:paraId="2FFDE794"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w:t>
            </w:r>
          </w:p>
        </w:tc>
        <w:tc>
          <w:tcPr>
            <w:tcW w:w="560" w:type="dxa"/>
            <w:tcBorders>
              <w:top w:val="single" w:sz="4" w:space="0" w:color="auto"/>
              <w:left w:val="single" w:sz="4" w:space="0" w:color="auto"/>
              <w:bottom w:val="single" w:sz="4" w:space="0" w:color="auto"/>
              <w:right w:val="single" w:sz="4" w:space="0" w:color="auto"/>
            </w:tcBorders>
            <w:vAlign w:val="bottom"/>
          </w:tcPr>
          <w:p w14:paraId="3AA9F694"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w:t>
            </w:r>
          </w:p>
        </w:tc>
        <w:tc>
          <w:tcPr>
            <w:tcW w:w="560" w:type="dxa"/>
            <w:tcBorders>
              <w:top w:val="single" w:sz="4" w:space="0" w:color="auto"/>
              <w:left w:val="single" w:sz="4" w:space="0" w:color="auto"/>
              <w:bottom w:val="single" w:sz="4" w:space="0" w:color="auto"/>
              <w:right w:val="single" w:sz="4" w:space="0" w:color="auto"/>
            </w:tcBorders>
            <w:vAlign w:val="bottom"/>
          </w:tcPr>
          <w:p w14:paraId="25654F21"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w:t>
            </w:r>
          </w:p>
        </w:tc>
        <w:tc>
          <w:tcPr>
            <w:tcW w:w="560" w:type="dxa"/>
            <w:tcBorders>
              <w:top w:val="single" w:sz="4" w:space="0" w:color="auto"/>
              <w:left w:val="single" w:sz="4" w:space="0" w:color="auto"/>
              <w:bottom w:val="single" w:sz="4" w:space="0" w:color="auto"/>
              <w:right w:val="single" w:sz="4" w:space="0" w:color="auto"/>
            </w:tcBorders>
            <w:vAlign w:val="bottom"/>
          </w:tcPr>
          <w:p w14:paraId="3A9963C7"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w:t>
            </w:r>
          </w:p>
        </w:tc>
        <w:tc>
          <w:tcPr>
            <w:tcW w:w="560" w:type="dxa"/>
            <w:tcBorders>
              <w:top w:val="single" w:sz="4" w:space="0" w:color="auto"/>
              <w:left w:val="single" w:sz="4" w:space="0" w:color="auto"/>
              <w:bottom w:val="single" w:sz="4" w:space="0" w:color="auto"/>
              <w:right w:val="single" w:sz="4" w:space="0" w:color="auto"/>
            </w:tcBorders>
            <w:vAlign w:val="bottom"/>
          </w:tcPr>
          <w:p w14:paraId="2995AB60"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w:t>
            </w:r>
          </w:p>
        </w:tc>
        <w:tc>
          <w:tcPr>
            <w:tcW w:w="663" w:type="dxa"/>
            <w:tcBorders>
              <w:top w:val="single" w:sz="4" w:space="0" w:color="auto"/>
              <w:left w:val="single" w:sz="4" w:space="0" w:color="auto"/>
              <w:bottom w:val="single" w:sz="4" w:space="0" w:color="auto"/>
              <w:right w:val="single" w:sz="4" w:space="0" w:color="auto"/>
            </w:tcBorders>
            <w:vAlign w:val="bottom"/>
          </w:tcPr>
          <w:p w14:paraId="6DDC52CC"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5</w:t>
            </w:r>
          </w:p>
        </w:tc>
      </w:tr>
      <w:tr w:rsidR="003661AA" w:rsidRPr="006E20A2" w14:paraId="214E8259" w14:textId="77777777" w:rsidTr="006F178C">
        <w:trPr>
          <w:trHeight w:val="360"/>
        </w:trPr>
        <w:tc>
          <w:tcPr>
            <w:tcW w:w="3688" w:type="dxa"/>
            <w:tcBorders>
              <w:top w:val="nil"/>
              <w:left w:val="single" w:sz="8" w:space="0" w:color="auto"/>
              <w:bottom w:val="single" w:sz="8" w:space="0" w:color="auto"/>
              <w:right w:val="single" w:sz="8" w:space="0" w:color="auto"/>
            </w:tcBorders>
            <w:shd w:val="clear" w:color="auto" w:fill="auto"/>
            <w:noWrap/>
            <w:hideMark/>
          </w:tcPr>
          <w:p w14:paraId="055C71A6" w14:textId="29F6F87E" w:rsidR="003661AA" w:rsidRPr="006E20A2" w:rsidRDefault="00FD6001" w:rsidP="003661AA">
            <w:pPr>
              <w:widowControl/>
              <w:jc w:val="left"/>
              <w:rPr>
                <w:rFonts w:ascii="Arial" w:hAnsi="Arial"/>
                <w:sz w:val="18"/>
                <w:szCs w:val="18"/>
                <w:lang w:val="en-US" w:eastAsia="sl-SI"/>
              </w:rPr>
            </w:pPr>
            <w:r>
              <w:rPr>
                <w:rFonts w:ascii="Arial" w:hAnsi="Arial"/>
                <w:sz w:val="20"/>
                <w:lang w:val="en-US"/>
              </w:rPr>
              <w:t>Joinder</w:t>
            </w:r>
            <w:r w:rsidRPr="006E20A2">
              <w:rPr>
                <w:rFonts w:ascii="Arial" w:hAnsi="Arial"/>
                <w:sz w:val="20"/>
                <w:lang w:val="en-US"/>
              </w:rPr>
              <w:t xml:space="preserve"> </w:t>
            </w:r>
            <w:r w:rsidR="003661AA" w:rsidRPr="006E20A2">
              <w:rPr>
                <w:rFonts w:ascii="Arial" w:hAnsi="Arial"/>
                <w:sz w:val="20"/>
                <w:lang w:val="en-US"/>
              </w:rPr>
              <w:t xml:space="preserve">of </w:t>
            </w:r>
            <w:r>
              <w:rPr>
                <w:rFonts w:ascii="Arial" w:hAnsi="Arial"/>
                <w:sz w:val="20"/>
                <w:lang w:val="en-US"/>
              </w:rPr>
              <w:t>proceedings</w:t>
            </w:r>
          </w:p>
        </w:tc>
        <w:tc>
          <w:tcPr>
            <w:tcW w:w="603" w:type="dxa"/>
            <w:tcBorders>
              <w:top w:val="nil"/>
              <w:left w:val="nil"/>
              <w:bottom w:val="single" w:sz="8" w:space="0" w:color="auto"/>
              <w:right w:val="single" w:sz="8" w:space="0" w:color="auto"/>
            </w:tcBorders>
            <w:shd w:val="clear" w:color="auto" w:fill="auto"/>
            <w:noWrap/>
            <w:vAlign w:val="bottom"/>
            <w:hideMark/>
          </w:tcPr>
          <w:p w14:paraId="468095EA"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 </w:t>
            </w:r>
          </w:p>
        </w:tc>
        <w:tc>
          <w:tcPr>
            <w:tcW w:w="603" w:type="dxa"/>
            <w:tcBorders>
              <w:top w:val="nil"/>
              <w:left w:val="nil"/>
              <w:bottom w:val="single" w:sz="8" w:space="0" w:color="auto"/>
              <w:right w:val="single" w:sz="8" w:space="0" w:color="auto"/>
            </w:tcBorders>
            <w:shd w:val="clear" w:color="auto" w:fill="auto"/>
            <w:noWrap/>
            <w:vAlign w:val="bottom"/>
            <w:hideMark/>
          </w:tcPr>
          <w:p w14:paraId="4E041D14"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 </w:t>
            </w:r>
          </w:p>
        </w:tc>
        <w:tc>
          <w:tcPr>
            <w:tcW w:w="603" w:type="dxa"/>
            <w:tcBorders>
              <w:top w:val="nil"/>
              <w:left w:val="nil"/>
              <w:bottom w:val="single" w:sz="8" w:space="0" w:color="auto"/>
              <w:right w:val="single" w:sz="8" w:space="0" w:color="auto"/>
            </w:tcBorders>
            <w:shd w:val="clear" w:color="auto" w:fill="auto"/>
            <w:noWrap/>
            <w:vAlign w:val="bottom"/>
            <w:hideMark/>
          </w:tcPr>
          <w:p w14:paraId="0EDC77C3" w14:textId="77777777" w:rsidR="003661AA" w:rsidRPr="006E20A2" w:rsidRDefault="003661AA" w:rsidP="003661AA">
            <w:pPr>
              <w:widowControl/>
              <w:jc w:val="right"/>
              <w:rPr>
                <w:rFonts w:ascii="Arial" w:hAnsi="Arial"/>
                <w:sz w:val="18"/>
                <w:szCs w:val="18"/>
                <w:lang w:val="en-US" w:eastAsia="sl-SI"/>
              </w:rPr>
            </w:pPr>
            <w:r w:rsidRPr="006E20A2">
              <w:rPr>
                <w:rFonts w:ascii="Arial" w:hAnsi="Arial"/>
                <w:sz w:val="18"/>
                <w:szCs w:val="18"/>
                <w:lang w:val="en-US" w:eastAsia="sl-SI"/>
              </w:rPr>
              <w:t>3</w:t>
            </w:r>
          </w:p>
        </w:tc>
        <w:tc>
          <w:tcPr>
            <w:tcW w:w="604" w:type="dxa"/>
            <w:tcBorders>
              <w:top w:val="nil"/>
              <w:left w:val="nil"/>
              <w:bottom w:val="single" w:sz="8" w:space="0" w:color="auto"/>
              <w:right w:val="single" w:sz="8" w:space="0" w:color="auto"/>
            </w:tcBorders>
            <w:shd w:val="clear" w:color="auto" w:fill="auto"/>
            <w:noWrap/>
            <w:vAlign w:val="bottom"/>
            <w:hideMark/>
          </w:tcPr>
          <w:p w14:paraId="3AEB321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6</w:t>
            </w:r>
          </w:p>
        </w:tc>
        <w:tc>
          <w:tcPr>
            <w:tcW w:w="604" w:type="dxa"/>
            <w:tcBorders>
              <w:top w:val="nil"/>
              <w:left w:val="nil"/>
              <w:bottom w:val="single" w:sz="8" w:space="0" w:color="auto"/>
              <w:right w:val="single" w:sz="4" w:space="0" w:color="auto"/>
            </w:tcBorders>
            <w:shd w:val="clear" w:color="auto" w:fill="auto"/>
            <w:noWrap/>
            <w:vAlign w:val="bottom"/>
            <w:hideMark/>
          </w:tcPr>
          <w:p w14:paraId="6BEE0D79"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12</w:t>
            </w:r>
          </w:p>
        </w:tc>
        <w:tc>
          <w:tcPr>
            <w:tcW w:w="560" w:type="dxa"/>
            <w:tcBorders>
              <w:top w:val="single" w:sz="4" w:space="0" w:color="auto"/>
              <w:left w:val="single" w:sz="4" w:space="0" w:color="auto"/>
              <w:bottom w:val="single" w:sz="4" w:space="0" w:color="auto"/>
              <w:right w:val="single" w:sz="4" w:space="0" w:color="auto"/>
            </w:tcBorders>
            <w:vAlign w:val="bottom"/>
          </w:tcPr>
          <w:p w14:paraId="2687C8BB"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12</w:t>
            </w:r>
          </w:p>
        </w:tc>
        <w:tc>
          <w:tcPr>
            <w:tcW w:w="560" w:type="dxa"/>
            <w:tcBorders>
              <w:top w:val="single" w:sz="4" w:space="0" w:color="auto"/>
              <w:left w:val="single" w:sz="4" w:space="0" w:color="auto"/>
              <w:bottom w:val="single" w:sz="4" w:space="0" w:color="auto"/>
              <w:right w:val="single" w:sz="4" w:space="0" w:color="auto"/>
            </w:tcBorders>
            <w:vAlign w:val="bottom"/>
          </w:tcPr>
          <w:p w14:paraId="422C6575"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12</w:t>
            </w:r>
          </w:p>
        </w:tc>
        <w:tc>
          <w:tcPr>
            <w:tcW w:w="560" w:type="dxa"/>
            <w:tcBorders>
              <w:top w:val="single" w:sz="4" w:space="0" w:color="auto"/>
              <w:left w:val="single" w:sz="4" w:space="0" w:color="auto"/>
              <w:bottom w:val="single" w:sz="4" w:space="0" w:color="auto"/>
              <w:right w:val="single" w:sz="4" w:space="0" w:color="auto"/>
            </w:tcBorders>
            <w:vAlign w:val="bottom"/>
          </w:tcPr>
          <w:p w14:paraId="3C3D03D5"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12</w:t>
            </w:r>
          </w:p>
        </w:tc>
        <w:tc>
          <w:tcPr>
            <w:tcW w:w="560" w:type="dxa"/>
            <w:tcBorders>
              <w:top w:val="single" w:sz="4" w:space="0" w:color="auto"/>
              <w:left w:val="single" w:sz="4" w:space="0" w:color="auto"/>
              <w:bottom w:val="single" w:sz="4" w:space="0" w:color="auto"/>
              <w:right w:val="single" w:sz="4" w:space="0" w:color="auto"/>
            </w:tcBorders>
            <w:vAlign w:val="bottom"/>
          </w:tcPr>
          <w:p w14:paraId="0BC8E36A"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12</w:t>
            </w:r>
          </w:p>
        </w:tc>
        <w:tc>
          <w:tcPr>
            <w:tcW w:w="663" w:type="dxa"/>
            <w:tcBorders>
              <w:top w:val="single" w:sz="4" w:space="0" w:color="auto"/>
              <w:left w:val="single" w:sz="4" w:space="0" w:color="auto"/>
              <w:bottom w:val="single" w:sz="4" w:space="0" w:color="auto"/>
              <w:right w:val="single" w:sz="4" w:space="0" w:color="auto"/>
            </w:tcBorders>
            <w:vAlign w:val="bottom"/>
          </w:tcPr>
          <w:p w14:paraId="34C9159A" w14:textId="77777777" w:rsidR="003661AA" w:rsidRPr="006E20A2" w:rsidRDefault="003661AA" w:rsidP="003661AA">
            <w:pPr>
              <w:jc w:val="right"/>
              <w:rPr>
                <w:rFonts w:ascii="Arial" w:hAnsi="Arial"/>
                <w:sz w:val="18"/>
                <w:szCs w:val="18"/>
                <w:lang w:val="en-US"/>
              </w:rPr>
            </w:pPr>
            <w:r w:rsidRPr="006E20A2">
              <w:rPr>
                <w:rFonts w:ascii="Arial" w:hAnsi="Arial"/>
                <w:sz w:val="18"/>
                <w:szCs w:val="18"/>
                <w:lang w:val="en-US"/>
              </w:rPr>
              <w:t>13</w:t>
            </w:r>
          </w:p>
        </w:tc>
      </w:tr>
      <w:tr w:rsidR="00937C64" w:rsidRPr="006E20A2" w14:paraId="403854FA" w14:textId="77777777" w:rsidTr="00472BE5">
        <w:trPr>
          <w:trHeight w:val="360"/>
        </w:trPr>
        <w:tc>
          <w:tcPr>
            <w:tcW w:w="3688" w:type="dxa"/>
            <w:tcBorders>
              <w:top w:val="nil"/>
              <w:left w:val="single" w:sz="8" w:space="0" w:color="auto"/>
              <w:bottom w:val="single" w:sz="8" w:space="0" w:color="auto"/>
              <w:right w:val="single" w:sz="8" w:space="0" w:color="auto"/>
            </w:tcBorders>
            <w:shd w:val="clear" w:color="auto" w:fill="00CCFF"/>
            <w:noWrap/>
            <w:vAlign w:val="bottom"/>
            <w:hideMark/>
          </w:tcPr>
          <w:p w14:paraId="5BEB5C28" w14:textId="340F5644" w:rsidR="00937C64" w:rsidRPr="006E20A2" w:rsidRDefault="003661AA" w:rsidP="00937C64">
            <w:pPr>
              <w:widowControl/>
              <w:jc w:val="left"/>
              <w:rPr>
                <w:rFonts w:ascii="Arial" w:hAnsi="Arial"/>
                <w:b/>
                <w:bCs/>
                <w:sz w:val="18"/>
                <w:szCs w:val="18"/>
                <w:lang w:val="en-US" w:eastAsia="sl-SI"/>
              </w:rPr>
            </w:pPr>
            <w:r w:rsidRPr="006E20A2">
              <w:rPr>
                <w:rFonts w:ascii="Arial" w:hAnsi="Arial"/>
                <w:b/>
                <w:bCs/>
                <w:sz w:val="18"/>
                <w:szCs w:val="18"/>
                <w:lang w:val="en-US" w:eastAsia="sl-SI"/>
              </w:rPr>
              <w:t>TOTAL</w:t>
            </w:r>
          </w:p>
        </w:tc>
        <w:tc>
          <w:tcPr>
            <w:tcW w:w="603" w:type="dxa"/>
            <w:tcBorders>
              <w:top w:val="nil"/>
              <w:left w:val="nil"/>
              <w:bottom w:val="single" w:sz="8" w:space="0" w:color="auto"/>
              <w:right w:val="single" w:sz="8" w:space="0" w:color="auto"/>
            </w:tcBorders>
            <w:shd w:val="clear" w:color="auto" w:fill="00CCFF"/>
            <w:noWrap/>
            <w:vAlign w:val="bottom"/>
            <w:hideMark/>
          </w:tcPr>
          <w:p w14:paraId="6F3B63D6" w14:textId="77777777" w:rsidR="00937C64" w:rsidRPr="006E20A2" w:rsidRDefault="00937C64" w:rsidP="00937C64">
            <w:pPr>
              <w:widowControl/>
              <w:jc w:val="center"/>
              <w:rPr>
                <w:rFonts w:ascii="Arial" w:hAnsi="Arial"/>
                <w:b/>
                <w:bCs/>
                <w:sz w:val="18"/>
                <w:szCs w:val="18"/>
                <w:lang w:val="en-US" w:eastAsia="sl-SI"/>
              </w:rPr>
            </w:pPr>
            <w:r w:rsidRPr="006E20A2">
              <w:rPr>
                <w:rFonts w:ascii="Arial" w:hAnsi="Arial"/>
                <w:b/>
                <w:bCs/>
                <w:sz w:val="18"/>
                <w:szCs w:val="18"/>
                <w:lang w:val="en-US" w:eastAsia="sl-SI"/>
              </w:rPr>
              <w:t>210</w:t>
            </w:r>
          </w:p>
        </w:tc>
        <w:tc>
          <w:tcPr>
            <w:tcW w:w="603" w:type="dxa"/>
            <w:tcBorders>
              <w:top w:val="nil"/>
              <w:left w:val="nil"/>
              <w:bottom w:val="single" w:sz="8" w:space="0" w:color="auto"/>
              <w:right w:val="single" w:sz="8" w:space="0" w:color="auto"/>
            </w:tcBorders>
            <w:shd w:val="clear" w:color="auto" w:fill="00CCFF"/>
            <w:noWrap/>
            <w:vAlign w:val="bottom"/>
            <w:hideMark/>
          </w:tcPr>
          <w:p w14:paraId="54720BDE" w14:textId="77777777" w:rsidR="00937C64" w:rsidRPr="006E20A2" w:rsidRDefault="00937C64" w:rsidP="00937C64">
            <w:pPr>
              <w:widowControl/>
              <w:jc w:val="center"/>
              <w:rPr>
                <w:rFonts w:ascii="Arial" w:hAnsi="Arial"/>
                <w:b/>
                <w:bCs/>
                <w:sz w:val="18"/>
                <w:szCs w:val="18"/>
                <w:lang w:val="en-US" w:eastAsia="sl-SI"/>
              </w:rPr>
            </w:pPr>
            <w:r w:rsidRPr="006E20A2">
              <w:rPr>
                <w:rFonts w:ascii="Arial" w:hAnsi="Arial"/>
                <w:b/>
                <w:bCs/>
                <w:sz w:val="18"/>
                <w:szCs w:val="18"/>
                <w:lang w:val="en-US" w:eastAsia="sl-SI"/>
              </w:rPr>
              <w:t>265</w:t>
            </w:r>
          </w:p>
        </w:tc>
        <w:tc>
          <w:tcPr>
            <w:tcW w:w="603" w:type="dxa"/>
            <w:tcBorders>
              <w:top w:val="nil"/>
              <w:left w:val="nil"/>
              <w:bottom w:val="single" w:sz="8" w:space="0" w:color="auto"/>
              <w:right w:val="single" w:sz="8" w:space="0" w:color="auto"/>
            </w:tcBorders>
            <w:shd w:val="clear" w:color="auto" w:fill="00CCFF"/>
            <w:noWrap/>
            <w:vAlign w:val="bottom"/>
            <w:hideMark/>
          </w:tcPr>
          <w:p w14:paraId="363E18B1" w14:textId="77777777" w:rsidR="00937C64" w:rsidRPr="006E20A2" w:rsidRDefault="00937C64" w:rsidP="00937C64">
            <w:pPr>
              <w:widowControl/>
              <w:jc w:val="center"/>
              <w:rPr>
                <w:rFonts w:ascii="Arial" w:hAnsi="Arial"/>
                <w:b/>
                <w:bCs/>
                <w:sz w:val="18"/>
                <w:szCs w:val="18"/>
                <w:lang w:val="en-US" w:eastAsia="sl-SI"/>
              </w:rPr>
            </w:pPr>
            <w:r w:rsidRPr="006E20A2">
              <w:rPr>
                <w:rFonts w:ascii="Arial" w:hAnsi="Arial"/>
                <w:b/>
                <w:bCs/>
                <w:sz w:val="18"/>
                <w:szCs w:val="18"/>
                <w:lang w:val="en-US" w:eastAsia="sl-SI"/>
              </w:rPr>
              <w:t>348</w:t>
            </w:r>
          </w:p>
        </w:tc>
        <w:tc>
          <w:tcPr>
            <w:tcW w:w="604" w:type="dxa"/>
            <w:tcBorders>
              <w:top w:val="nil"/>
              <w:left w:val="nil"/>
              <w:bottom w:val="single" w:sz="8" w:space="0" w:color="auto"/>
              <w:right w:val="single" w:sz="8" w:space="0" w:color="auto"/>
            </w:tcBorders>
            <w:shd w:val="clear" w:color="auto" w:fill="00CCFF"/>
            <w:noWrap/>
            <w:vAlign w:val="bottom"/>
            <w:hideMark/>
          </w:tcPr>
          <w:p w14:paraId="07461E5D" w14:textId="77777777" w:rsidR="00937C64" w:rsidRPr="006E20A2" w:rsidRDefault="00937C64" w:rsidP="00937C64">
            <w:pPr>
              <w:jc w:val="center"/>
              <w:rPr>
                <w:rFonts w:ascii="Arial" w:hAnsi="Arial"/>
                <w:b/>
                <w:bCs/>
                <w:sz w:val="18"/>
                <w:szCs w:val="18"/>
                <w:lang w:val="en-US"/>
              </w:rPr>
            </w:pPr>
            <w:r w:rsidRPr="006E20A2">
              <w:rPr>
                <w:rFonts w:ascii="Arial" w:hAnsi="Arial"/>
                <w:b/>
                <w:bCs/>
                <w:sz w:val="18"/>
                <w:szCs w:val="18"/>
                <w:lang w:val="en-US"/>
              </w:rPr>
              <w:t>408</w:t>
            </w:r>
          </w:p>
        </w:tc>
        <w:tc>
          <w:tcPr>
            <w:tcW w:w="604" w:type="dxa"/>
            <w:tcBorders>
              <w:top w:val="nil"/>
              <w:left w:val="nil"/>
              <w:bottom w:val="single" w:sz="8" w:space="0" w:color="auto"/>
              <w:right w:val="single" w:sz="4" w:space="0" w:color="auto"/>
            </w:tcBorders>
            <w:shd w:val="clear" w:color="auto" w:fill="00CCFF"/>
            <w:noWrap/>
            <w:vAlign w:val="bottom"/>
            <w:hideMark/>
          </w:tcPr>
          <w:p w14:paraId="28078405" w14:textId="77777777" w:rsidR="00937C64" w:rsidRPr="006E20A2" w:rsidRDefault="00937C64" w:rsidP="00937C64">
            <w:pPr>
              <w:jc w:val="center"/>
              <w:rPr>
                <w:rFonts w:ascii="Arial" w:hAnsi="Arial"/>
                <w:b/>
                <w:bCs/>
                <w:sz w:val="18"/>
                <w:szCs w:val="18"/>
                <w:lang w:val="en-US"/>
              </w:rPr>
            </w:pPr>
            <w:r w:rsidRPr="006E20A2">
              <w:rPr>
                <w:rFonts w:ascii="Arial" w:hAnsi="Arial"/>
                <w:b/>
                <w:bCs/>
                <w:sz w:val="18"/>
                <w:szCs w:val="18"/>
                <w:lang w:val="en-US"/>
              </w:rPr>
              <w:t>457</w:t>
            </w:r>
          </w:p>
        </w:tc>
        <w:tc>
          <w:tcPr>
            <w:tcW w:w="560" w:type="dxa"/>
            <w:tcBorders>
              <w:top w:val="single" w:sz="4" w:space="0" w:color="auto"/>
              <w:left w:val="single" w:sz="4" w:space="0" w:color="auto"/>
              <w:bottom w:val="single" w:sz="4" w:space="0" w:color="auto"/>
              <w:right w:val="single" w:sz="4" w:space="0" w:color="auto"/>
            </w:tcBorders>
            <w:shd w:val="clear" w:color="auto" w:fill="00CCFF"/>
            <w:vAlign w:val="bottom"/>
          </w:tcPr>
          <w:p w14:paraId="43606A11" w14:textId="77777777" w:rsidR="00937C64" w:rsidRPr="006E20A2" w:rsidRDefault="00937C64" w:rsidP="00937C64">
            <w:pPr>
              <w:jc w:val="center"/>
              <w:rPr>
                <w:rFonts w:ascii="Arial" w:hAnsi="Arial"/>
                <w:b/>
                <w:bCs/>
                <w:sz w:val="18"/>
                <w:szCs w:val="18"/>
                <w:lang w:val="en-US"/>
              </w:rPr>
            </w:pPr>
            <w:r w:rsidRPr="006E20A2">
              <w:rPr>
                <w:rFonts w:ascii="Arial" w:hAnsi="Arial"/>
                <w:b/>
                <w:bCs/>
                <w:sz w:val="18"/>
                <w:szCs w:val="18"/>
                <w:lang w:val="en-US"/>
              </w:rPr>
              <w:t>513</w:t>
            </w:r>
          </w:p>
        </w:tc>
        <w:tc>
          <w:tcPr>
            <w:tcW w:w="560" w:type="dxa"/>
            <w:tcBorders>
              <w:top w:val="single" w:sz="4" w:space="0" w:color="auto"/>
              <w:left w:val="single" w:sz="4" w:space="0" w:color="auto"/>
              <w:bottom w:val="single" w:sz="4" w:space="0" w:color="auto"/>
              <w:right w:val="single" w:sz="4" w:space="0" w:color="auto"/>
            </w:tcBorders>
            <w:shd w:val="clear" w:color="auto" w:fill="00CCFF"/>
            <w:vAlign w:val="bottom"/>
          </w:tcPr>
          <w:p w14:paraId="64D1D522" w14:textId="77777777" w:rsidR="00937C64" w:rsidRPr="006E20A2" w:rsidRDefault="00937C64" w:rsidP="00937C64">
            <w:pPr>
              <w:jc w:val="center"/>
              <w:rPr>
                <w:rFonts w:ascii="Arial" w:hAnsi="Arial"/>
                <w:b/>
                <w:bCs/>
                <w:sz w:val="18"/>
                <w:szCs w:val="18"/>
                <w:lang w:val="en-US"/>
              </w:rPr>
            </w:pPr>
            <w:r w:rsidRPr="006E20A2">
              <w:rPr>
                <w:rFonts w:ascii="Arial" w:hAnsi="Arial"/>
                <w:b/>
                <w:bCs/>
                <w:sz w:val="18"/>
                <w:szCs w:val="18"/>
                <w:lang w:val="en-US"/>
              </w:rPr>
              <w:t>559</w:t>
            </w:r>
          </w:p>
        </w:tc>
        <w:tc>
          <w:tcPr>
            <w:tcW w:w="560" w:type="dxa"/>
            <w:tcBorders>
              <w:top w:val="single" w:sz="4" w:space="0" w:color="auto"/>
              <w:left w:val="single" w:sz="4" w:space="0" w:color="auto"/>
              <w:bottom w:val="single" w:sz="4" w:space="0" w:color="auto"/>
              <w:right w:val="single" w:sz="4" w:space="0" w:color="auto"/>
            </w:tcBorders>
            <w:shd w:val="clear" w:color="auto" w:fill="00CCFF"/>
            <w:vAlign w:val="bottom"/>
          </w:tcPr>
          <w:p w14:paraId="60EA53B7" w14:textId="77777777" w:rsidR="00937C64" w:rsidRPr="006E20A2" w:rsidRDefault="00937C64" w:rsidP="00937C64">
            <w:pPr>
              <w:jc w:val="center"/>
              <w:rPr>
                <w:rFonts w:ascii="Arial" w:hAnsi="Arial"/>
                <w:b/>
                <w:bCs/>
                <w:sz w:val="18"/>
                <w:szCs w:val="18"/>
                <w:lang w:val="en-US"/>
              </w:rPr>
            </w:pPr>
            <w:r w:rsidRPr="006E20A2">
              <w:rPr>
                <w:rFonts w:ascii="Arial" w:hAnsi="Arial"/>
                <w:b/>
                <w:bCs/>
                <w:sz w:val="18"/>
                <w:szCs w:val="18"/>
                <w:lang w:val="en-US"/>
              </w:rPr>
              <w:t>583</w:t>
            </w:r>
          </w:p>
        </w:tc>
        <w:tc>
          <w:tcPr>
            <w:tcW w:w="560" w:type="dxa"/>
            <w:tcBorders>
              <w:top w:val="single" w:sz="4" w:space="0" w:color="auto"/>
              <w:left w:val="single" w:sz="4" w:space="0" w:color="auto"/>
              <w:bottom w:val="single" w:sz="4" w:space="0" w:color="auto"/>
              <w:right w:val="single" w:sz="4" w:space="0" w:color="auto"/>
            </w:tcBorders>
            <w:shd w:val="clear" w:color="auto" w:fill="00CCFF"/>
            <w:vAlign w:val="bottom"/>
          </w:tcPr>
          <w:p w14:paraId="189A6F92" w14:textId="77777777" w:rsidR="00937C64" w:rsidRPr="006E20A2" w:rsidRDefault="00937C64" w:rsidP="00937C64">
            <w:pPr>
              <w:jc w:val="center"/>
              <w:rPr>
                <w:rFonts w:ascii="Arial" w:hAnsi="Arial"/>
                <w:b/>
                <w:bCs/>
                <w:sz w:val="18"/>
                <w:szCs w:val="18"/>
                <w:lang w:val="en-US"/>
              </w:rPr>
            </w:pPr>
            <w:r w:rsidRPr="006E20A2">
              <w:rPr>
                <w:rFonts w:ascii="Arial" w:hAnsi="Arial"/>
                <w:b/>
                <w:bCs/>
                <w:sz w:val="18"/>
                <w:szCs w:val="18"/>
                <w:lang w:val="en-US"/>
              </w:rPr>
              <w:t>636</w:t>
            </w:r>
          </w:p>
        </w:tc>
        <w:tc>
          <w:tcPr>
            <w:tcW w:w="663" w:type="dxa"/>
            <w:tcBorders>
              <w:top w:val="single" w:sz="4" w:space="0" w:color="auto"/>
              <w:left w:val="single" w:sz="4" w:space="0" w:color="auto"/>
              <w:bottom w:val="single" w:sz="4" w:space="0" w:color="auto"/>
              <w:right w:val="single" w:sz="4" w:space="0" w:color="auto"/>
            </w:tcBorders>
            <w:shd w:val="clear" w:color="auto" w:fill="00CCFF"/>
            <w:vAlign w:val="bottom"/>
          </w:tcPr>
          <w:p w14:paraId="77B6F094" w14:textId="77777777" w:rsidR="00937C64" w:rsidRPr="006E20A2" w:rsidRDefault="00937C64" w:rsidP="00937C64">
            <w:pPr>
              <w:jc w:val="right"/>
              <w:rPr>
                <w:rFonts w:ascii="Arial" w:hAnsi="Arial"/>
                <w:b/>
                <w:bCs/>
                <w:sz w:val="18"/>
                <w:szCs w:val="18"/>
                <w:lang w:val="en-US"/>
              </w:rPr>
            </w:pPr>
            <w:r w:rsidRPr="006E20A2">
              <w:rPr>
                <w:rFonts w:ascii="Arial" w:hAnsi="Arial"/>
                <w:b/>
                <w:bCs/>
                <w:sz w:val="18"/>
                <w:szCs w:val="18"/>
                <w:lang w:val="en-US"/>
              </w:rPr>
              <w:t>667</w:t>
            </w:r>
          </w:p>
        </w:tc>
      </w:tr>
    </w:tbl>
    <w:p w14:paraId="7514BCEE" w14:textId="77777777" w:rsidR="00710289" w:rsidRPr="006E20A2" w:rsidRDefault="00710289" w:rsidP="00E260AF">
      <w:pPr>
        <w:pStyle w:val="Telobesedila"/>
        <w:spacing w:line="276" w:lineRule="auto"/>
        <w:ind w:right="0"/>
        <w:rPr>
          <w:rFonts w:ascii="Arial" w:hAnsi="Arial"/>
          <w:sz w:val="20"/>
          <w:lang w:val="en-US"/>
        </w:rPr>
      </w:pPr>
    </w:p>
    <w:p w14:paraId="7CC8FBC0" w14:textId="02A7B113" w:rsidR="003661AA" w:rsidRPr="006E20A2" w:rsidRDefault="003661AA" w:rsidP="00083A81">
      <w:pPr>
        <w:spacing w:line="276" w:lineRule="auto"/>
        <w:ind w:right="-22"/>
        <w:rPr>
          <w:rFonts w:ascii="Arial" w:hAnsi="Arial"/>
          <w:sz w:val="20"/>
          <w:lang w:val="en-US"/>
        </w:rPr>
      </w:pPr>
      <w:r w:rsidRPr="006E20A2">
        <w:rPr>
          <w:rFonts w:ascii="Arial" w:hAnsi="Arial"/>
          <w:sz w:val="20"/>
          <w:lang w:val="en-US"/>
        </w:rPr>
        <w:t>The State Prosecutor</w:t>
      </w:r>
      <w:r w:rsidR="00322079">
        <w:rPr>
          <w:rFonts w:ascii="Arial" w:hAnsi="Arial"/>
          <w:sz w:val="20"/>
          <w:lang w:val="en-US"/>
        </w:rPr>
        <w:t>’</w:t>
      </w:r>
      <w:r w:rsidRPr="006E20A2">
        <w:rPr>
          <w:rFonts w:ascii="Arial" w:hAnsi="Arial"/>
          <w:sz w:val="20"/>
          <w:lang w:val="en-US"/>
        </w:rPr>
        <w:t xml:space="preserve">s Offices rejected criminal charges in 9 cases filed due to suspicions of committing the criminal offence of ML. At the same time, the number of cases in active stages of pre-criminal and criminal procedures did not change significantly. </w:t>
      </w:r>
    </w:p>
    <w:p w14:paraId="5888D335" w14:textId="5896E144" w:rsidR="002F64F4" w:rsidRPr="006E20A2" w:rsidRDefault="00083A81" w:rsidP="00636B18">
      <w:pPr>
        <w:pStyle w:val="Naslov1"/>
        <w:numPr>
          <w:ilvl w:val="0"/>
          <w:numId w:val="4"/>
        </w:numPr>
        <w:spacing w:line="276" w:lineRule="auto"/>
        <w:rPr>
          <w:rFonts w:ascii="Arial" w:hAnsi="Arial"/>
          <w:sz w:val="20"/>
          <w:lang w:val="en-US"/>
        </w:rPr>
      </w:pPr>
      <w:bookmarkStart w:id="51" w:name="_Toc135206765"/>
      <w:bookmarkEnd w:id="6"/>
      <w:bookmarkEnd w:id="17"/>
      <w:r w:rsidRPr="006E20A2">
        <w:rPr>
          <w:rFonts w:ascii="Arial" w:hAnsi="Arial"/>
          <w:sz w:val="20"/>
          <w:lang w:val="en-US"/>
        </w:rPr>
        <w:lastRenderedPageBreak/>
        <w:t>PREVENTION AND SUPERVISION</w:t>
      </w:r>
    </w:p>
    <w:p w14:paraId="141B7AF0" w14:textId="77777777" w:rsidR="002F64F4" w:rsidRPr="006E20A2" w:rsidRDefault="002F64F4" w:rsidP="00D21F86">
      <w:pPr>
        <w:spacing w:line="276" w:lineRule="auto"/>
        <w:rPr>
          <w:rFonts w:ascii="Arial" w:hAnsi="Arial"/>
          <w:sz w:val="20"/>
          <w:lang w:val="en-US"/>
        </w:rPr>
      </w:pPr>
    </w:p>
    <w:p w14:paraId="10C8A55A" w14:textId="5F0FE675" w:rsidR="0000545E" w:rsidRPr="006E20A2" w:rsidRDefault="0000545E" w:rsidP="0000545E">
      <w:pPr>
        <w:pStyle w:val="Telobesedila"/>
        <w:spacing w:line="276" w:lineRule="auto"/>
        <w:ind w:right="-22"/>
        <w:rPr>
          <w:rFonts w:ascii="Arial" w:hAnsi="Arial"/>
          <w:sz w:val="20"/>
          <w:lang w:val="en-US"/>
        </w:rPr>
      </w:pPr>
      <w:bookmarkStart w:id="52" w:name="_Toc292714847"/>
      <w:bookmarkStart w:id="53" w:name="_Toc325462245"/>
      <w:bookmarkStart w:id="54" w:name="_Toc402346327"/>
      <w:r w:rsidRPr="006E20A2">
        <w:rPr>
          <w:rFonts w:ascii="Arial" w:hAnsi="Arial"/>
          <w:sz w:val="20"/>
          <w:lang w:val="en-US"/>
        </w:rPr>
        <w:t>In 2020, the activities of the OMLP in the field of prevention and supervision were as follows:</w:t>
      </w:r>
    </w:p>
    <w:p w14:paraId="000907E0" w14:textId="77777777" w:rsidR="0000545E" w:rsidRPr="006E20A2" w:rsidRDefault="0000545E" w:rsidP="0000545E">
      <w:pPr>
        <w:pStyle w:val="Telobesedila"/>
        <w:spacing w:line="276" w:lineRule="auto"/>
        <w:ind w:right="-22"/>
        <w:rPr>
          <w:rFonts w:ascii="Arial" w:hAnsi="Arial"/>
          <w:sz w:val="20"/>
          <w:lang w:val="en-US"/>
        </w:rPr>
      </w:pPr>
    </w:p>
    <w:p w14:paraId="7541EA70" w14:textId="136B3722" w:rsidR="00120ED1" w:rsidRPr="006E20A2" w:rsidRDefault="00ED1CA0"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changes of </w:t>
      </w:r>
      <w:r w:rsidR="00322079">
        <w:rPr>
          <w:rFonts w:ascii="Arial" w:hAnsi="Arial"/>
          <w:sz w:val="20"/>
          <w:lang w:val="en-US"/>
        </w:rPr>
        <w:t xml:space="preserve">the </w:t>
      </w:r>
      <w:r w:rsidRPr="006E20A2">
        <w:rPr>
          <w:rFonts w:ascii="Arial" w:hAnsi="Arial"/>
          <w:sz w:val="20"/>
          <w:lang w:val="en-US"/>
        </w:rPr>
        <w:t xml:space="preserve">proposal of </w:t>
      </w:r>
      <w:r w:rsidR="00322079">
        <w:rPr>
          <w:rFonts w:ascii="Arial" w:hAnsi="Arial"/>
          <w:sz w:val="20"/>
          <w:lang w:val="en-US"/>
        </w:rPr>
        <w:t xml:space="preserve">the </w:t>
      </w:r>
      <w:r w:rsidRPr="006E20A2">
        <w:rPr>
          <w:rFonts w:ascii="Arial" w:hAnsi="Arial"/>
          <w:sz w:val="20"/>
          <w:lang w:val="en-US"/>
        </w:rPr>
        <w:t>Act on Changes and Amendments of APMLFT-1 (APMLFT-1B)</w:t>
      </w:r>
      <w:r w:rsidR="007732C2" w:rsidRPr="006E20A2">
        <w:rPr>
          <w:rFonts w:ascii="Arial" w:hAnsi="Arial"/>
          <w:sz w:val="20"/>
          <w:lang w:val="en-US"/>
        </w:rPr>
        <w:t>,</w:t>
      </w:r>
    </w:p>
    <w:p w14:paraId="1ED2F5DE" w14:textId="12ADBA15" w:rsidR="00ED1CA0" w:rsidRPr="006E20A2" w:rsidRDefault="00ED1CA0"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w:t>
      </w:r>
      <w:r w:rsidR="00322079">
        <w:rPr>
          <w:rFonts w:ascii="Arial" w:hAnsi="Arial"/>
          <w:sz w:val="20"/>
          <w:lang w:val="en-US"/>
        </w:rPr>
        <w:t xml:space="preserve">the </w:t>
      </w:r>
      <w:r w:rsidRPr="006E20A2">
        <w:rPr>
          <w:rFonts w:ascii="Arial" w:hAnsi="Arial"/>
          <w:sz w:val="20"/>
          <w:lang w:val="en-US"/>
        </w:rPr>
        <w:t xml:space="preserve">proposal of </w:t>
      </w:r>
      <w:r w:rsidR="00322079">
        <w:rPr>
          <w:rFonts w:ascii="Arial" w:hAnsi="Arial"/>
          <w:sz w:val="20"/>
          <w:lang w:val="en-US"/>
        </w:rPr>
        <w:t xml:space="preserve">the </w:t>
      </w:r>
      <w:r w:rsidRPr="006E20A2">
        <w:rPr>
          <w:rFonts w:ascii="Arial" w:hAnsi="Arial"/>
          <w:sz w:val="20"/>
          <w:lang w:val="en-US"/>
        </w:rPr>
        <w:t>Act on Changes and Amendments of APMLFT-1 (APMLFT-1C)</w:t>
      </w:r>
      <w:r w:rsidR="007732C2" w:rsidRPr="006E20A2">
        <w:rPr>
          <w:rFonts w:ascii="Arial" w:hAnsi="Arial"/>
          <w:sz w:val="20"/>
          <w:lang w:val="en-US"/>
        </w:rPr>
        <w:t>,</w:t>
      </w:r>
    </w:p>
    <w:p w14:paraId="2F2B160F" w14:textId="7640DB53" w:rsidR="00120ED1" w:rsidRPr="006E20A2" w:rsidRDefault="00ED1CA0" w:rsidP="0000545E">
      <w:pPr>
        <w:numPr>
          <w:ilvl w:val="0"/>
          <w:numId w:val="6"/>
        </w:numPr>
        <w:spacing w:line="276" w:lineRule="auto"/>
        <w:rPr>
          <w:rFonts w:ascii="Arial" w:hAnsi="Arial"/>
          <w:sz w:val="20"/>
          <w:lang w:val="en-US"/>
        </w:rPr>
      </w:pPr>
      <w:r w:rsidRPr="006E20A2">
        <w:rPr>
          <w:rFonts w:ascii="Arial" w:hAnsi="Arial"/>
          <w:sz w:val="20"/>
          <w:lang w:val="en-US"/>
        </w:rPr>
        <w:t xml:space="preserve">the </w:t>
      </w:r>
      <w:r w:rsidR="007732C2" w:rsidRPr="006E20A2">
        <w:rPr>
          <w:rFonts w:ascii="Arial" w:hAnsi="Arial"/>
          <w:sz w:val="20"/>
          <w:lang w:val="en-US"/>
        </w:rPr>
        <w:t>beginning</w:t>
      </w:r>
      <w:r w:rsidRPr="006E20A2">
        <w:rPr>
          <w:rFonts w:ascii="Arial" w:hAnsi="Arial"/>
          <w:sz w:val="20"/>
          <w:lang w:val="en-US"/>
        </w:rPr>
        <w:t xml:space="preserve"> of </w:t>
      </w:r>
      <w:r w:rsidR="007732C2" w:rsidRPr="006E20A2">
        <w:rPr>
          <w:rFonts w:ascii="Arial" w:hAnsi="Arial"/>
          <w:sz w:val="20"/>
          <w:lang w:val="en-US"/>
        </w:rPr>
        <w:t>preparation</w:t>
      </w:r>
      <w:r w:rsidRPr="006E20A2">
        <w:rPr>
          <w:rFonts w:ascii="Arial" w:hAnsi="Arial"/>
          <w:sz w:val="20"/>
          <w:lang w:val="en-US"/>
        </w:rPr>
        <w:t xml:space="preserve"> of </w:t>
      </w:r>
      <w:r w:rsidR="00DD5970">
        <w:rPr>
          <w:rFonts w:ascii="Arial" w:hAnsi="Arial"/>
          <w:sz w:val="20"/>
          <w:lang w:val="en-US"/>
        </w:rPr>
        <w:t xml:space="preserve">the </w:t>
      </w:r>
      <w:r w:rsidRPr="006E20A2">
        <w:rPr>
          <w:rFonts w:ascii="Arial" w:hAnsi="Arial"/>
          <w:sz w:val="20"/>
          <w:lang w:val="en-US"/>
        </w:rPr>
        <w:t xml:space="preserve">proposal of </w:t>
      </w:r>
      <w:r w:rsidR="00DD5970">
        <w:rPr>
          <w:rFonts w:ascii="Arial" w:hAnsi="Arial"/>
          <w:sz w:val="20"/>
          <w:lang w:val="en-US"/>
        </w:rPr>
        <w:t xml:space="preserve">the </w:t>
      </w:r>
      <w:r w:rsidRPr="006E20A2">
        <w:rPr>
          <w:rFonts w:ascii="Arial" w:hAnsi="Arial"/>
          <w:sz w:val="20"/>
          <w:lang w:val="en-US"/>
        </w:rPr>
        <w:t xml:space="preserve">Act on prevention of money laundering and </w:t>
      </w:r>
      <w:r w:rsidR="007732C2" w:rsidRPr="006E20A2">
        <w:rPr>
          <w:rFonts w:ascii="Arial" w:hAnsi="Arial"/>
          <w:sz w:val="20"/>
          <w:lang w:val="en-US"/>
        </w:rPr>
        <w:t>terrorist</w:t>
      </w:r>
      <w:r w:rsidRPr="006E20A2">
        <w:rPr>
          <w:rFonts w:ascii="Arial" w:hAnsi="Arial"/>
          <w:sz w:val="20"/>
          <w:lang w:val="en-US"/>
        </w:rPr>
        <w:t xml:space="preserve"> financing </w:t>
      </w:r>
      <w:r w:rsidR="00120ED1" w:rsidRPr="006E20A2">
        <w:rPr>
          <w:rFonts w:ascii="Arial" w:hAnsi="Arial"/>
          <w:sz w:val="20"/>
          <w:lang w:val="en-US"/>
        </w:rPr>
        <w:t>(</w:t>
      </w:r>
      <w:r w:rsidRPr="006E20A2">
        <w:rPr>
          <w:rFonts w:ascii="Arial" w:hAnsi="Arial"/>
          <w:sz w:val="20"/>
          <w:lang w:val="en-US"/>
        </w:rPr>
        <w:t>APMLFT-2</w:t>
      </w:r>
      <w:r w:rsidR="00120ED1" w:rsidRPr="006E20A2">
        <w:rPr>
          <w:rFonts w:ascii="Arial" w:hAnsi="Arial"/>
          <w:sz w:val="20"/>
          <w:lang w:val="en-US"/>
        </w:rPr>
        <w:t>)</w:t>
      </w:r>
      <w:r w:rsidR="007732C2" w:rsidRPr="006E20A2">
        <w:rPr>
          <w:rFonts w:ascii="Arial" w:hAnsi="Arial"/>
          <w:sz w:val="20"/>
          <w:lang w:val="en-US"/>
        </w:rPr>
        <w:t>,</w:t>
      </w:r>
    </w:p>
    <w:p w14:paraId="22FA0F7F" w14:textId="56C1AF45" w:rsidR="00120ED1" w:rsidRPr="006E20A2" w:rsidRDefault="0019281D"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w:t>
      </w:r>
      <w:r w:rsidR="00DD5970">
        <w:rPr>
          <w:rFonts w:ascii="Arial" w:hAnsi="Arial"/>
          <w:sz w:val="20"/>
          <w:lang w:val="en-US"/>
        </w:rPr>
        <w:t xml:space="preserve">the </w:t>
      </w:r>
      <w:r w:rsidRPr="006E20A2">
        <w:rPr>
          <w:rFonts w:ascii="Arial" w:hAnsi="Arial"/>
          <w:sz w:val="20"/>
          <w:lang w:val="en-US"/>
        </w:rPr>
        <w:t>proposal of</w:t>
      </w:r>
      <w:r w:rsidR="00120ED1" w:rsidRPr="006E20A2">
        <w:rPr>
          <w:rFonts w:ascii="Arial" w:hAnsi="Arial"/>
          <w:sz w:val="20"/>
          <w:lang w:val="en-US"/>
        </w:rPr>
        <w:t xml:space="preserve"> </w:t>
      </w:r>
      <w:r w:rsidR="00DD5970">
        <w:rPr>
          <w:rFonts w:ascii="Arial" w:hAnsi="Arial"/>
          <w:sz w:val="20"/>
          <w:lang w:val="en-US"/>
        </w:rPr>
        <w:t xml:space="preserve">the </w:t>
      </w:r>
      <w:r w:rsidRPr="006E20A2">
        <w:rPr>
          <w:rFonts w:ascii="Arial" w:hAnsi="Arial"/>
          <w:sz w:val="20"/>
          <w:shd w:val="clear" w:color="auto" w:fill="FFFFFF"/>
          <w:lang w:val="en-US"/>
        </w:rPr>
        <w:t>Decree on the exact functions which qualify as prominent public functions in the Republic of Slovenia</w:t>
      </w:r>
      <w:r w:rsidRPr="006E20A2">
        <w:rPr>
          <w:rFonts w:ascii="Arial" w:hAnsi="Arial"/>
          <w:sz w:val="20"/>
          <w:lang w:val="en-US"/>
        </w:rPr>
        <w:t xml:space="preserve"> </w:t>
      </w:r>
      <w:r w:rsidR="00120ED1" w:rsidRPr="006E20A2">
        <w:rPr>
          <w:rFonts w:ascii="Arial" w:hAnsi="Arial"/>
          <w:sz w:val="20"/>
          <w:lang w:val="en-US"/>
        </w:rPr>
        <w:t>(</w:t>
      </w:r>
      <w:r w:rsidRPr="006E20A2">
        <w:rPr>
          <w:rFonts w:ascii="Arial" w:hAnsi="Arial"/>
          <w:sz w:val="20"/>
          <w:lang w:val="en-US"/>
        </w:rPr>
        <w:t>Official Gazette of the Republic of Slovenia No.</w:t>
      </w:r>
      <w:r w:rsidR="00120ED1" w:rsidRPr="006E20A2">
        <w:rPr>
          <w:rFonts w:ascii="Arial" w:hAnsi="Arial"/>
          <w:sz w:val="20"/>
          <w:lang w:val="en-US"/>
        </w:rPr>
        <w:t xml:space="preserve"> 164/20)</w:t>
      </w:r>
      <w:r w:rsidR="00DD5970">
        <w:rPr>
          <w:rFonts w:ascii="Arial" w:hAnsi="Arial"/>
          <w:sz w:val="20"/>
          <w:lang w:val="en-US"/>
        </w:rPr>
        <w:t>,</w:t>
      </w:r>
    </w:p>
    <w:p w14:paraId="6E315101" w14:textId="5F6DBFEF" w:rsidR="00120ED1" w:rsidRPr="006E20A2" w:rsidRDefault="0019281D" w:rsidP="0000545E">
      <w:pPr>
        <w:numPr>
          <w:ilvl w:val="0"/>
          <w:numId w:val="6"/>
        </w:numPr>
        <w:spacing w:line="276" w:lineRule="auto"/>
        <w:rPr>
          <w:rFonts w:ascii="Arial" w:hAnsi="Arial"/>
          <w:sz w:val="20"/>
          <w:lang w:val="en-US"/>
        </w:rPr>
      </w:pPr>
      <w:r w:rsidRPr="006E20A2">
        <w:rPr>
          <w:rFonts w:ascii="Arial" w:hAnsi="Arial"/>
          <w:sz w:val="20"/>
          <w:lang w:val="en-US"/>
        </w:rPr>
        <w:t>preparation of</w:t>
      </w:r>
      <w:r w:rsidR="00120ED1" w:rsidRPr="006E20A2">
        <w:rPr>
          <w:rFonts w:ascii="Arial" w:hAnsi="Arial"/>
          <w:sz w:val="20"/>
          <w:lang w:val="en-US"/>
        </w:rPr>
        <w:t xml:space="preserve"> </w:t>
      </w:r>
      <w:r w:rsidR="00DD5970">
        <w:rPr>
          <w:rFonts w:ascii="Arial" w:hAnsi="Arial"/>
          <w:sz w:val="20"/>
          <w:lang w:val="en-US"/>
        </w:rPr>
        <w:t xml:space="preserve">the </w:t>
      </w:r>
      <w:r w:rsidRPr="006E20A2">
        <w:rPr>
          <w:rFonts w:ascii="Arial" w:hAnsi="Arial"/>
          <w:sz w:val="20"/>
          <w:shd w:val="clear" w:color="auto" w:fill="FFFFFF"/>
          <w:lang w:val="en-US"/>
        </w:rPr>
        <w:t>Rules on the register of providers of exchange services between virtual and fiat currencies and custodian wallet providers</w:t>
      </w:r>
      <w:r w:rsidRPr="006E20A2">
        <w:rPr>
          <w:rFonts w:ascii="Arial" w:hAnsi="Arial"/>
          <w:sz w:val="20"/>
          <w:lang w:val="en-US"/>
        </w:rPr>
        <w:t xml:space="preserve"> </w:t>
      </w:r>
      <w:r w:rsidR="00120ED1" w:rsidRPr="006E20A2">
        <w:rPr>
          <w:rFonts w:ascii="Arial" w:hAnsi="Arial"/>
          <w:sz w:val="20"/>
          <w:lang w:val="en-US"/>
        </w:rPr>
        <w:t>(</w:t>
      </w:r>
      <w:r w:rsidRPr="006E20A2">
        <w:rPr>
          <w:rFonts w:ascii="Arial" w:hAnsi="Arial"/>
          <w:sz w:val="20"/>
          <w:lang w:val="en-US"/>
        </w:rPr>
        <w:t xml:space="preserve">Official Gazette of the Republic of Slovenia No. </w:t>
      </w:r>
      <w:r w:rsidR="00120ED1" w:rsidRPr="006E20A2">
        <w:rPr>
          <w:rFonts w:ascii="Arial" w:hAnsi="Arial"/>
          <w:sz w:val="20"/>
          <w:lang w:val="en-US"/>
        </w:rPr>
        <w:t>41/21)</w:t>
      </w:r>
      <w:r w:rsidR="007732C2" w:rsidRPr="006E20A2">
        <w:rPr>
          <w:rFonts w:ascii="Arial" w:hAnsi="Arial"/>
          <w:sz w:val="20"/>
          <w:lang w:val="en-US"/>
        </w:rPr>
        <w:t>,</w:t>
      </w:r>
    </w:p>
    <w:p w14:paraId="74FD7358" w14:textId="2A29B9D4" w:rsidR="00120ED1" w:rsidRPr="006E20A2" w:rsidRDefault="0019281D"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w:t>
      </w:r>
      <w:r w:rsidR="00DD5970">
        <w:rPr>
          <w:rFonts w:ascii="Arial" w:hAnsi="Arial"/>
          <w:sz w:val="20"/>
          <w:lang w:val="en-US"/>
        </w:rPr>
        <w:t>the R</w:t>
      </w:r>
      <w:r w:rsidR="00DD5970" w:rsidRPr="006E20A2">
        <w:rPr>
          <w:rFonts w:ascii="Arial" w:hAnsi="Arial"/>
          <w:sz w:val="20"/>
          <w:lang w:val="en-US"/>
        </w:rPr>
        <w:t xml:space="preserve">ules </w:t>
      </w:r>
      <w:r w:rsidRPr="006E20A2">
        <w:rPr>
          <w:rFonts w:ascii="Arial" w:hAnsi="Arial"/>
          <w:sz w:val="20"/>
          <w:lang w:val="en-US"/>
        </w:rPr>
        <w:t>on Changes and Amendments of</w:t>
      </w:r>
      <w:r w:rsidR="00120ED1" w:rsidRPr="006E20A2">
        <w:rPr>
          <w:rFonts w:ascii="Arial" w:hAnsi="Arial"/>
          <w:sz w:val="20"/>
          <w:lang w:val="en-US"/>
        </w:rPr>
        <w:t xml:space="preserve"> </w:t>
      </w:r>
      <w:r w:rsidRPr="006E20A2">
        <w:rPr>
          <w:rFonts w:ascii="Arial" w:hAnsi="Arial"/>
          <w:sz w:val="20"/>
          <w:shd w:val="clear" w:color="auto" w:fill="FFFFFF"/>
          <w:lang w:val="en-US"/>
        </w:rPr>
        <w:t>Rules on low risk and increased risk factors regarding money laundering and terrorist financing</w:t>
      </w:r>
      <w:r w:rsidRPr="006E20A2">
        <w:rPr>
          <w:rFonts w:ascii="Arial" w:hAnsi="Arial"/>
          <w:sz w:val="20"/>
          <w:lang w:val="en-US"/>
        </w:rPr>
        <w:t xml:space="preserve"> </w:t>
      </w:r>
      <w:r w:rsidR="00120ED1" w:rsidRPr="006E20A2">
        <w:rPr>
          <w:rFonts w:ascii="Arial" w:hAnsi="Arial"/>
          <w:sz w:val="20"/>
          <w:lang w:val="en-US"/>
        </w:rPr>
        <w:t>(</w:t>
      </w:r>
      <w:r w:rsidRPr="006E20A2">
        <w:rPr>
          <w:rFonts w:ascii="Arial" w:hAnsi="Arial"/>
          <w:sz w:val="20"/>
          <w:lang w:val="en-US"/>
        </w:rPr>
        <w:t xml:space="preserve">Official Gazette of the Republic of Slovenia No. </w:t>
      </w:r>
      <w:r w:rsidR="00120ED1" w:rsidRPr="006E20A2">
        <w:rPr>
          <w:rFonts w:ascii="Arial" w:hAnsi="Arial"/>
          <w:sz w:val="20"/>
          <w:lang w:val="en-US"/>
        </w:rPr>
        <w:t>152/20)</w:t>
      </w:r>
      <w:r w:rsidR="007732C2" w:rsidRPr="006E20A2">
        <w:rPr>
          <w:rFonts w:ascii="Arial" w:hAnsi="Arial"/>
          <w:sz w:val="20"/>
          <w:lang w:val="en-US"/>
        </w:rPr>
        <w:t>,</w:t>
      </w:r>
    </w:p>
    <w:p w14:paraId="1ACB79AF" w14:textId="37CB260C" w:rsidR="00120ED1" w:rsidRPr="006E20A2" w:rsidRDefault="0019281D"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w:t>
      </w:r>
      <w:r w:rsidR="00DD5970">
        <w:rPr>
          <w:rFonts w:ascii="Arial" w:hAnsi="Arial"/>
          <w:sz w:val="20"/>
          <w:lang w:val="en-US"/>
        </w:rPr>
        <w:t xml:space="preserve">the </w:t>
      </w:r>
      <w:r w:rsidRPr="006E20A2">
        <w:rPr>
          <w:rFonts w:ascii="Arial" w:hAnsi="Arial"/>
          <w:sz w:val="20"/>
          <w:lang w:val="en-US"/>
        </w:rPr>
        <w:t xml:space="preserve">proposal of </w:t>
      </w:r>
      <w:r w:rsidR="00DD5970">
        <w:rPr>
          <w:rFonts w:ascii="Arial" w:hAnsi="Arial"/>
          <w:sz w:val="20"/>
          <w:lang w:val="en-US"/>
        </w:rPr>
        <w:t xml:space="preserve">the </w:t>
      </w:r>
      <w:r w:rsidRPr="006E20A2">
        <w:rPr>
          <w:rFonts w:ascii="Arial" w:hAnsi="Arial"/>
          <w:sz w:val="20"/>
          <w:shd w:val="clear" w:color="auto" w:fill="FFFFFF"/>
          <w:lang w:val="en-US"/>
        </w:rPr>
        <w:t xml:space="preserve">Rules on the technical conditions that must be met by safes and means of video-based electronic identification or means providing the identification of a customer </w:t>
      </w:r>
      <w:proofErr w:type="gramStart"/>
      <w:r w:rsidRPr="006E20A2">
        <w:rPr>
          <w:rFonts w:ascii="Arial" w:hAnsi="Arial"/>
          <w:sz w:val="20"/>
          <w:shd w:val="clear" w:color="auto" w:fill="FFFFFF"/>
          <w:lang w:val="en-US"/>
        </w:rPr>
        <w:t>on the basis of</w:t>
      </w:r>
      <w:proofErr w:type="gramEnd"/>
      <w:r w:rsidRPr="006E20A2">
        <w:rPr>
          <w:rFonts w:ascii="Arial" w:hAnsi="Arial"/>
          <w:sz w:val="20"/>
          <w:shd w:val="clear" w:color="auto" w:fill="FFFFFF"/>
          <w:lang w:val="en-US"/>
        </w:rPr>
        <w:t xml:space="preserve"> their biometric characteristics</w:t>
      </w:r>
      <w:r w:rsidR="007732C2" w:rsidRPr="006E20A2">
        <w:rPr>
          <w:rFonts w:ascii="Arial" w:hAnsi="Arial"/>
          <w:sz w:val="20"/>
          <w:lang w:val="en-US"/>
        </w:rPr>
        <w:t>,</w:t>
      </w:r>
    </w:p>
    <w:p w14:paraId="0B07F802" w14:textId="077F67C4" w:rsidR="00120ED1" w:rsidRPr="006E20A2" w:rsidRDefault="00F22E05"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w:t>
      </w:r>
      <w:r w:rsidR="00DD5970">
        <w:rPr>
          <w:rFonts w:ascii="Arial" w:hAnsi="Arial"/>
          <w:sz w:val="20"/>
          <w:lang w:val="en-US"/>
        </w:rPr>
        <w:t xml:space="preserve">the </w:t>
      </w:r>
      <w:r w:rsidRPr="006E20A2">
        <w:rPr>
          <w:rFonts w:ascii="Arial" w:hAnsi="Arial"/>
          <w:sz w:val="20"/>
          <w:lang w:val="en-US"/>
        </w:rPr>
        <w:t xml:space="preserve">proposal of the </w:t>
      </w:r>
      <w:r w:rsidR="00DD5970" w:rsidRPr="00DD5970">
        <w:rPr>
          <w:rFonts w:ascii="Arial" w:hAnsi="Arial"/>
          <w:sz w:val="20"/>
          <w:lang w:val="en-US"/>
        </w:rPr>
        <w:t xml:space="preserve">letter of notice by the European Commission on the </w:t>
      </w:r>
      <w:r w:rsidRPr="006E20A2">
        <w:rPr>
          <w:rFonts w:ascii="Arial" w:hAnsi="Arial"/>
          <w:sz w:val="20"/>
          <w:lang w:val="en-US"/>
        </w:rPr>
        <w:t>infringement in relation</w:t>
      </w:r>
      <w:r w:rsidR="007732C2" w:rsidRPr="006E20A2">
        <w:rPr>
          <w:rFonts w:ascii="Arial" w:hAnsi="Arial"/>
          <w:sz w:val="20"/>
          <w:lang w:val="en-US"/>
        </w:rPr>
        <w:t xml:space="preserve"> to</w:t>
      </w:r>
      <w:r w:rsidRPr="006E20A2">
        <w:rPr>
          <w:rFonts w:ascii="Arial" w:hAnsi="Arial"/>
          <w:sz w:val="20"/>
          <w:lang w:val="en-US"/>
        </w:rPr>
        <w:t xml:space="preserve"> Directive (EU) 2018/843 of the European Parliament and of the Council of 30 May 2018 amending Directive (EU) 2015/849 on the prevention of the use of the financial system for the purposes of money laundering or terrorist financing, and amending Directives 2009/138/EC and 2013/36/EU</w:t>
      </w:r>
      <w:r w:rsidR="007732C2" w:rsidRPr="006E20A2">
        <w:rPr>
          <w:rFonts w:ascii="Arial" w:hAnsi="Arial"/>
          <w:sz w:val="20"/>
          <w:lang w:val="en-US"/>
        </w:rPr>
        <w:t>,</w:t>
      </w:r>
      <w:r w:rsidRPr="006E20A2">
        <w:rPr>
          <w:rFonts w:ascii="Arial" w:hAnsi="Arial"/>
          <w:sz w:val="20"/>
          <w:lang w:val="en-US"/>
        </w:rPr>
        <w:t xml:space="preserve"> regarding the transposition into Slovenian legislation</w:t>
      </w:r>
      <w:r w:rsidR="007732C2" w:rsidRPr="006E20A2">
        <w:rPr>
          <w:rFonts w:ascii="Arial" w:hAnsi="Arial"/>
          <w:sz w:val="20"/>
          <w:lang w:val="en-US"/>
        </w:rPr>
        <w:t>,</w:t>
      </w:r>
    </w:p>
    <w:p w14:paraId="4BC21880" w14:textId="0114C612" w:rsidR="00120ED1" w:rsidRPr="006E20A2" w:rsidRDefault="00F22E05"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proposal of the answer to </w:t>
      </w:r>
      <w:r w:rsidR="00DD5970" w:rsidRPr="00DD5970">
        <w:rPr>
          <w:rFonts w:ascii="Arial" w:hAnsi="Arial"/>
          <w:sz w:val="20"/>
          <w:lang w:val="en-US"/>
        </w:rPr>
        <w:t xml:space="preserve">the letter of notice by the European Commission on the </w:t>
      </w:r>
      <w:r w:rsidRPr="006E20A2">
        <w:rPr>
          <w:rFonts w:ascii="Arial" w:hAnsi="Arial"/>
          <w:sz w:val="20"/>
          <w:lang w:val="en-US"/>
        </w:rPr>
        <w:t xml:space="preserve">infringement of the European Commission due to the lack of compliance </w:t>
      </w:r>
      <w:r w:rsidR="00B9049A" w:rsidRPr="006E20A2">
        <w:rPr>
          <w:rFonts w:ascii="Arial" w:hAnsi="Arial"/>
          <w:sz w:val="20"/>
          <w:lang w:val="en-US"/>
        </w:rPr>
        <w:t>of some</w:t>
      </w:r>
      <w:r w:rsidRPr="006E20A2">
        <w:rPr>
          <w:rFonts w:ascii="Arial" w:hAnsi="Arial"/>
          <w:sz w:val="20"/>
          <w:lang w:val="en-US"/>
        </w:rPr>
        <w:t xml:space="preserve"> articles of Directive</w:t>
      </w:r>
      <w:r w:rsidR="00120ED1" w:rsidRPr="006E20A2">
        <w:rPr>
          <w:rFonts w:ascii="Arial" w:hAnsi="Arial"/>
          <w:sz w:val="20"/>
          <w:lang w:val="en-US"/>
        </w:rPr>
        <w:t xml:space="preserve"> (EU) 2015/849 </w:t>
      </w:r>
      <w:r w:rsidRPr="006E20A2">
        <w:rPr>
          <w:rFonts w:ascii="Arial" w:hAnsi="Arial"/>
          <w:sz w:val="20"/>
          <w:lang w:val="en-US"/>
        </w:rPr>
        <w:t xml:space="preserve">of the European Parliament </w:t>
      </w:r>
      <w:r w:rsidR="00B9049A" w:rsidRPr="006E20A2">
        <w:rPr>
          <w:rFonts w:ascii="Arial" w:hAnsi="Arial"/>
          <w:sz w:val="20"/>
          <w:lang w:val="en-US"/>
        </w:rPr>
        <w:t xml:space="preserve">of the European Parliament and of the Council </w:t>
      </w:r>
      <w:r w:rsidRPr="006E20A2">
        <w:rPr>
          <w:rFonts w:ascii="Arial" w:hAnsi="Arial"/>
          <w:sz w:val="20"/>
          <w:lang w:val="en-US"/>
        </w:rPr>
        <w:t xml:space="preserve">of </w:t>
      </w:r>
      <w:r w:rsidR="00120ED1" w:rsidRPr="006E20A2">
        <w:rPr>
          <w:rFonts w:ascii="Arial" w:hAnsi="Arial"/>
          <w:sz w:val="20"/>
          <w:lang w:val="en-US"/>
        </w:rPr>
        <w:t>20</w:t>
      </w:r>
      <w:r w:rsidRPr="006E20A2">
        <w:rPr>
          <w:rFonts w:ascii="Arial" w:hAnsi="Arial"/>
          <w:sz w:val="20"/>
          <w:lang w:val="en-US"/>
        </w:rPr>
        <w:t xml:space="preserve"> May </w:t>
      </w:r>
      <w:r w:rsidR="00120ED1" w:rsidRPr="006E20A2">
        <w:rPr>
          <w:rFonts w:ascii="Arial" w:hAnsi="Arial"/>
          <w:sz w:val="20"/>
          <w:lang w:val="en-US"/>
        </w:rPr>
        <w:t xml:space="preserve">2015 </w:t>
      </w:r>
      <w:r w:rsidRPr="006E20A2">
        <w:rPr>
          <w:rFonts w:ascii="Arial" w:hAnsi="Arial"/>
          <w:sz w:val="20"/>
          <w:lang w:val="en-US"/>
        </w:rPr>
        <w:t>on the prevention of the use of the financial system for the purposes of money laundering or terrorist financing</w:t>
      </w:r>
      <w:r w:rsidR="00120ED1" w:rsidRPr="006E20A2">
        <w:rPr>
          <w:rFonts w:ascii="Arial" w:hAnsi="Arial"/>
          <w:sz w:val="20"/>
          <w:lang w:val="en-US"/>
        </w:rPr>
        <w:t xml:space="preserve">, </w:t>
      </w:r>
      <w:r w:rsidRPr="006E20A2">
        <w:rPr>
          <w:rFonts w:ascii="Arial" w:hAnsi="Arial"/>
          <w:sz w:val="20"/>
          <w:lang w:val="en-US"/>
        </w:rPr>
        <w:t xml:space="preserve">and amending Regulation </w:t>
      </w:r>
      <w:r w:rsidR="00120ED1" w:rsidRPr="006E20A2">
        <w:rPr>
          <w:rFonts w:ascii="Arial" w:hAnsi="Arial"/>
          <w:sz w:val="20"/>
          <w:lang w:val="en-US"/>
        </w:rPr>
        <w:t xml:space="preserve">(EU) </w:t>
      </w:r>
      <w:r w:rsidRPr="006E20A2">
        <w:rPr>
          <w:rFonts w:ascii="Arial" w:hAnsi="Arial"/>
          <w:sz w:val="20"/>
          <w:lang w:val="en-US"/>
        </w:rPr>
        <w:t xml:space="preserve">No. </w:t>
      </w:r>
      <w:r w:rsidR="00120ED1" w:rsidRPr="006E20A2">
        <w:rPr>
          <w:rFonts w:ascii="Arial" w:hAnsi="Arial"/>
          <w:sz w:val="20"/>
          <w:lang w:val="en-US"/>
        </w:rPr>
        <w:t xml:space="preserve"> 648/2012 </w:t>
      </w:r>
      <w:r w:rsidR="00B9049A" w:rsidRPr="006E20A2">
        <w:rPr>
          <w:rFonts w:ascii="Arial" w:hAnsi="Arial"/>
          <w:sz w:val="20"/>
          <w:lang w:val="en-US"/>
        </w:rPr>
        <w:t>of the European Parliament and of the Council and repealing the Directive</w:t>
      </w:r>
      <w:r w:rsidR="00120ED1" w:rsidRPr="006E20A2">
        <w:rPr>
          <w:rFonts w:ascii="Arial" w:hAnsi="Arial"/>
          <w:sz w:val="20"/>
          <w:lang w:val="en-US"/>
        </w:rPr>
        <w:t xml:space="preserve"> 2005/60/ES </w:t>
      </w:r>
      <w:r w:rsidR="00B9049A" w:rsidRPr="006E20A2">
        <w:rPr>
          <w:rFonts w:ascii="Arial" w:hAnsi="Arial"/>
          <w:sz w:val="20"/>
          <w:lang w:val="en-US"/>
        </w:rPr>
        <w:t xml:space="preserve">of the European Parliament and of the </w:t>
      </w:r>
      <w:r w:rsidR="007732C2" w:rsidRPr="006E20A2">
        <w:rPr>
          <w:rFonts w:ascii="Arial" w:hAnsi="Arial"/>
          <w:sz w:val="20"/>
          <w:lang w:val="en-US"/>
        </w:rPr>
        <w:t>Council and</w:t>
      </w:r>
      <w:r w:rsidR="00B9049A" w:rsidRPr="006E20A2">
        <w:rPr>
          <w:rFonts w:ascii="Arial" w:hAnsi="Arial"/>
          <w:sz w:val="20"/>
          <w:lang w:val="en-US"/>
        </w:rPr>
        <w:t xml:space="preserve"> of the and Directive</w:t>
      </w:r>
      <w:r w:rsidR="00120ED1" w:rsidRPr="006E20A2">
        <w:rPr>
          <w:rFonts w:ascii="Arial" w:hAnsi="Arial"/>
          <w:sz w:val="20"/>
          <w:lang w:val="en-US"/>
        </w:rPr>
        <w:t xml:space="preserve"> </w:t>
      </w:r>
      <w:r w:rsidR="00B9049A" w:rsidRPr="006E20A2">
        <w:rPr>
          <w:rFonts w:ascii="Arial" w:hAnsi="Arial"/>
          <w:sz w:val="20"/>
          <w:lang w:val="en-US"/>
        </w:rPr>
        <w:t xml:space="preserve">of the European Commission </w:t>
      </w:r>
      <w:r w:rsidR="00120ED1" w:rsidRPr="006E20A2">
        <w:rPr>
          <w:rFonts w:ascii="Arial" w:hAnsi="Arial"/>
          <w:sz w:val="20"/>
          <w:lang w:val="en-US"/>
        </w:rPr>
        <w:t>2006/70/ES (</w:t>
      </w:r>
      <w:r w:rsidR="007732C2" w:rsidRPr="006E20A2">
        <w:rPr>
          <w:rFonts w:ascii="Arial" w:hAnsi="Arial"/>
          <w:sz w:val="20"/>
          <w:lang w:val="en-US"/>
        </w:rPr>
        <w:t>hereinafter</w:t>
      </w:r>
      <w:r w:rsidR="00120ED1" w:rsidRPr="006E20A2">
        <w:rPr>
          <w:rFonts w:ascii="Arial" w:hAnsi="Arial"/>
          <w:sz w:val="20"/>
          <w:lang w:val="en-US"/>
        </w:rPr>
        <w:t>: Dire</w:t>
      </w:r>
      <w:r w:rsidR="00B9049A" w:rsidRPr="006E20A2">
        <w:rPr>
          <w:rFonts w:ascii="Arial" w:hAnsi="Arial"/>
          <w:sz w:val="20"/>
          <w:lang w:val="en-US"/>
        </w:rPr>
        <w:t>ctive</w:t>
      </w:r>
      <w:r w:rsidR="00120ED1" w:rsidRPr="006E20A2">
        <w:rPr>
          <w:rFonts w:ascii="Arial" w:hAnsi="Arial"/>
          <w:sz w:val="20"/>
          <w:lang w:val="en-US"/>
        </w:rPr>
        <w:t xml:space="preserve"> (EU) 2015/849)</w:t>
      </w:r>
      <w:r w:rsidR="00DD5970">
        <w:rPr>
          <w:rFonts w:ascii="Arial" w:hAnsi="Arial"/>
          <w:sz w:val="20"/>
          <w:lang w:val="en-US"/>
        </w:rPr>
        <w:t>,</w:t>
      </w:r>
    </w:p>
    <w:p w14:paraId="7032D40B" w14:textId="14FF56F1" w:rsidR="00120ED1" w:rsidRPr="006E20A2" w:rsidRDefault="00B9049A"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opinions and views </w:t>
      </w:r>
      <w:proofErr w:type="gramStart"/>
      <w:r w:rsidRPr="006E20A2">
        <w:rPr>
          <w:rFonts w:ascii="Arial" w:hAnsi="Arial"/>
          <w:sz w:val="20"/>
          <w:lang w:val="en-US"/>
        </w:rPr>
        <w:t>with regard to</w:t>
      </w:r>
      <w:proofErr w:type="gramEnd"/>
      <w:r w:rsidRPr="006E20A2">
        <w:rPr>
          <w:rFonts w:ascii="Arial" w:hAnsi="Arial"/>
          <w:sz w:val="20"/>
          <w:lang w:val="en-US"/>
        </w:rPr>
        <w:t xml:space="preserve"> the implementation of the APMLTF-1 and bylaws issued on its basis</w:t>
      </w:r>
      <w:r w:rsidR="007732C2" w:rsidRPr="006E20A2">
        <w:rPr>
          <w:rFonts w:ascii="Arial" w:hAnsi="Arial"/>
          <w:sz w:val="20"/>
          <w:lang w:val="en-US"/>
        </w:rPr>
        <w:t>,</w:t>
      </w:r>
    </w:p>
    <w:p w14:paraId="68FD9943" w14:textId="1E616190" w:rsidR="00120ED1" w:rsidRPr="006E20A2" w:rsidRDefault="00B9049A" w:rsidP="0000545E">
      <w:pPr>
        <w:numPr>
          <w:ilvl w:val="0"/>
          <w:numId w:val="6"/>
        </w:numPr>
        <w:spacing w:line="276" w:lineRule="auto"/>
        <w:rPr>
          <w:rFonts w:ascii="Arial" w:hAnsi="Arial"/>
          <w:sz w:val="20"/>
          <w:lang w:val="en-US"/>
        </w:rPr>
      </w:pPr>
      <w:r w:rsidRPr="006E20A2">
        <w:rPr>
          <w:rFonts w:ascii="Arial" w:hAnsi="Arial"/>
          <w:sz w:val="20"/>
          <w:lang w:val="en-US"/>
        </w:rPr>
        <w:t>establish</w:t>
      </w:r>
      <w:r w:rsidR="00E1625D">
        <w:rPr>
          <w:rFonts w:ascii="Arial" w:hAnsi="Arial"/>
          <w:sz w:val="20"/>
          <w:lang w:val="en-US"/>
        </w:rPr>
        <w:t xml:space="preserve">ment </w:t>
      </w:r>
      <w:r w:rsidRPr="006E20A2">
        <w:rPr>
          <w:rFonts w:ascii="Arial" w:hAnsi="Arial"/>
          <w:sz w:val="20"/>
          <w:lang w:val="en-US"/>
        </w:rPr>
        <w:t xml:space="preserve">of </w:t>
      </w:r>
      <w:r w:rsidR="00DD5970">
        <w:rPr>
          <w:rFonts w:ascii="Arial" w:hAnsi="Arial"/>
          <w:sz w:val="20"/>
          <w:lang w:val="en-US"/>
        </w:rPr>
        <w:t xml:space="preserve">the </w:t>
      </w:r>
      <w:r w:rsidRPr="006E20A2">
        <w:rPr>
          <w:rFonts w:ascii="Arial" w:hAnsi="Arial"/>
          <w:sz w:val="20"/>
          <w:lang w:val="en-US"/>
        </w:rPr>
        <w:t xml:space="preserve">register of providers of exchange services between virtual and fiat currencies and custodian wallet </w:t>
      </w:r>
      <w:r w:rsidR="00DD5970">
        <w:rPr>
          <w:rFonts w:ascii="Arial" w:hAnsi="Arial"/>
          <w:sz w:val="20"/>
          <w:lang w:val="en-US"/>
        </w:rPr>
        <w:t xml:space="preserve">providers </w:t>
      </w:r>
      <w:r w:rsidRPr="006E20A2">
        <w:rPr>
          <w:rFonts w:ascii="Arial" w:hAnsi="Arial"/>
          <w:sz w:val="20"/>
          <w:lang w:val="en-US"/>
        </w:rPr>
        <w:t xml:space="preserve">and </w:t>
      </w:r>
      <w:r w:rsidR="00E1625D">
        <w:rPr>
          <w:rFonts w:ascii="Arial" w:hAnsi="Arial"/>
          <w:sz w:val="20"/>
          <w:lang w:val="en-US"/>
        </w:rPr>
        <w:t xml:space="preserve">publishment of </w:t>
      </w:r>
      <w:r w:rsidRPr="006E20A2">
        <w:rPr>
          <w:rFonts w:ascii="Arial" w:hAnsi="Arial"/>
          <w:sz w:val="20"/>
          <w:lang w:val="en-US"/>
        </w:rPr>
        <w:t>the register on the web site of OMLP</w:t>
      </w:r>
      <w:r w:rsidR="007732C2" w:rsidRPr="006E20A2">
        <w:rPr>
          <w:rFonts w:ascii="Arial" w:hAnsi="Arial"/>
          <w:sz w:val="20"/>
          <w:lang w:val="en-US"/>
        </w:rPr>
        <w:t>,</w:t>
      </w:r>
    </w:p>
    <w:p w14:paraId="63ED9580" w14:textId="429FD09E" w:rsidR="00120ED1" w:rsidRPr="006E20A2" w:rsidRDefault="00A10515" w:rsidP="0000545E">
      <w:pPr>
        <w:numPr>
          <w:ilvl w:val="0"/>
          <w:numId w:val="6"/>
        </w:numPr>
        <w:spacing w:line="276" w:lineRule="auto"/>
        <w:rPr>
          <w:rFonts w:ascii="Arial" w:hAnsi="Arial"/>
          <w:sz w:val="20"/>
          <w:lang w:val="en-US"/>
        </w:rPr>
      </w:pPr>
      <w:r w:rsidRPr="006E20A2">
        <w:rPr>
          <w:rFonts w:ascii="Arial" w:hAnsi="Arial"/>
          <w:sz w:val="20"/>
          <w:lang w:val="en-US"/>
        </w:rPr>
        <w:t xml:space="preserve">cooperation in </w:t>
      </w:r>
      <w:r w:rsidR="0000545E" w:rsidRPr="006E20A2">
        <w:rPr>
          <w:rFonts w:ascii="Arial" w:hAnsi="Arial"/>
          <w:sz w:val="20"/>
          <w:lang w:val="en-US"/>
        </w:rPr>
        <w:t xml:space="preserve">international bodies and </w:t>
      </w:r>
      <w:r w:rsidR="00192999" w:rsidRPr="006E20A2">
        <w:rPr>
          <w:rFonts w:ascii="Arial" w:hAnsi="Arial"/>
          <w:sz w:val="20"/>
          <w:lang w:val="en-US"/>
        </w:rPr>
        <w:t>organizations</w:t>
      </w:r>
      <w:r w:rsidR="0000545E" w:rsidRPr="006E20A2">
        <w:rPr>
          <w:rFonts w:ascii="Arial" w:hAnsi="Arial"/>
          <w:sz w:val="20"/>
          <w:lang w:val="en-US"/>
        </w:rPr>
        <w:t xml:space="preserve"> (European Commission, Council of Europe) which are engaged in </w:t>
      </w:r>
      <w:r w:rsidR="00DD5970">
        <w:rPr>
          <w:rFonts w:ascii="Arial" w:hAnsi="Arial"/>
          <w:sz w:val="20"/>
          <w:lang w:val="en-US"/>
        </w:rPr>
        <w:t xml:space="preserve">the </w:t>
      </w:r>
      <w:r w:rsidR="0000545E" w:rsidRPr="006E20A2">
        <w:rPr>
          <w:rFonts w:ascii="Arial" w:hAnsi="Arial"/>
          <w:sz w:val="20"/>
          <w:lang w:val="en-US"/>
        </w:rPr>
        <w:t>prevention of money laundering and terrorist financing,</w:t>
      </w:r>
      <w:r w:rsidR="00120ED1" w:rsidRPr="006E20A2">
        <w:rPr>
          <w:rFonts w:ascii="Arial" w:hAnsi="Arial"/>
          <w:sz w:val="20"/>
          <w:lang w:val="en-US"/>
        </w:rPr>
        <w:t xml:space="preserve"> </w:t>
      </w:r>
    </w:p>
    <w:p w14:paraId="2C8D3A80" w14:textId="20FAC830" w:rsidR="00120ED1" w:rsidRPr="006E20A2" w:rsidRDefault="0000545E" w:rsidP="0000545E">
      <w:pPr>
        <w:numPr>
          <w:ilvl w:val="0"/>
          <w:numId w:val="6"/>
        </w:numPr>
        <w:spacing w:line="276" w:lineRule="auto"/>
        <w:rPr>
          <w:rFonts w:ascii="Arial" w:hAnsi="Arial"/>
          <w:sz w:val="20"/>
          <w:lang w:val="en-US"/>
        </w:rPr>
      </w:pPr>
      <w:r w:rsidRPr="006E20A2">
        <w:rPr>
          <w:rFonts w:ascii="Arial" w:hAnsi="Arial"/>
          <w:sz w:val="20"/>
          <w:lang w:val="en-US"/>
        </w:rPr>
        <w:t xml:space="preserve">cooperation in </w:t>
      </w:r>
      <w:r w:rsidR="00DD5970">
        <w:rPr>
          <w:rFonts w:ascii="Arial" w:hAnsi="Arial"/>
          <w:sz w:val="20"/>
          <w:lang w:val="en-US"/>
        </w:rPr>
        <w:t xml:space="preserve">the </w:t>
      </w:r>
      <w:r w:rsidRPr="006E20A2">
        <w:rPr>
          <w:rFonts w:ascii="Arial" w:hAnsi="Arial"/>
          <w:sz w:val="20"/>
          <w:lang w:val="en-US"/>
        </w:rPr>
        <w:t xml:space="preserve">preparation of </w:t>
      </w:r>
      <w:r w:rsidR="00DD5970">
        <w:rPr>
          <w:rFonts w:ascii="Arial" w:hAnsi="Arial"/>
          <w:sz w:val="20"/>
          <w:lang w:val="en-US"/>
        </w:rPr>
        <w:t xml:space="preserve">the </w:t>
      </w:r>
      <w:r w:rsidR="007732C2" w:rsidRPr="006E20A2">
        <w:rPr>
          <w:rFonts w:ascii="Arial" w:hAnsi="Arial"/>
          <w:sz w:val="20"/>
          <w:lang w:val="en-US"/>
        </w:rPr>
        <w:t>feedback</w:t>
      </w:r>
      <w:r w:rsidRPr="006E20A2">
        <w:rPr>
          <w:rFonts w:ascii="Arial" w:hAnsi="Arial"/>
          <w:sz w:val="20"/>
          <w:lang w:val="en-US"/>
        </w:rPr>
        <w:t xml:space="preserve"> </w:t>
      </w:r>
      <w:r w:rsidR="00E1625D">
        <w:rPr>
          <w:rFonts w:ascii="Arial" w:hAnsi="Arial"/>
          <w:sz w:val="20"/>
          <w:lang w:val="en-US"/>
        </w:rPr>
        <w:t xml:space="preserve">for </w:t>
      </w:r>
      <w:r w:rsidR="00DD5970">
        <w:rPr>
          <w:rFonts w:ascii="Arial" w:hAnsi="Arial"/>
          <w:sz w:val="20"/>
          <w:lang w:val="en-US"/>
        </w:rPr>
        <w:t xml:space="preserve">the </w:t>
      </w:r>
      <w:r w:rsidRPr="006E20A2">
        <w:rPr>
          <w:rFonts w:ascii="Arial" w:hAnsi="Arial"/>
          <w:sz w:val="20"/>
          <w:lang w:val="en-US"/>
        </w:rPr>
        <w:t xml:space="preserve">5th round evaluation of Slovenia at Moneyval, </w:t>
      </w:r>
    </w:p>
    <w:p w14:paraId="410A02A9" w14:textId="6A0C75A4" w:rsidR="00120ED1" w:rsidRPr="006E20A2" w:rsidRDefault="00A10515" w:rsidP="0000545E">
      <w:pPr>
        <w:numPr>
          <w:ilvl w:val="0"/>
          <w:numId w:val="6"/>
        </w:numPr>
        <w:spacing w:line="276" w:lineRule="auto"/>
        <w:rPr>
          <w:rFonts w:ascii="Arial" w:hAnsi="Arial"/>
          <w:sz w:val="20"/>
          <w:lang w:val="en-US"/>
        </w:rPr>
      </w:pPr>
      <w:r w:rsidRPr="006E20A2">
        <w:rPr>
          <w:rFonts w:ascii="Arial" w:hAnsi="Arial"/>
          <w:sz w:val="20"/>
          <w:lang w:val="en-US"/>
        </w:rPr>
        <w:t>supervision on the implementation of the provisions of the APMLTF-1 by obliged entities stated in Article 4 of the APMLTF-1</w:t>
      </w:r>
      <w:r w:rsidR="007732C2" w:rsidRPr="006E20A2">
        <w:rPr>
          <w:rFonts w:ascii="Arial" w:hAnsi="Arial"/>
          <w:sz w:val="20"/>
          <w:lang w:val="en-US"/>
        </w:rPr>
        <w:t>,</w:t>
      </w:r>
    </w:p>
    <w:p w14:paraId="3814F625" w14:textId="7B0A123B" w:rsidR="00120ED1" w:rsidRPr="006E20A2" w:rsidRDefault="00A10515" w:rsidP="0000545E">
      <w:pPr>
        <w:numPr>
          <w:ilvl w:val="0"/>
          <w:numId w:val="6"/>
        </w:numPr>
        <w:spacing w:line="276" w:lineRule="auto"/>
        <w:rPr>
          <w:rFonts w:ascii="Arial" w:hAnsi="Arial"/>
          <w:sz w:val="20"/>
          <w:lang w:val="en-US"/>
        </w:rPr>
      </w:pPr>
      <w:r w:rsidRPr="006E20A2">
        <w:rPr>
          <w:rFonts w:ascii="Arial" w:hAnsi="Arial"/>
          <w:sz w:val="20"/>
          <w:lang w:val="en-US"/>
        </w:rPr>
        <w:t>participation in the professional training of staff of the obliged entities,</w:t>
      </w:r>
    </w:p>
    <w:p w14:paraId="1733C0BC" w14:textId="22B70A16" w:rsidR="00120ED1" w:rsidRPr="006E20A2" w:rsidRDefault="00A10515" w:rsidP="0000545E">
      <w:pPr>
        <w:numPr>
          <w:ilvl w:val="0"/>
          <w:numId w:val="6"/>
        </w:numPr>
        <w:spacing w:line="276" w:lineRule="auto"/>
        <w:rPr>
          <w:rFonts w:ascii="Arial" w:hAnsi="Arial"/>
          <w:sz w:val="20"/>
          <w:lang w:val="en-US"/>
        </w:rPr>
      </w:pPr>
      <w:r w:rsidRPr="006E20A2">
        <w:rPr>
          <w:rFonts w:ascii="Arial" w:hAnsi="Arial"/>
          <w:sz w:val="20"/>
          <w:lang w:val="en-US"/>
        </w:rPr>
        <w:t xml:space="preserve">participation </w:t>
      </w:r>
      <w:r w:rsidR="00DD5970">
        <w:rPr>
          <w:rFonts w:ascii="Arial" w:hAnsi="Arial"/>
          <w:sz w:val="20"/>
          <w:lang w:val="en-US"/>
        </w:rPr>
        <w:t>in the</w:t>
      </w:r>
      <w:r w:rsidR="00DD5970" w:rsidRPr="006E20A2">
        <w:rPr>
          <w:rFonts w:ascii="Arial" w:hAnsi="Arial"/>
          <w:sz w:val="20"/>
          <w:lang w:val="en-US"/>
        </w:rPr>
        <w:t xml:space="preserve"> </w:t>
      </w:r>
      <w:r w:rsidRPr="006E20A2">
        <w:rPr>
          <w:rFonts w:ascii="Arial" w:hAnsi="Arial"/>
          <w:sz w:val="20"/>
          <w:lang w:val="en-US"/>
        </w:rPr>
        <w:t>preparation and coordination of regulation of other competent authorities</w:t>
      </w:r>
      <w:r w:rsidR="007732C2" w:rsidRPr="006E20A2">
        <w:rPr>
          <w:rFonts w:ascii="Arial" w:hAnsi="Arial"/>
          <w:sz w:val="20"/>
          <w:lang w:val="en-US"/>
        </w:rPr>
        <w:t>,</w:t>
      </w:r>
    </w:p>
    <w:p w14:paraId="3775B73A" w14:textId="2FFF651F" w:rsidR="00120ED1" w:rsidRPr="006E20A2" w:rsidRDefault="00A10515" w:rsidP="0000545E">
      <w:pPr>
        <w:numPr>
          <w:ilvl w:val="0"/>
          <w:numId w:val="6"/>
        </w:numPr>
        <w:spacing w:line="276" w:lineRule="auto"/>
        <w:rPr>
          <w:rFonts w:ascii="Arial" w:hAnsi="Arial"/>
          <w:sz w:val="20"/>
          <w:lang w:val="en-US"/>
        </w:rPr>
      </w:pPr>
      <w:r w:rsidRPr="006E20A2">
        <w:rPr>
          <w:rFonts w:ascii="Arial" w:hAnsi="Arial"/>
          <w:sz w:val="20"/>
          <w:lang w:val="en-US"/>
        </w:rPr>
        <w:t xml:space="preserve">preparation of replies and documentation to questions by the media, Members of Parliament and questions/demands received from </w:t>
      </w:r>
      <w:r w:rsidR="00DD5970" w:rsidRPr="00DD5970">
        <w:rPr>
          <w:rFonts w:ascii="Arial" w:hAnsi="Arial"/>
          <w:sz w:val="20"/>
          <w:lang w:val="en-US"/>
        </w:rPr>
        <w:t>Parliamentary Inquiries</w:t>
      </w:r>
      <w:r w:rsidR="007732C2" w:rsidRPr="006E20A2">
        <w:rPr>
          <w:rFonts w:ascii="Arial" w:hAnsi="Arial"/>
          <w:sz w:val="20"/>
          <w:lang w:val="en-US"/>
        </w:rPr>
        <w:t>,</w:t>
      </w:r>
    </w:p>
    <w:p w14:paraId="3A02F820" w14:textId="45C9A86F" w:rsidR="00120ED1" w:rsidRPr="006E20A2" w:rsidRDefault="00A10515" w:rsidP="0000545E">
      <w:pPr>
        <w:widowControl/>
        <w:numPr>
          <w:ilvl w:val="0"/>
          <w:numId w:val="12"/>
        </w:numPr>
        <w:autoSpaceDE w:val="0"/>
        <w:autoSpaceDN w:val="0"/>
        <w:adjustRightInd w:val="0"/>
        <w:spacing w:line="276" w:lineRule="auto"/>
        <w:jc w:val="left"/>
        <w:rPr>
          <w:rFonts w:ascii="Arial" w:hAnsi="Arial"/>
          <w:sz w:val="20"/>
          <w:lang w:val="en-US" w:eastAsia="sl-SI"/>
        </w:rPr>
      </w:pPr>
      <w:r w:rsidRPr="006E20A2">
        <w:rPr>
          <w:rFonts w:ascii="Arial" w:hAnsi="Arial"/>
          <w:sz w:val="20"/>
          <w:lang w:val="en-US"/>
        </w:rPr>
        <w:t>ongoing editing of the website of the OMLP in accordance with the guidelines of the Ministry for Public Administration and Government Communication Office</w:t>
      </w:r>
      <w:r w:rsidR="00120ED1" w:rsidRPr="006E20A2">
        <w:rPr>
          <w:rFonts w:ascii="Arial" w:hAnsi="Arial"/>
          <w:sz w:val="20"/>
          <w:lang w:val="en-US" w:eastAsia="sl-SI"/>
        </w:rPr>
        <w:t>.</w:t>
      </w:r>
    </w:p>
    <w:p w14:paraId="6213FB50" w14:textId="77777777" w:rsidR="00533A0B" w:rsidRPr="006E20A2" w:rsidRDefault="00533A0B" w:rsidP="00533A0B">
      <w:pPr>
        <w:widowControl/>
        <w:autoSpaceDE w:val="0"/>
        <w:autoSpaceDN w:val="0"/>
        <w:adjustRightInd w:val="0"/>
        <w:ind w:left="720"/>
        <w:jc w:val="left"/>
        <w:rPr>
          <w:rFonts w:ascii="Arial" w:hAnsi="Arial"/>
          <w:szCs w:val="24"/>
          <w:lang w:val="en-US" w:eastAsia="sl-SI"/>
        </w:rPr>
      </w:pPr>
    </w:p>
    <w:p w14:paraId="18BFB45F" w14:textId="1E48F2AE" w:rsidR="00116CD6" w:rsidRPr="006E20A2" w:rsidRDefault="007732C2" w:rsidP="003B3CCC">
      <w:pPr>
        <w:pStyle w:val="Naslov2"/>
        <w:rPr>
          <w:lang w:val="en-US"/>
        </w:rPr>
      </w:pPr>
      <w:bookmarkStart w:id="55" w:name="_Toc402346328"/>
      <w:bookmarkEnd w:id="52"/>
      <w:bookmarkEnd w:id="53"/>
      <w:bookmarkEnd w:id="54"/>
      <w:r w:rsidRPr="006E20A2">
        <w:rPr>
          <w:lang w:val="en-US"/>
        </w:rPr>
        <w:t>LEGISLATION AND ASSISTANCE IN ITS IMPLEMENTATION</w:t>
      </w:r>
    </w:p>
    <w:bookmarkEnd w:id="55"/>
    <w:p w14:paraId="0D776646" w14:textId="371161C5" w:rsidR="00116CD6" w:rsidRPr="006E20A2" w:rsidRDefault="00116CD6" w:rsidP="00D21F86">
      <w:pPr>
        <w:spacing w:line="276" w:lineRule="auto"/>
        <w:rPr>
          <w:rFonts w:ascii="Arial" w:hAnsi="Arial"/>
          <w:sz w:val="20"/>
          <w:lang w:val="en-US"/>
        </w:rPr>
      </w:pPr>
    </w:p>
    <w:p w14:paraId="62E5869F" w14:textId="68711230" w:rsidR="00870427" w:rsidRPr="006E20A2" w:rsidRDefault="00DD5970" w:rsidP="005A1458">
      <w:pPr>
        <w:widowControl/>
        <w:spacing w:line="276" w:lineRule="auto"/>
        <w:rPr>
          <w:rFonts w:ascii="Arial" w:hAnsi="Arial"/>
          <w:sz w:val="20"/>
          <w:lang w:val="en-US"/>
        </w:rPr>
      </w:pPr>
      <w:bookmarkStart w:id="56" w:name="_Hlk69970992"/>
      <w:r>
        <w:rPr>
          <w:rFonts w:ascii="Arial" w:hAnsi="Arial"/>
          <w:sz w:val="20"/>
          <w:lang w:val="en-US"/>
        </w:rPr>
        <w:t>An i</w:t>
      </w:r>
      <w:r w:rsidR="005A1458" w:rsidRPr="006E20A2">
        <w:rPr>
          <w:rFonts w:ascii="Arial" w:hAnsi="Arial"/>
          <w:sz w:val="20"/>
          <w:lang w:val="en-US"/>
        </w:rPr>
        <w:t xml:space="preserve">mportant activity of the OMLP and </w:t>
      </w:r>
      <w:r w:rsidR="00AB10C0">
        <w:rPr>
          <w:rFonts w:ascii="Arial" w:hAnsi="Arial"/>
          <w:sz w:val="20"/>
          <w:lang w:val="en-US"/>
        </w:rPr>
        <w:t xml:space="preserve">the </w:t>
      </w:r>
      <w:r w:rsidR="00AB10C0" w:rsidRPr="00AB10C0">
        <w:rPr>
          <w:rFonts w:ascii="Arial" w:hAnsi="Arial"/>
          <w:sz w:val="20"/>
          <w:lang w:val="en-US"/>
        </w:rPr>
        <w:t xml:space="preserve">Department </w:t>
      </w:r>
      <w:r w:rsidR="00AB10C0">
        <w:rPr>
          <w:rFonts w:ascii="Arial" w:hAnsi="Arial"/>
          <w:sz w:val="20"/>
          <w:lang w:val="en-US"/>
        </w:rPr>
        <w:t>f</w:t>
      </w:r>
      <w:r w:rsidR="00AB10C0" w:rsidRPr="00AB10C0">
        <w:rPr>
          <w:rFonts w:ascii="Arial" w:hAnsi="Arial"/>
          <w:sz w:val="20"/>
          <w:lang w:val="en-US"/>
        </w:rPr>
        <w:t xml:space="preserve">or Prevention </w:t>
      </w:r>
      <w:r w:rsidR="00AB10C0">
        <w:rPr>
          <w:rFonts w:ascii="Arial" w:hAnsi="Arial"/>
          <w:sz w:val="20"/>
          <w:lang w:val="en-US"/>
        </w:rPr>
        <w:t>a</w:t>
      </w:r>
      <w:r w:rsidR="00AB10C0" w:rsidRPr="00AB10C0">
        <w:rPr>
          <w:rFonts w:ascii="Arial" w:hAnsi="Arial"/>
          <w:sz w:val="20"/>
          <w:lang w:val="en-US"/>
        </w:rPr>
        <w:t>nd Supervision</w:t>
      </w:r>
      <w:r w:rsidR="00AB10C0">
        <w:rPr>
          <w:rFonts w:ascii="Arial" w:hAnsi="Arial"/>
          <w:sz w:val="20"/>
          <w:lang w:val="en-US"/>
        </w:rPr>
        <w:t xml:space="preserve"> </w:t>
      </w:r>
      <w:r w:rsidR="005A1458" w:rsidRPr="006E20A2">
        <w:rPr>
          <w:rFonts w:ascii="Arial" w:hAnsi="Arial"/>
          <w:sz w:val="20"/>
          <w:lang w:val="en-US"/>
        </w:rPr>
        <w:t xml:space="preserve">is the preparation of proposals of legal acts related to </w:t>
      </w:r>
      <w:r w:rsidR="00AB10C0">
        <w:rPr>
          <w:rFonts w:ascii="Arial" w:hAnsi="Arial"/>
          <w:sz w:val="20"/>
          <w:lang w:val="en-US"/>
        </w:rPr>
        <w:t xml:space="preserve">the </w:t>
      </w:r>
      <w:r w:rsidR="005A1458" w:rsidRPr="006E20A2">
        <w:rPr>
          <w:rFonts w:ascii="Arial" w:hAnsi="Arial"/>
          <w:sz w:val="20"/>
          <w:lang w:val="en-US"/>
        </w:rPr>
        <w:t xml:space="preserve">prevention of money laundering and terrorist financing. It is important to emphasize that on one </w:t>
      </w:r>
      <w:r w:rsidR="00E1625D">
        <w:rPr>
          <w:rFonts w:ascii="Arial" w:hAnsi="Arial"/>
          <w:sz w:val="20"/>
          <w:lang w:val="en-US"/>
        </w:rPr>
        <w:t>hand</w:t>
      </w:r>
      <w:r w:rsidR="005A1458" w:rsidRPr="006E20A2">
        <w:rPr>
          <w:rFonts w:ascii="Arial" w:hAnsi="Arial"/>
          <w:sz w:val="20"/>
          <w:lang w:val="en-US"/>
        </w:rPr>
        <w:t xml:space="preserve"> the OMLP is dealing with the transposition of European </w:t>
      </w:r>
      <w:r w:rsidR="005A1458" w:rsidRPr="006E20A2">
        <w:rPr>
          <w:rFonts w:ascii="Arial" w:hAnsi="Arial"/>
          <w:sz w:val="20"/>
          <w:lang w:val="en-US"/>
        </w:rPr>
        <w:lastRenderedPageBreak/>
        <w:t xml:space="preserve">Directives, where the </w:t>
      </w:r>
      <w:r w:rsidR="00AB10C0" w:rsidRPr="006E20A2">
        <w:rPr>
          <w:rFonts w:ascii="Arial" w:hAnsi="Arial"/>
          <w:sz w:val="20"/>
          <w:lang w:val="en-US"/>
        </w:rPr>
        <w:t>princip</w:t>
      </w:r>
      <w:r w:rsidR="00AB10C0">
        <w:rPr>
          <w:rFonts w:ascii="Arial" w:hAnsi="Arial"/>
          <w:sz w:val="20"/>
          <w:lang w:val="en-US"/>
        </w:rPr>
        <w:t>le</w:t>
      </w:r>
      <w:r w:rsidR="00AB10C0" w:rsidRPr="006E20A2">
        <w:rPr>
          <w:rFonts w:ascii="Arial" w:hAnsi="Arial"/>
          <w:sz w:val="20"/>
          <w:lang w:val="en-US"/>
        </w:rPr>
        <w:t xml:space="preserve"> </w:t>
      </w:r>
      <w:r w:rsidR="005A1458" w:rsidRPr="006E20A2">
        <w:rPr>
          <w:rFonts w:ascii="Arial" w:hAnsi="Arial"/>
          <w:sz w:val="20"/>
          <w:lang w:val="en-US"/>
        </w:rPr>
        <w:t xml:space="preserve">of minimal </w:t>
      </w:r>
      <w:r w:rsidR="00192999" w:rsidRPr="006E20A2">
        <w:rPr>
          <w:rFonts w:ascii="Arial" w:hAnsi="Arial"/>
          <w:sz w:val="20"/>
          <w:lang w:val="en-US"/>
        </w:rPr>
        <w:t>harmonization</w:t>
      </w:r>
      <w:r w:rsidR="005A1458" w:rsidRPr="006E20A2">
        <w:rPr>
          <w:rFonts w:ascii="Arial" w:hAnsi="Arial"/>
          <w:sz w:val="20"/>
          <w:lang w:val="en-US"/>
        </w:rPr>
        <w:t xml:space="preserve"> and compliance with international standards (FATF recommendations) applies and on the other </w:t>
      </w:r>
      <w:r w:rsidR="00E1625D">
        <w:rPr>
          <w:rFonts w:ascii="Arial" w:hAnsi="Arial"/>
          <w:sz w:val="20"/>
          <w:lang w:val="en-US"/>
        </w:rPr>
        <w:t>hand</w:t>
      </w:r>
      <w:r w:rsidR="005A1458" w:rsidRPr="006E20A2">
        <w:rPr>
          <w:rFonts w:ascii="Arial" w:hAnsi="Arial"/>
          <w:sz w:val="20"/>
          <w:lang w:val="en-US"/>
        </w:rPr>
        <w:t xml:space="preserve"> the area of ML/TF </w:t>
      </w:r>
      <w:r w:rsidR="00E1625D">
        <w:rPr>
          <w:rFonts w:ascii="Arial" w:hAnsi="Arial"/>
          <w:sz w:val="20"/>
          <w:lang w:val="en-US"/>
        </w:rPr>
        <w:t>has</w:t>
      </w:r>
      <w:r w:rsidR="005A1458" w:rsidRPr="006E20A2">
        <w:rPr>
          <w:rFonts w:ascii="Arial" w:hAnsi="Arial"/>
          <w:sz w:val="20"/>
          <w:lang w:val="en-US"/>
        </w:rPr>
        <w:t xml:space="preserve"> becoming very wide, expanding from initial financial investigation units to several sectors of obliged entities and their supervisors. This requires often time-consuming coordination of provisions of APMLFT-1 with provisions from regulation in other areas (banking rector, notary, etc.) covering various jurisdictions of supervisory authorities (operating under different procedural laws) or other areas, that are closely related to the activities of </w:t>
      </w:r>
      <w:r w:rsidR="00C45C7D">
        <w:rPr>
          <w:rFonts w:ascii="Arial" w:hAnsi="Arial"/>
          <w:sz w:val="20"/>
          <w:lang w:val="en-US"/>
        </w:rPr>
        <w:t xml:space="preserve">the </w:t>
      </w:r>
      <w:r w:rsidR="005A1458" w:rsidRPr="006E20A2">
        <w:rPr>
          <w:rFonts w:ascii="Arial" w:hAnsi="Arial"/>
          <w:sz w:val="20"/>
          <w:lang w:val="en-US"/>
        </w:rPr>
        <w:t>OMLP (area of classified information, protection of personal data). Also, the dynamic</w:t>
      </w:r>
      <w:r w:rsidR="00E1625D">
        <w:rPr>
          <w:rFonts w:ascii="Arial" w:hAnsi="Arial"/>
          <w:sz w:val="20"/>
          <w:lang w:val="en-US"/>
        </w:rPr>
        <w:t>s</w:t>
      </w:r>
      <w:r w:rsidR="005A1458" w:rsidRPr="006E20A2">
        <w:rPr>
          <w:rFonts w:ascii="Arial" w:hAnsi="Arial"/>
          <w:sz w:val="20"/>
          <w:lang w:val="en-US"/>
        </w:rPr>
        <w:t xml:space="preserve"> of adoption of regulations at the EU level in the last years caused rushing in preparation of proposals (before expiration of the deadline for implementation of AMLD4 the AMLD5</w:t>
      </w:r>
      <w:r w:rsidR="00E1625D">
        <w:rPr>
          <w:rFonts w:ascii="Arial" w:hAnsi="Arial"/>
          <w:sz w:val="20"/>
          <w:lang w:val="en-US"/>
        </w:rPr>
        <w:t>)</w:t>
      </w:r>
      <w:r w:rsidR="005A1458" w:rsidRPr="006E20A2">
        <w:rPr>
          <w:rFonts w:ascii="Arial" w:hAnsi="Arial"/>
          <w:sz w:val="20"/>
          <w:lang w:val="en-US"/>
        </w:rPr>
        <w:t xml:space="preserve">, due to potential different understanding of provisions of directives and the minimal </w:t>
      </w:r>
      <w:r w:rsidR="00192999" w:rsidRPr="006E20A2">
        <w:rPr>
          <w:rFonts w:ascii="Arial" w:hAnsi="Arial"/>
          <w:sz w:val="20"/>
          <w:lang w:val="en-US"/>
        </w:rPr>
        <w:t>harmonization</w:t>
      </w:r>
      <w:r w:rsidR="005A1458" w:rsidRPr="006E20A2">
        <w:rPr>
          <w:rFonts w:ascii="Arial" w:hAnsi="Arial"/>
          <w:sz w:val="20"/>
          <w:lang w:val="en-US"/>
        </w:rPr>
        <w:t xml:space="preserve"> principal there are also subsequently sent official infringements from the European Commission.  </w:t>
      </w:r>
    </w:p>
    <w:p w14:paraId="7AF7CE72" w14:textId="59007EFC" w:rsidR="005A1458" w:rsidRPr="006E20A2" w:rsidRDefault="005A1458" w:rsidP="00870427">
      <w:pPr>
        <w:spacing w:line="276" w:lineRule="auto"/>
        <w:rPr>
          <w:rFonts w:ascii="Arial" w:hAnsi="Arial"/>
          <w:sz w:val="20"/>
          <w:lang w:val="en-US"/>
        </w:rPr>
      </w:pPr>
      <w:bookmarkStart w:id="57" w:name="_Hlk69972174"/>
    </w:p>
    <w:p w14:paraId="467870AE" w14:textId="08F4C623" w:rsidR="005A1458" w:rsidRPr="006E20A2" w:rsidRDefault="005A1458" w:rsidP="001300B3">
      <w:pPr>
        <w:spacing w:line="276" w:lineRule="auto"/>
        <w:rPr>
          <w:rFonts w:ascii="Arial" w:hAnsi="Arial"/>
          <w:sz w:val="20"/>
          <w:lang w:val="en-US"/>
        </w:rPr>
      </w:pPr>
      <w:r w:rsidRPr="006E20A2">
        <w:rPr>
          <w:rFonts w:ascii="Arial" w:hAnsi="Arial"/>
          <w:sz w:val="20"/>
          <w:lang w:val="en-US"/>
        </w:rPr>
        <w:t>In the area of legislation there were several activities</w:t>
      </w:r>
      <w:r w:rsidR="008B767C">
        <w:rPr>
          <w:rFonts w:ascii="Arial" w:hAnsi="Arial"/>
          <w:sz w:val="20"/>
          <w:lang w:val="en-US"/>
        </w:rPr>
        <w:t xml:space="preserve"> </w:t>
      </w:r>
      <w:r w:rsidR="008B767C" w:rsidRPr="006E20A2">
        <w:rPr>
          <w:rFonts w:ascii="Arial" w:hAnsi="Arial"/>
          <w:sz w:val="20"/>
          <w:lang w:val="en-US"/>
        </w:rPr>
        <w:t>in the year 2020</w:t>
      </w:r>
      <w:r w:rsidRPr="006E20A2">
        <w:rPr>
          <w:rFonts w:ascii="Arial" w:hAnsi="Arial"/>
          <w:sz w:val="20"/>
          <w:lang w:val="en-US"/>
        </w:rPr>
        <w:t xml:space="preserve">. </w:t>
      </w:r>
      <w:r w:rsidR="001300B3" w:rsidRPr="006E20A2">
        <w:rPr>
          <w:rFonts w:ascii="Arial" w:hAnsi="Arial"/>
          <w:sz w:val="20"/>
          <w:lang w:val="en-US"/>
        </w:rPr>
        <w:t xml:space="preserve">Additional changes to </w:t>
      </w:r>
      <w:r w:rsidR="00C45C7D">
        <w:rPr>
          <w:rFonts w:ascii="Arial" w:hAnsi="Arial"/>
          <w:sz w:val="20"/>
          <w:lang w:val="en-US"/>
        </w:rPr>
        <w:t xml:space="preserve">the </w:t>
      </w:r>
      <w:r w:rsidR="001300B3" w:rsidRPr="006E20A2">
        <w:rPr>
          <w:rFonts w:ascii="Arial" w:hAnsi="Arial"/>
          <w:sz w:val="20"/>
          <w:lang w:val="en-US"/>
        </w:rPr>
        <w:t>Act on Changes and Amendments of APMLFT-1 (</w:t>
      </w:r>
      <w:r w:rsidR="00192999">
        <w:rPr>
          <w:rFonts w:ascii="Arial" w:hAnsi="Arial"/>
          <w:sz w:val="20"/>
          <w:lang w:val="en-US"/>
        </w:rPr>
        <w:t>APMLFT</w:t>
      </w:r>
      <w:r w:rsidR="001300B3" w:rsidRPr="006E20A2">
        <w:rPr>
          <w:rFonts w:ascii="Arial" w:hAnsi="Arial"/>
          <w:sz w:val="20"/>
          <w:lang w:val="en-US"/>
        </w:rPr>
        <w:t xml:space="preserve">-1B) were prepared, the proposal of </w:t>
      </w:r>
      <w:r w:rsidR="00C45C7D">
        <w:rPr>
          <w:rFonts w:ascii="Arial" w:hAnsi="Arial"/>
          <w:sz w:val="20"/>
          <w:lang w:val="en-US"/>
        </w:rPr>
        <w:t xml:space="preserve">the </w:t>
      </w:r>
      <w:r w:rsidR="001300B3" w:rsidRPr="006E20A2">
        <w:rPr>
          <w:rFonts w:ascii="Arial" w:hAnsi="Arial"/>
          <w:sz w:val="20"/>
          <w:lang w:val="en-US"/>
        </w:rPr>
        <w:t xml:space="preserve">new Act on Changes and Amendments of APMLFT-1 (APMLFT-1C) was prepared </w:t>
      </w:r>
      <w:proofErr w:type="gramStart"/>
      <w:r w:rsidR="001300B3" w:rsidRPr="006E20A2">
        <w:rPr>
          <w:rFonts w:ascii="Arial" w:hAnsi="Arial"/>
          <w:sz w:val="20"/>
          <w:lang w:val="en-US"/>
        </w:rPr>
        <w:t>and also</w:t>
      </w:r>
      <w:proofErr w:type="gramEnd"/>
      <w:r w:rsidR="001300B3" w:rsidRPr="006E20A2">
        <w:rPr>
          <w:rFonts w:ascii="Arial" w:hAnsi="Arial"/>
          <w:sz w:val="20"/>
          <w:lang w:val="en-US"/>
        </w:rPr>
        <w:t xml:space="preserve"> the process of incorporating </w:t>
      </w:r>
      <w:r w:rsidR="00C45C7D">
        <w:rPr>
          <w:rFonts w:ascii="Arial" w:hAnsi="Arial"/>
          <w:sz w:val="20"/>
          <w:lang w:val="en-US"/>
        </w:rPr>
        <w:t xml:space="preserve">the </w:t>
      </w:r>
      <w:r w:rsidR="001300B3" w:rsidRPr="006E20A2">
        <w:rPr>
          <w:rFonts w:ascii="Arial" w:hAnsi="Arial"/>
          <w:sz w:val="20"/>
          <w:lang w:val="en-US"/>
        </w:rPr>
        <w:t xml:space="preserve">Act on Changes and Amendments of APMLFT-1 (APMLFT-1C) into </w:t>
      </w:r>
      <w:r w:rsidR="00C45C7D">
        <w:rPr>
          <w:rFonts w:ascii="Arial" w:hAnsi="Arial"/>
          <w:sz w:val="20"/>
          <w:lang w:val="en-US"/>
        </w:rPr>
        <w:t xml:space="preserve">the </w:t>
      </w:r>
      <w:r w:rsidR="001300B3" w:rsidRPr="006E20A2">
        <w:rPr>
          <w:rFonts w:ascii="Arial" w:hAnsi="Arial"/>
          <w:sz w:val="20"/>
          <w:lang w:val="en-US"/>
        </w:rPr>
        <w:t xml:space="preserve">new APMLFT-2 started. </w:t>
      </w:r>
      <w:r w:rsidR="00C45C7D">
        <w:rPr>
          <w:rFonts w:ascii="Arial" w:hAnsi="Arial"/>
          <w:sz w:val="20"/>
          <w:lang w:val="en-US"/>
        </w:rPr>
        <w:t>The n</w:t>
      </w:r>
      <w:r w:rsidRPr="006E20A2">
        <w:rPr>
          <w:rFonts w:ascii="Arial" w:hAnsi="Arial"/>
          <w:sz w:val="20"/>
          <w:lang w:val="en-US"/>
        </w:rPr>
        <w:t>ew proposal for APMLFT-2 was prepared and five proposals of by-law</w:t>
      </w:r>
      <w:r w:rsidR="008B767C">
        <w:rPr>
          <w:rFonts w:ascii="Arial" w:hAnsi="Arial"/>
          <w:sz w:val="20"/>
          <w:lang w:val="en-US"/>
        </w:rPr>
        <w:t>s as well.</w:t>
      </w:r>
    </w:p>
    <w:p w14:paraId="03147CF1" w14:textId="0CA3B683" w:rsidR="005A1458" w:rsidRDefault="005A1458" w:rsidP="00870427">
      <w:pPr>
        <w:spacing w:line="276" w:lineRule="auto"/>
        <w:rPr>
          <w:rFonts w:ascii="Arial" w:hAnsi="Arial"/>
          <w:sz w:val="20"/>
          <w:lang w:val="en-US"/>
        </w:rPr>
      </w:pPr>
    </w:p>
    <w:p w14:paraId="09DF8DD9" w14:textId="70467D9C" w:rsidR="00A236CE" w:rsidRDefault="00CA770D" w:rsidP="00BA5BC9">
      <w:pPr>
        <w:pStyle w:val="Naslov3"/>
        <w:rPr>
          <w:lang w:val="en-US"/>
        </w:rPr>
      </w:pPr>
      <w:bookmarkStart w:id="58" w:name="_Toc402346329"/>
      <w:bookmarkStart w:id="59" w:name="_Toc463955069"/>
      <w:bookmarkStart w:id="60" w:name="_Toc499807224"/>
      <w:bookmarkStart w:id="61" w:name="_Toc529353594"/>
      <w:bookmarkStart w:id="62" w:name="_Toc51576297"/>
      <w:bookmarkStart w:id="63" w:name="_Toc113535482"/>
      <w:bookmarkStart w:id="64" w:name="_Hlk69971145"/>
      <w:bookmarkStart w:id="65" w:name="_Toc227744141"/>
      <w:bookmarkStart w:id="66" w:name="_Toc292714852"/>
      <w:bookmarkStart w:id="67" w:name="_Toc402346330"/>
      <w:bookmarkEnd w:id="56"/>
      <w:bookmarkEnd w:id="57"/>
      <w:r w:rsidRPr="006E20A2">
        <w:rPr>
          <w:lang w:val="en-US"/>
        </w:rPr>
        <w:t>5.1.</w:t>
      </w:r>
      <w:r w:rsidR="004176BF" w:rsidRPr="006E20A2">
        <w:rPr>
          <w:lang w:val="en-US"/>
        </w:rPr>
        <w:t xml:space="preserve">6 </w:t>
      </w:r>
      <w:bookmarkStart w:id="68" w:name="_Toc119581717"/>
      <w:bookmarkEnd w:id="58"/>
      <w:bookmarkEnd w:id="59"/>
      <w:bookmarkEnd w:id="60"/>
      <w:bookmarkEnd w:id="61"/>
      <w:bookmarkEnd w:id="62"/>
      <w:bookmarkEnd w:id="63"/>
      <w:r w:rsidR="001300B3" w:rsidRPr="006E20A2">
        <w:rPr>
          <w:lang w:val="en-US"/>
        </w:rPr>
        <w:t>Written opinions and views referring to implementation of AMLFT-1</w:t>
      </w:r>
      <w:bookmarkEnd w:id="68"/>
    </w:p>
    <w:p w14:paraId="5B4DB771" w14:textId="77777777" w:rsidR="00195336" w:rsidRPr="00195336" w:rsidRDefault="00195336" w:rsidP="00195336">
      <w:pPr>
        <w:rPr>
          <w:lang w:val="en-US"/>
        </w:rPr>
      </w:pPr>
    </w:p>
    <w:p w14:paraId="38C7E422" w14:textId="50BB4ACD" w:rsidR="00DC314D" w:rsidRPr="006E20A2" w:rsidRDefault="00DC314D" w:rsidP="00DC314D">
      <w:pPr>
        <w:spacing w:line="276" w:lineRule="auto"/>
        <w:rPr>
          <w:rFonts w:ascii="Arial" w:hAnsi="Arial"/>
          <w:sz w:val="20"/>
          <w:lang w:val="en-US"/>
        </w:rPr>
      </w:pPr>
      <w:r w:rsidRPr="006E20A2">
        <w:rPr>
          <w:rFonts w:ascii="Arial" w:hAnsi="Arial"/>
          <w:sz w:val="20"/>
          <w:lang w:val="en-US"/>
        </w:rPr>
        <w:t xml:space="preserve">In 2020, the OMLP gave 90 written opinions/points of view </w:t>
      </w:r>
      <w:proofErr w:type="gramStart"/>
      <w:r w:rsidRPr="006E20A2">
        <w:rPr>
          <w:rFonts w:ascii="Arial" w:hAnsi="Arial"/>
          <w:sz w:val="20"/>
          <w:lang w:val="en-US"/>
        </w:rPr>
        <w:t>with regard to</w:t>
      </w:r>
      <w:proofErr w:type="gramEnd"/>
      <w:r w:rsidRPr="006E20A2">
        <w:rPr>
          <w:rFonts w:ascii="Arial" w:hAnsi="Arial"/>
          <w:sz w:val="20"/>
          <w:lang w:val="en-US"/>
        </w:rPr>
        <w:t xml:space="preserve"> the implementation of APMLFT-1, which </w:t>
      </w:r>
      <w:r w:rsidR="008B767C">
        <w:rPr>
          <w:rFonts w:ascii="Arial" w:hAnsi="Arial"/>
          <w:sz w:val="20"/>
          <w:lang w:val="en-US"/>
        </w:rPr>
        <w:t>was</w:t>
      </w:r>
      <w:r w:rsidRPr="006E20A2">
        <w:rPr>
          <w:rFonts w:ascii="Arial" w:hAnsi="Arial"/>
          <w:sz w:val="20"/>
          <w:lang w:val="en-US"/>
        </w:rPr>
        <w:t xml:space="preserve"> almost 60 % less </w:t>
      </w:r>
      <w:r w:rsidR="008B767C">
        <w:rPr>
          <w:rFonts w:ascii="Arial" w:hAnsi="Arial"/>
          <w:sz w:val="20"/>
          <w:lang w:val="en-US"/>
        </w:rPr>
        <w:t>in comparison with</w:t>
      </w:r>
      <w:r w:rsidRPr="006E20A2">
        <w:rPr>
          <w:rFonts w:ascii="Arial" w:hAnsi="Arial"/>
          <w:sz w:val="20"/>
          <w:lang w:val="en-US"/>
        </w:rPr>
        <w:t xml:space="preserve"> 2019. The reason </w:t>
      </w:r>
      <w:r w:rsidR="008B767C">
        <w:rPr>
          <w:rFonts w:ascii="Arial" w:hAnsi="Arial"/>
          <w:sz w:val="20"/>
          <w:lang w:val="en-US"/>
        </w:rPr>
        <w:t xml:space="preserve">for this lies in decreased number of </w:t>
      </w:r>
      <w:r w:rsidRPr="006E20A2">
        <w:rPr>
          <w:rFonts w:ascii="Arial" w:hAnsi="Arial"/>
          <w:sz w:val="20"/>
          <w:lang w:val="en-US"/>
        </w:rPr>
        <w:t xml:space="preserve">questions related to entering the data into beneficial ownership register </w:t>
      </w:r>
      <w:r w:rsidR="008B767C">
        <w:rPr>
          <w:rFonts w:ascii="Arial" w:hAnsi="Arial"/>
          <w:sz w:val="20"/>
          <w:lang w:val="en-US"/>
        </w:rPr>
        <w:t>in 2020.</w:t>
      </w:r>
    </w:p>
    <w:p w14:paraId="6C2DA2B5" w14:textId="77777777" w:rsidR="00DC314D" w:rsidRPr="006E20A2" w:rsidRDefault="00DC314D" w:rsidP="00DC314D">
      <w:pPr>
        <w:spacing w:line="276" w:lineRule="auto"/>
        <w:rPr>
          <w:rFonts w:ascii="Arial" w:hAnsi="Arial"/>
          <w:sz w:val="20"/>
          <w:lang w:val="en-US"/>
        </w:rPr>
      </w:pPr>
    </w:p>
    <w:p w14:paraId="6787BA80" w14:textId="526A1A29" w:rsidR="00DC314D" w:rsidRPr="006E20A2" w:rsidRDefault="00192999" w:rsidP="00DC314D">
      <w:pPr>
        <w:spacing w:line="276" w:lineRule="auto"/>
        <w:rPr>
          <w:rFonts w:ascii="Arial" w:hAnsi="Arial"/>
          <w:sz w:val="20"/>
          <w:lang w:val="en-US"/>
        </w:rPr>
      </w:pPr>
      <w:r w:rsidRPr="006E20A2">
        <w:rPr>
          <w:rFonts w:ascii="Arial" w:hAnsi="Arial"/>
          <w:sz w:val="20"/>
          <w:lang w:val="en-US"/>
        </w:rPr>
        <w:t>Nonetheless</w:t>
      </w:r>
      <w:r w:rsidR="00DC314D" w:rsidRPr="006E20A2">
        <w:rPr>
          <w:rFonts w:ascii="Arial" w:hAnsi="Arial"/>
          <w:sz w:val="20"/>
          <w:lang w:val="en-US"/>
        </w:rPr>
        <w:t xml:space="preserve">, there was a need to coordinate the opinions regarding the implementation of the act with other supervisors. In </w:t>
      </w:r>
      <w:r w:rsidR="009759DE" w:rsidRPr="006E20A2">
        <w:rPr>
          <w:rFonts w:ascii="Arial" w:hAnsi="Arial"/>
          <w:sz w:val="20"/>
          <w:lang w:val="en-US"/>
        </w:rPr>
        <w:t>general,</w:t>
      </w:r>
      <w:r w:rsidR="00DC314D" w:rsidRPr="006E20A2">
        <w:rPr>
          <w:rFonts w:ascii="Arial" w:hAnsi="Arial"/>
          <w:sz w:val="20"/>
          <w:lang w:val="en-US"/>
        </w:rPr>
        <w:t xml:space="preserve"> it was acknowledged that the questions or requests for opinion regarding the interpretation of implementation of legal provisions </w:t>
      </w:r>
      <w:r w:rsidR="008B767C">
        <w:rPr>
          <w:rFonts w:ascii="Arial" w:hAnsi="Arial"/>
          <w:sz w:val="20"/>
          <w:lang w:val="en-US"/>
        </w:rPr>
        <w:t>were</w:t>
      </w:r>
      <w:r w:rsidR="00DC314D" w:rsidRPr="006E20A2">
        <w:rPr>
          <w:rFonts w:ascii="Arial" w:hAnsi="Arial"/>
          <w:sz w:val="20"/>
          <w:lang w:val="en-US"/>
        </w:rPr>
        <w:t xml:space="preserve"> becoming more demanding and complex, which </w:t>
      </w:r>
      <w:r w:rsidR="008B767C">
        <w:rPr>
          <w:rFonts w:ascii="Arial" w:hAnsi="Arial"/>
          <w:sz w:val="20"/>
          <w:lang w:val="en-US"/>
        </w:rPr>
        <w:t>required</w:t>
      </w:r>
      <w:r w:rsidR="00DC314D" w:rsidRPr="006E20A2">
        <w:rPr>
          <w:rFonts w:ascii="Arial" w:hAnsi="Arial"/>
          <w:sz w:val="20"/>
          <w:lang w:val="en-US"/>
        </w:rPr>
        <w:t xml:space="preserve"> more </w:t>
      </w:r>
      <w:r w:rsidR="008B767C">
        <w:rPr>
          <w:rFonts w:ascii="Arial" w:hAnsi="Arial"/>
          <w:sz w:val="20"/>
          <w:lang w:val="en-US"/>
        </w:rPr>
        <w:t xml:space="preserve">human </w:t>
      </w:r>
      <w:r w:rsidR="00DC314D" w:rsidRPr="006E20A2">
        <w:rPr>
          <w:rFonts w:ascii="Arial" w:hAnsi="Arial"/>
          <w:sz w:val="20"/>
          <w:lang w:val="en-US"/>
        </w:rPr>
        <w:t>resources of the OMLP</w:t>
      </w:r>
      <w:r w:rsidR="008B767C">
        <w:rPr>
          <w:rFonts w:ascii="Arial" w:hAnsi="Arial"/>
          <w:sz w:val="20"/>
          <w:lang w:val="en-US"/>
        </w:rPr>
        <w:t xml:space="preserve">. On the other hand, it showed </w:t>
      </w:r>
      <w:r w:rsidR="00DC314D" w:rsidRPr="006E20A2">
        <w:rPr>
          <w:rFonts w:ascii="Arial" w:hAnsi="Arial"/>
          <w:sz w:val="20"/>
          <w:lang w:val="en-US"/>
        </w:rPr>
        <w:t xml:space="preserve">the improvement of quality </w:t>
      </w:r>
      <w:r w:rsidR="008B767C">
        <w:rPr>
          <w:rFonts w:ascii="Arial" w:hAnsi="Arial"/>
          <w:sz w:val="20"/>
          <w:lang w:val="en-US"/>
        </w:rPr>
        <w:t>of</w:t>
      </w:r>
      <w:r w:rsidR="00DC314D" w:rsidRPr="006E20A2">
        <w:rPr>
          <w:rFonts w:ascii="Arial" w:hAnsi="Arial"/>
          <w:sz w:val="20"/>
          <w:lang w:val="en-US"/>
        </w:rPr>
        <w:t xml:space="preserve"> work of certain types of obliged entities at </w:t>
      </w:r>
      <w:r w:rsidR="00C45C7D">
        <w:rPr>
          <w:rFonts w:ascii="Arial" w:hAnsi="Arial"/>
          <w:sz w:val="20"/>
          <w:lang w:val="en-US"/>
        </w:rPr>
        <w:t xml:space="preserve">the </w:t>
      </w:r>
      <w:r w:rsidR="00DC314D" w:rsidRPr="006E20A2">
        <w:rPr>
          <w:rFonts w:ascii="Arial" w:hAnsi="Arial"/>
          <w:sz w:val="20"/>
          <w:lang w:val="en-US"/>
        </w:rPr>
        <w:t xml:space="preserve">implementation of measures to prevent money laundering and terrorist financing in the framework of their business activity. </w:t>
      </w:r>
    </w:p>
    <w:p w14:paraId="1619C7AD" w14:textId="77777777" w:rsidR="00DC314D" w:rsidRPr="006E20A2" w:rsidRDefault="00DC314D" w:rsidP="00DC314D">
      <w:pPr>
        <w:spacing w:line="276" w:lineRule="auto"/>
        <w:rPr>
          <w:rFonts w:ascii="Arial" w:hAnsi="Arial"/>
          <w:sz w:val="20"/>
          <w:lang w:val="en-US"/>
        </w:rPr>
      </w:pPr>
    </w:p>
    <w:p w14:paraId="5D0AABA5" w14:textId="7DB081E7" w:rsidR="00DC314D" w:rsidRPr="006E20A2" w:rsidRDefault="00DC314D" w:rsidP="00DC314D">
      <w:pPr>
        <w:spacing w:line="276" w:lineRule="auto"/>
        <w:rPr>
          <w:rFonts w:ascii="Arial" w:hAnsi="Arial"/>
          <w:sz w:val="20"/>
          <w:lang w:val="en-US"/>
        </w:rPr>
      </w:pPr>
      <w:r w:rsidRPr="006E20A2">
        <w:rPr>
          <w:rFonts w:ascii="Arial" w:hAnsi="Arial"/>
          <w:sz w:val="20"/>
          <w:lang w:val="en-US"/>
        </w:rPr>
        <w:t xml:space="preserve">The OMLP gave opinions/points of view mainly </w:t>
      </w:r>
      <w:proofErr w:type="gramStart"/>
      <w:r w:rsidRPr="006E20A2">
        <w:rPr>
          <w:rFonts w:ascii="Arial" w:hAnsi="Arial"/>
          <w:sz w:val="20"/>
          <w:lang w:val="en-US"/>
        </w:rPr>
        <w:t>with regard to</w:t>
      </w:r>
      <w:proofErr w:type="gramEnd"/>
      <w:r w:rsidRPr="006E20A2">
        <w:rPr>
          <w:rFonts w:ascii="Arial" w:hAnsi="Arial"/>
          <w:sz w:val="20"/>
          <w:lang w:val="en-US"/>
        </w:rPr>
        <w:t xml:space="preserve"> the following contents areas related to implementation of APMLTF-1</w:t>
      </w:r>
      <w:r w:rsidR="008B767C">
        <w:rPr>
          <w:rFonts w:ascii="Arial" w:hAnsi="Arial"/>
          <w:sz w:val="20"/>
          <w:lang w:val="en-US"/>
        </w:rPr>
        <w:t>, as follows:</w:t>
      </w:r>
    </w:p>
    <w:p w14:paraId="3386EA75" w14:textId="77777777" w:rsidR="00A236CE" w:rsidRPr="006E20A2" w:rsidRDefault="00A236CE" w:rsidP="00A236CE">
      <w:pPr>
        <w:widowControl/>
        <w:spacing w:line="276" w:lineRule="auto"/>
        <w:rPr>
          <w:rFonts w:ascii="Arial" w:hAnsi="Arial"/>
          <w:sz w:val="20"/>
          <w:lang w:val="en-US"/>
        </w:rPr>
      </w:pPr>
    </w:p>
    <w:p w14:paraId="43DCD3C1" w14:textId="77777777" w:rsidR="007E49AE"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CDD via third person</w:t>
      </w:r>
      <w:r w:rsidR="007E49AE" w:rsidRPr="006E20A2">
        <w:rPr>
          <w:rFonts w:ascii="Arial" w:hAnsi="Arial"/>
          <w:sz w:val="20"/>
          <w:lang w:val="en-US"/>
        </w:rPr>
        <w:t>,</w:t>
      </w:r>
    </w:p>
    <w:p w14:paraId="1AF6800B" w14:textId="4CECA61A" w:rsidR="00A236CE" w:rsidRPr="006E20A2" w:rsidRDefault="007E49AE"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 xml:space="preserve">termination of business </w:t>
      </w:r>
      <w:r w:rsidR="00192999" w:rsidRPr="006E20A2">
        <w:rPr>
          <w:rFonts w:ascii="Arial" w:hAnsi="Arial"/>
          <w:sz w:val="20"/>
          <w:lang w:val="en-US"/>
        </w:rPr>
        <w:t>relationship</w:t>
      </w:r>
      <w:r w:rsidRPr="006E20A2">
        <w:rPr>
          <w:rFonts w:ascii="Arial" w:hAnsi="Arial"/>
          <w:sz w:val="20"/>
          <w:lang w:val="en-US"/>
        </w:rPr>
        <w:t xml:space="preserve"> according to APMLFT-1,</w:t>
      </w:r>
    </w:p>
    <w:p w14:paraId="5E4E0D3F" w14:textId="64BBEA86" w:rsidR="00C561C7"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 xml:space="preserve">entering data </w:t>
      </w:r>
      <w:r w:rsidR="008B767C">
        <w:rPr>
          <w:rFonts w:ascii="Arial" w:hAnsi="Arial"/>
          <w:sz w:val="20"/>
          <w:lang w:val="en-US"/>
        </w:rPr>
        <w:t>to the</w:t>
      </w:r>
      <w:r w:rsidRPr="006E20A2">
        <w:rPr>
          <w:rFonts w:ascii="Arial" w:hAnsi="Arial"/>
          <w:sz w:val="20"/>
          <w:lang w:val="en-US"/>
        </w:rPr>
        <w:t xml:space="preserve"> beneficial ownership register</w:t>
      </w:r>
      <w:r w:rsidR="007E49AE" w:rsidRPr="006E20A2">
        <w:rPr>
          <w:rFonts w:ascii="Arial" w:hAnsi="Arial"/>
          <w:sz w:val="20"/>
          <w:lang w:val="en-US"/>
        </w:rPr>
        <w:t>,</w:t>
      </w:r>
    </w:p>
    <w:p w14:paraId="3A16F74D" w14:textId="15889878" w:rsidR="00A236CE"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new obliged entities that perform activities related to virtual currencies</w:t>
      </w:r>
      <w:r w:rsidR="007E49AE" w:rsidRPr="006E20A2">
        <w:rPr>
          <w:rFonts w:ascii="Arial" w:hAnsi="Arial"/>
          <w:sz w:val="20"/>
          <w:lang w:val="en-US"/>
        </w:rPr>
        <w:t>,</w:t>
      </w:r>
    </w:p>
    <w:p w14:paraId="288957E5" w14:textId="19BE6F19" w:rsidR="00C561C7"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determination of political exposure</w:t>
      </w:r>
      <w:r w:rsidR="007E49AE" w:rsidRPr="006E20A2">
        <w:rPr>
          <w:rFonts w:ascii="Arial" w:hAnsi="Arial"/>
          <w:sz w:val="20"/>
          <w:lang w:val="en-US"/>
        </w:rPr>
        <w:t>,</w:t>
      </w:r>
    </w:p>
    <w:p w14:paraId="7BF9B0D2" w14:textId="131E72D8" w:rsidR="007E49AE" w:rsidRPr="006E20A2" w:rsidRDefault="007E49AE" w:rsidP="007E49AE">
      <w:pPr>
        <w:pStyle w:val="Odstavekseznama"/>
        <w:numPr>
          <w:ilvl w:val="0"/>
          <w:numId w:val="22"/>
        </w:numPr>
        <w:spacing w:line="360" w:lineRule="auto"/>
        <w:rPr>
          <w:rFonts w:ascii="Arial" w:hAnsi="Arial"/>
          <w:sz w:val="20"/>
          <w:lang w:val="en-US"/>
        </w:rPr>
      </w:pPr>
      <w:r w:rsidRPr="006E20A2">
        <w:rPr>
          <w:rFonts w:ascii="Arial" w:hAnsi="Arial"/>
          <w:sz w:val="20"/>
          <w:lang w:val="en-US"/>
        </w:rPr>
        <w:t xml:space="preserve">CDD obligations in </w:t>
      </w:r>
      <w:r w:rsidR="00192999" w:rsidRPr="006E20A2">
        <w:rPr>
          <w:rFonts w:ascii="Arial" w:hAnsi="Arial"/>
          <w:sz w:val="20"/>
          <w:lang w:val="en-US"/>
        </w:rPr>
        <w:t>occasional</w:t>
      </w:r>
      <w:r w:rsidRPr="006E20A2">
        <w:rPr>
          <w:rFonts w:ascii="Arial" w:hAnsi="Arial"/>
          <w:sz w:val="20"/>
          <w:lang w:val="en-US"/>
        </w:rPr>
        <w:t xml:space="preserve"> transactions,</w:t>
      </w:r>
    </w:p>
    <w:p w14:paraId="351044EE" w14:textId="4B7A86E9" w:rsidR="00A236CE" w:rsidRPr="006E20A2" w:rsidRDefault="00C561C7" w:rsidP="007E49AE">
      <w:pPr>
        <w:pStyle w:val="Odstavekseznama"/>
        <w:numPr>
          <w:ilvl w:val="0"/>
          <w:numId w:val="22"/>
        </w:numPr>
        <w:spacing w:line="360" w:lineRule="auto"/>
        <w:rPr>
          <w:rFonts w:ascii="Arial" w:hAnsi="Arial"/>
          <w:sz w:val="20"/>
          <w:lang w:val="en-US"/>
        </w:rPr>
      </w:pPr>
      <w:r w:rsidRPr="006E20A2">
        <w:rPr>
          <w:rFonts w:ascii="Arial" w:hAnsi="Arial"/>
          <w:sz w:val="20"/>
          <w:lang w:val="en-US"/>
        </w:rPr>
        <w:t xml:space="preserve">CDD </w:t>
      </w:r>
      <w:r w:rsidR="00192999" w:rsidRPr="006E20A2">
        <w:rPr>
          <w:rFonts w:ascii="Arial" w:hAnsi="Arial"/>
          <w:sz w:val="20"/>
          <w:lang w:val="en-US"/>
        </w:rPr>
        <w:t>according</w:t>
      </w:r>
      <w:r w:rsidRPr="006E20A2">
        <w:rPr>
          <w:rFonts w:ascii="Arial" w:hAnsi="Arial"/>
          <w:sz w:val="20"/>
          <w:lang w:val="en-US"/>
        </w:rPr>
        <w:t xml:space="preserve"> to Article 17. of APMLFT-1</w:t>
      </w:r>
      <w:r w:rsidR="00C45C7D">
        <w:rPr>
          <w:rFonts w:ascii="Arial" w:hAnsi="Arial"/>
          <w:sz w:val="20"/>
          <w:lang w:val="en-US"/>
        </w:rPr>
        <w:t>,</w:t>
      </w:r>
    </w:p>
    <w:p w14:paraId="15DEEAF8" w14:textId="667AA7D5" w:rsidR="00C561C7"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performing measures according to the APMLFT-1</w:t>
      </w:r>
      <w:r w:rsidR="007E49AE" w:rsidRPr="006E20A2">
        <w:rPr>
          <w:rFonts w:ascii="Arial" w:hAnsi="Arial"/>
          <w:sz w:val="20"/>
          <w:lang w:val="en-US"/>
        </w:rPr>
        <w:t>,</w:t>
      </w:r>
    </w:p>
    <w:p w14:paraId="58D1B2F8" w14:textId="4130EC56" w:rsidR="00C561C7"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performing CDD via video-electronic identification</w:t>
      </w:r>
      <w:r w:rsidR="007E49AE" w:rsidRPr="006E20A2">
        <w:rPr>
          <w:rFonts w:ascii="Arial" w:hAnsi="Arial"/>
          <w:sz w:val="20"/>
          <w:lang w:val="en-US"/>
        </w:rPr>
        <w:t>,</w:t>
      </w:r>
    </w:p>
    <w:p w14:paraId="5874DF07" w14:textId="4D06E75F" w:rsidR="00A236CE"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CDD via external contractor</w:t>
      </w:r>
      <w:r w:rsidR="007E49AE" w:rsidRPr="006E20A2">
        <w:rPr>
          <w:rFonts w:ascii="Arial" w:hAnsi="Arial"/>
          <w:sz w:val="20"/>
          <w:lang w:val="en-US"/>
        </w:rPr>
        <w:t>,</w:t>
      </w:r>
    </w:p>
    <w:p w14:paraId="169CEA6F" w14:textId="3986891F" w:rsidR="00A236CE" w:rsidRPr="006E20A2" w:rsidRDefault="00C561C7" w:rsidP="007E49AE">
      <w:pPr>
        <w:pStyle w:val="Odstavekseznama"/>
        <w:numPr>
          <w:ilvl w:val="0"/>
          <w:numId w:val="22"/>
        </w:numPr>
        <w:spacing w:line="360" w:lineRule="auto"/>
        <w:rPr>
          <w:rFonts w:ascii="Arial" w:hAnsi="Arial"/>
          <w:sz w:val="20"/>
          <w:lang w:val="en-US"/>
        </w:rPr>
      </w:pPr>
      <w:r w:rsidRPr="006E20A2">
        <w:rPr>
          <w:rFonts w:ascii="Arial" w:hAnsi="Arial"/>
          <w:sz w:val="20"/>
          <w:lang w:val="en-US"/>
        </w:rPr>
        <w:t>appointment of representative and deputy representative</w:t>
      </w:r>
      <w:r w:rsidR="007E49AE" w:rsidRPr="006E20A2">
        <w:rPr>
          <w:rFonts w:ascii="Arial" w:hAnsi="Arial"/>
          <w:sz w:val="20"/>
          <w:lang w:val="en-US"/>
        </w:rPr>
        <w:t>,</w:t>
      </w:r>
    </w:p>
    <w:p w14:paraId="1CDA6477" w14:textId="2FB1A199" w:rsidR="00A236CE"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reasons for suspicion of money laundering and terrorist financing</w:t>
      </w:r>
      <w:r w:rsidR="007E49AE" w:rsidRPr="006E20A2">
        <w:rPr>
          <w:rFonts w:ascii="Arial" w:hAnsi="Arial"/>
          <w:sz w:val="20"/>
          <w:lang w:val="en-US"/>
        </w:rPr>
        <w:t>,</w:t>
      </w:r>
    </w:p>
    <w:p w14:paraId="014CEF4B" w14:textId="2059FD81" w:rsidR="00A236CE" w:rsidRPr="006E20A2" w:rsidRDefault="007E49AE" w:rsidP="007E49AE">
      <w:pPr>
        <w:pStyle w:val="Odstavekseznama"/>
        <w:numPr>
          <w:ilvl w:val="0"/>
          <w:numId w:val="22"/>
        </w:numPr>
        <w:spacing w:line="360" w:lineRule="auto"/>
        <w:rPr>
          <w:rFonts w:ascii="Arial" w:hAnsi="Arial"/>
          <w:sz w:val="20"/>
          <w:lang w:val="en-US"/>
        </w:rPr>
      </w:pPr>
      <w:r w:rsidRPr="006E20A2">
        <w:rPr>
          <w:rFonts w:ascii="Arial" w:hAnsi="Arial"/>
          <w:sz w:val="20"/>
          <w:lang w:val="en-US"/>
        </w:rPr>
        <w:t>o</w:t>
      </w:r>
      <w:r w:rsidR="00C561C7" w:rsidRPr="006E20A2">
        <w:rPr>
          <w:rFonts w:ascii="Arial" w:hAnsi="Arial"/>
          <w:sz w:val="20"/>
          <w:lang w:val="en-US"/>
        </w:rPr>
        <w:t>bligations of lawyers and notaries according to APMLTF-1</w:t>
      </w:r>
      <w:r w:rsidR="00A236CE" w:rsidRPr="006E20A2">
        <w:rPr>
          <w:rFonts w:ascii="Arial" w:hAnsi="Arial"/>
          <w:sz w:val="20"/>
          <w:lang w:val="en-US"/>
        </w:rPr>
        <w:t>,</w:t>
      </w:r>
    </w:p>
    <w:p w14:paraId="3B9F33CC" w14:textId="5FF5F19F" w:rsidR="00C561C7"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bearer shares and</w:t>
      </w:r>
      <w:r w:rsidR="007E49AE" w:rsidRPr="006E20A2">
        <w:rPr>
          <w:rFonts w:ascii="Arial" w:hAnsi="Arial"/>
          <w:sz w:val="20"/>
          <w:lang w:val="en-US"/>
        </w:rPr>
        <w:t>,</w:t>
      </w:r>
    </w:p>
    <w:p w14:paraId="6592EB74" w14:textId="77777777" w:rsidR="00C561C7" w:rsidRPr="006E20A2" w:rsidRDefault="00C561C7" w:rsidP="007E49AE">
      <w:pPr>
        <w:pStyle w:val="Odstavekseznama"/>
        <w:numPr>
          <w:ilvl w:val="0"/>
          <w:numId w:val="22"/>
        </w:numPr>
        <w:spacing w:after="120" w:line="360" w:lineRule="auto"/>
        <w:rPr>
          <w:rFonts w:ascii="Arial" w:hAnsi="Arial"/>
          <w:sz w:val="20"/>
          <w:lang w:val="en-US"/>
        </w:rPr>
      </w:pPr>
      <w:r w:rsidRPr="006E20A2">
        <w:rPr>
          <w:rFonts w:ascii="Arial" w:hAnsi="Arial"/>
          <w:sz w:val="20"/>
          <w:lang w:val="en-US"/>
        </w:rPr>
        <w:t>retention of data and documentation.</w:t>
      </w:r>
    </w:p>
    <w:p w14:paraId="738F80EE" w14:textId="369687B0" w:rsidR="00A236CE" w:rsidRPr="006E20A2" w:rsidRDefault="000C00C9" w:rsidP="00A236CE">
      <w:pPr>
        <w:widowControl/>
        <w:spacing w:line="276" w:lineRule="auto"/>
        <w:rPr>
          <w:rFonts w:ascii="Arial" w:hAnsi="Arial"/>
          <w:sz w:val="20"/>
          <w:lang w:val="en-US"/>
        </w:rPr>
      </w:pPr>
      <w:r w:rsidRPr="006E20A2">
        <w:rPr>
          <w:rFonts w:ascii="Arial" w:hAnsi="Arial"/>
          <w:sz w:val="20"/>
          <w:lang w:val="en-US"/>
        </w:rPr>
        <w:t xml:space="preserve">Instructions on how to perform the provisions of the APMLTF-1 related to politically exposed </w:t>
      </w:r>
      <w:r w:rsidR="00192999" w:rsidRPr="006E20A2">
        <w:rPr>
          <w:rFonts w:ascii="Arial" w:hAnsi="Arial"/>
          <w:sz w:val="20"/>
          <w:lang w:val="en-US"/>
        </w:rPr>
        <w:t>persons</w:t>
      </w:r>
      <w:r w:rsidRPr="006E20A2">
        <w:rPr>
          <w:rFonts w:ascii="Arial" w:hAnsi="Arial"/>
          <w:sz w:val="20"/>
          <w:lang w:val="en-US"/>
        </w:rPr>
        <w:t xml:space="preserve"> and beneficial owners were also published </w:t>
      </w:r>
      <w:r w:rsidR="008B767C">
        <w:rPr>
          <w:rFonts w:ascii="Arial" w:hAnsi="Arial"/>
          <w:sz w:val="20"/>
          <w:lang w:val="en-US"/>
        </w:rPr>
        <w:t>at</w:t>
      </w:r>
      <w:r w:rsidRPr="006E20A2">
        <w:rPr>
          <w:rFonts w:ascii="Arial" w:hAnsi="Arial"/>
          <w:sz w:val="20"/>
          <w:lang w:val="en-US"/>
        </w:rPr>
        <w:t xml:space="preserve"> the web site of the OMLP.</w:t>
      </w:r>
    </w:p>
    <w:p w14:paraId="3431CA2D" w14:textId="47E04C1F" w:rsidR="00EA2CA4" w:rsidRPr="006E20A2" w:rsidRDefault="00EA2CA4" w:rsidP="00BA5BC9">
      <w:pPr>
        <w:pStyle w:val="Naslov3"/>
        <w:rPr>
          <w:lang w:val="en-US"/>
        </w:rPr>
      </w:pPr>
      <w:bookmarkStart w:id="69" w:name="_Toc113535483"/>
      <w:bookmarkStart w:id="70" w:name="_Hlk83111922"/>
      <w:bookmarkStart w:id="71" w:name="_Hlk83131537"/>
      <w:r w:rsidRPr="006E20A2">
        <w:rPr>
          <w:lang w:val="en-US"/>
        </w:rPr>
        <w:lastRenderedPageBreak/>
        <w:t xml:space="preserve">5.1.7 </w:t>
      </w:r>
      <w:r w:rsidR="00BC6F88" w:rsidRPr="006E20A2">
        <w:rPr>
          <w:lang w:val="en-US"/>
        </w:rPr>
        <w:t xml:space="preserve">Updated report on </w:t>
      </w:r>
      <w:r w:rsidR="00C45C7D">
        <w:rPr>
          <w:lang w:val="en-US"/>
        </w:rPr>
        <w:t xml:space="preserve">the </w:t>
      </w:r>
      <w:r w:rsidR="00BC6F88" w:rsidRPr="006E20A2">
        <w:rPr>
          <w:lang w:val="en-US"/>
        </w:rPr>
        <w:t xml:space="preserve">implementation of national risk </w:t>
      </w:r>
      <w:r w:rsidR="00192999" w:rsidRPr="006E20A2">
        <w:rPr>
          <w:lang w:val="en-US"/>
        </w:rPr>
        <w:t>assessment</w:t>
      </w:r>
      <w:r w:rsidR="00BC6F88" w:rsidRPr="006E20A2">
        <w:rPr>
          <w:lang w:val="en-US"/>
        </w:rPr>
        <w:t xml:space="preserve"> of the Republic of Slovenia </w:t>
      </w:r>
      <w:proofErr w:type="gramStart"/>
      <w:r w:rsidR="00BC6F88" w:rsidRPr="006E20A2">
        <w:rPr>
          <w:lang w:val="en-US"/>
        </w:rPr>
        <w:t>in the area of</w:t>
      </w:r>
      <w:proofErr w:type="gramEnd"/>
      <w:r w:rsidR="00BC6F88" w:rsidRPr="006E20A2">
        <w:rPr>
          <w:lang w:val="en-US"/>
        </w:rPr>
        <w:t xml:space="preserve"> money laundering prevention and terrorist financing with data from</w:t>
      </w:r>
      <w:r w:rsidRPr="006E20A2">
        <w:rPr>
          <w:lang w:val="en-US"/>
        </w:rPr>
        <w:t xml:space="preserve"> 2016, 2017, 2018 </w:t>
      </w:r>
      <w:r w:rsidR="00BC6F88" w:rsidRPr="006E20A2">
        <w:rPr>
          <w:lang w:val="en-US"/>
        </w:rPr>
        <w:t>and</w:t>
      </w:r>
      <w:r w:rsidRPr="006E20A2">
        <w:rPr>
          <w:lang w:val="en-US"/>
        </w:rPr>
        <w:t xml:space="preserve"> 2019 </w:t>
      </w:r>
      <w:r w:rsidR="00BC6F88" w:rsidRPr="006E20A2">
        <w:rPr>
          <w:lang w:val="en-US"/>
        </w:rPr>
        <w:t xml:space="preserve">and </w:t>
      </w:r>
      <w:r w:rsidR="00C45C7D">
        <w:rPr>
          <w:lang w:val="en-US"/>
        </w:rPr>
        <w:t xml:space="preserve">the </w:t>
      </w:r>
      <w:r w:rsidR="00BC6F88" w:rsidRPr="006E20A2">
        <w:rPr>
          <w:lang w:val="en-US"/>
        </w:rPr>
        <w:t>Action Plan for reducing and eliminating the risk of money laundering or terrorism financing</w:t>
      </w:r>
      <w:bookmarkEnd w:id="69"/>
      <w:r w:rsidR="00BF7D37">
        <w:rPr>
          <w:lang w:val="en-US"/>
        </w:rPr>
        <w:t>.</w:t>
      </w:r>
    </w:p>
    <w:p w14:paraId="20F81073" w14:textId="77777777" w:rsidR="00EF2058" w:rsidRPr="006E20A2" w:rsidRDefault="00EF2058" w:rsidP="00EA2CA4">
      <w:pPr>
        <w:rPr>
          <w:rFonts w:ascii="Arial" w:hAnsi="Arial"/>
          <w:sz w:val="20"/>
          <w:lang w:val="en-US" w:eastAsia="sl-SI"/>
        </w:rPr>
      </w:pPr>
      <w:bookmarkStart w:id="72" w:name="_Hlk83131952"/>
      <w:bookmarkEnd w:id="70"/>
    </w:p>
    <w:p w14:paraId="366B834B" w14:textId="02D50B4C" w:rsidR="00EA2CA4" w:rsidRPr="006E20A2" w:rsidRDefault="00EB4416" w:rsidP="00FD702A">
      <w:pPr>
        <w:spacing w:line="276" w:lineRule="auto"/>
        <w:rPr>
          <w:rFonts w:ascii="Arial" w:hAnsi="Arial"/>
          <w:sz w:val="20"/>
          <w:lang w:val="en-US" w:eastAsia="sl-SI"/>
        </w:rPr>
      </w:pPr>
      <w:r w:rsidRPr="006E20A2">
        <w:rPr>
          <w:rFonts w:ascii="Arial" w:hAnsi="Arial"/>
          <w:sz w:val="20"/>
          <w:lang w:val="en-US" w:eastAsia="sl-SI"/>
        </w:rPr>
        <w:t xml:space="preserve">In 2020 the OMLP and other shareholders started to prepare the updated report </w:t>
      </w:r>
      <w:r w:rsidR="00C45C7D">
        <w:rPr>
          <w:rFonts w:ascii="Arial" w:hAnsi="Arial"/>
          <w:sz w:val="20"/>
          <w:lang w:val="en-US" w:eastAsia="sl-SI"/>
        </w:rPr>
        <w:t xml:space="preserve">on the </w:t>
      </w:r>
      <w:r w:rsidRPr="006E20A2">
        <w:rPr>
          <w:rFonts w:ascii="Arial" w:hAnsi="Arial"/>
          <w:sz w:val="20"/>
          <w:lang w:val="en-US"/>
        </w:rPr>
        <w:t xml:space="preserve">implementation of </w:t>
      </w:r>
      <w:r w:rsidR="00C45C7D">
        <w:rPr>
          <w:rFonts w:ascii="Arial" w:hAnsi="Arial"/>
          <w:sz w:val="20"/>
          <w:lang w:val="en-US"/>
        </w:rPr>
        <w:t xml:space="preserve">the </w:t>
      </w:r>
      <w:r w:rsidRPr="006E20A2">
        <w:rPr>
          <w:rFonts w:ascii="Arial" w:hAnsi="Arial"/>
          <w:sz w:val="20"/>
          <w:lang w:val="en-US"/>
        </w:rPr>
        <w:t xml:space="preserve">national risk </w:t>
      </w:r>
      <w:r w:rsidR="00192999" w:rsidRPr="006E20A2">
        <w:rPr>
          <w:rFonts w:ascii="Arial" w:hAnsi="Arial"/>
          <w:sz w:val="20"/>
          <w:lang w:val="en-US"/>
        </w:rPr>
        <w:t>assessment</w:t>
      </w:r>
      <w:r w:rsidRPr="006E20A2">
        <w:rPr>
          <w:rFonts w:ascii="Arial" w:hAnsi="Arial"/>
          <w:sz w:val="20"/>
          <w:lang w:val="en-US"/>
        </w:rPr>
        <w:t xml:space="preserve"> of the Republic of Slovenia</w:t>
      </w:r>
      <w:r w:rsidRPr="006E20A2">
        <w:rPr>
          <w:rFonts w:ascii="Arial" w:hAnsi="Arial"/>
          <w:sz w:val="20"/>
          <w:lang w:val="en-US" w:eastAsia="sl-SI"/>
        </w:rPr>
        <w:t>.</w:t>
      </w:r>
    </w:p>
    <w:p w14:paraId="5598B5E0" w14:textId="77777777" w:rsidR="00EA2CA4" w:rsidRPr="006E20A2" w:rsidRDefault="00EA2CA4" w:rsidP="00FD702A">
      <w:pPr>
        <w:spacing w:line="276" w:lineRule="auto"/>
        <w:rPr>
          <w:rFonts w:ascii="Arial" w:hAnsi="Arial"/>
          <w:sz w:val="20"/>
          <w:highlight w:val="yellow"/>
          <w:lang w:val="en-US" w:eastAsia="sl-SI"/>
        </w:rPr>
      </w:pPr>
    </w:p>
    <w:p w14:paraId="5E864636" w14:textId="550994B6" w:rsidR="00EA2CA4" w:rsidRPr="006E20A2" w:rsidRDefault="00C45C7D" w:rsidP="00FD702A">
      <w:pPr>
        <w:spacing w:line="276" w:lineRule="auto"/>
        <w:rPr>
          <w:rFonts w:ascii="Arial" w:hAnsi="Arial"/>
          <w:sz w:val="20"/>
          <w:lang w:val="en-US" w:eastAsia="sl-SI"/>
        </w:rPr>
      </w:pPr>
      <w:r>
        <w:rPr>
          <w:rFonts w:ascii="Arial" w:hAnsi="Arial"/>
          <w:sz w:val="20"/>
          <w:lang w:val="en-US"/>
        </w:rPr>
        <w:t>The u</w:t>
      </w:r>
      <w:r w:rsidRPr="006E20A2">
        <w:rPr>
          <w:rFonts w:ascii="Arial" w:hAnsi="Arial"/>
          <w:sz w:val="20"/>
          <w:lang w:val="en-US"/>
        </w:rPr>
        <w:t xml:space="preserve">pdated </w:t>
      </w:r>
      <w:r w:rsidR="00EB4416" w:rsidRPr="006E20A2">
        <w:rPr>
          <w:rFonts w:ascii="Arial" w:hAnsi="Arial"/>
          <w:sz w:val="20"/>
          <w:lang w:val="en-US"/>
        </w:rPr>
        <w:t xml:space="preserve">report on implementation of national risk </w:t>
      </w:r>
      <w:r w:rsidR="00192999" w:rsidRPr="006E20A2">
        <w:rPr>
          <w:rFonts w:ascii="Arial" w:hAnsi="Arial"/>
          <w:sz w:val="20"/>
          <w:lang w:val="en-US"/>
        </w:rPr>
        <w:t>assessment</w:t>
      </w:r>
      <w:r w:rsidR="00EB4416" w:rsidRPr="006E20A2">
        <w:rPr>
          <w:rFonts w:ascii="Arial" w:hAnsi="Arial"/>
          <w:sz w:val="20"/>
          <w:lang w:val="en-US"/>
        </w:rPr>
        <w:t xml:space="preserve"> of the Republic of Slovenia is the result of the activities of several shareholders in the ML/TF prevention </w:t>
      </w:r>
      <w:r w:rsidR="00ED5DA8" w:rsidRPr="006E20A2">
        <w:rPr>
          <w:rFonts w:ascii="Arial" w:hAnsi="Arial"/>
          <w:sz w:val="20"/>
          <w:lang w:val="en-US"/>
        </w:rPr>
        <w:t xml:space="preserve">that </w:t>
      </w:r>
      <w:r>
        <w:rPr>
          <w:rFonts w:ascii="Arial" w:hAnsi="Arial"/>
          <w:sz w:val="20"/>
          <w:lang w:val="en-US"/>
        </w:rPr>
        <w:t>took place</w:t>
      </w:r>
      <w:r w:rsidR="00ED5DA8" w:rsidRPr="006E20A2">
        <w:rPr>
          <w:rFonts w:ascii="Arial" w:hAnsi="Arial"/>
          <w:sz w:val="20"/>
          <w:lang w:val="en-US"/>
        </w:rPr>
        <w:t xml:space="preserve"> already three times. The aim of the National Risk </w:t>
      </w:r>
      <w:r w:rsidR="00192999" w:rsidRPr="006E20A2">
        <w:rPr>
          <w:rFonts w:ascii="Arial" w:hAnsi="Arial"/>
          <w:sz w:val="20"/>
          <w:lang w:val="en-US"/>
        </w:rPr>
        <w:t>Assessment</w:t>
      </w:r>
      <w:r w:rsidR="00ED5DA8" w:rsidRPr="006E20A2">
        <w:rPr>
          <w:rFonts w:ascii="Arial" w:hAnsi="Arial"/>
          <w:sz w:val="20"/>
          <w:lang w:val="en-US"/>
        </w:rPr>
        <w:t xml:space="preserve"> </w:t>
      </w:r>
      <w:r w:rsidR="00192999" w:rsidRPr="006E20A2">
        <w:rPr>
          <w:rFonts w:ascii="Arial" w:hAnsi="Arial"/>
          <w:sz w:val="20"/>
          <w:lang w:val="en-US"/>
        </w:rPr>
        <w:t>remains</w:t>
      </w:r>
      <w:r w:rsidR="00ED5DA8" w:rsidRPr="006E20A2">
        <w:rPr>
          <w:rFonts w:ascii="Arial" w:hAnsi="Arial"/>
          <w:sz w:val="20"/>
          <w:lang w:val="en-US"/>
        </w:rPr>
        <w:t xml:space="preserve"> the same since its beginning, namely the preparation of the basis for </w:t>
      </w:r>
      <w:r>
        <w:rPr>
          <w:rFonts w:ascii="Arial" w:hAnsi="Arial"/>
          <w:sz w:val="20"/>
          <w:lang w:val="en-US"/>
        </w:rPr>
        <w:t xml:space="preserve">the </w:t>
      </w:r>
      <w:r w:rsidR="00ED5DA8" w:rsidRPr="006E20A2">
        <w:rPr>
          <w:rFonts w:ascii="Arial" w:hAnsi="Arial"/>
          <w:sz w:val="20"/>
          <w:lang w:val="en-US"/>
        </w:rPr>
        <w:t xml:space="preserve">adoption of comprehensive measures that are based on risk. Risks for ML/TF are different, </w:t>
      </w:r>
      <w:r w:rsidR="00192999" w:rsidRPr="006E20A2">
        <w:rPr>
          <w:rFonts w:ascii="Arial" w:hAnsi="Arial"/>
          <w:sz w:val="20"/>
          <w:lang w:val="en-US"/>
        </w:rPr>
        <w:t>they</w:t>
      </w:r>
      <w:r w:rsidR="00ED5DA8" w:rsidRPr="006E20A2">
        <w:rPr>
          <w:rFonts w:ascii="Arial" w:hAnsi="Arial"/>
          <w:sz w:val="20"/>
          <w:lang w:val="en-US"/>
        </w:rPr>
        <w:t xml:space="preserve"> change as </w:t>
      </w:r>
      <w:r>
        <w:rPr>
          <w:rFonts w:ascii="Arial" w:hAnsi="Arial"/>
          <w:sz w:val="20"/>
          <w:lang w:val="en-US"/>
        </w:rPr>
        <w:t xml:space="preserve">a </w:t>
      </w:r>
      <w:r w:rsidR="00ED5DA8" w:rsidRPr="006E20A2">
        <w:rPr>
          <w:rFonts w:ascii="Arial" w:hAnsi="Arial"/>
          <w:sz w:val="20"/>
          <w:lang w:val="en-US"/>
        </w:rPr>
        <w:t>response to global trends in economy, with</w:t>
      </w:r>
      <w:r>
        <w:rPr>
          <w:rFonts w:ascii="Arial" w:hAnsi="Arial"/>
          <w:sz w:val="20"/>
          <w:lang w:val="en-US"/>
        </w:rPr>
        <w:t xml:space="preserve"> the</w:t>
      </w:r>
      <w:r w:rsidR="00ED5DA8" w:rsidRPr="006E20A2">
        <w:rPr>
          <w:rFonts w:ascii="Arial" w:hAnsi="Arial"/>
          <w:sz w:val="20"/>
          <w:lang w:val="en-US"/>
        </w:rPr>
        <w:t xml:space="preserve"> introduction of new regulatory provisions, with </w:t>
      </w:r>
      <w:r>
        <w:rPr>
          <w:rFonts w:ascii="Arial" w:hAnsi="Arial"/>
          <w:sz w:val="20"/>
          <w:lang w:val="en-US"/>
        </w:rPr>
        <w:t xml:space="preserve">the </w:t>
      </w:r>
      <w:r w:rsidR="00ED5DA8" w:rsidRPr="006E20A2">
        <w:rPr>
          <w:rFonts w:ascii="Arial" w:hAnsi="Arial"/>
          <w:sz w:val="20"/>
          <w:lang w:val="en-US"/>
        </w:rPr>
        <w:t xml:space="preserve">development of modern IT technologies. The approach that is based on the risk enables the competent state authorities and obliged entities to take measures that are </w:t>
      </w:r>
      <w:r w:rsidR="00192999" w:rsidRPr="006E20A2">
        <w:rPr>
          <w:rFonts w:ascii="Arial" w:hAnsi="Arial"/>
          <w:sz w:val="20"/>
          <w:lang w:val="en-US"/>
        </w:rPr>
        <w:t>proportionate</w:t>
      </w:r>
      <w:r w:rsidR="00ED5DA8" w:rsidRPr="006E20A2">
        <w:rPr>
          <w:rFonts w:ascii="Arial" w:hAnsi="Arial"/>
          <w:sz w:val="20"/>
          <w:lang w:val="en-US"/>
        </w:rPr>
        <w:t xml:space="preserve"> to </w:t>
      </w:r>
      <w:r>
        <w:rPr>
          <w:rFonts w:ascii="Arial" w:hAnsi="Arial"/>
          <w:sz w:val="20"/>
          <w:lang w:val="en-US"/>
        </w:rPr>
        <w:t xml:space="preserve">the </w:t>
      </w:r>
      <w:r w:rsidR="00FD702A" w:rsidRPr="006E20A2">
        <w:rPr>
          <w:rFonts w:ascii="Arial" w:hAnsi="Arial"/>
          <w:sz w:val="20"/>
          <w:lang w:val="en-US"/>
        </w:rPr>
        <w:t xml:space="preserve">perceived risk. The national risk </w:t>
      </w:r>
      <w:r w:rsidR="00192999" w:rsidRPr="006E20A2">
        <w:rPr>
          <w:rFonts w:ascii="Arial" w:hAnsi="Arial"/>
          <w:sz w:val="20"/>
          <w:lang w:val="en-US"/>
        </w:rPr>
        <w:t>assessment</w:t>
      </w:r>
      <w:r w:rsidR="00FD702A" w:rsidRPr="006E20A2">
        <w:rPr>
          <w:rFonts w:ascii="Arial" w:hAnsi="Arial"/>
          <w:sz w:val="20"/>
          <w:lang w:val="en-US"/>
        </w:rPr>
        <w:t xml:space="preserve"> is the key document in which these risks are recognized, </w:t>
      </w:r>
      <w:proofErr w:type="gramStart"/>
      <w:r w:rsidR="00FD702A" w:rsidRPr="006E20A2">
        <w:rPr>
          <w:rFonts w:ascii="Arial" w:hAnsi="Arial"/>
          <w:sz w:val="20"/>
          <w:lang w:val="en-US"/>
        </w:rPr>
        <w:t>understood</w:t>
      </w:r>
      <w:proofErr w:type="gramEnd"/>
      <w:r w:rsidR="00FD702A" w:rsidRPr="006E20A2">
        <w:rPr>
          <w:rFonts w:ascii="Arial" w:hAnsi="Arial"/>
          <w:sz w:val="20"/>
          <w:lang w:val="en-US"/>
        </w:rPr>
        <w:t xml:space="preserve"> and properly managed with the measures from the Action Plan.</w:t>
      </w:r>
      <w:r w:rsidR="00EA2CA4" w:rsidRPr="006E20A2">
        <w:rPr>
          <w:rFonts w:ascii="Arial" w:hAnsi="Arial"/>
          <w:sz w:val="20"/>
          <w:lang w:val="en-US" w:eastAsia="sl-SI"/>
        </w:rPr>
        <w:t xml:space="preserve"> </w:t>
      </w:r>
      <w:proofErr w:type="gramStart"/>
      <w:r w:rsidR="00FD702A" w:rsidRPr="006E20A2">
        <w:rPr>
          <w:rFonts w:ascii="Arial" w:hAnsi="Arial"/>
          <w:sz w:val="20"/>
          <w:lang w:val="en-US" w:eastAsia="sl-SI"/>
        </w:rPr>
        <w:t>Taking action</w:t>
      </w:r>
      <w:proofErr w:type="gramEnd"/>
      <w:r w:rsidR="00FD702A" w:rsidRPr="006E20A2">
        <w:rPr>
          <w:rFonts w:ascii="Arial" w:hAnsi="Arial"/>
          <w:sz w:val="20"/>
          <w:lang w:val="en-US" w:eastAsia="sl-SI"/>
        </w:rPr>
        <w:t xml:space="preserve"> on the basis of National risk </w:t>
      </w:r>
      <w:r w:rsidR="00192999" w:rsidRPr="006E20A2">
        <w:rPr>
          <w:rFonts w:ascii="Arial" w:hAnsi="Arial"/>
          <w:sz w:val="20"/>
          <w:lang w:val="en-US" w:eastAsia="sl-SI"/>
        </w:rPr>
        <w:t>assessment</w:t>
      </w:r>
      <w:r w:rsidR="00FD702A" w:rsidRPr="006E20A2">
        <w:rPr>
          <w:rFonts w:ascii="Arial" w:hAnsi="Arial"/>
          <w:sz w:val="20"/>
          <w:lang w:val="en-US" w:eastAsia="sl-SI"/>
        </w:rPr>
        <w:t xml:space="preserve"> means </w:t>
      </w:r>
      <w:r>
        <w:rPr>
          <w:rFonts w:ascii="Arial" w:hAnsi="Arial"/>
          <w:sz w:val="20"/>
          <w:lang w:val="en-US" w:eastAsia="sl-SI"/>
        </w:rPr>
        <w:t xml:space="preserve">a better </w:t>
      </w:r>
      <w:r w:rsidR="00FD702A" w:rsidRPr="006E20A2">
        <w:rPr>
          <w:rFonts w:ascii="Arial" w:hAnsi="Arial"/>
          <w:sz w:val="20"/>
          <w:lang w:val="en-US" w:eastAsia="sl-SI"/>
        </w:rPr>
        <w:t xml:space="preserve">targeted orientation on ML/TF risks that the Republic of Slovenia and shareholders faces in the area of ML/TF prevention. </w:t>
      </w:r>
    </w:p>
    <w:p w14:paraId="60407EC6" w14:textId="77777777" w:rsidR="00EA2CA4" w:rsidRPr="006E20A2" w:rsidRDefault="00EA2CA4" w:rsidP="00EA2CA4">
      <w:pPr>
        <w:rPr>
          <w:rFonts w:ascii="Arial" w:hAnsi="Arial"/>
          <w:sz w:val="20"/>
          <w:lang w:val="en-US" w:eastAsia="sl-SI"/>
        </w:rPr>
      </w:pPr>
    </w:p>
    <w:p w14:paraId="254C671F" w14:textId="2D671A5D" w:rsidR="00EA2CA4" w:rsidRPr="006E20A2" w:rsidRDefault="00FD702A" w:rsidP="0083738C">
      <w:pPr>
        <w:spacing w:line="276" w:lineRule="auto"/>
        <w:rPr>
          <w:rFonts w:ascii="Arial" w:hAnsi="Arial"/>
          <w:sz w:val="20"/>
          <w:lang w:val="en-US" w:eastAsia="sl-SI"/>
        </w:rPr>
      </w:pPr>
      <w:r w:rsidRPr="006E20A2">
        <w:rPr>
          <w:rFonts w:ascii="Arial" w:hAnsi="Arial"/>
          <w:sz w:val="20"/>
          <w:lang w:val="en-US" w:eastAsia="sl-SI"/>
        </w:rPr>
        <w:t xml:space="preserve">The adopted report on </w:t>
      </w:r>
      <w:r w:rsidR="00C45C7D">
        <w:rPr>
          <w:rFonts w:ascii="Arial" w:hAnsi="Arial"/>
          <w:sz w:val="20"/>
          <w:lang w:val="en-US" w:eastAsia="sl-SI"/>
        </w:rPr>
        <w:t xml:space="preserve">the </w:t>
      </w:r>
      <w:r w:rsidRPr="006E20A2">
        <w:rPr>
          <w:rFonts w:ascii="Arial" w:hAnsi="Arial"/>
          <w:sz w:val="20"/>
          <w:lang w:val="en-US" w:eastAsia="sl-SI"/>
        </w:rPr>
        <w:t>i</w:t>
      </w:r>
      <w:r w:rsidR="004570E2" w:rsidRPr="006E20A2">
        <w:rPr>
          <w:rFonts w:ascii="Arial" w:hAnsi="Arial"/>
          <w:sz w:val="20"/>
          <w:lang w:val="en-US" w:eastAsia="sl-SI"/>
        </w:rPr>
        <w:t>m</w:t>
      </w:r>
      <w:r w:rsidRPr="006E20A2">
        <w:rPr>
          <w:rFonts w:ascii="Arial" w:hAnsi="Arial"/>
          <w:sz w:val="20"/>
          <w:lang w:val="en-US" w:eastAsia="sl-SI"/>
        </w:rPr>
        <w:t xml:space="preserve">plementation of </w:t>
      </w:r>
      <w:r w:rsidR="00C45C7D">
        <w:rPr>
          <w:rFonts w:ascii="Arial" w:hAnsi="Arial"/>
          <w:sz w:val="20"/>
          <w:lang w:val="en-US" w:eastAsia="sl-SI"/>
        </w:rPr>
        <w:t xml:space="preserve">the </w:t>
      </w:r>
      <w:r w:rsidR="00192999" w:rsidRPr="006E20A2">
        <w:rPr>
          <w:rFonts w:ascii="Arial" w:hAnsi="Arial"/>
          <w:sz w:val="20"/>
          <w:lang w:val="en-US" w:eastAsia="sl-SI"/>
        </w:rPr>
        <w:t>national</w:t>
      </w:r>
      <w:r w:rsidRPr="006E20A2">
        <w:rPr>
          <w:rFonts w:ascii="Arial" w:hAnsi="Arial"/>
          <w:sz w:val="20"/>
          <w:lang w:val="en-US" w:eastAsia="sl-SI"/>
        </w:rPr>
        <w:t xml:space="preserve"> risk </w:t>
      </w:r>
      <w:r w:rsidR="00192999" w:rsidRPr="006E20A2">
        <w:rPr>
          <w:rFonts w:ascii="Arial" w:hAnsi="Arial"/>
          <w:sz w:val="20"/>
          <w:lang w:val="en-US" w:eastAsia="sl-SI"/>
        </w:rPr>
        <w:t>assessment</w:t>
      </w:r>
      <w:r w:rsidRPr="006E20A2">
        <w:rPr>
          <w:rFonts w:ascii="Arial" w:hAnsi="Arial"/>
          <w:sz w:val="20"/>
          <w:lang w:val="en-US" w:eastAsia="sl-SI"/>
        </w:rPr>
        <w:t xml:space="preserve"> </w:t>
      </w:r>
      <w:r w:rsidR="004570E2" w:rsidRPr="006E20A2">
        <w:rPr>
          <w:rFonts w:ascii="Arial" w:hAnsi="Arial"/>
          <w:sz w:val="20"/>
          <w:lang w:val="en-US" w:eastAsia="sl-SI"/>
        </w:rPr>
        <w:t xml:space="preserve">and the Action plan prepared on its </w:t>
      </w:r>
      <w:r w:rsidR="00C45C7D" w:rsidRPr="006E20A2">
        <w:rPr>
          <w:rFonts w:ascii="Arial" w:hAnsi="Arial"/>
          <w:sz w:val="20"/>
          <w:lang w:val="en-US" w:eastAsia="sl-SI"/>
        </w:rPr>
        <w:t>bas</w:t>
      </w:r>
      <w:r w:rsidR="00C45C7D">
        <w:rPr>
          <w:rFonts w:ascii="Arial" w:hAnsi="Arial"/>
          <w:sz w:val="20"/>
          <w:lang w:val="en-US" w:eastAsia="sl-SI"/>
        </w:rPr>
        <w:t>i</w:t>
      </w:r>
      <w:r w:rsidR="00C45C7D" w:rsidRPr="006E20A2">
        <w:rPr>
          <w:rFonts w:ascii="Arial" w:hAnsi="Arial"/>
          <w:sz w:val="20"/>
          <w:lang w:val="en-US" w:eastAsia="sl-SI"/>
        </w:rPr>
        <w:t>s</w:t>
      </w:r>
      <w:r w:rsidR="004570E2" w:rsidRPr="006E20A2">
        <w:rPr>
          <w:rFonts w:ascii="Arial" w:hAnsi="Arial"/>
          <w:sz w:val="20"/>
          <w:lang w:val="en-US" w:eastAsia="sl-SI"/>
        </w:rPr>
        <w:t xml:space="preserve"> are together with the execution of </w:t>
      </w:r>
      <w:r w:rsidR="00192999" w:rsidRPr="006E20A2">
        <w:rPr>
          <w:rFonts w:ascii="Arial" w:hAnsi="Arial"/>
          <w:sz w:val="20"/>
          <w:lang w:val="en-US" w:eastAsia="sl-SI"/>
        </w:rPr>
        <w:t>foreseen</w:t>
      </w:r>
      <w:r w:rsidR="004570E2" w:rsidRPr="006E20A2">
        <w:rPr>
          <w:rFonts w:ascii="Arial" w:hAnsi="Arial"/>
          <w:sz w:val="20"/>
          <w:lang w:val="en-US" w:eastAsia="sl-SI"/>
        </w:rPr>
        <w:t xml:space="preserve"> measures to eliminate the risks and deficiencies the basis of detection of suspicion of </w:t>
      </w:r>
      <w:r w:rsidR="00192999" w:rsidRPr="006E20A2">
        <w:rPr>
          <w:rFonts w:ascii="Arial" w:hAnsi="Arial"/>
          <w:sz w:val="20"/>
          <w:lang w:val="en-US" w:eastAsia="sl-SI"/>
        </w:rPr>
        <w:t>commitment</w:t>
      </w:r>
      <w:r w:rsidR="004570E2" w:rsidRPr="006E20A2">
        <w:rPr>
          <w:rFonts w:ascii="Arial" w:hAnsi="Arial"/>
          <w:sz w:val="20"/>
          <w:lang w:val="en-US" w:eastAsia="sl-SI"/>
        </w:rPr>
        <w:t xml:space="preserve"> of criminal offence of money laundering and terrorist financing and proper investigation of these offences. With this </w:t>
      </w:r>
      <w:r w:rsidR="00C45C7D">
        <w:rPr>
          <w:rFonts w:ascii="Arial" w:hAnsi="Arial"/>
          <w:sz w:val="20"/>
          <w:lang w:val="en-US" w:eastAsia="sl-SI"/>
        </w:rPr>
        <w:t>approach</w:t>
      </w:r>
      <w:r w:rsidR="00C45C7D" w:rsidRPr="006E20A2">
        <w:rPr>
          <w:rFonts w:ascii="Arial" w:hAnsi="Arial"/>
          <w:sz w:val="20"/>
          <w:lang w:val="en-US" w:eastAsia="sl-SI"/>
        </w:rPr>
        <w:t xml:space="preserve"> </w:t>
      </w:r>
      <w:r w:rsidR="004570E2" w:rsidRPr="006E20A2">
        <w:rPr>
          <w:rFonts w:ascii="Arial" w:hAnsi="Arial"/>
          <w:sz w:val="20"/>
          <w:lang w:val="en-US" w:eastAsia="sl-SI"/>
        </w:rPr>
        <w:t xml:space="preserve">the doubt </w:t>
      </w:r>
      <w:r w:rsidR="00192999" w:rsidRPr="006E20A2">
        <w:rPr>
          <w:rFonts w:ascii="Arial" w:hAnsi="Arial"/>
          <w:sz w:val="20"/>
          <w:lang w:val="en-US" w:eastAsia="sl-SI"/>
        </w:rPr>
        <w:t>that</w:t>
      </w:r>
      <w:r w:rsidR="004570E2" w:rsidRPr="006E20A2">
        <w:rPr>
          <w:rFonts w:ascii="Arial" w:hAnsi="Arial"/>
          <w:sz w:val="20"/>
          <w:lang w:val="en-US" w:eastAsia="sl-SI"/>
        </w:rPr>
        <w:t xml:space="preserve"> the criminal </w:t>
      </w:r>
      <w:r w:rsidR="00192999" w:rsidRPr="006E20A2">
        <w:rPr>
          <w:rFonts w:ascii="Arial" w:hAnsi="Arial"/>
          <w:sz w:val="20"/>
          <w:lang w:val="en-US" w:eastAsia="sl-SI"/>
        </w:rPr>
        <w:t>offence</w:t>
      </w:r>
      <w:r w:rsidR="004570E2" w:rsidRPr="006E20A2">
        <w:rPr>
          <w:rFonts w:ascii="Arial" w:hAnsi="Arial"/>
          <w:sz w:val="20"/>
          <w:lang w:val="en-US" w:eastAsia="sl-SI"/>
        </w:rPr>
        <w:t xml:space="preserve"> of ML/TF </w:t>
      </w:r>
      <w:r w:rsidR="00FA135D" w:rsidRPr="006E20A2">
        <w:rPr>
          <w:rFonts w:ascii="Arial" w:hAnsi="Arial"/>
          <w:sz w:val="20"/>
          <w:lang w:val="en-US" w:eastAsia="sl-SI"/>
        </w:rPr>
        <w:t xml:space="preserve">were not </w:t>
      </w:r>
      <w:r w:rsidR="00192999" w:rsidRPr="006E20A2">
        <w:rPr>
          <w:rFonts w:ascii="Arial" w:hAnsi="Arial"/>
          <w:sz w:val="20"/>
          <w:lang w:val="en-US" w:eastAsia="sl-SI"/>
        </w:rPr>
        <w:t>properly</w:t>
      </w:r>
      <w:r w:rsidR="00FA135D" w:rsidRPr="006E20A2">
        <w:rPr>
          <w:rFonts w:ascii="Arial" w:hAnsi="Arial"/>
          <w:sz w:val="20"/>
          <w:lang w:val="en-US" w:eastAsia="sl-SI"/>
        </w:rPr>
        <w:t xml:space="preserve"> investigated</w:t>
      </w:r>
      <w:r w:rsidR="00C45C7D" w:rsidRPr="00C45C7D">
        <w:rPr>
          <w:rFonts w:ascii="Arial" w:hAnsi="Arial"/>
          <w:sz w:val="20"/>
          <w:lang w:val="en-US" w:eastAsia="sl-SI"/>
        </w:rPr>
        <w:t xml:space="preserve"> </w:t>
      </w:r>
      <w:r w:rsidR="00C45C7D" w:rsidRPr="006E20A2">
        <w:rPr>
          <w:rFonts w:ascii="Arial" w:hAnsi="Arial"/>
          <w:sz w:val="20"/>
          <w:lang w:val="en-US" w:eastAsia="sl-SI"/>
        </w:rPr>
        <w:t>is eliminated</w:t>
      </w:r>
      <w:r w:rsidR="00FA135D" w:rsidRPr="006E20A2">
        <w:rPr>
          <w:rFonts w:ascii="Arial" w:hAnsi="Arial"/>
          <w:sz w:val="20"/>
          <w:lang w:val="en-US" w:eastAsia="sl-SI"/>
        </w:rPr>
        <w:t xml:space="preserve">. The Risk </w:t>
      </w:r>
      <w:r w:rsidR="00192999" w:rsidRPr="006E20A2">
        <w:rPr>
          <w:rFonts w:ascii="Arial" w:hAnsi="Arial"/>
          <w:sz w:val="20"/>
          <w:lang w:val="en-US" w:eastAsia="sl-SI"/>
        </w:rPr>
        <w:t>assessment</w:t>
      </w:r>
      <w:r w:rsidR="00FA135D" w:rsidRPr="006E20A2">
        <w:rPr>
          <w:rFonts w:ascii="Arial" w:hAnsi="Arial"/>
          <w:sz w:val="20"/>
          <w:lang w:val="en-US" w:eastAsia="sl-SI"/>
        </w:rPr>
        <w:t xml:space="preserve"> uses as a paramet</w:t>
      </w:r>
      <w:r w:rsidR="0083738C" w:rsidRPr="006E20A2">
        <w:rPr>
          <w:rFonts w:ascii="Arial" w:hAnsi="Arial"/>
          <w:sz w:val="20"/>
          <w:lang w:val="en-US" w:eastAsia="sl-SI"/>
        </w:rPr>
        <w:t>e</w:t>
      </w:r>
      <w:r w:rsidR="00FA135D" w:rsidRPr="006E20A2">
        <w:rPr>
          <w:rFonts w:ascii="Arial" w:hAnsi="Arial"/>
          <w:sz w:val="20"/>
          <w:lang w:val="en-US" w:eastAsia="sl-SI"/>
        </w:rPr>
        <w:t xml:space="preserve">r </w:t>
      </w:r>
      <w:r w:rsidR="0083738C" w:rsidRPr="006E20A2">
        <w:rPr>
          <w:rFonts w:ascii="Arial" w:hAnsi="Arial"/>
          <w:sz w:val="20"/>
          <w:lang w:val="en-US" w:eastAsia="sl-SI"/>
        </w:rPr>
        <w:t xml:space="preserve">of </w:t>
      </w:r>
      <w:r w:rsidR="00192999" w:rsidRPr="006E20A2">
        <w:rPr>
          <w:rFonts w:ascii="Arial" w:hAnsi="Arial"/>
          <w:sz w:val="20"/>
          <w:lang w:val="en-US" w:eastAsia="sl-SI"/>
        </w:rPr>
        <w:t>riskiness</w:t>
      </w:r>
      <w:r w:rsidR="0083738C" w:rsidRPr="006E20A2">
        <w:rPr>
          <w:rFonts w:ascii="Arial" w:hAnsi="Arial"/>
          <w:sz w:val="20"/>
          <w:lang w:val="en-US" w:eastAsia="sl-SI"/>
        </w:rPr>
        <w:t xml:space="preserve"> also the </w:t>
      </w:r>
      <w:r w:rsidR="00192999" w:rsidRPr="006E20A2">
        <w:rPr>
          <w:rFonts w:ascii="Arial" w:hAnsi="Arial"/>
          <w:sz w:val="20"/>
          <w:lang w:val="en-US" w:eastAsia="sl-SI"/>
        </w:rPr>
        <w:t>number</w:t>
      </w:r>
      <w:r w:rsidR="0083738C" w:rsidRPr="006E20A2">
        <w:rPr>
          <w:rFonts w:ascii="Arial" w:hAnsi="Arial"/>
          <w:sz w:val="20"/>
          <w:lang w:val="en-US" w:eastAsia="sl-SI"/>
        </w:rPr>
        <w:t xml:space="preserve"> of riskier clients (</w:t>
      </w:r>
      <w:proofErr w:type="spellStart"/>
      <w:proofErr w:type="gramStart"/>
      <w:r w:rsidR="0083738C" w:rsidRPr="006E20A2">
        <w:rPr>
          <w:rFonts w:ascii="Arial" w:hAnsi="Arial"/>
          <w:sz w:val="20"/>
          <w:lang w:val="en-US" w:eastAsia="sl-SI"/>
        </w:rPr>
        <w:t>non residents</w:t>
      </w:r>
      <w:proofErr w:type="spellEnd"/>
      <w:proofErr w:type="gramEnd"/>
      <w:r w:rsidR="0083738C" w:rsidRPr="006E20A2">
        <w:rPr>
          <w:rFonts w:ascii="Arial" w:hAnsi="Arial"/>
          <w:sz w:val="20"/>
          <w:lang w:val="en-US" w:eastAsia="sl-SI"/>
        </w:rPr>
        <w:t xml:space="preserve">, politically exposed persons, </w:t>
      </w:r>
      <w:r w:rsidR="000A0556">
        <w:rPr>
          <w:rFonts w:ascii="Arial" w:hAnsi="Arial"/>
          <w:sz w:val="20"/>
          <w:lang w:val="en-US" w:eastAsia="sl-SI"/>
        </w:rPr>
        <w:t xml:space="preserve">clients from </w:t>
      </w:r>
      <w:r w:rsidR="00192999" w:rsidRPr="006E20A2">
        <w:rPr>
          <w:rFonts w:ascii="Arial" w:hAnsi="Arial"/>
          <w:sz w:val="20"/>
          <w:lang w:val="en-US" w:eastAsia="sl-SI"/>
        </w:rPr>
        <w:t>countries</w:t>
      </w:r>
      <w:r w:rsidR="0083738C" w:rsidRPr="006E20A2">
        <w:rPr>
          <w:rFonts w:ascii="Arial" w:hAnsi="Arial"/>
          <w:sz w:val="20"/>
          <w:lang w:val="en-US" w:eastAsia="sl-SI"/>
        </w:rPr>
        <w:t xml:space="preserve"> with higher risk om ML/TF) with </w:t>
      </w:r>
      <w:r w:rsidR="000A0556">
        <w:rPr>
          <w:rFonts w:ascii="Arial" w:hAnsi="Arial"/>
          <w:sz w:val="20"/>
          <w:lang w:val="en-US" w:eastAsia="sl-SI"/>
        </w:rPr>
        <w:t>whom</w:t>
      </w:r>
      <w:r w:rsidR="000A0556" w:rsidRPr="006E20A2">
        <w:rPr>
          <w:rFonts w:ascii="Arial" w:hAnsi="Arial"/>
          <w:sz w:val="20"/>
          <w:lang w:val="en-US" w:eastAsia="sl-SI"/>
        </w:rPr>
        <w:t xml:space="preserve"> </w:t>
      </w:r>
      <w:r w:rsidR="008B767C">
        <w:rPr>
          <w:rFonts w:ascii="Arial" w:hAnsi="Arial"/>
          <w:sz w:val="20"/>
          <w:lang w:val="en-US" w:eastAsia="sl-SI"/>
        </w:rPr>
        <w:t xml:space="preserve">the </w:t>
      </w:r>
      <w:r w:rsidR="0083738C" w:rsidRPr="006E20A2">
        <w:rPr>
          <w:rFonts w:ascii="Arial" w:hAnsi="Arial"/>
          <w:sz w:val="20"/>
          <w:lang w:val="en-US" w:eastAsia="sl-SI"/>
        </w:rPr>
        <w:t>obliged entities enter into business.</w:t>
      </w:r>
    </w:p>
    <w:p w14:paraId="0E0C75A5" w14:textId="77777777" w:rsidR="00EA2CA4" w:rsidRPr="006E20A2" w:rsidRDefault="00EA2CA4" w:rsidP="0083738C">
      <w:pPr>
        <w:spacing w:line="276" w:lineRule="auto"/>
        <w:rPr>
          <w:rFonts w:ascii="Arial" w:hAnsi="Arial"/>
          <w:iCs/>
          <w:sz w:val="20"/>
          <w:lang w:val="en-US"/>
        </w:rPr>
      </w:pPr>
    </w:p>
    <w:p w14:paraId="0E459F1A" w14:textId="676B29F0" w:rsidR="00EA2CA4" w:rsidRPr="006E20A2" w:rsidRDefault="0083738C" w:rsidP="0083738C">
      <w:pPr>
        <w:autoSpaceDE w:val="0"/>
        <w:autoSpaceDN w:val="0"/>
        <w:adjustRightInd w:val="0"/>
        <w:spacing w:line="276" w:lineRule="auto"/>
        <w:rPr>
          <w:rFonts w:ascii="Arial" w:hAnsi="Arial"/>
          <w:color w:val="000000"/>
          <w:sz w:val="20"/>
          <w:lang w:val="en-US" w:eastAsia="sl-SI"/>
        </w:rPr>
      </w:pPr>
      <w:r w:rsidRPr="006E20A2">
        <w:rPr>
          <w:rFonts w:ascii="Arial" w:hAnsi="Arial"/>
          <w:iCs/>
          <w:sz w:val="20"/>
          <w:shd w:val="clear" w:color="auto" w:fill="FFFFFF"/>
          <w:lang w:val="en-US" w:bidi="sl-SI"/>
        </w:rPr>
        <w:t xml:space="preserve">On 11. 2. 2021 the government of the Republic of Slovenia adopted the </w:t>
      </w:r>
      <w:r w:rsidRPr="006E20A2">
        <w:rPr>
          <w:rFonts w:ascii="Arial" w:hAnsi="Arial"/>
          <w:sz w:val="20"/>
          <w:lang w:val="en-US"/>
        </w:rPr>
        <w:t xml:space="preserve">Updated report on </w:t>
      </w:r>
      <w:r w:rsidR="000A0556">
        <w:rPr>
          <w:rFonts w:ascii="Arial" w:hAnsi="Arial"/>
          <w:sz w:val="20"/>
          <w:lang w:val="en-US"/>
        </w:rPr>
        <w:t xml:space="preserve">the </w:t>
      </w:r>
      <w:r w:rsidRPr="006E20A2">
        <w:rPr>
          <w:rFonts w:ascii="Arial" w:hAnsi="Arial"/>
          <w:sz w:val="20"/>
          <w:lang w:val="en-US"/>
        </w:rPr>
        <w:t xml:space="preserve">implementation of </w:t>
      </w:r>
      <w:r w:rsidR="000A0556">
        <w:rPr>
          <w:rFonts w:ascii="Arial" w:hAnsi="Arial"/>
          <w:sz w:val="20"/>
          <w:lang w:val="en-US"/>
        </w:rPr>
        <w:t xml:space="preserve">the </w:t>
      </w:r>
      <w:r w:rsidRPr="006E20A2">
        <w:rPr>
          <w:rFonts w:ascii="Arial" w:hAnsi="Arial"/>
          <w:sz w:val="20"/>
          <w:lang w:val="en-US"/>
        </w:rPr>
        <w:t xml:space="preserve">national risk </w:t>
      </w:r>
      <w:r w:rsidR="00192999" w:rsidRPr="006E20A2">
        <w:rPr>
          <w:rFonts w:ascii="Arial" w:hAnsi="Arial"/>
          <w:sz w:val="20"/>
          <w:lang w:val="en-US"/>
        </w:rPr>
        <w:t>assessment</w:t>
      </w:r>
      <w:r w:rsidRPr="006E20A2">
        <w:rPr>
          <w:rFonts w:ascii="Arial" w:hAnsi="Arial"/>
          <w:sz w:val="20"/>
          <w:lang w:val="en-US"/>
        </w:rPr>
        <w:t xml:space="preserve"> of the Republic of Slovenia </w:t>
      </w:r>
      <w:proofErr w:type="gramStart"/>
      <w:r w:rsidRPr="006E20A2">
        <w:rPr>
          <w:rFonts w:ascii="Arial" w:hAnsi="Arial"/>
          <w:sz w:val="20"/>
          <w:lang w:val="en-US"/>
        </w:rPr>
        <w:t>in the area of</w:t>
      </w:r>
      <w:proofErr w:type="gramEnd"/>
      <w:r w:rsidRPr="006E20A2">
        <w:rPr>
          <w:rFonts w:ascii="Arial" w:hAnsi="Arial"/>
          <w:sz w:val="20"/>
          <w:lang w:val="en-US"/>
        </w:rPr>
        <w:t xml:space="preserve"> money laundering prevention and terrorist financing with data from 2016, 2017, 2018 and 2019 and </w:t>
      </w:r>
      <w:r w:rsidR="000A0556">
        <w:rPr>
          <w:rFonts w:ascii="Arial" w:hAnsi="Arial"/>
          <w:sz w:val="20"/>
          <w:lang w:val="en-US"/>
        </w:rPr>
        <w:t xml:space="preserve">the </w:t>
      </w:r>
      <w:r w:rsidRPr="006E20A2">
        <w:rPr>
          <w:rFonts w:ascii="Arial" w:hAnsi="Arial"/>
          <w:sz w:val="20"/>
          <w:lang w:val="en-US"/>
        </w:rPr>
        <w:t xml:space="preserve">Action Plan for reducing and eliminating the risk of money laundering or terrorism financing with decision No.: </w:t>
      </w:r>
      <w:r w:rsidR="00EA2CA4" w:rsidRPr="006E20A2">
        <w:rPr>
          <w:rFonts w:ascii="Arial" w:hAnsi="Arial"/>
          <w:iCs/>
          <w:sz w:val="20"/>
          <w:shd w:val="clear" w:color="auto" w:fill="FFFFFF"/>
          <w:lang w:val="en-US" w:bidi="sl-SI"/>
        </w:rPr>
        <w:t xml:space="preserve">46000-3/2020/6 </w:t>
      </w:r>
    </w:p>
    <w:bookmarkEnd w:id="71"/>
    <w:bookmarkEnd w:id="72"/>
    <w:p w14:paraId="36B79660" w14:textId="77777777" w:rsidR="00C41181" w:rsidRPr="006E20A2" w:rsidRDefault="00C41181" w:rsidP="00A236CE">
      <w:pPr>
        <w:widowControl/>
        <w:spacing w:line="276" w:lineRule="auto"/>
        <w:rPr>
          <w:rFonts w:ascii="Arial" w:hAnsi="Arial"/>
          <w:sz w:val="20"/>
          <w:lang w:val="en-US"/>
        </w:rPr>
      </w:pPr>
    </w:p>
    <w:bookmarkEnd w:id="64"/>
    <w:p w14:paraId="6092D676" w14:textId="77777777" w:rsidR="000A263D" w:rsidRPr="006E20A2" w:rsidRDefault="000A263D" w:rsidP="00DD2B38">
      <w:pPr>
        <w:pStyle w:val="Telobesedila2"/>
        <w:widowControl/>
        <w:tabs>
          <w:tab w:val="clear" w:pos="-1049"/>
          <w:tab w:val="clear" w:pos="-689"/>
          <w:tab w:val="clear" w:pos="31"/>
          <w:tab w:val="clear" w:pos="751"/>
          <w:tab w:val="clear" w:pos="1471"/>
          <w:tab w:val="clear" w:pos="2191"/>
          <w:tab w:val="clear" w:pos="2911"/>
          <w:tab w:val="clear" w:pos="3631"/>
          <w:tab w:val="clear" w:pos="4351"/>
          <w:tab w:val="clear" w:pos="4531"/>
          <w:tab w:val="clear" w:pos="5071"/>
          <w:tab w:val="clear" w:pos="5791"/>
          <w:tab w:val="clear" w:pos="6511"/>
          <w:tab w:val="clear" w:pos="7231"/>
          <w:tab w:val="clear" w:pos="7951"/>
          <w:tab w:val="clear" w:pos="8671"/>
          <w:tab w:val="clear" w:pos="9391"/>
          <w:tab w:val="clear" w:pos="10111"/>
          <w:tab w:val="clear" w:pos="10831"/>
          <w:tab w:val="clear" w:pos="11551"/>
        </w:tabs>
        <w:spacing w:line="276" w:lineRule="auto"/>
        <w:rPr>
          <w:rFonts w:ascii="Arial" w:hAnsi="Arial"/>
          <w:sz w:val="20"/>
          <w:lang w:val="en-US"/>
        </w:rPr>
      </w:pPr>
    </w:p>
    <w:p w14:paraId="7C3A49C6" w14:textId="35F06DD1" w:rsidR="00116CD6" w:rsidRPr="006E20A2" w:rsidRDefault="0065108A" w:rsidP="000279DC">
      <w:pPr>
        <w:pStyle w:val="Naslov2"/>
        <w:rPr>
          <w:lang w:val="en-US"/>
        </w:rPr>
      </w:pPr>
      <w:bookmarkStart w:id="73" w:name="_Toc113535484"/>
      <w:r w:rsidRPr="006E20A2">
        <w:rPr>
          <w:lang w:val="en-US"/>
        </w:rPr>
        <w:t>ACTIVITIES IN THE FRAMEWORK OF INTERNATIONAL BODIES</w:t>
      </w:r>
      <w:bookmarkEnd w:id="65"/>
      <w:bookmarkEnd w:id="66"/>
      <w:bookmarkEnd w:id="67"/>
      <w:bookmarkEnd w:id="73"/>
      <w:r w:rsidR="002F64F4" w:rsidRPr="006E20A2">
        <w:rPr>
          <w:lang w:val="en-US"/>
        </w:rPr>
        <w:t xml:space="preserve"> </w:t>
      </w:r>
    </w:p>
    <w:p w14:paraId="632D3A1F" w14:textId="3EBEE1A3" w:rsidR="002F64F4" w:rsidRPr="006E20A2" w:rsidRDefault="00C231A0" w:rsidP="00BA5BC9">
      <w:pPr>
        <w:pStyle w:val="Naslov3"/>
        <w:rPr>
          <w:lang w:val="en-US"/>
        </w:rPr>
      </w:pPr>
      <w:bookmarkStart w:id="74" w:name="_Toc402346331"/>
      <w:bookmarkStart w:id="75" w:name="_Toc113535485"/>
      <w:r w:rsidRPr="006E20A2">
        <w:rPr>
          <w:lang w:val="en-US"/>
        </w:rPr>
        <w:t xml:space="preserve">5.2.1 </w:t>
      </w:r>
      <w:bookmarkEnd w:id="74"/>
      <w:bookmarkEnd w:id="75"/>
      <w:r w:rsidR="0065108A" w:rsidRPr="006E20A2">
        <w:rPr>
          <w:lang w:val="en-US"/>
        </w:rPr>
        <w:t>Council of Europe</w:t>
      </w:r>
    </w:p>
    <w:p w14:paraId="591BA794" w14:textId="77777777" w:rsidR="00710289" w:rsidRPr="006E20A2" w:rsidRDefault="00710289" w:rsidP="00D21F86">
      <w:pPr>
        <w:spacing w:line="276" w:lineRule="auto"/>
        <w:rPr>
          <w:rFonts w:ascii="Arial" w:hAnsi="Arial"/>
          <w:iCs/>
          <w:sz w:val="20"/>
          <w:lang w:val="en-US"/>
        </w:rPr>
      </w:pPr>
      <w:bookmarkStart w:id="76" w:name="_Toc263770930"/>
    </w:p>
    <w:p w14:paraId="3DBB041E" w14:textId="78E4500E" w:rsidR="0065108A" w:rsidRPr="006E20A2" w:rsidRDefault="0065108A" w:rsidP="0065108A">
      <w:pPr>
        <w:rPr>
          <w:rFonts w:ascii="Arial" w:hAnsi="Arial"/>
          <w:sz w:val="20"/>
          <w:lang w:val="en-US"/>
        </w:rPr>
      </w:pPr>
      <w:r w:rsidRPr="006E20A2">
        <w:rPr>
          <w:rFonts w:ascii="Arial" w:hAnsi="Arial"/>
          <w:sz w:val="20"/>
          <w:lang w:val="en-US"/>
        </w:rPr>
        <w:t>In 2020 the activities of the OMLP were largely focused to the functioning of the Committee of Experts on the Evaluation of Anti-Money Laundering Measures and the Financing of Terrorism (MONEYVAL).</w:t>
      </w:r>
    </w:p>
    <w:p w14:paraId="69E02F35" w14:textId="116DE0AC" w:rsidR="0065108A" w:rsidRPr="006E20A2" w:rsidRDefault="0065108A" w:rsidP="0065108A">
      <w:pPr>
        <w:rPr>
          <w:rFonts w:ascii="Arial" w:hAnsi="Arial"/>
          <w:sz w:val="20"/>
          <w:lang w:val="en-US"/>
        </w:rPr>
      </w:pPr>
    </w:p>
    <w:p w14:paraId="3F50DADC" w14:textId="77777777" w:rsidR="0065108A" w:rsidRPr="006E20A2" w:rsidRDefault="0065108A" w:rsidP="0065108A">
      <w:pPr>
        <w:rPr>
          <w:rFonts w:ascii="Arial" w:hAnsi="Arial"/>
          <w:sz w:val="20"/>
          <w:lang w:val="en-US"/>
        </w:rPr>
      </w:pPr>
    </w:p>
    <w:p w14:paraId="3DC5CEED" w14:textId="1534D952" w:rsidR="0065108A" w:rsidRPr="006E20A2" w:rsidRDefault="00C231A0" w:rsidP="0065108A">
      <w:pPr>
        <w:pStyle w:val="Naslov4"/>
        <w:rPr>
          <w:lang w:val="en-US"/>
        </w:rPr>
      </w:pPr>
      <w:bookmarkStart w:id="77" w:name="_Toc113535486"/>
      <w:r w:rsidRPr="006E20A2">
        <w:rPr>
          <w:lang w:val="en-US"/>
        </w:rPr>
        <w:t xml:space="preserve">5.2.1.1 </w:t>
      </w:r>
      <w:bookmarkStart w:id="78" w:name="_Toc119581730"/>
      <w:bookmarkEnd w:id="76"/>
      <w:bookmarkEnd w:id="77"/>
      <w:r w:rsidR="0065108A" w:rsidRPr="006E20A2">
        <w:rPr>
          <w:lang w:val="en-US"/>
        </w:rPr>
        <w:t>Committee of Experts of the Council of Europe on the Evaluation of Anti-Money Laundering Measures and Financing of Terrorism (MONEYVAL)</w:t>
      </w:r>
      <w:bookmarkEnd w:id="78"/>
    </w:p>
    <w:p w14:paraId="4AEF5DF0" w14:textId="77777777" w:rsidR="00DD4F46" w:rsidRPr="006E20A2" w:rsidRDefault="00DD4F46" w:rsidP="00D21F86">
      <w:pPr>
        <w:spacing w:line="276" w:lineRule="auto"/>
        <w:rPr>
          <w:rFonts w:ascii="Arial" w:hAnsi="Arial"/>
          <w:i/>
          <w:sz w:val="20"/>
          <w:lang w:val="en-US"/>
        </w:rPr>
      </w:pPr>
    </w:p>
    <w:p w14:paraId="6AFB07E7" w14:textId="2781DF4E" w:rsidR="0065108A" w:rsidRPr="006E20A2" w:rsidRDefault="0065108A" w:rsidP="0065108A">
      <w:pPr>
        <w:rPr>
          <w:rFonts w:ascii="Arial" w:hAnsi="Arial"/>
          <w:sz w:val="20"/>
          <w:lang w:val="en-US"/>
        </w:rPr>
      </w:pPr>
      <w:r w:rsidRPr="006E20A2">
        <w:rPr>
          <w:rFonts w:ascii="Arial" w:hAnsi="Arial"/>
          <w:sz w:val="20"/>
          <w:lang w:val="en-US"/>
        </w:rPr>
        <w:t xml:space="preserve">In 2020, </w:t>
      </w:r>
      <w:r w:rsidR="00892E18">
        <w:rPr>
          <w:rFonts w:ascii="Arial" w:hAnsi="Arial"/>
          <w:sz w:val="20"/>
          <w:lang w:val="en-US"/>
        </w:rPr>
        <w:t xml:space="preserve">a </w:t>
      </w:r>
      <w:r w:rsidRPr="006E20A2">
        <w:rPr>
          <w:rFonts w:ascii="Arial" w:hAnsi="Arial"/>
          <w:sz w:val="20"/>
          <w:lang w:val="en-US"/>
        </w:rPr>
        <w:t xml:space="preserve">working meeting and 60st plenary session of Moneyval was held virtually, due to COVID-19 pandemic. The topics are described below. </w:t>
      </w:r>
    </w:p>
    <w:p w14:paraId="0939017F" w14:textId="77777777" w:rsidR="0065108A" w:rsidRPr="006E20A2" w:rsidRDefault="0065108A" w:rsidP="00C6574A">
      <w:pPr>
        <w:spacing w:line="276" w:lineRule="auto"/>
        <w:rPr>
          <w:rFonts w:ascii="Arial" w:hAnsi="Arial"/>
          <w:bCs/>
          <w:sz w:val="20"/>
          <w:lang w:val="en-US"/>
        </w:rPr>
      </w:pPr>
    </w:p>
    <w:p w14:paraId="2A27CA76" w14:textId="68BCB66B" w:rsidR="006D0841" w:rsidRPr="006E20A2" w:rsidRDefault="00632EAE" w:rsidP="006D0841">
      <w:pPr>
        <w:widowControl/>
        <w:spacing w:line="276" w:lineRule="auto"/>
        <w:rPr>
          <w:rFonts w:ascii="Arial" w:hAnsi="Arial"/>
          <w:sz w:val="20"/>
          <w:lang w:val="en-US"/>
        </w:rPr>
      </w:pPr>
      <w:r w:rsidRPr="006E20A2">
        <w:rPr>
          <w:rFonts w:ascii="Arial" w:hAnsi="Arial"/>
          <w:b/>
          <w:bCs/>
          <w:sz w:val="20"/>
          <w:lang w:val="en-US"/>
        </w:rPr>
        <w:t>Working meeting</w:t>
      </w:r>
      <w:r w:rsidR="004241B4" w:rsidRPr="006E20A2">
        <w:rPr>
          <w:rFonts w:ascii="Arial" w:hAnsi="Arial"/>
          <w:b/>
          <w:bCs/>
          <w:sz w:val="20"/>
          <w:lang w:val="en-US"/>
        </w:rPr>
        <w:t xml:space="preserve"> </w:t>
      </w:r>
      <w:r w:rsidRPr="006E20A2">
        <w:rPr>
          <w:rFonts w:ascii="Arial" w:hAnsi="Arial"/>
          <w:b/>
          <w:bCs/>
          <w:sz w:val="20"/>
          <w:lang w:val="en-US"/>
        </w:rPr>
        <w:t>of</w:t>
      </w:r>
      <w:r w:rsidR="006D0841" w:rsidRPr="006E20A2">
        <w:rPr>
          <w:rFonts w:ascii="Arial" w:hAnsi="Arial"/>
          <w:b/>
          <w:bCs/>
          <w:sz w:val="20"/>
          <w:lang w:val="en-US"/>
        </w:rPr>
        <w:t xml:space="preserve"> MONEYVAL (</w:t>
      </w:r>
      <w:r w:rsidRPr="006E20A2">
        <w:rPr>
          <w:rFonts w:ascii="Arial" w:hAnsi="Arial"/>
          <w:b/>
          <w:bCs/>
          <w:sz w:val="20"/>
          <w:lang w:val="en-US"/>
        </w:rPr>
        <w:t xml:space="preserve">June </w:t>
      </w:r>
      <w:r w:rsidR="006D0841" w:rsidRPr="006E20A2">
        <w:rPr>
          <w:rFonts w:ascii="Arial" w:hAnsi="Arial"/>
          <w:b/>
          <w:bCs/>
          <w:sz w:val="20"/>
          <w:lang w:val="en-US"/>
        </w:rPr>
        <w:t>30</w:t>
      </w:r>
      <w:r w:rsidR="000005E3" w:rsidRPr="006E20A2">
        <w:rPr>
          <w:rFonts w:ascii="Arial" w:hAnsi="Arial"/>
          <w:b/>
          <w:bCs/>
          <w:sz w:val="20"/>
          <w:lang w:val="en-US"/>
        </w:rPr>
        <w:t>.</w:t>
      </w:r>
      <w:r w:rsidRPr="006E20A2">
        <w:rPr>
          <w:rFonts w:ascii="Arial" w:hAnsi="Arial"/>
          <w:b/>
          <w:bCs/>
          <w:sz w:val="20"/>
          <w:lang w:val="en-US"/>
        </w:rPr>
        <w:t>-July 3.</w:t>
      </w:r>
      <w:r w:rsidR="006D0841" w:rsidRPr="006E20A2">
        <w:rPr>
          <w:rFonts w:ascii="Arial" w:hAnsi="Arial"/>
          <w:b/>
          <w:bCs/>
          <w:sz w:val="20"/>
          <w:lang w:val="en-US"/>
        </w:rPr>
        <w:t xml:space="preserve"> 2020)</w:t>
      </w:r>
      <w:r w:rsidR="00192999">
        <w:rPr>
          <w:rFonts w:ascii="Arial" w:hAnsi="Arial"/>
          <w:sz w:val="20"/>
          <w:lang w:val="en-US"/>
        </w:rPr>
        <w:t>, at t</w:t>
      </w:r>
      <w:r w:rsidR="00192999" w:rsidRPr="006E20A2">
        <w:rPr>
          <w:rFonts w:ascii="Arial" w:hAnsi="Arial"/>
          <w:sz w:val="20"/>
          <w:lang w:val="en-US"/>
        </w:rPr>
        <w:t>his</w:t>
      </w:r>
      <w:r w:rsidRPr="006E20A2">
        <w:rPr>
          <w:rFonts w:ascii="Arial" w:hAnsi="Arial"/>
          <w:sz w:val="20"/>
          <w:lang w:val="en-US"/>
        </w:rPr>
        <w:t xml:space="preserve"> meeting</w:t>
      </w:r>
      <w:r w:rsidR="006D0841" w:rsidRPr="006E20A2">
        <w:rPr>
          <w:rFonts w:ascii="Arial" w:hAnsi="Arial"/>
          <w:sz w:val="20"/>
          <w:lang w:val="en-US"/>
        </w:rPr>
        <w:t xml:space="preserve"> Matthias KLOTH </w:t>
      </w:r>
      <w:r w:rsidRPr="006E20A2">
        <w:rPr>
          <w:rFonts w:ascii="Arial" w:hAnsi="Arial"/>
          <w:sz w:val="20"/>
          <w:lang w:val="en-US"/>
        </w:rPr>
        <w:t>resigned as executive secretary of</w:t>
      </w:r>
      <w:r w:rsidR="006D0841" w:rsidRPr="006E20A2">
        <w:rPr>
          <w:rFonts w:ascii="Arial" w:hAnsi="Arial"/>
          <w:sz w:val="20"/>
          <w:lang w:val="en-US"/>
        </w:rPr>
        <w:t xml:space="preserve"> MONEYVAL </w:t>
      </w:r>
      <w:r w:rsidRPr="006E20A2">
        <w:rPr>
          <w:rFonts w:ascii="Arial" w:hAnsi="Arial"/>
          <w:sz w:val="20"/>
          <w:lang w:val="en-US"/>
        </w:rPr>
        <w:t>as he took a new position in Council of Europe</w:t>
      </w:r>
      <w:r w:rsidR="006D0841" w:rsidRPr="006E20A2">
        <w:rPr>
          <w:rFonts w:ascii="Arial" w:hAnsi="Arial"/>
          <w:sz w:val="20"/>
          <w:lang w:val="en-US"/>
        </w:rPr>
        <w:t xml:space="preserve">. </w:t>
      </w:r>
      <w:r w:rsidR="00D3698C">
        <w:rPr>
          <w:rFonts w:ascii="Arial" w:hAnsi="Arial"/>
          <w:sz w:val="20"/>
          <w:lang w:val="en-US"/>
        </w:rPr>
        <w:t xml:space="preserve">The </w:t>
      </w:r>
      <w:r w:rsidR="00C167AC" w:rsidRPr="006E20A2">
        <w:rPr>
          <w:rFonts w:ascii="Arial" w:hAnsi="Arial"/>
          <w:sz w:val="20"/>
          <w:lang w:val="en-US"/>
        </w:rPr>
        <w:t xml:space="preserve">Russian </w:t>
      </w:r>
      <w:r w:rsidR="00192999" w:rsidRPr="006E20A2">
        <w:rPr>
          <w:rFonts w:ascii="Arial" w:hAnsi="Arial"/>
          <w:sz w:val="20"/>
          <w:lang w:val="en-US"/>
        </w:rPr>
        <w:t>representative</w:t>
      </w:r>
      <w:r w:rsidR="00C167AC" w:rsidRPr="006E20A2">
        <w:rPr>
          <w:rFonts w:ascii="Arial" w:hAnsi="Arial"/>
          <w:sz w:val="20"/>
          <w:lang w:val="en-US"/>
        </w:rPr>
        <w:t xml:space="preserve"> Igor NEBYVAEV</w:t>
      </w:r>
      <w:r w:rsidR="00192999">
        <w:rPr>
          <w:rFonts w:ascii="Arial" w:hAnsi="Arial"/>
          <w:sz w:val="20"/>
          <w:lang w:val="en-US"/>
        </w:rPr>
        <w:t xml:space="preserve"> </w:t>
      </w:r>
      <w:r w:rsidR="00C167AC" w:rsidRPr="006E20A2">
        <w:rPr>
          <w:rFonts w:ascii="Arial" w:hAnsi="Arial"/>
          <w:sz w:val="20"/>
          <w:lang w:val="en-US"/>
        </w:rPr>
        <w:t xml:space="preserve">with experiences </w:t>
      </w:r>
      <w:proofErr w:type="gramStart"/>
      <w:r w:rsidR="00C167AC" w:rsidRPr="006E20A2">
        <w:rPr>
          <w:rFonts w:ascii="Arial" w:hAnsi="Arial"/>
          <w:sz w:val="20"/>
          <w:lang w:val="en-US"/>
        </w:rPr>
        <w:t>in the area of</w:t>
      </w:r>
      <w:proofErr w:type="gramEnd"/>
      <w:r w:rsidR="00C167AC" w:rsidRPr="006E20A2">
        <w:rPr>
          <w:rFonts w:ascii="Arial" w:hAnsi="Arial"/>
          <w:sz w:val="20"/>
          <w:lang w:val="en-US"/>
        </w:rPr>
        <w:t xml:space="preserve"> prevention of money laundering and terrorist financing, namely in </w:t>
      </w:r>
      <w:r w:rsidR="006D0841" w:rsidRPr="006E20A2">
        <w:rPr>
          <w:rFonts w:ascii="Arial" w:hAnsi="Arial"/>
          <w:sz w:val="20"/>
          <w:lang w:val="en-US"/>
        </w:rPr>
        <w:t xml:space="preserve">FATF </w:t>
      </w:r>
      <w:r w:rsidR="00C167AC" w:rsidRPr="006E20A2">
        <w:rPr>
          <w:rFonts w:ascii="Arial" w:hAnsi="Arial"/>
          <w:sz w:val="20"/>
          <w:lang w:val="en-US"/>
        </w:rPr>
        <w:t>and</w:t>
      </w:r>
      <w:r w:rsidR="006D0841" w:rsidRPr="006E20A2">
        <w:rPr>
          <w:rFonts w:ascii="Arial" w:hAnsi="Arial"/>
          <w:sz w:val="20"/>
          <w:lang w:val="en-US"/>
        </w:rPr>
        <w:t xml:space="preserve"> EAG (Euro</w:t>
      </w:r>
      <w:r w:rsidR="00192999">
        <w:rPr>
          <w:rFonts w:ascii="Arial" w:hAnsi="Arial"/>
          <w:sz w:val="20"/>
          <w:lang w:val="en-US"/>
        </w:rPr>
        <w:t xml:space="preserve"> </w:t>
      </w:r>
      <w:r w:rsidR="006D0841" w:rsidRPr="006E20A2">
        <w:rPr>
          <w:rFonts w:ascii="Arial" w:hAnsi="Arial"/>
          <w:sz w:val="20"/>
          <w:lang w:val="en-US"/>
        </w:rPr>
        <w:t>Asian Group)</w:t>
      </w:r>
      <w:r w:rsidR="00D3698C">
        <w:rPr>
          <w:rFonts w:ascii="Arial" w:hAnsi="Arial"/>
          <w:sz w:val="20"/>
          <w:lang w:val="en-US"/>
        </w:rPr>
        <w:t>,</w:t>
      </w:r>
      <w:r w:rsidR="00C167AC" w:rsidRPr="006E20A2">
        <w:rPr>
          <w:rFonts w:ascii="Arial" w:hAnsi="Arial"/>
          <w:sz w:val="20"/>
          <w:lang w:val="en-US"/>
        </w:rPr>
        <w:t xml:space="preserve"> took his position</w:t>
      </w:r>
      <w:r w:rsidR="006D0841" w:rsidRPr="006E20A2">
        <w:rPr>
          <w:rFonts w:ascii="Arial" w:hAnsi="Arial"/>
          <w:sz w:val="20"/>
          <w:lang w:val="en-US"/>
        </w:rPr>
        <w:t xml:space="preserve">. </w:t>
      </w:r>
      <w:r w:rsidR="00C167AC" w:rsidRPr="006E20A2">
        <w:rPr>
          <w:rFonts w:ascii="Arial" w:hAnsi="Arial"/>
          <w:sz w:val="20"/>
          <w:lang w:val="en-US"/>
        </w:rPr>
        <w:t xml:space="preserve">Follow up reports of Czech </w:t>
      </w:r>
      <w:r w:rsidR="00192999" w:rsidRPr="006E20A2">
        <w:rPr>
          <w:rFonts w:ascii="Arial" w:hAnsi="Arial"/>
          <w:sz w:val="20"/>
          <w:lang w:val="en-US"/>
        </w:rPr>
        <w:t>Republic</w:t>
      </w:r>
      <w:r w:rsidR="00C167AC" w:rsidRPr="006E20A2">
        <w:rPr>
          <w:rFonts w:ascii="Arial" w:hAnsi="Arial"/>
          <w:sz w:val="20"/>
          <w:lang w:val="en-US"/>
        </w:rPr>
        <w:t xml:space="preserve">, Lithuania and Ukraine were sent to delegations for the preliminary overview, </w:t>
      </w:r>
      <w:proofErr w:type="gramStart"/>
      <w:r w:rsidR="00C167AC" w:rsidRPr="006E20A2">
        <w:rPr>
          <w:rFonts w:ascii="Arial" w:hAnsi="Arial"/>
          <w:sz w:val="20"/>
          <w:lang w:val="en-US"/>
        </w:rPr>
        <w:t>remarks</w:t>
      </w:r>
      <w:proofErr w:type="gramEnd"/>
      <w:r w:rsidR="00C167AC" w:rsidRPr="006E20A2">
        <w:rPr>
          <w:rFonts w:ascii="Arial" w:hAnsi="Arial"/>
          <w:sz w:val="20"/>
          <w:lang w:val="en-US"/>
        </w:rPr>
        <w:t xml:space="preserve"> </w:t>
      </w:r>
      <w:r w:rsidR="00D3698C">
        <w:rPr>
          <w:rFonts w:ascii="Arial" w:hAnsi="Arial"/>
          <w:sz w:val="20"/>
          <w:lang w:val="en-US"/>
        </w:rPr>
        <w:t>or</w:t>
      </w:r>
      <w:r w:rsidR="00D3698C" w:rsidRPr="006E20A2">
        <w:rPr>
          <w:rFonts w:ascii="Arial" w:hAnsi="Arial"/>
          <w:sz w:val="20"/>
          <w:lang w:val="en-US"/>
        </w:rPr>
        <w:t xml:space="preserve"> </w:t>
      </w:r>
      <w:r w:rsidR="00D3698C">
        <w:rPr>
          <w:rFonts w:ascii="Arial" w:hAnsi="Arial"/>
          <w:sz w:val="20"/>
          <w:lang w:val="en-US"/>
        </w:rPr>
        <w:t>objections</w:t>
      </w:r>
      <w:r w:rsidR="00C167AC" w:rsidRPr="006E20A2">
        <w:rPr>
          <w:rFonts w:ascii="Arial" w:hAnsi="Arial"/>
          <w:sz w:val="20"/>
          <w:lang w:val="en-US"/>
        </w:rPr>
        <w:t xml:space="preserve">. No </w:t>
      </w:r>
      <w:r w:rsidR="00192999" w:rsidRPr="006E20A2">
        <w:rPr>
          <w:rFonts w:ascii="Arial" w:hAnsi="Arial"/>
          <w:sz w:val="20"/>
          <w:lang w:val="en-US"/>
        </w:rPr>
        <w:t>remarks</w:t>
      </w:r>
      <w:r w:rsidR="00C167AC" w:rsidRPr="006E20A2">
        <w:rPr>
          <w:rFonts w:ascii="Arial" w:hAnsi="Arial"/>
          <w:sz w:val="20"/>
          <w:lang w:val="en-US"/>
        </w:rPr>
        <w:t xml:space="preserve"> were received by </w:t>
      </w:r>
      <w:r w:rsidR="00D3698C" w:rsidRPr="006E20A2">
        <w:rPr>
          <w:rFonts w:ascii="Arial" w:hAnsi="Arial"/>
          <w:sz w:val="20"/>
          <w:lang w:val="en-US"/>
        </w:rPr>
        <w:t>MONEY</w:t>
      </w:r>
      <w:r w:rsidR="00D3698C">
        <w:rPr>
          <w:rFonts w:ascii="Arial" w:hAnsi="Arial"/>
          <w:sz w:val="20"/>
          <w:lang w:val="en-US"/>
        </w:rPr>
        <w:t>V</w:t>
      </w:r>
      <w:r w:rsidR="00D3698C" w:rsidRPr="006E20A2">
        <w:rPr>
          <w:rFonts w:ascii="Arial" w:hAnsi="Arial"/>
          <w:sz w:val="20"/>
          <w:lang w:val="en-US"/>
        </w:rPr>
        <w:t xml:space="preserve">AL </w:t>
      </w:r>
      <w:r w:rsidR="00C167AC" w:rsidRPr="006E20A2">
        <w:rPr>
          <w:rFonts w:ascii="Arial" w:hAnsi="Arial"/>
          <w:sz w:val="20"/>
          <w:lang w:val="en-US"/>
        </w:rPr>
        <w:t xml:space="preserve">to the reports of Czech </w:t>
      </w:r>
      <w:r w:rsidR="00192999" w:rsidRPr="006E20A2">
        <w:rPr>
          <w:rFonts w:ascii="Arial" w:hAnsi="Arial"/>
          <w:sz w:val="20"/>
          <w:lang w:val="en-US"/>
        </w:rPr>
        <w:t>Republic</w:t>
      </w:r>
      <w:r w:rsidR="00C167AC" w:rsidRPr="006E20A2">
        <w:rPr>
          <w:rFonts w:ascii="Arial" w:hAnsi="Arial"/>
          <w:sz w:val="20"/>
          <w:lang w:val="en-US"/>
        </w:rPr>
        <w:t xml:space="preserve"> and Lithuania</w:t>
      </w:r>
      <w:r w:rsidR="00192999">
        <w:rPr>
          <w:rFonts w:ascii="Arial" w:hAnsi="Arial"/>
          <w:sz w:val="20"/>
          <w:lang w:val="en-US"/>
        </w:rPr>
        <w:t>.</w:t>
      </w:r>
      <w:r w:rsidR="00C167AC" w:rsidRPr="006E20A2">
        <w:rPr>
          <w:rFonts w:ascii="Arial" w:hAnsi="Arial"/>
          <w:sz w:val="20"/>
          <w:lang w:val="en-US"/>
        </w:rPr>
        <w:t xml:space="preserve"> There </w:t>
      </w:r>
      <w:r w:rsidR="00192999" w:rsidRPr="006E20A2">
        <w:rPr>
          <w:rFonts w:ascii="Arial" w:hAnsi="Arial"/>
          <w:sz w:val="20"/>
          <w:lang w:val="en-US"/>
        </w:rPr>
        <w:t>were</w:t>
      </w:r>
      <w:r w:rsidR="00C167AC" w:rsidRPr="006E20A2">
        <w:rPr>
          <w:rFonts w:ascii="Arial" w:hAnsi="Arial"/>
          <w:sz w:val="20"/>
          <w:lang w:val="en-US"/>
        </w:rPr>
        <w:t xml:space="preserve"> some remarks to the first draft of the Ukrainian </w:t>
      </w:r>
      <w:r w:rsidR="00192999" w:rsidRPr="006E20A2">
        <w:rPr>
          <w:rFonts w:ascii="Arial" w:hAnsi="Arial"/>
          <w:sz w:val="20"/>
          <w:lang w:val="en-US"/>
        </w:rPr>
        <w:t>report,</w:t>
      </w:r>
      <w:r w:rsidR="00C167AC" w:rsidRPr="006E20A2">
        <w:rPr>
          <w:rFonts w:ascii="Arial" w:hAnsi="Arial"/>
          <w:sz w:val="20"/>
          <w:lang w:val="en-US"/>
        </w:rPr>
        <w:t xml:space="preserve"> but all the open </w:t>
      </w:r>
      <w:r w:rsidR="00192999" w:rsidRPr="006E20A2">
        <w:rPr>
          <w:rFonts w:ascii="Arial" w:hAnsi="Arial"/>
          <w:sz w:val="20"/>
          <w:lang w:val="en-US"/>
        </w:rPr>
        <w:t>dilemmas</w:t>
      </w:r>
      <w:r w:rsidR="00C167AC" w:rsidRPr="006E20A2">
        <w:rPr>
          <w:rFonts w:ascii="Arial" w:hAnsi="Arial"/>
          <w:sz w:val="20"/>
          <w:lang w:val="en-US"/>
        </w:rPr>
        <w:t xml:space="preserve"> were </w:t>
      </w:r>
      <w:r w:rsidR="00192999" w:rsidRPr="006E20A2">
        <w:rPr>
          <w:rFonts w:ascii="Arial" w:hAnsi="Arial"/>
          <w:sz w:val="20"/>
          <w:lang w:val="en-US"/>
        </w:rPr>
        <w:t>solved before</w:t>
      </w:r>
      <w:r w:rsidR="00C167AC" w:rsidRPr="006E20A2">
        <w:rPr>
          <w:rFonts w:ascii="Arial" w:hAnsi="Arial"/>
          <w:sz w:val="20"/>
          <w:lang w:val="en-US"/>
        </w:rPr>
        <w:t xml:space="preserve"> sending the updated report with which all delegations agreed. Follow up reports of all three counties were adopted. </w:t>
      </w:r>
    </w:p>
    <w:p w14:paraId="12EF3780" w14:textId="77777777" w:rsidR="003D7EC3" w:rsidRPr="006E20A2" w:rsidRDefault="003D7EC3" w:rsidP="006D0841">
      <w:pPr>
        <w:widowControl/>
        <w:spacing w:line="276" w:lineRule="auto"/>
        <w:rPr>
          <w:rFonts w:ascii="Arial" w:hAnsi="Arial"/>
          <w:sz w:val="20"/>
          <w:lang w:val="en-US"/>
        </w:rPr>
      </w:pPr>
    </w:p>
    <w:p w14:paraId="538ECFF5" w14:textId="4F8347EF" w:rsidR="006D0841" w:rsidRPr="006E20A2" w:rsidRDefault="00D3698C" w:rsidP="006D0841">
      <w:pPr>
        <w:widowControl/>
        <w:spacing w:line="276" w:lineRule="auto"/>
        <w:rPr>
          <w:rFonts w:ascii="Arial" w:hAnsi="Arial"/>
          <w:sz w:val="20"/>
          <w:lang w:val="en-US"/>
        </w:rPr>
      </w:pPr>
      <w:r>
        <w:rPr>
          <w:rFonts w:ascii="Arial" w:hAnsi="Arial"/>
          <w:sz w:val="20"/>
          <w:lang w:val="en-US"/>
        </w:rPr>
        <w:lastRenderedPageBreak/>
        <w:t>The f</w:t>
      </w:r>
      <w:r w:rsidRPr="006E20A2">
        <w:rPr>
          <w:rFonts w:ascii="Arial" w:hAnsi="Arial"/>
          <w:sz w:val="20"/>
          <w:lang w:val="en-US"/>
        </w:rPr>
        <w:t xml:space="preserve">ollow </w:t>
      </w:r>
      <w:r w:rsidR="00820B79" w:rsidRPr="006E20A2">
        <w:rPr>
          <w:rFonts w:ascii="Arial" w:hAnsi="Arial"/>
          <w:sz w:val="20"/>
          <w:lang w:val="en-US"/>
        </w:rPr>
        <w:t xml:space="preserve">up report of Isle of Man was sent to delegations for the preliminary overview, </w:t>
      </w:r>
      <w:proofErr w:type="gramStart"/>
      <w:r w:rsidR="00820B79" w:rsidRPr="006E20A2">
        <w:rPr>
          <w:rFonts w:ascii="Arial" w:hAnsi="Arial"/>
          <w:sz w:val="20"/>
          <w:lang w:val="en-US"/>
        </w:rPr>
        <w:t>remarks</w:t>
      </w:r>
      <w:proofErr w:type="gramEnd"/>
      <w:r w:rsidR="00820B79" w:rsidRPr="006E20A2">
        <w:rPr>
          <w:rFonts w:ascii="Arial" w:hAnsi="Arial"/>
          <w:sz w:val="20"/>
          <w:lang w:val="en-US"/>
        </w:rPr>
        <w:t xml:space="preserve"> </w:t>
      </w:r>
      <w:r>
        <w:rPr>
          <w:rFonts w:ascii="Arial" w:hAnsi="Arial"/>
          <w:sz w:val="20"/>
          <w:lang w:val="en-US"/>
        </w:rPr>
        <w:t>or</w:t>
      </w:r>
      <w:r w:rsidRPr="006E20A2">
        <w:rPr>
          <w:rFonts w:ascii="Arial" w:hAnsi="Arial"/>
          <w:sz w:val="20"/>
          <w:lang w:val="en-US"/>
        </w:rPr>
        <w:t xml:space="preserve"> </w:t>
      </w:r>
      <w:r>
        <w:rPr>
          <w:rFonts w:ascii="Arial" w:hAnsi="Arial"/>
          <w:sz w:val="20"/>
          <w:lang w:val="en-US"/>
        </w:rPr>
        <w:t>objections</w:t>
      </w:r>
      <w:r w:rsidR="00820B79" w:rsidRPr="006E20A2">
        <w:rPr>
          <w:rFonts w:ascii="Arial" w:hAnsi="Arial"/>
          <w:sz w:val="20"/>
          <w:lang w:val="en-US"/>
        </w:rPr>
        <w:t xml:space="preserve">. </w:t>
      </w:r>
      <w:r>
        <w:rPr>
          <w:rFonts w:ascii="Arial" w:hAnsi="Arial"/>
          <w:sz w:val="20"/>
          <w:lang w:val="en-US"/>
        </w:rPr>
        <w:t>The</w:t>
      </w:r>
      <w:r w:rsidR="00195336">
        <w:rPr>
          <w:rFonts w:ascii="Arial" w:hAnsi="Arial"/>
          <w:sz w:val="20"/>
          <w:lang w:val="en-US"/>
        </w:rPr>
        <w:t xml:space="preserve"> </w:t>
      </w:r>
      <w:r w:rsidR="006D0841" w:rsidRPr="006E20A2">
        <w:rPr>
          <w:rFonts w:ascii="Arial" w:hAnsi="Arial"/>
          <w:sz w:val="20"/>
          <w:lang w:val="en-US"/>
        </w:rPr>
        <w:t>MONEYVAL</w:t>
      </w:r>
      <w:r w:rsidR="00820B79" w:rsidRPr="006E20A2">
        <w:rPr>
          <w:rFonts w:ascii="Arial" w:hAnsi="Arial"/>
          <w:sz w:val="20"/>
          <w:lang w:val="en-US"/>
        </w:rPr>
        <w:t xml:space="preserve"> secretariat received remarks to the first draft of the report and to the updated report, </w:t>
      </w:r>
      <w:r>
        <w:rPr>
          <w:rFonts w:ascii="Arial" w:hAnsi="Arial"/>
          <w:sz w:val="20"/>
          <w:lang w:val="en-US"/>
        </w:rPr>
        <w:t>therefore</w:t>
      </w:r>
      <w:r w:rsidR="00820B79" w:rsidRPr="006E20A2">
        <w:rPr>
          <w:rFonts w:ascii="Arial" w:hAnsi="Arial"/>
          <w:sz w:val="20"/>
          <w:lang w:val="en-US"/>
        </w:rPr>
        <w:t xml:space="preserve"> the report was </w:t>
      </w:r>
      <w:r w:rsidR="00192999" w:rsidRPr="006E20A2">
        <w:rPr>
          <w:rFonts w:ascii="Arial" w:hAnsi="Arial"/>
          <w:sz w:val="20"/>
          <w:lang w:val="en-US"/>
        </w:rPr>
        <w:t>discussed</w:t>
      </w:r>
      <w:r w:rsidR="00820B79" w:rsidRPr="006E20A2">
        <w:rPr>
          <w:rFonts w:ascii="Arial" w:hAnsi="Arial"/>
          <w:sz w:val="20"/>
          <w:lang w:val="en-US"/>
        </w:rPr>
        <w:t xml:space="preserve"> also at the 60th </w:t>
      </w:r>
      <w:r w:rsidR="00192999" w:rsidRPr="006E20A2">
        <w:rPr>
          <w:rFonts w:ascii="Arial" w:hAnsi="Arial"/>
          <w:sz w:val="20"/>
          <w:lang w:val="en-US"/>
        </w:rPr>
        <w:t>Plenary</w:t>
      </w:r>
      <w:r w:rsidR="00820B79" w:rsidRPr="006E20A2">
        <w:rPr>
          <w:rFonts w:ascii="Arial" w:hAnsi="Arial"/>
          <w:sz w:val="20"/>
          <w:lang w:val="en-US"/>
        </w:rPr>
        <w:t xml:space="preserve"> of Moneyval that took place fr</w:t>
      </w:r>
      <w:r w:rsidR="008B767C">
        <w:rPr>
          <w:rFonts w:ascii="Arial" w:hAnsi="Arial"/>
          <w:sz w:val="20"/>
          <w:lang w:val="en-US"/>
        </w:rPr>
        <w:t>o</w:t>
      </w:r>
      <w:r w:rsidR="00820B79" w:rsidRPr="006E20A2">
        <w:rPr>
          <w:rFonts w:ascii="Arial" w:hAnsi="Arial"/>
          <w:sz w:val="20"/>
          <w:lang w:val="en-US"/>
        </w:rPr>
        <w:t xml:space="preserve">m </w:t>
      </w:r>
      <w:r w:rsidR="008B767C">
        <w:rPr>
          <w:rFonts w:ascii="Arial" w:hAnsi="Arial"/>
          <w:sz w:val="20"/>
          <w:lang w:val="en-US"/>
        </w:rPr>
        <w:t xml:space="preserve">September </w:t>
      </w:r>
      <w:r w:rsidR="00820B79" w:rsidRPr="006E20A2">
        <w:rPr>
          <w:rFonts w:ascii="Arial" w:hAnsi="Arial"/>
          <w:sz w:val="20"/>
          <w:lang w:val="en-US"/>
        </w:rPr>
        <w:t>14-18</w:t>
      </w:r>
      <w:r w:rsidR="008B767C">
        <w:rPr>
          <w:rFonts w:ascii="Arial" w:hAnsi="Arial"/>
          <w:sz w:val="20"/>
          <w:lang w:val="en-US"/>
        </w:rPr>
        <w:t>, 2020</w:t>
      </w:r>
      <w:r w:rsidR="00820B79" w:rsidRPr="006E20A2">
        <w:rPr>
          <w:rFonts w:ascii="Arial" w:hAnsi="Arial"/>
          <w:sz w:val="20"/>
          <w:lang w:val="en-US"/>
        </w:rPr>
        <w:t>. At the plenary</w:t>
      </w:r>
      <w:r w:rsidR="008B767C">
        <w:rPr>
          <w:rFonts w:ascii="Arial" w:hAnsi="Arial"/>
          <w:sz w:val="20"/>
          <w:lang w:val="en-US"/>
        </w:rPr>
        <w:t>,</w:t>
      </w:r>
      <w:r w:rsidR="00820B79" w:rsidRPr="006E20A2">
        <w:rPr>
          <w:rFonts w:ascii="Arial" w:hAnsi="Arial"/>
          <w:sz w:val="20"/>
          <w:lang w:val="en-US"/>
        </w:rPr>
        <w:t xml:space="preserve"> the </w:t>
      </w:r>
      <w:r w:rsidR="008B767C">
        <w:rPr>
          <w:rFonts w:ascii="Arial" w:hAnsi="Arial"/>
          <w:sz w:val="20"/>
          <w:lang w:val="en-US"/>
        </w:rPr>
        <w:t>Action Plan</w:t>
      </w:r>
      <w:r w:rsidR="00820B79" w:rsidRPr="006E20A2">
        <w:rPr>
          <w:rFonts w:ascii="Arial" w:hAnsi="Arial"/>
          <w:sz w:val="20"/>
          <w:lang w:val="en-US"/>
        </w:rPr>
        <w:t xml:space="preserve"> of </w:t>
      </w:r>
      <w:r>
        <w:rPr>
          <w:rFonts w:ascii="Arial" w:hAnsi="Arial"/>
          <w:sz w:val="20"/>
          <w:lang w:val="en-US"/>
        </w:rPr>
        <w:t xml:space="preserve">MONEYVAL </w:t>
      </w:r>
      <w:r w:rsidR="00820B79" w:rsidRPr="006E20A2">
        <w:rPr>
          <w:rFonts w:ascii="Arial" w:hAnsi="Arial"/>
          <w:sz w:val="20"/>
          <w:lang w:val="en-US"/>
        </w:rPr>
        <w:t xml:space="preserve">was adopted, it </w:t>
      </w:r>
      <w:r w:rsidR="00192999" w:rsidRPr="006E20A2">
        <w:rPr>
          <w:rFonts w:ascii="Arial" w:hAnsi="Arial"/>
          <w:sz w:val="20"/>
          <w:lang w:val="en-US"/>
        </w:rPr>
        <w:t>include</w:t>
      </w:r>
      <w:r w:rsidR="008B767C">
        <w:rPr>
          <w:rFonts w:ascii="Arial" w:hAnsi="Arial"/>
          <w:sz w:val="20"/>
          <w:lang w:val="en-US"/>
        </w:rPr>
        <w:t>d</w:t>
      </w:r>
      <w:r w:rsidR="00820B79" w:rsidRPr="006E20A2">
        <w:rPr>
          <w:rFonts w:ascii="Arial" w:hAnsi="Arial"/>
          <w:sz w:val="20"/>
          <w:lang w:val="en-US"/>
        </w:rPr>
        <w:t xml:space="preserve"> the </w:t>
      </w:r>
      <w:r w:rsidR="00192999" w:rsidRPr="006E20A2">
        <w:rPr>
          <w:rFonts w:ascii="Arial" w:hAnsi="Arial"/>
          <w:sz w:val="20"/>
          <w:lang w:val="en-US"/>
        </w:rPr>
        <w:t>training</w:t>
      </w:r>
      <w:r w:rsidR="00820B79" w:rsidRPr="006E20A2">
        <w:rPr>
          <w:rFonts w:ascii="Arial" w:hAnsi="Arial"/>
          <w:sz w:val="20"/>
          <w:lang w:val="en-US"/>
        </w:rPr>
        <w:t xml:space="preserve"> of </w:t>
      </w:r>
      <w:r w:rsidR="00192999" w:rsidRPr="006E20A2">
        <w:rPr>
          <w:rFonts w:ascii="Arial" w:hAnsi="Arial"/>
          <w:sz w:val="20"/>
          <w:lang w:val="en-US"/>
        </w:rPr>
        <w:t>assessors</w:t>
      </w:r>
      <w:r w:rsidR="00820B79" w:rsidRPr="006E20A2">
        <w:rPr>
          <w:rFonts w:ascii="Arial" w:hAnsi="Arial"/>
          <w:sz w:val="20"/>
          <w:lang w:val="en-US"/>
        </w:rPr>
        <w:t>, visits of representatives, etc.</w:t>
      </w:r>
    </w:p>
    <w:p w14:paraId="59CE24DA" w14:textId="77777777" w:rsidR="003D7EC3" w:rsidRPr="006E20A2" w:rsidRDefault="003D7EC3" w:rsidP="006D0841">
      <w:pPr>
        <w:widowControl/>
        <w:spacing w:line="276" w:lineRule="auto"/>
        <w:rPr>
          <w:rFonts w:ascii="Arial" w:hAnsi="Arial"/>
          <w:sz w:val="20"/>
          <w:lang w:val="en-US"/>
        </w:rPr>
      </w:pPr>
    </w:p>
    <w:p w14:paraId="28CCC199" w14:textId="76D1DA29" w:rsidR="006D0841" w:rsidRPr="006E20A2" w:rsidRDefault="00820B79" w:rsidP="006D0841">
      <w:pPr>
        <w:widowControl/>
        <w:spacing w:line="276" w:lineRule="auto"/>
        <w:rPr>
          <w:rFonts w:ascii="Arial" w:hAnsi="Arial"/>
          <w:sz w:val="20"/>
          <w:lang w:val="en-US"/>
        </w:rPr>
      </w:pPr>
      <w:r w:rsidRPr="006E20A2">
        <w:rPr>
          <w:rFonts w:ascii="Arial" w:hAnsi="Arial"/>
          <w:sz w:val="20"/>
          <w:lang w:val="en-US"/>
        </w:rPr>
        <w:t xml:space="preserve">Due to </w:t>
      </w:r>
      <w:r w:rsidR="00D3698C">
        <w:rPr>
          <w:rFonts w:ascii="Arial" w:hAnsi="Arial"/>
          <w:sz w:val="20"/>
          <w:lang w:val="en-US"/>
        </w:rPr>
        <w:t xml:space="preserve">the </w:t>
      </w:r>
      <w:r w:rsidRPr="006E20A2">
        <w:rPr>
          <w:rFonts w:ascii="Arial" w:hAnsi="Arial"/>
          <w:sz w:val="20"/>
          <w:lang w:val="en-US"/>
        </w:rPr>
        <w:t xml:space="preserve">COVID-19 </w:t>
      </w:r>
      <w:r w:rsidR="00192999" w:rsidRPr="006E20A2">
        <w:rPr>
          <w:rFonts w:ascii="Arial" w:hAnsi="Arial"/>
          <w:sz w:val="20"/>
          <w:lang w:val="en-US"/>
        </w:rPr>
        <w:t>pandemic</w:t>
      </w:r>
      <w:r w:rsidRPr="006E20A2">
        <w:rPr>
          <w:rFonts w:ascii="Arial" w:hAnsi="Arial"/>
          <w:sz w:val="20"/>
          <w:lang w:val="en-US"/>
        </w:rPr>
        <w:t xml:space="preserve"> some </w:t>
      </w:r>
      <w:r w:rsidR="00192999" w:rsidRPr="006E20A2">
        <w:rPr>
          <w:rFonts w:ascii="Arial" w:hAnsi="Arial"/>
          <w:sz w:val="20"/>
          <w:lang w:val="en-US"/>
        </w:rPr>
        <w:t>procedural</w:t>
      </w:r>
      <w:r w:rsidRPr="006E20A2">
        <w:rPr>
          <w:rFonts w:ascii="Arial" w:hAnsi="Arial"/>
          <w:sz w:val="20"/>
          <w:lang w:val="en-US"/>
        </w:rPr>
        <w:t xml:space="preserve"> rules for the 5th </w:t>
      </w:r>
      <w:r w:rsidR="00192999" w:rsidRPr="006E20A2">
        <w:rPr>
          <w:rFonts w:ascii="Arial" w:hAnsi="Arial"/>
          <w:sz w:val="20"/>
          <w:lang w:val="en-US"/>
        </w:rPr>
        <w:t>round</w:t>
      </w:r>
      <w:r w:rsidRPr="006E20A2">
        <w:rPr>
          <w:rFonts w:ascii="Arial" w:hAnsi="Arial"/>
          <w:sz w:val="20"/>
          <w:lang w:val="en-US"/>
        </w:rPr>
        <w:t xml:space="preserve"> of </w:t>
      </w:r>
      <w:r w:rsidR="00192999" w:rsidRPr="006E20A2">
        <w:rPr>
          <w:rFonts w:ascii="Arial" w:hAnsi="Arial"/>
          <w:sz w:val="20"/>
          <w:lang w:val="en-US"/>
        </w:rPr>
        <w:t>assessment</w:t>
      </w:r>
      <w:r w:rsidR="00192999">
        <w:rPr>
          <w:rFonts w:ascii="Arial" w:hAnsi="Arial"/>
          <w:sz w:val="20"/>
          <w:lang w:val="en-US"/>
        </w:rPr>
        <w:t xml:space="preserve"> </w:t>
      </w:r>
      <w:r w:rsidR="00D3698C" w:rsidRPr="006E20A2">
        <w:rPr>
          <w:rFonts w:ascii="Arial" w:hAnsi="Arial"/>
          <w:sz w:val="20"/>
          <w:lang w:val="en-US"/>
        </w:rPr>
        <w:t>ha</w:t>
      </w:r>
      <w:r w:rsidR="00D3698C">
        <w:rPr>
          <w:rFonts w:ascii="Arial" w:hAnsi="Arial"/>
          <w:sz w:val="20"/>
          <w:lang w:val="en-US"/>
        </w:rPr>
        <w:t>ve</w:t>
      </w:r>
      <w:r w:rsidR="00D3698C" w:rsidRPr="006E20A2">
        <w:rPr>
          <w:rFonts w:ascii="Arial" w:hAnsi="Arial"/>
          <w:sz w:val="20"/>
          <w:lang w:val="en-US"/>
        </w:rPr>
        <w:t xml:space="preserve"> </w:t>
      </w:r>
      <w:r w:rsidRPr="006E20A2">
        <w:rPr>
          <w:rFonts w:ascii="Arial" w:hAnsi="Arial"/>
          <w:sz w:val="20"/>
          <w:lang w:val="en-US"/>
        </w:rPr>
        <w:t>been changed</w:t>
      </w:r>
      <w:r w:rsidR="00791BE2">
        <w:rPr>
          <w:rFonts w:ascii="Arial" w:hAnsi="Arial"/>
          <w:sz w:val="20"/>
          <w:lang w:val="en-US"/>
        </w:rPr>
        <w:t>.</w:t>
      </w:r>
      <w:r w:rsidRPr="006E20A2">
        <w:rPr>
          <w:rFonts w:ascii="Arial" w:hAnsi="Arial"/>
          <w:sz w:val="20"/>
          <w:lang w:val="en-US"/>
        </w:rPr>
        <w:t xml:space="preserve"> </w:t>
      </w:r>
    </w:p>
    <w:p w14:paraId="4B50C51D" w14:textId="77777777" w:rsidR="003D7EC3" w:rsidRPr="006E20A2" w:rsidRDefault="003D7EC3" w:rsidP="006D0841">
      <w:pPr>
        <w:widowControl/>
        <w:spacing w:line="276" w:lineRule="auto"/>
        <w:rPr>
          <w:rFonts w:ascii="Arial" w:hAnsi="Arial"/>
          <w:sz w:val="20"/>
          <w:lang w:val="en-US"/>
        </w:rPr>
      </w:pPr>
    </w:p>
    <w:p w14:paraId="522BCB05" w14:textId="3F8D0504" w:rsidR="006D0841" w:rsidRPr="006E20A2" w:rsidRDefault="00820B79" w:rsidP="006D0841">
      <w:pPr>
        <w:widowControl/>
        <w:spacing w:line="276" w:lineRule="auto"/>
        <w:rPr>
          <w:rFonts w:ascii="Arial" w:hAnsi="Arial"/>
          <w:sz w:val="20"/>
          <w:lang w:val="en-US"/>
        </w:rPr>
      </w:pPr>
      <w:r w:rsidRPr="006E20A2">
        <w:rPr>
          <w:rFonts w:ascii="Arial" w:hAnsi="Arial"/>
          <w:sz w:val="20"/>
          <w:lang w:val="en-US"/>
        </w:rPr>
        <w:t xml:space="preserve">The analysis of trends in ML/TF in countries members of </w:t>
      </w:r>
      <w:r w:rsidR="006A0E1B">
        <w:rPr>
          <w:rFonts w:ascii="Arial" w:hAnsi="Arial"/>
          <w:sz w:val="20"/>
          <w:lang w:val="en-US"/>
        </w:rPr>
        <w:t>MONEYVAL</w:t>
      </w:r>
      <w:r w:rsidR="006A0E1B" w:rsidRPr="006E20A2">
        <w:rPr>
          <w:rFonts w:ascii="Arial" w:hAnsi="Arial"/>
          <w:sz w:val="20"/>
          <w:lang w:val="en-US"/>
        </w:rPr>
        <w:t xml:space="preserve"> </w:t>
      </w:r>
      <w:r w:rsidRPr="006E20A2">
        <w:rPr>
          <w:rFonts w:ascii="Arial" w:hAnsi="Arial"/>
          <w:sz w:val="20"/>
          <w:lang w:val="en-US"/>
        </w:rPr>
        <w:t xml:space="preserve">has shown that during </w:t>
      </w:r>
      <w:r w:rsidR="006A0E1B">
        <w:rPr>
          <w:rFonts w:ascii="Arial" w:hAnsi="Arial"/>
          <w:sz w:val="20"/>
          <w:lang w:val="en-US"/>
        </w:rPr>
        <w:t xml:space="preserve">the </w:t>
      </w:r>
      <w:r w:rsidRPr="006E20A2">
        <w:rPr>
          <w:rFonts w:ascii="Arial" w:hAnsi="Arial"/>
          <w:sz w:val="20"/>
          <w:lang w:val="en-US"/>
        </w:rPr>
        <w:t xml:space="preserve">COVID-19 pandemic the number of criminal offences (with transnational </w:t>
      </w:r>
      <w:r w:rsidR="00192999" w:rsidRPr="006E20A2">
        <w:rPr>
          <w:rFonts w:ascii="Arial" w:hAnsi="Arial"/>
          <w:sz w:val="20"/>
          <w:lang w:val="en-US"/>
        </w:rPr>
        <w:t>elements</w:t>
      </w:r>
      <w:r w:rsidRPr="006E20A2">
        <w:rPr>
          <w:rFonts w:ascii="Arial" w:hAnsi="Arial"/>
          <w:sz w:val="20"/>
          <w:lang w:val="en-US"/>
        </w:rPr>
        <w:t xml:space="preserve">) has risen, mainly frauds (with e-devices) in </w:t>
      </w:r>
      <w:r w:rsidR="00192999" w:rsidRPr="006E20A2">
        <w:rPr>
          <w:rFonts w:ascii="Arial" w:hAnsi="Arial"/>
          <w:sz w:val="20"/>
          <w:lang w:val="en-US"/>
        </w:rPr>
        <w:t>cybercrime</w:t>
      </w:r>
      <w:r w:rsidRPr="006E20A2">
        <w:rPr>
          <w:rFonts w:ascii="Arial" w:hAnsi="Arial"/>
          <w:sz w:val="20"/>
          <w:lang w:val="en-US"/>
        </w:rPr>
        <w:t xml:space="preserve">. Given the </w:t>
      </w:r>
      <w:r w:rsidR="00502C75" w:rsidRPr="006E20A2">
        <w:rPr>
          <w:rFonts w:ascii="Arial" w:hAnsi="Arial"/>
          <w:sz w:val="20"/>
          <w:lang w:val="en-US"/>
        </w:rPr>
        <w:t>increased need of medical equipment (</w:t>
      </w:r>
      <w:proofErr w:type="gramStart"/>
      <w:r w:rsidR="00502C75" w:rsidRPr="006E20A2">
        <w:rPr>
          <w:rFonts w:ascii="Arial" w:hAnsi="Arial"/>
          <w:sz w:val="20"/>
          <w:lang w:val="en-US"/>
        </w:rPr>
        <w:t>as a consequence of</w:t>
      </w:r>
      <w:proofErr w:type="gramEnd"/>
      <w:r w:rsidR="00502C75" w:rsidRPr="006E20A2">
        <w:rPr>
          <w:rFonts w:ascii="Arial" w:hAnsi="Arial"/>
          <w:sz w:val="20"/>
          <w:lang w:val="en-US"/>
        </w:rPr>
        <w:t xml:space="preserve"> insufficient stock</w:t>
      </w:r>
      <w:r w:rsidR="00791BE2">
        <w:rPr>
          <w:rFonts w:ascii="Arial" w:hAnsi="Arial"/>
          <w:sz w:val="20"/>
          <w:lang w:val="en-US"/>
        </w:rPr>
        <w:t>s</w:t>
      </w:r>
      <w:r w:rsidR="00502C75" w:rsidRPr="006E20A2">
        <w:rPr>
          <w:rFonts w:ascii="Arial" w:hAnsi="Arial"/>
          <w:sz w:val="20"/>
          <w:lang w:val="en-US"/>
        </w:rPr>
        <w:t>) there were cases of fraud and corruption.</w:t>
      </w:r>
      <w:r w:rsidR="00DE0DF0" w:rsidRPr="006E20A2">
        <w:rPr>
          <w:rFonts w:ascii="Arial" w:hAnsi="Arial"/>
          <w:sz w:val="20"/>
          <w:lang w:val="en-US"/>
        </w:rPr>
        <w:t xml:space="preserve"> In the pandemic period the number of suspicious transactions received </w:t>
      </w:r>
      <w:r w:rsidR="006A0E1B">
        <w:rPr>
          <w:rFonts w:ascii="Arial" w:hAnsi="Arial"/>
          <w:sz w:val="20"/>
          <w:lang w:val="en-US"/>
        </w:rPr>
        <w:t>from</w:t>
      </w:r>
      <w:r w:rsidR="006A0E1B" w:rsidRPr="006E20A2">
        <w:rPr>
          <w:rFonts w:ascii="Arial" w:hAnsi="Arial"/>
          <w:sz w:val="20"/>
          <w:lang w:val="en-US"/>
        </w:rPr>
        <w:t xml:space="preserve"> </w:t>
      </w:r>
      <w:r w:rsidR="00DE0DF0" w:rsidRPr="006E20A2">
        <w:rPr>
          <w:rFonts w:ascii="Arial" w:hAnsi="Arial"/>
          <w:sz w:val="20"/>
          <w:lang w:val="en-US"/>
        </w:rPr>
        <w:t xml:space="preserve">obliged entities did not change. </w:t>
      </w:r>
      <w:r w:rsidR="00195336">
        <w:rPr>
          <w:rFonts w:ascii="Arial" w:hAnsi="Arial"/>
          <w:sz w:val="20"/>
          <w:lang w:val="en-US"/>
        </w:rPr>
        <w:t>Supervisors w</w:t>
      </w:r>
      <w:r w:rsidR="00DE0DF0" w:rsidRPr="006E20A2">
        <w:rPr>
          <w:rFonts w:ascii="Arial" w:hAnsi="Arial"/>
          <w:sz w:val="20"/>
          <w:lang w:val="en-US"/>
        </w:rPr>
        <w:t xml:space="preserve">ere </w:t>
      </w:r>
      <w:r w:rsidR="00192999" w:rsidRPr="006E20A2">
        <w:rPr>
          <w:rFonts w:ascii="Arial" w:hAnsi="Arial"/>
          <w:sz w:val="20"/>
          <w:lang w:val="en-US"/>
        </w:rPr>
        <w:t>successful</w:t>
      </w:r>
      <w:r w:rsidR="00DE0DF0" w:rsidRPr="006E20A2">
        <w:rPr>
          <w:rFonts w:ascii="Arial" w:hAnsi="Arial"/>
          <w:sz w:val="20"/>
          <w:lang w:val="en-US"/>
        </w:rPr>
        <w:t xml:space="preserve"> </w:t>
      </w:r>
      <w:r w:rsidR="00192999" w:rsidRPr="006E20A2">
        <w:rPr>
          <w:rFonts w:ascii="Arial" w:hAnsi="Arial"/>
          <w:sz w:val="20"/>
          <w:lang w:val="en-US"/>
        </w:rPr>
        <w:t>in executing</w:t>
      </w:r>
      <w:r w:rsidR="00DE0DF0" w:rsidRPr="006E20A2">
        <w:rPr>
          <w:rFonts w:ascii="Arial" w:hAnsi="Arial"/>
          <w:sz w:val="20"/>
          <w:lang w:val="en-US"/>
        </w:rPr>
        <w:t xml:space="preserve"> off site supervisions by </w:t>
      </w:r>
      <w:r w:rsidR="00192999" w:rsidRPr="006E20A2">
        <w:rPr>
          <w:rFonts w:ascii="Arial" w:hAnsi="Arial"/>
          <w:sz w:val="20"/>
          <w:lang w:val="en-US"/>
        </w:rPr>
        <w:t>electronic</w:t>
      </w:r>
      <w:r w:rsidR="00DE0DF0" w:rsidRPr="006E20A2">
        <w:rPr>
          <w:rFonts w:ascii="Arial" w:hAnsi="Arial"/>
          <w:sz w:val="20"/>
          <w:lang w:val="en-US"/>
        </w:rPr>
        <w:t xml:space="preserve"> means, also the number of supervisions did not change during pandemic. Law enforcement authorities did not encounter substantial problems in </w:t>
      </w:r>
      <w:r w:rsidR="006A0E1B">
        <w:rPr>
          <w:rFonts w:ascii="Arial" w:hAnsi="Arial"/>
          <w:sz w:val="20"/>
          <w:lang w:val="en-US"/>
        </w:rPr>
        <w:t>prosecuting</w:t>
      </w:r>
      <w:r w:rsidR="006A0E1B" w:rsidRPr="006E20A2">
        <w:rPr>
          <w:rFonts w:ascii="Arial" w:hAnsi="Arial"/>
          <w:sz w:val="20"/>
          <w:lang w:val="en-US"/>
        </w:rPr>
        <w:t xml:space="preserve"> </w:t>
      </w:r>
      <w:r w:rsidR="00DE0DF0" w:rsidRPr="006E20A2">
        <w:rPr>
          <w:rFonts w:ascii="Arial" w:hAnsi="Arial"/>
          <w:sz w:val="20"/>
          <w:lang w:val="en-US"/>
        </w:rPr>
        <w:t xml:space="preserve">criminal activity, but the </w:t>
      </w:r>
      <w:r w:rsidR="00192999" w:rsidRPr="006E20A2">
        <w:rPr>
          <w:rFonts w:ascii="Arial" w:hAnsi="Arial"/>
          <w:sz w:val="20"/>
          <w:lang w:val="en-US"/>
        </w:rPr>
        <w:t>court</w:t>
      </w:r>
      <w:r w:rsidR="006A0E1B">
        <w:rPr>
          <w:rFonts w:ascii="Arial" w:hAnsi="Arial"/>
          <w:sz w:val="20"/>
          <w:lang w:val="en-US"/>
        </w:rPr>
        <w:t>s</w:t>
      </w:r>
      <w:r w:rsidR="00DE0DF0" w:rsidRPr="006E20A2">
        <w:rPr>
          <w:rFonts w:ascii="Arial" w:hAnsi="Arial"/>
          <w:sz w:val="20"/>
          <w:lang w:val="en-US"/>
        </w:rPr>
        <w:t xml:space="preserve"> had to postpone certain proceedings.</w:t>
      </w:r>
    </w:p>
    <w:p w14:paraId="751860BF" w14:textId="77777777" w:rsidR="006D0841" w:rsidRPr="006E20A2" w:rsidRDefault="006D0841" w:rsidP="006D0841">
      <w:pPr>
        <w:widowControl/>
        <w:spacing w:line="276" w:lineRule="auto"/>
        <w:rPr>
          <w:rFonts w:ascii="Arial" w:hAnsi="Arial"/>
          <w:sz w:val="20"/>
          <w:lang w:val="en-US"/>
        </w:rPr>
      </w:pPr>
    </w:p>
    <w:p w14:paraId="434468BC" w14:textId="2C581827" w:rsidR="006D0841" w:rsidRPr="006E20A2" w:rsidRDefault="006D0841" w:rsidP="006D0841">
      <w:pPr>
        <w:spacing w:line="276" w:lineRule="auto"/>
        <w:rPr>
          <w:rFonts w:ascii="Arial" w:hAnsi="Arial"/>
          <w:b/>
          <w:sz w:val="20"/>
          <w:lang w:val="en-US"/>
        </w:rPr>
      </w:pPr>
      <w:r w:rsidRPr="006E20A2">
        <w:rPr>
          <w:rFonts w:ascii="Arial" w:hAnsi="Arial"/>
          <w:b/>
          <w:bCs/>
          <w:sz w:val="20"/>
          <w:lang w:val="en-US"/>
        </w:rPr>
        <w:t>60</w:t>
      </w:r>
      <w:r w:rsidR="000005E3" w:rsidRPr="006E20A2">
        <w:rPr>
          <w:rFonts w:ascii="Arial" w:hAnsi="Arial"/>
          <w:b/>
          <w:bCs/>
          <w:sz w:val="20"/>
          <w:lang w:val="en-US"/>
        </w:rPr>
        <w:t>th MO</w:t>
      </w:r>
      <w:r w:rsidRPr="006E20A2">
        <w:rPr>
          <w:rFonts w:ascii="Arial" w:hAnsi="Arial"/>
          <w:b/>
          <w:bCs/>
          <w:sz w:val="20"/>
          <w:lang w:val="en-US"/>
        </w:rPr>
        <w:t>NEYVAL</w:t>
      </w:r>
      <w:r w:rsidR="000005E3" w:rsidRPr="006E20A2">
        <w:rPr>
          <w:rFonts w:ascii="Arial" w:hAnsi="Arial"/>
          <w:b/>
          <w:bCs/>
          <w:sz w:val="20"/>
          <w:lang w:val="en-US"/>
        </w:rPr>
        <w:t xml:space="preserve"> plenary session</w:t>
      </w:r>
      <w:r w:rsidRPr="006E20A2">
        <w:rPr>
          <w:rFonts w:ascii="Arial" w:hAnsi="Arial"/>
          <w:b/>
          <w:bCs/>
          <w:sz w:val="20"/>
          <w:lang w:val="en-US"/>
        </w:rPr>
        <w:t xml:space="preserve"> (</w:t>
      </w:r>
      <w:r w:rsidR="00192999" w:rsidRPr="006E20A2">
        <w:rPr>
          <w:rFonts w:ascii="Arial" w:hAnsi="Arial"/>
          <w:b/>
          <w:bCs/>
          <w:sz w:val="20"/>
          <w:lang w:val="en-US"/>
        </w:rPr>
        <w:t>September</w:t>
      </w:r>
      <w:r w:rsidR="000005E3" w:rsidRPr="006E20A2">
        <w:rPr>
          <w:rFonts w:ascii="Arial" w:hAnsi="Arial"/>
          <w:b/>
          <w:bCs/>
          <w:sz w:val="20"/>
          <w:lang w:val="en-US"/>
        </w:rPr>
        <w:t xml:space="preserve"> 14. – September 16.</w:t>
      </w:r>
      <w:r w:rsidRPr="006E20A2">
        <w:rPr>
          <w:rFonts w:ascii="Arial" w:hAnsi="Arial"/>
          <w:b/>
          <w:bCs/>
          <w:sz w:val="20"/>
          <w:lang w:val="en-US"/>
        </w:rPr>
        <w:t xml:space="preserve"> 2020): </w:t>
      </w:r>
      <w:r w:rsidR="008B767C">
        <w:rPr>
          <w:rFonts w:ascii="Arial" w:hAnsi="Arial"/>
          <w:sz w:val="20"/>
          <w:lang w:val="en-US"/>
        </w:rPr>
        <w:t xml:space="preserve">Experts from all member </w:t>
      </w:r>
      <w:r w:rsidR="006A0E1B">
        <w:rPr>
          <w:rFonts w:ascii="Arial" w:hAnsi="Arial"/>
          <w:sz w:val="20"/>
          <w:lang w:val="en-US"/>
        </w:rPr>
        <w:t xml:space="preserve">states </w:t>
      </w:r>
      <w:r w:rsidR="008B767C">
        <w:rPr>
          <w:rFonts w:ascii="Arial" w:hAnsi="Arial"/>
          <w:sz w:val="20"/>
          <w:lang w:val="en-US"/>
        </w:rPr>
        <w:t xml:space="preserve">of MONEYVAL participated </w:t>
      </w:r>
      <w:r w:rsidR="006A0E1B">
        <w:rPr>
          <w:rFonts w:ascii="Arial" w:hAnsi="Arial"/>
          <w:sz w:val="20"/>
          <w:lang w:val="en-US"/>
        </w:rPr>
        <w:t>in</w:t>
      </w:r>
      <w:r w:rsidR="006A0E1B" w:rsidRPr="008B767C">
        <w:rPr>
          <w:rFonts w:ascii="Arial" w:hAnsi="Arial"/>
          <w:sz w:val="20"/>
          <w:lang w:val="en-US"/>
        </w:rPr>
        <w:t xml:space="preserve"> </w:t>
      </w:r>
      <w:r w:rsidR="008B767C" w:rsidRPr="008B767C">
        <w:rPr>
          <w:rFonts w:ascii="Arial" w:hAnsi="Arial"/>
          <w:sz w:val="20"/>
          <w:lang w:val="en-US"/>
        </w:rPr>
        <w:t>the</w:t>
      </w:r>
      <w:r w:rsidR="008B767C">
        <w:rPr>
          <w:rFonts w:ascii="Arial" w:hAnsi="Arial"/>
          <w:b/>
          <w:bCs/>
          <w:sz w:val="20"/>
          <w:lang w:val="en-US"/>
        </w:rPr>
        <w:t xml:space="preserve"> </w:t>
      </w:r>
      <w:r w:rsidR="000005E3" w:rsidRPr="006E20A2">
        <w:rPr>
          <w:rFonts w:ascii="Arial" w:hAnsi="Arial"/>
          <w:sz w:val="20"/>
          <w:lang w:val="en-US"/>
        </w:rPr>
        <w:t xml:space="preserve">session of </w:t>
      </w:r>
      <w:r w:rsidR="006A0E1B">
        <w:rPr>
          <w:rFonts w:ascii="Arial" w:hAnsi="Arial"/>
          <w:sz w:val="20"/>
          <w:lang w:val="en-US"/>
        </w:rPr>
        <w:t xml:space="preserve">the </w:t>
      </w:r>
      <w:r w:rsidR="000005E3" w:rsidRPr="006E20A2">
        <w:rPr>
          <w:rFonts w:ascii="Arial" w:hAnsi="Arial"/>
          <w:sz w:val="20"/>
          <w:lang w:val="en-US"/>
        </w:rPr>
        <w:t>»evaluation working group«</w:t>
      </w:r>
      <w:r w:rsidR="008B767C">
        <w:rPr>
          <w:rFonts w:ascii="Arial" w:hAnsi="Arial"/>
          <w:sz w:val="20"/>
          <w:lang w:val="en-US"/>
        </w:rPr>
        <w:t xml:space="preserve">. </w:t>
      </w:r>
      <w:r w:rsidR="000005E3" w:rsidRPr="006E20A2">
        <w:rPr>
          <w:rFonts w:ascii="Arial" w:hAnsi="Arial"/>
          <w:sz w:val="20"/>
          <w:lang w:val="en-US"/>
        </w:rPr>
        <w:t xml:space="preserve">The aim of this group was to </w:t>
      </w:r>
      <w:r w:rsidR="00192999" w:rsidRPr="006E20A2">
        <w:rPr>
          <w:rFonts w:ascii="Arial" w:hAnsi="Arial"/>
          <w:sz w:val="20"/>
          <w:lang w:val="en-US"/>
        </w:rPr>
        <w:t>answer</w:t>
      </w:r>
      <w:r w:rsidR="000005E3" w:rsidRPr="006E20A2">
        <w:rPr>
          <w:rFonts w:ascii="Arial" w:hAnsi="Arial"/>
          <w:sz w:val="20"/>
          <w:lang w:val="en-US"/>
        </w:rPr>
        <w:t xml:space="preserve"> the key questions</w:t>
      </w:r>
      <w:r w:rsidR="00192999">
        <w:rPr>
          <w:rFonts w:ascii="Arial" w:hAnsi="Arial"/>
          <w:sz w:val="20"/>
          <w:lang w:val="en-US"/>
        </w:rPr>
        <w:t xml:space="preserve"> </w:t>
      </w:r>
      <w:r w:rsidR="000005E3" w:rsidRPr="006E20A2">
        <w:rPr>
          <w:rFonts w:ascii="Arial" w:hAnsi="Arial"/>
          <w:sz w:val="20"/>
          <w:lang w:val="en-US"/>
        </w:rPr>
        <w:t xml:space="preserve">related to reports of countries in </w:t>
      </w:r>
      <w:r w:rsidR="006A0E1B">
        <w:rPr>
          <w:rFonts w:ascii="Arial" w:hAnsi="Arial"/>
          <w:sz w:val="20"/>
          <w:lang w:val="en-US"/>
        </w:rPr>
        <w:t xml:space="preserve">the </w:t>
      </w:r>
      <w:r w:rsidR="000005E3" w:rsidRPr="006E20A2">
        <w:rPr>
          <w:rFonts w:ascii="Arial" w:hAnsi="Arial"/>
          <w:sz w:val="20"/>
          <w:lang w:val="en-US"/>
        </w:rPr>
        <w:t xml:space="preserve">5th round of MONEYVAL evaluation. According to </w:t>
      </w:r>
      <w:r w:rsidR="00192999" w:rsidRPr="006E20A2">
        <w:rPr>
          <w:rFonts w:ascii="Arial" w:hAnsi="Arial"/>
          <w:sz w:val="20"/>
          <w:lang w:val="en-US"/>
        </w:rPr>
        <w:t>procedural</w:t>
      </w:r>
      <w:r w:rsidR="000005E3" w:rsidRPr="006E20A2">
        <w:rPr>
          <w:rFonts w:ascii="Arial" w:hAnsi="Arial"/>
          <w:sz w:val="20"/>
          <w:lang w:val="en-US"/>
        </w:rPr>
        <w:t xml:space="preserve"> rule No. 18 the debate of this group was focused </w:t>
      </w:r>
      <w:r w:rsidR="006A0E1B">
        <w:rPr>
          <w:rFonts w:ascii="Arial" w:hAnsi="Arial"/>
          <w:sz w:val="20"/>
          <w:lang w:val="en-US"/>
        </w:rPr>
        <w:t>on</w:t>
      </w:r>
      <w:r w:rsidR="006A0E1B" w:rsidRPr="006E20A2">
        <w:rPr>
          <w:rFonts w:ascii="Arial" w:hAnsi="Arial"/>
          <w:sz w:val="20"/>
          <w:lang w:val="en-US"/>
        </w:rPr>
        <w:t xml:space="preserve"> </w:t>
      </w:r>
      <w:r w:rsidR="000005E3" w:rsidRPr="006E20A2">
        <w:rPr>
          <w:rFonts w:ascii="Arial" w:hAnsi="Arial"/>
          <w:sz w:val="20"/>
          <w:lang w:val="en-US"/>
        </w:rPr>
        <w:t xml:space="preserve">five </w:t>
      </w:r>
      <w:r w:rsidR="008B767C">
        <w:rPr>
          <w:rFonts w:ascii="Arial" w:hAnsi="Arial"/>
          <w:sz w:val="20"/>
          <w:lang w:val="en-US"/>
        </w:rPr>
        <w:t xml:space="preserve">up </w:t>
      </w:r>
      <w:r w:rsidR="000005E3" w:rsidRPr="006E20A2">
        <w:rPr>
          <w:rFonts w:ascii="Arial" w:hAnsi="Arial"/>
          <w:sz w:val="20"/>
          <w:lang w:val="en-US"/>
        </w:rPr>
        <w:t>to seven key issues</w:t>
      </w:r>
      <w:r w:rsidR="007F1045" w:rsidRPr="006E20A2">
        <w:rPr>
          <w:rFonts w:ascii="Arial" w:hAnsi="Arial"/>
          <w:sz w:val="20"/>
          <w:lang w:val="en-US"/>
        </w:rPr>
        <w:t xml:space="preserve">, chosen by </w:t>
      </w:r>
      <w:r w:rsidR="008B767C">
        <w:rPr>
          <w:rFonts w:ascii="Arial" w:hAnsi="Arial"/>
          <w:sz w:val="20"/>
          <w:lang w:val="en-US"/>
        </w:rPr>
        <w:t>S</w:t>
      </w:r>
      <w:r w:rsidR="007F1045" w:rsidRPr="006E20A2">
        <w:rPr>
          <w:rFonts w:ascii="Arial" w:hAnsi="Arial"/>
          <w:sz w:val="20"/>
          <w:lang w:val="en-US"/>
        </w:rPr>
        <w:t xml:space="preserve">ecretariat, </w:t>
      </w:r>
      <w:proofErr w:type="gramStart"/>
      <w:r w:rsidR="007F1045" w:rsidRPr="006E20A2">
        <w:rPr>
          <w:rFonts w:ascii="Arial" w:hAnsi="Arial"/>
          <w:sz w:val="20"/>
          <w:lang w:val="en-US"/>
        </w:rPr>
        <w:t>evaluators</w:t>
      </w:r>
      <w:proofErr w:type="gramEnd"/>
      <w:r w:rsidR="007F1045" w:rsidRPr="006E20A2">
        <w:rPr>
          <w:rFonts w:ascii="Arial" w:hAnsi="Arial"/>
          <w:sz w:val="20"/>
          <w:lang w:val="en-US"/>
        </w:rPr>
        <w:t xml:space="preserve"> and the </w:t>
      </w:r>
      <w:r w:rsidR="005F4B21">
        <w:rPr>
          <w:rFonts w:ascii="Arial" w:hAnsi="Arial"/>
          <w:sz w:val="20"/>
          <w:lang w:val="en-US"/>
        </w:rPr>
        <w:t>Chairman</w:t>
      </w:r>
      <w:r w:rsidR="007F1045" w:rsidRPr="006E20A2">
        <w:rPr>
          <w:rFonts w:ascii="Arial" w:hAnsi="Arial"/>
          <w:sz w:val="20"/>
          <w:lang w:val="en-US"/>
        </w:rPr>
        <w:t xml:space="preserve"> of this group, on the basis of questions of member states. </w:t>
      </w:r>
      <w:r w:rsidR="0095304E" w:rsidRPr="006E20A2">
        <w:rPr>
          <w:rFonts w:ascii="Arial" w:hAnsi="Arial"/>
          <w:sz w:val="20"/>
          <w:lang w:val="en-US"/>
        </w:rPr>
        <w:t xml:space="preserve">At this plenary the reports of </w:t>
      </w:r>
      <w:r w:rsidR="00192999" w:rsidRPr="006E20A2">
        <w:rPr>
          <w:rFonts w:ascii="Arial" w:hAnsi="Arial"/>
          <w:sz w:val="20"/>
          <w:lang w:val="en-US"/>
        </w:rPr>
        <w:t>Slovakia</w:t>
      </w:r>
      <w:r w:rsidR="0095304E" w:rsidRPr="006E20A2">
        <w:rPr>
          <w:rFonts w:ascii="Arial" w:hAnsi="Arial"/>
          <w:sz w:val="20"/>
          <w:lang w:val="en-US"/>
        </w:rPr>
        <w:t xml:space="preserve"> and Georgia were discussed. The topics of Slovakian report were mainly the activities of FIU Slovakia, </w:t>
      </w:r>
      <w:proofErr w:type="gramStart"/>
      <w:r w:rsidR="0095304E" w:rsidRPr="006E20A2">
        <w:rPr>
          <w:rFonts w:ascii="Arial" w:hAnsi="Arial"/>
          <w:sz w:val="20"/>
          <w:lang w:val="en-US"/>
        </w:rPr>
        <w:t>detection</w:t>
      </w:r>
      <w:proofErr w:type="gramEnd"/>
      <w:r w:rsidR="0095304E" w:rsidRPr="006E20A2">
        <w:rPr>
          <w:rFonts w:ascii="Arial" w:hAnsi="Arial"/>
          <w:sz w:val="20"/>
          <w:lang w:val="en-US"/>
        </w:rPr>
        <w:t xml:space="preserve"> and prosecution of </w:t>
      </w:r>
      <w:r w:rsidR="00192999" w:rsidRPr="006E20A2">
        <w:rPr>
          <w:rFonts w:ascii="Arial" w:hAnsi="Arial"/>
          <w:sz w:val="20"/>
          <w:lang w:val="en-US"/>
        </w:rPr>
        <w:t>criminal</w:t>
      </w:r>
      <w:r w:rsidR="0095304E" w:rsidRPr="006E20A2">
        <w:rPr>
          <w:rFonts w:ascii="Arial" w:hAnsi="Arial"/>
          <w:sz w:val="20"/>
          <w:lang w:val="en-US"/>
        </w:rPr>
        <w:t xml:space="preserve"> offence of money laundering an</w:t>
      </w:r>
      <w:r w:rsidR="00192999">
        <w:rPr>
          <w:rFonts w:ascii="Arial" w:hAnsi="Arial"/>
          <w:sz w:val="20"/>
          <w:lang w:val="en-US"/>
        </w:rPr>
        <w:t>d</w:t>
      </w:r>
      <w:r w:rsidR="0095304E" w:rsidRPr="006E20A2">
        <w:rPr>
          <w:rFonts w:ascii="Arial" w:hAnsi="Arial"/>
          <w:sz w:val="20"/>
          <w:lang w:val="en-US"/>
        </w:rPr>
        <w:t xml:space="preserve"> terrorist financing, targeted financial sanctions related to terrorism and financing of terrorism, prevention of </w:t>
      </w:r>
      <w:r w:rsidR="00192999" w:rsidRPr="006E20A2">
        <w:rPr>
          <w:rFonts w:ascii="Arial" w:hAnsi="Arial"/>
          <w:sz w:val="20"/>
          <w:lang w:val="en-US"/>
        </w:rPr>
        <w:t>misuse</w:t>
      </w:r>
      <w:r w:rsidR="0095304E" w:rsidRPr="006E20A2">
        <w:rPr>
          <w:rFonts w:ascii="Arial" w:hAnsi="Arial"/>
          <w:sz w:val="20"/>
          <w:lang w:val="en-US"/>
        </w:rPr>
        <w:t xml:space="preserve"> of NGOs for </w:t>
      </w:r>
      <w:r w:rsidR="00192999" w:rsidRPr="006E20A2">
        <w:rPr>
          <w:rFonts w:ascii="Arial" w:hAnsi="Arial"/>
          <w:sz w:val="20"/>
          <w:lang w:val="en-US"/>
        </w:rPr>
        <w:t>terrorism</w:t>
      </w:r>
      <w:r w:rsidR="0095304E" w:rsidRPr="006E20A2">
        <w:rPr>
          <w:rFonts w:ascii="Arial" w:hAnsi="Arial"/>
          <w:sz w:val="20"/>
          <w:lang w:val="en-US"/>
        </w:rPr>
        <w:t xml:space="preserve"> </w:t>
      </w:r>
      <w:r w:rsidR="00192999" w:rsidRPr="006E20A2">
        <w:rPr>
          <w:rFonts w:ascii="Arial" w:hAnsi="Arial"/>
          <w:sz w:val="20"/>
          <w:lang w:val="en-US"/>
        </w:rPr>
        <w:t>financing</w:t>
      </w:r>
      <w:r w:rsidR="0095304E" w:rsidRPr="006E20A2">
        <w:rPr>
          <w:rFonts w:ascii="Arial" w:hAnsi="Arial"/>
          <w:sz w:val="20"/>
          <w:lang w:val="en-US"/>
        </w:rPr>
        <w:t>, transparency</w:t>
      </w:r>
      <w:r w:rsidR="00192999">
        <w:rPr>
          <w:rFonts w:ascii="Arial" w:hAnsi="Arial"/>
          <w:sz w:val="20"/>
          <w:lang w:val="en-US"/>
        </w:rPr>
        <w:t xml:space="preserve"> </w:t>
      </w:r>
      <w:r w:rsidR="0095304E" w:rsidRPr="006E20A2">
        <w:rPr>
          <w:rFonts w:ascii="Arial" w:hAnsi="Arial"/>
          <w:sz w:val="20"/>
          <w:lang w:val="en-US"/>
        </w:rPr>
        <w:t xml:space="preserve">and beneficial owners of legal </w:t>
      </w:r>
      <w:r w:rsidR="00192999" w:rsidRPr="006E20A2">
        <w:rPr>
          <w:rFonts w:ascii="Arial" w:hAnsi="Arial"/>
          <w:sz w:val="20"/>
          <w:lang w:val="en-US"/>
        </w:rPr>
        <w:t>persons</w:t>
      </w:r>
      <w:r w:rsidR="0095304E" w:rsidRPr="006E20A2">
        <w:rPr>
          <w:rFonts w:ascii="Arial" w:hAnsi="Arial"/>
          <w:sz w:val="20"/>
          <w:lang w:val="en-US"/>
        </w:rPr>
        <w:t xml:space="preserve">. The report of Georgia was focused on detection and prosecution of </w:t>
      </w:r>
      <w:r w:rsidR="00192999" w:rsidRPr="006E20A2">
        <w:rPr>
          <w:rFonts w:ascii="Arial" w:hAnsi="Arial"/>
          <w:sz w:val="20"/>
          <w:lang w:val="en-US"/>
        </w:rPr>
        <w:t>criminal</w:t>
      </w:r>
      <w:r w:rsidR="0095304E" w:rsidRPr="006E20A2">
        <w:rPr>
          <w:rFonts w:ascii="Arial" w:hAnsi="Arial"/>
          <w:sz w:val="20"/>
          <w:lang w:val="en-US"/>
        </w:rPr>
        <w:t xml:space="preserve"> offence of money laundering, activities of their FIU for prevention of money laundering, new </w:t>
      </w:r>
      <w:r w:rsidR="00192999" w:rsidRPr="006E20A2">
        <w:rPr>
          <w:rFonts w:ascii="Arial" w:hAnsi="Arial"/>
          <w:sz w:val="20"/>
          <w:lang w:val="en-US"/>
        </w:rPr>
        <w:t>technologies</w:t>
      </w:r>
      <w:r w:rsidRPr="006E20A2">
        <w:rPr>
          <w:rFonts w:ascii="Arial" w:hAnsi="Arial"/>
          <w:sz w:val="20"/>
          <w:lang w:val="en-US"/>
        </w:rPr>
        <w:t>,</w:t>
      </w:r>
      <w:r w:rsidR="0095304E" w:rsidRPr="006E20A2">
        <w:rPr>
          <w:rFonts w:ascii="Arial" w:hAnsi="Arial"/>
          <w:sz w:val="20"/>
          <w:lang w:val="en-US"/>
        </w:rPr>
        <w:t xml:space="preserve"> sanctions of financial supervisors, etc. The </w:t>
      </w:r>
      <w:r w:rsidR="00192999" w:rsidRPr="006E20A2">
        <w:rPr>
          <w:rFonts w:ascii="Arial" w:hAnsi="Arial"/>
          <w:sz w:val="20"/>
          <w:lang w:val="en-US"/>
        </w:rPr>
        <w:t>assessors</w:t>
      </w:r>
      <w:r w:rsidR="0095304E" w:rsidRPr="006E20A2">
        <w:rPr>
          <w:rFonts w:ascii="Arial" w:hAnsi="Arial"/>
          <w:sz w:val="20"/>
          <w:lang w:val="en-US"/>
        </w:rPr>
        <w:t xml:space="preserve"> pointed out the deficiency of FIU Georgia that is related to sharing the information of results of analyses </w:t>
      </w:r>
      <w:r w:rsidR="00BB7F8E" w:rsidRPr="006E20A2">
        <w:rPr>
          <w:rFonts w:ascii="Arial" w:hAnsi="Arial"/>
          <w:sz w:val="20"/>
          <w:lang w:val="en-US"/>
        </w:rPr>
        <w:t>with the intelligence unit at their Ministry of Finance.</w:t>
      </w:r>
    </w:p>
    <w:p w14:paraId="3272DD1F" w14:textId="77777777" w:rsidR="006D0841" w:rsidRPr="006E20A2" w:rsidRDefault="006D0841" w:rsidP="006D0841">
      <w:pPr>
        <w:spacing w:line="276" w:lineRule="auto"/>
        <w:rPr>
          <w:rFonts w:ascii="Arial" w:hAnsi="Arial"/>
          <w:bCs/>
          <w:sz w:val="20"/>
          <w:lang w:val="en-US"/>
        </w:rPr>
      </w:pPr>
    </w:p>
    <w:p w14:paraId="7B99CC85" w14:textId="575622DA" w:rsidR="006D0841" w:rsidRPr="006E20A2" w:rsidRDefault="00BB7F8E" w:rsidP="006D0841">
      <w:pPr>
        <w:spacing w:line="276" w:lineRule="auto"/>
        <w:rPr>
          <w:rFonts w:ascii="Arial" w:hAnsi="Arial"/>
          <w:bCs/>
          <w:sz w:val="20"/>
          <w:lang w:val="en-US"/>
        </w:rPr>
      </w:pPr>
      <w:r w:rsidRPr="006E20A2">
        <w:rPr>
          <w:rFonts w:ascii="Arial" w:hAnsi="Arial"/>
          <w:bCs/>
          <w:sz w:val="20"/>
          <w:lang w:val="en-US"/>
        </w:rPr>
        <w:t>Two projects</w:t>
      </w:r>
      <w:r w:rsidR="005F4B21">
        <w:rPr>
          <w:rFonts w:ascii="Arial" w:hAnsi="Arial"/>
          <w:bCs/>
          <w:sz w:val="20"/>
          <w:lang w:val="en-US"/>
        </w:rPr>
        <w:t xml:space="preserve"> </w:t>
      </w:r>
      <w:r w:rsidR="005F4B21" w:rsidRPr="006E20A2">
        <w:rPr>
          <w:rFonts w:ascii="Arial" w:hAnsi="Arial"/>
          <w:bCs/>
          <w:sz w:val="20"/>
          <w:lang w:val="en-US"/>
        </w:rPr>
        <w:t xml:space="preserve">(Polish and Russian) </w:t>
      </w:r>
      <w:r w:rsidRPr="006E20A2">
        <w:rPr>
          <w:rFonts w:ascii="Arial" w:hAnsi="Arial"/>
          <w:bCs/>
          <w:sz w:val="20"/>
          <w:lang w:val="en-US"/>
        </w:rPr>
        <w:t>were presented</w:t>
      </w:r>
      <w:r w:rsidR="005F4B21">
        <w:rPr>
          <w:rFonts w:ascii="Arial" w:hAnsi="Arial"/>
          <w:bCs/>
          <w:sz w:val="20"/>
          <w:lang w:val="en-US"/>
        </w:rPr>
        <w:t xml:space="preserve"> to </w:t>
      </w:r>
      <w:r w:rsidR="006D0841" w:rsidRPr="006E20A2">
        <w:rPr>
          <w:rFonts w:ascii="Arial" w:hAnsi="Arial"/>
          <w:bCs/>
          <w:sz w:val="20"/>
          <w:lang w:val="en-US"/>
        </w:rPr>
        <w:t>MONEYVAL (</w:t>
      </w:r>
      <w:r w:rsidR="005F4B21">
        <w:rPr>
          <w:rFonts w:ascii="Arial" w:hAnsi="Arial"/>
          <w:bCs/>
          <w:sz w:val="20"/>
          <w:lang w:val="en-US"/>
        </w:rPr>
        <w:t>S</w:t>
      </w:r>
      <w:r w:rsidRPr="006E20A2">
        <w:rPr>
          <w:rFonts w:ascii="Arial" w:hAnsi="Arial"/>
          <w:bCs/>
          <w:sz w:val="20"/>
          <w:lang w:val="en-US"/>
        </w:rPr>
        <w:t xml:space="preserve">ecretariat </w:t>
      </w:r>
      <w:r w:rsidR="005F4B21">
        <w:rPr>
          <w:rFonts w:ascii="Arial" w:hAnsi="Arial"/>
          <w:bCs/>
          <w:sz w:val="20"/>
          <w:lang w:val="en-US"/>
        </w:rPr>
        <w:t>wa</w:t>
      </w:r>
      <w:r w:rsidRPr="006E20A2">
        <w:rPr>
          <w:rFonts w:ascii="Arial" w:hAnsi="Arial"/>
          <w:bCs/>
          <w:sz w:val="20"/>
          <w:lang w:val="en-US"/>
        </w:rPr>
        <w:t xml:space="preserve">s </w:t>
      </w:r>
      <w:r w:rsidR="005F4B21">
        <w:rPr>
          <w:rFonts w:ascii="Arial" w:hAnsi="Arial"/>
          <w:bCs/>
          <w:sz w:val="20"/>
          <w:lang w:val="en-US"/>
        </w:rPr>
        <w:t xml:space="preserve">an </w:t>
      </w:r>
      <w:r w:rsidRPr="006E20A2">
        <w:rPr>
          <w:rFonts w:ascii="Arial" w:hAnsi="Arial"/>
          <w:bCs/>
          <w:sz w:val="20"/>
          <w:lang w:val="en-US"/>
        </w:rPr>
        <w:t>initiator</w:t>
      </w:r>
      <w:r w:rsidR="006D0841" w:rsidRPr="006E20A2">
        <w:rPr>
          <w:rFonts w:ascii="Arial" w:hAnsi="Arial"/>
          <w:bCs/>
          <w:sz w:val="20"/>
          <w:lang w:val="en-US"/>
        </w:rPr>
        <w:t>)</w:t>
      </w:r>
      <w:r w:rsidR="005F4B21">
        <w:rPr>
          <w:rFonts w:ascii="Arial" w:hAnsi="Arial"/>
          <w:bCs/>
          <w:sz w:val="20"/>
          <w:lang w:val="en-US"/>
        </w:rPr>
        <w:t>, they were both confirmed</w:t>
      </w:r>
      <w:r w:rsidRPr="006E20A2">
        <w:rPr>
          <w:rFonts w:ascii="Arial" w:hAnsi="Arial"/>
          <w:bCs/>
          <w:sz w:val="20"/>
          <w:lang w:val="en-US"/>
        </w:rPr>
        <w:t xml:space="preserve">. The aim of the first </w:t>
      </w:r>
      <w:r w:rsidR="005F4B21">
        <w:rPr>
          <w:rFonts w:ascii="Arial" w:hAnsi="Arial"/>
          <w:bCs/>
          <w:sz w:val="20"/>
          <w:lang w:val="en-US"/>
        </w:rPr>
        <w:t xml:space="preserve">(Polish) </w:t>
      </w:r>
      <w:r w:rsidRPr="006E20A2">
        <w:rPr>
          <w:rFonts w:ascii="Arial" w:hAnsi="Arial"/>
          <w:bCs/>
          <w:sz w:val="20"/>
          <w:lang w:val="en-US"/>
        </w:rPr>
        <w:t>project</w:t>
      </w:r>
      <w:r w:rsidR="006D0841" w:rsidRPr="006E20A2">
        <w:rPr>
          <w:rFonts w:ascii="Arial" w:hAnsi="Arial"/>
          <w:bCs/>
          <w:sz w:val="20"/>
          <w:lang w:val="en-US"/>
        </w:rPr>
        <w:t xml:space="preserve"> »COVID</w:t>
      </w:r>
      <w:r w:rsidR="00285EE9" w:rsidRPr="006E20A2">
        <w:rPr>
          <w:rFonts w:ascii="Arial" w:hAnsi="Arial"/>
          <w:bCs/>
          <w:sz w:val="20"/>
          <w:lang w:val="en-US"/>
        </w:rPr>
        <w:t>-</w:t>
      </w:r>
      <w:r w:rsidR="006D0841" w:rsidRPr="006E20A2">
        <w:rPr>
          <w:rFonts w:ascii="Arial" w:hAnsi="Arial"/>
          <w:bCs/>
          <w:sz w:val="20"/>
          <w:lang w:val="en-US"/>
        </w:rPr>
        <w:t>19</w:t>
      </w:r>
      <w:r w:rsidRPr="006E20A2">
        <w:rPr>
          <w:rFonts w:ascii="Arial" w:hAnsi="Arial"/>
          <w:bCs/>
          <w:sz w:val="20"/>
          <w:lang w:val="en-US"/>
        </w:rPr>
        <w:t xml:space="preserve"> SUPERVISORS</w:t>
      </w:r>
      <w:r w:rsidR="006D0841" w:rsidRPr="006E20A2">
        <w:rPr>
          <w:rFonts w:ascii="Arial" w:hAnsi="Arial"/>
          <w:bCs/>
          <w:sz w:val="20"/>
          <w:lang w:val="en-US"/>
        </w:rPr>
        <w:t xml:space="preserve">« </w:t>
      </w:r>
      <w:r w:rsidRPr="006E20A2">
        <w:rPr>
          <w:rFonts w:ascii="Arial" w:hAnsi="Arial"/>
          <w:bCs/>
          <w:sz w:val="20"/>
          <w:lang w:val="en-US"/>
        </w:rPr>
        <w:t xml:space="preserve">was to collect and share best practices from </w:t>
      </w:r>
      <w:r w:rsidR="00192999" w:rsidRPr="006E20A2">
        <w:rPr>
          <w:rFonts w:ascii="Arial" w:hAnsi="Arial"/>
          <w:bCs/>
          <w:sz w:val="20"/>
          <w:lang w:val="en-US"/>
        </w:rPr>
        <w:t>member</w:t>
      </w:r>
      <w:r w:rsidRPr="006E20A2">
        <w:rPr>
          <w:rFonts w:ascii="Arial" w:hAnsi="Arial"/>
          <w:bCs/>
          <w:sz w:val="20"/>
          <w:lang w:val="en-US"/>
        </w:rPr>
        <w:t xml:space="preserve"> states. The supervisors must be aware that in emergency </w:t>
      </w:r>
      <w:r w:rsidR="00192999" w:rsidRPr="006E20A2">
        <w:rPr>
          <w:rFonts w:ascii="Arial" w:hAnsi="Arial"/>
          <w:bCs/>
          <w:sz w:val="20"/>
          <w:lang w:val="en-US"/>
        </w:rPr>
        <w:t>circumstances</w:t>
      </w:r>
      <w:r w:rsidRPr="006E20A2">
        <w:rPr>
          <w:rFonts w:ascii="Arial" w:hAnsi="Arial"/>
          <w:bCs/>
          <w:sz w:val="20"/>
          <w:lang w:val="en-US"/>
        </w:rPr>
        <w:t xml:space="preserve"> the standard procedures d</w:t>
      </w:r>
      <w:r w:rsidR="006411C5" w:rsidRPr="006E20A2">
        <w:rPr>
          <w:rFonts w:ascii="Arial" w:hAnsi="Arial"/>
          <w:bCs/>
          <w:sz w:val="20"/>
          <w:lang w:val="en-US"/>
        </w:rPr>
        <w:t xml:space="preserve">o not function. The </w:t>
      </w:r>
      <w:r w:rsidR="00192999" w:rsidRPr="006E20A2">
        <w:rPr>
          <w:rFonts w:ascii="Arial" w:hAnsi="Arial"/>
          <w:bCs/>
          <w:sz w:val="20"/>
          <w:lang w:val="en-US"/>
        </w:rPr>
        <w:t>second</w:t>
      </w:r>
      <w:r w:rsidR="006411C5" w:rsidRPr="006E20A2">
        <w:rPr>
          <w:rFonts w:ascii="Arial" w:hAnsi="Arial"/>
          <w:bCs/>
          <w:sz w:val="20"/>
          <w:lang w:val="en-US"/>
        </w:rPr>
        <w:t xml:space="preserve"> project (Russian) was focused on FATF </w:t>
      </w:r>
      <w:r w:rsidR="00192999" w:rsidRPr="006E20A2">
        <w:rPr>
          <w:rFonts w:ascii="Arial" w:hAnsi="Arial"/>
          <w:bCs/>
          <w:sz w:val="20"/>
          <w:lang w:val="en-US"/>
        </w:rPr>
        <w:t>recommendation</w:t>
      </w:r>
      <w:r w:rsidR="006D0841" w:rsidRPr="006E20A2">
        <w:rPr>
          <w:rFonts w:ascii="Arial" w:hAnsi="Arial"/>
          <w:bCs/>
          <w:sz w:val="20"/>
          <w:lang w:val="en-US"/>
        </w:rPr>
        <w:t xml:space="preserve"> R.15 »</w:t>
      </w:r>
      <w:r w:rsidR="006411C5" w:rsidRPr="006E20A2">
        <w:rPr>
          <w:rFonts w:ascii="Arial" w:hAnsi="Arial"/>
          <w:bCs/>
          <w:sz w:val="20"/>
          <w:lang w:val="en-US"/>
        </w:rPr>
        <w:t xml:space="preserve">New technologies </w:t>
      </w:r>
      <w:r w:rsidR="006D0841" w:rsidRPr="006E20A2">
        <w:rPr>
          <w:rFonts w:ascii="Arial" w:hAnsi="Arial"/>
          <w:bCs/>
          <w:sz w:val="20"/>
          <w:lang w:val="en-US"/>
        </w:rPr>
        <w:t>«.</w:t>
      </w:r>
      <w:r w:rsidR="00192999">
        <w:rPr>
          <w:rFonts w:ascii="Arial" w:hAnsi="Arial"/>
          <w:bCs/>
          <w:sz w:val="20"/>
          <w:lang w:val="en-US"/>
        </w:rPr>
        <w:t xml:space="preserve"> </w:t>
      </w:r>
      <w:r w:rsidR="006411C5" w:rsidRPr="006E20A2">
        <w:rPr>
          <w:rFonts w:ascii="Arial" w:hAnsi="Arial"/>
          <w:bCs/>
          <w:sz w:val="20"/>
          <w:lang w:val="en-US"/>
        </w:rPr>
        <w:t xml:space="preserve">The aim of this project was to </w:t>
      </w:r>
      <w:r w:rsidR="00192999" w:rsidRPr="006E20A2">
        <w:rPr>
          <w:rFonts w:ascii="Arial" w:hAnsi="Arial"/>
          <w:bCs/>
          <w:sz w:val="20"/>
          <w:lang w:val="en-US"/>
        </w:rPr>
        <w:t>analyze</w:t>
      </w:r>
      <w:r w:rsidR="006411C5" w:rsidRPr="006E20A2">
        <w:rPr>
          <w:rFonts w:ascii="Arial" w:hAnsi="Arial"/>
          <w:bCs/>
          <w:sz w:val="20"/>
          <w:lang w:val="en-US"/>
        </w:rPr>
        <w:t xml:space="preserve"> the use of </w:t>
      </w:r>
      <w:r w:rsidR="00192999" w:rsidRPr="006E20A2">
        <w:rPr>
          <w:rFonts w:ascii="Arial" w:hAnsi="Arial"/>
          <w:bCs/>
          <w:sz w:val="20"/>
          <w:lang w:val="en-US"/>
        </w:rPr>
        <w:t>cryptocurrencies</w:t>
      </w:r>
      <w:r w:rsidR="006411C5" w:rsidRPr="006E20A2">
        <w:rPr>
          <w:rFonts w:ascii="Arial" w:hAnsi="Arial"/>
          <w:bCs/>
          <w:sz w:val="20"/>
          <w:lang w:val="en-US"/>
        </w:rPr>
        <w:t xml:space="preserve"> in relation to the </w:t>
      </w:r>
      <w:r w:rsidR="00735A47" w:rsidRPr="006E20A2">
        <w:rPr>
          <w:rFonts w:ascii="Arial" w:hAnsi="Arial"/>
          <w:bCs/>
          <w:sz w:val="20"/>
          <w:lang w:val="en-US"/>
        </w:rPr>
        <w:t>cros</w:t>
      </w:r>
      <w:r w:rsidR="00735A47">
        <w:rPr>
          <w:rFonts w:ascii="Arial" w:hAnsi="Arial"/>
          <w:bCs/>
          <w:sz w:val="20"/>
          <w:lang w:val="en-US"/>
        </w:rPr>
        <w:t>s-</w:t>
      </w:r>
      <w:r w:rsidR="00192999" w:rsidRPr="006E20A2">
        <w:rPr>
          <w:rFonts w:ascii="Arial" w:hAnsi="Arial"/>
          <w:bCs/>
          <w:sz w:val="20"/>
          <w:lang w:val="en-US"/>
        </w:rPr>
        <w:t>border</w:t>
      </w:r>
      <w:r w:rsidR="006411C5" w:rsidRPr="006E20A2">
        <w:rPr>
          <w:rFonts w:ascii="Arial" w:hAnsi="Arial"/>
          <w:bCs/>
          <w:sz w:val="20"/>
          <w:lang w:val="en-US"/>
        </w:rPr>
        <w:t xml:space="preserve"> drug dealing, harmoniz</w:t>
      </w:r>
      <w:r w:rsidR="005F4B21">
        <w:rPr>
          <w:rFonts w:ascii="Arial" w:hAnsi="Arial"/>
          <w:bCs/>
          <w:sz w:val="20"/>
          <w:lang w:val="en-US"/>
        </w:rPr>
        <w:t>e</w:t>
      </w:r>
      <w:r w:rsidR="006411C5" w:rsidRPr="006E20A2">
        <w:rPr>
          <w:rFonts w:ascii="Arial" w:hAnsi="Arial"/>
          <w:bCs/>
          <w:sz w:val="20"/>
          <w:lang w:val="en-US"/>
        </w:rPr>
        <w:t xml:space="preserve"> the ML/TF legislation with the issues deriving from </w:t>
      </w:r>
      <w:r w:rsidR="00192999" w:rsidRPr="006E20A2">
        <w:rPr>
          <w:rFonts w:ascii="Arial" w:hAnsi="Arial"/>
          <w:bCs/>
          <w:sz w:val="20"/>
          <w:lang w:val="en-US"/>
        </w:rPr>
        <w:t>cryptocurrencies</w:t>
      </w:r>
      <w:r w:rsidR="006411C5" w:rsidRPr="006E20A2">
        <w:rPr>
          <w:rFonts w:ascii="Arial" w:hAnsi="Arial"/>
          <w:bCs/>
          <w:sz w:val="20"/>
          <w:lang w:val="en-US"/>
        </w:rPr>
        <w:t xml:space="preserve">, </w:t>
      </w:r>
      <w:r w:rsidR="00192999" w:rsidRPr="006E20A2">
        <w:rPr>
          <w:rFonts w:ascii="Arial" w:hAnsi="Arial"/>
          <w:bCs/>
          <w:sz w:val="20"/>
          <w:lang w:val="en-US"/>
        </w:rPr>
        <w:t>analyz</w:t>
      </w:r>
      <w:r w:rsidR="005F4B21">
        <w:rPr>
          <w:rFonts w:ascii="Arial" w:hAnsi="Arial"/>
          <w:bCs/>
          <w:sz w:val="20"/>
          <w:lang w:val="en-US"/>
        </w:rPr>
        <w:t>e</w:t>
      </w:r>
      <w:r w:rsidR="006411C5" w:rsidRPr="006E20A2">
        <w:rPr>
          <w:rFonts w:ascii="Arial" w:hAnsi="Arial"/>
          <w:bCs/>
          <w:sz w:val="20"/>
          <w:lang w:val="en-US"/>
        </w:rPr>
        <w:t xml:space="preserve"> transactions with cryptocurrencies in member</w:t>
      </w:r>
      <w:r w:rsidR="005F4B21">
        <w:rPr>
          <w:rFonts w:ascii="Arial" w:hAnsi="Arial"/>
          <w:bCs/>
          <w:sz w:val="20"/>
          <w:lang w:val="en-US"/>
        </w:rPr>
        <w:t xml:space="preserve"> states.</w:t>
      </w:r>
      <w:r w:rsidR="006D0841" w:rsidRPr="006E20A2">
        <w:rPr>
          <w:rFonts w:ascii="Arial" w:hAnsi="Arial"/>
          <w:bCs/>
          <w:sz w:val="20"/>
          <w:lang w:val="en-US"/>
        </w:rPr>
        <w:t xml:space="preserve"> </w:t>
      </w:r>
    </w:p>
    <w:p w14:paraId="5647F77C" w14:textId="77777777" w:rsidR="006D0841" w:rsidRPr="006E20A2" w:rsidRDefault="006D0841" w:rsidP="006D0841">
      <w:pPr>
        <w:spacing w:line="276" w:lineRule="auto"/>
        <w:rPr>
          <w:rFonts w:ascii="Arial" w:hAnsi="Arial"/>
          <w:bCs/>
          <w:sz w:val="20"/>
          <w:lang w:val="en-US"/>
        </w:rPr>
      </w:pPr>
    </w:p>
    <w:p w14:paraId="21EE42EA" w14:textId="44D68505" w:rsidR="006D0841" w:rsidRPr="006E20A2" w:rsidRDefault="006411C5" w:rsidP="006D0841">
      <w:pPr>
        <w:spacing w:line="276" w:lineRule="auto"/>
        <w:rPr>
          <w:rFonts w:ascii="Arial" w:hAnsi="Arial"/>
          <w:bCs/>
          <w:sz w:val="20"/>
          <w:lang w:val="en-US"/>
        </w:rPr>
      </w:pPr>
      <w:r w:rsidRPr="006E20A2">
        <w:rPr>
          <w:rFonts w:ascii="Arial" w:hAnsi="Arial"/>
          <w:bCs/>
          <w:sz w:val="20"/>
          <w:lang w:val="en-US"/>
        </w:rPr>
        <w:t>The president of</w:t>
      </w:r>
      <w:r w:rsidR="006D0841" w:rsidRPr="006E20A2">
        <w:rPr>
          <w:rFonts w:ascii="Arial" w:hAnsi="Arial"/>
          <w:bCs/>
          <w:sz w:val="20"/>
          <w:lang w:val="en-US"/>
        </w:rPr>
        <w:t xml:space="preserve"> COP 198 </w:t>
      </w:r>
      <w:proofErr w:type="spellStart"/>
      <w:r w:rsidR="006D0841" w:rsidRPr="006E20A2">
        <w:rPr>
          <w:rFonts w:ascii="Arial" w:hAnsi="Arial"/>
          <w:bCs/>
          <w:sz w:val="20"/>
          <w:lang w:val="en-US"/>
        </w:rPr>
        <w:t>Ioannis</w:t>
      </w:r>
      <w:proofErr w:type="spellEnd"/>
      <w:r w:rsidR="006D0841" w:rsidRPr="006E20A2">
        <w:rPr>
          <w:rFonts w:ascii="Arial" w:hAnsi="Arial"/>
          <w:bCs/>
          <w:sz w:val="20"/>
          <w:lang w:val="en-US"/>
        </w:rPr>
        <w:t xml:space="preserve"> ANDROULAKIS </w:t>
      </w:r>
      <w:r w:rsidRPr="006E20A2">
        <w:rPr>
          <w:rFonts w:ascii="Arial" w:hAnsi="Arial"/>
          <w:bCs/>
          <w:sz w:val="20"/>
          <w:lang w:val="en-US"/>
        </w:rPr>
        <w:t xml:space="preserve">presented </w:t>
      </w:r>
      <w:r w:rsidR="00735A47" w:rsidRPr="006E20A2">
        <w:rPr>
          <w:rFonts w:ascii="Arial" w:hAnsi="Arial"/>
          <w:bCs/>
          <w:sz w:val="20"/>
          <w:lang w:val="en-US"/>
        </w:rPr>
        <w:t>t</w:t>
      </w:r>
      <w:r w:rsidR="00735A47">
        <w:rPr>
          <w:rFonts w:ascii="Arial" w:hAnsi="Arial"/>
          <w:bCs/>
          <w:sz w:val="20"/>
          <w:lang w:val="en-US"/>
        </w:rPr>
        <w:t>he</w:t>
      </w:r>
      <w:r w:rsidR="00735A47" w:rsidRPr="006E20A2">
        <w:rPr>
          <w:rFonts w:ascii="Arial" w:hAnsi="Arial"/>
          <w:bCs/>
          <w:sz w:val="20"/>
          <w:lang w:val="en-US"/>
        </w:rPr>
        <w:t xml:space="preserve"> </w:t>
      </w:r>
      <w:r w:rsidR="00192999" w:rsidRPr="006E20A2">
        <w:rPr>
          <w:rFonts w:ascii="Arial" w:hAnsi="Arial"/>
          <w:bCs/>
          <w:sz w:val="20"/>
          <w:lang w:val="en-US"/>
        </w:rPr>
        <w:t>horizontal</w:t>
      </w:r>
      <w:r w:rsidRPr="006E20A2">
        <w:rPr>
          <w:rFonts w:ascii="Arial" w:hAnsi="Arial"/>
          <w:bCs/>
          <w:sz w:val="20"/>
          <w:lang w:val="en-US"/>
        </w:rPr>
        <w:t xml:space="preserve"> </w:t>
      </w:r>
      <w:r w:rsidR="00192999" w:rsidRPr="006E20A2">
        <w:rPr>
          <w:rFonts w:ascii="Arial" w:hAnsi="Arial"/>
          <w:bCs/>
          <w:sz w:val="20"/>
          <w:lang w:val="en-US"/>
        </w:rPr>
        <w:t>assessment</w:t>
      </w:r>
      <w:r w:rsidRPr="006E20A2">
        <w:rPr>
          <w:rFonts w:ascii="Arial" w:hAnsi="Arial"/>
          <w:bCs/>
          <w:sz w:val="20"/>
          <w:lang w:val="en-US"/>
        </w:rPr>
        <w:t xml:space="preserve"> of countries in line with COP 198</w:t>
      </w:r>
      <w:r w:rsidR="006D0841" w:rsidRPr="006E20A2">
        <w:rPr>
          <w:rFonts w:ascii="Arial" w:hAnsi="Arial"/>
          <w:bCs/>
          <w:sz w:val="20"/>
          <w:lang w:val="en-US"/>
        </w:rPr>
        <w:t xml:space="preserve">, Carlo CHIAROMONTE, </w:t>
      </w:r>
      <w:r w:rsidRPr="006E20A2">
        <w:rPr>
          <w:rFonts w:ascii="Arial" w:hAnsi="Arial"/>
          <w:bCs/>
          <w:sz w:val="20"/>
          <w:lang w:val="en-US"/>
        </w:rPr>
        <w:t xml:space="preserve">the coordinator of </w:t>
      </w:r>
      <w:r w:rsidR="00735A47">
        <w:rPr>
          <w:rFonts w:ascii="Arial" w:hAnsi="Arial"/>
          <w:bCs/>
          <w:sz w:val="20"/>
          <w:lang w:val="en-US"/>
        </w:rPr>
        <w:t xml:space="preserve">the </w:t>
      </w:r>
      <w:r w:rsidRPr="006E20A2">
        <w:rPr>
          <w:rFonts w:ascii="Arial" w:hAnsi="Arial"/>
          <w:bCs/>
          <w:sz w:val="20"/>
          <w:lang w:val="en-US"/>
        </w:rPr>
        <w:t xml:space="preserve">Council of Europe in fight against </w:t>
      </w:r>
      <w:r w:rsidR="00192999" w:rsidRPr="006E20A2">
        <w:rPr>
          <w:rFonts w:ascii="Arial" w:hAnsi="Arial"/>
          <w:bCs/>
          <w:sz w:val="20"/>
          <w:lang w:val="en-US"/>
        </w:rPr>
        <w:t>terrorism (</w:t>
      </w:r>
      <w:r w:rsidR="006D0841" w:rsidRPr="006E20A2">
        <w:rPr>
          <w:rFonts w:ascii="Arial" w:hAnsi="Arial"/>
          <w:bCs/>
          <w:sz w:val="20"/>
          <w:lang w:val="en-US"/>
        </w:rPr>
        <w:t xml:space="preserve">CDCT), </w:t>
      </w:r>
      <w:r w:rsidRPr="006E20A2">
        <w:rPr>
          <w:rFonts w:ascii="Arial" w:hAnsi="Arial"/>
          <w:bCs/>
          <w:sz w:val="20"/>
          <w:lang w:val="en-US"/>
        </w:rPr>
        <w:t xml:space="preserve">pointed out the shared points between </w:t>
      </w:r>
      <w:r w:rsidR="006D0841" w:rsidRPr="006E20A2">
        <w:rPr>
          <w:rFonts w:ascii="Arial" w:hAnsi="Arial"/>
          <w:bCs/>
          <w:sz w:val="20"/>
          <w:lang w:val="en-US"/>
        </w:rPr>
        <w:t xml:space="preserve">CDCT </w:t>
      </w:r>
      <w:r w:rsidRPr="006E20A2">
        <w:rPr>
          <w:rFonts w:ascii="Arial" w:hAnsi="Arial"/>
          <w:bCs/>
          <w:sz w:val="20"/>
          <w:lang w:val="en-US"/>
        </w:rPr>
        <w:t>and</w:t>
      </w:r>
      <w:r w:rsidR="008C0127" w:rsidRPr="006E20A2">
        <w:rPr>
          <w:rFonts w:ascii="Arial" w:hAnsi="Arial"/>
          <w:bCs/>
          <w:sz w:val="20"/>
          <w:lang w:val="en-US"/>
        </w:rPr>
        <w:t xml:space="preserve"> </w:t>
      </w:r>
      <w:r w:rsidR="006D0841" w:rsidRPr="006E20A2">
        <w:rPr>
          <w:rFonts w:ascii="Arial" w:hAnsi="Arial"/>
          <w:bCs/>
          <w:sz w:val="20"/>
          <w:lang w:val="en-US"/>
        </w:rPr>
        <w:t xml:space="preserve">MONEYVAL </w:t>
      </w:r>
      <w:r w:rsidRPr="006E20A2">
        <w:rPr>
          <w:rFonts w:ascii="Arial" w:hAnsi="Arial"/>
          <w:bCs/>
          <w:sz w:val="20"/>
          <w:lang w:val="en-US"/>
        </w:rPr>
        <w:t xml:space="preserve">and the need to </w:t>
      </w:r>
      <w:r w:rsidR="00192999" w:rsidRPr="006E20A2">
        <w:rPr>
          <w:rFonts w:ascii="Arial" w:hAnsi="Arial"/>
          <w:bCs/>
          <w:sz w:val="20"/>
          <w:lang w:val="en-US"/>
        </w:rPr>
        <w:t>strengthen</w:t>
      </w:r>
      <w:r w:rsidRPr="006E20A2">
        <w:rPr>
          <w:rFonts w:ascii="Arial" w:hAnsi="Arial"/>
          <w:bCs/>
          <w:sz w:val="20"/>
          <w:lang w:val="en-US"/>
        </w:rPr>
        <w:t xml:space="preserve"> the </w:t>
      </w:r>
      <w:r w:rsidR="00192999" w:rsidRPr="006E20A2">
        <w:rPr>
          <w:rFonts w:ascii="Arial" w:hAnsi="Arial"/>
          <w:bCs/>
          <w:sz w:val="20"/>
          <w:lang w:val="en-US"/>
        </w:rPr>
        <w:t>cooperation</w:t>
      </w:r>
      <w:r w:rsidRPr="006E20A2">
        <w:rPr>
          <w:rFonts w:ascii="Arial" w:hAnsi="Arial"/>
          <w:bCs/>
          <w:sz w:val="20"/>
          <w:lang w:val="en-US"/>
        </w:rPr>
        <w:t xml:space="preserve">. The representative of the </w:t>
      </w:r>
      <w:r w:rsidR="00880C15" w:rsidRPr="006E20A2">
        <w:rPr>
          <w:rFonts w:ascii="Arial" w:hAnsi="Arial"/>
          <w:bCs/>
          <w:sz w:val="20"/>
          <w:lang w:val="en-US"/>
        </w:rPr>
        <w:t xml:space="preserve">MONEYVAL </w:t>
      </w:r>
      <w:r w:rsidR="005F4B21">
        <w:rPr>
          <w:rFonts w:ascii="Arial" w:hAnsi="Arial"/>
          <w:bCs/>
          <w:sz w:val="20"/>
          <w:lang w:val="en-US"/>
        </w:rPr>
        <w:t>S</w:t>
      </w:r>
      <w:r w:rsidRPr="006E20A2">
        <w:rPr>
          <w:rFonts w:ascii="Arial" w:hAnsi="Arial"/>
          <w:bCs/>
          <w:sz w:val="20"/>
          <w:lang w:val="en-US"/>
        </w:rPr>
        <w:t xml:space="preserve">ecretariat </w:t>
      </w:r>
      <w:r w:rsidR="00880C15" w:rsidRPr="006E20A2">
        <w:rPr>
          <w:rFonts w:ascii="Arial" w:hAnsi="Arial"/>
          <w:bCs/>
          <w:sz w:val="20"/>
          <w:lang w:val="en-US"/>
        </w:rPr>
        <w:t>presented the reports from the point of view of their quality and consistency</w:t>
      </w:r>
      <w:r w:rsidR="00192999">
        <w:rPr>
          <w:rFonts w:ascii="Arial" w:hAnsi="Arial"/>
          <w:bCs/>
          <w:sz w:val="20"/>
          <w:lang w:val="en-US"/>
        </w:rPr>
        <w:t xml:space="preserve"> </w:t>
      </w:r>
      <w:r w:rsidR="00880C15" w:rsidRPr="006E20A2">
        <w:rPr>
          <w:rFonts w:ascii="Arial" w:hAnsi="Arial"/>
          <w:bCs/>
          <w:sz w:val="20"/>
          <w:lang w:val="en-US"/>
        </w:rPr>
        <w:t>with particular emphasi</w:t>
      </w:r>
      <w:r w:rsidR="005F4B21">
        <w:rPr>
          <w:rFonts w:ascii="Arial" w:hAnsi="Arial"/>
          <w:bCs/>
          <w:sz w:val="20"/>
          <w:lang w:val="en-US"/>
        </w:rPr>
        <w:t xml:space="preserve">s to </w:t>
      </w:r>
      <w:r w:rsidR="00880C15" w:rsidRPr="00735A47">
        <w:rPr>
          <w:rFonts w:ascii="Arial" w:hAnsi="Arial"/>
          <w:bCs/>
          <w:sz w:val="20"/>
          <w:lang w:val="en-US"/>
        </w:rPr>
        <w:t>Designated Non-Financial Businesses and Professions</w:t>
      </w:r>
      <w:r w:rsidR="00880C15" w:rsidRPr="006E20A2">
        <w:rPr>
          <w:rFonts w:ascii="Arial" w:hAnsi="Arial"/>
          <w:bCs/>
          <w:sz w:val="20"/>
          <w:lang w:val="en-US"/>
        </w:rPr>
        <w:t>.</w:t>
      </w:r>
      <w:r w:rsidR="006D0841" w:rsidRPr="006E20A2">
        <w:rPr>
          <w:rFonts w:ascii="Arial" w:hAnsi="Arial"/>
          <w:bCs/>
          <w:sz w:val="20"/>
          <w:lang w:val="en-US"/>
        </w:rPr>
        <w:t xml:space="preserve"> </w:t>
      </w:r>
    </w:p>
    <w:p w14:paraId="3D565364" w14:textId="33CA0111" w:rsidR="00A70D3F" w:rsidRPr="006E20A2" w:rsidRDefault="00A70D3F" w:rsidP="006D0841">
      <w:pPr>
        <w:spacing w:line="276" w:lineRule="auto"/>
        <w:rPr>
          <w:rFonts w:ascii="Arial" w:hAnsi="Arial"/>
          <w:bCs/>
          <w:sz w:val="20"/>
          <w:lang w:val="en-US"/>
        </w:rPr>
      </w:pPr>
    </w:p>
    <w:p w14:paraId="01D185C3" w14:textId="77777777" w:rsidR="00880C15" w:rsidRPr="006E20A2" w:rsidRDefault="00CC1E89" w:rsidP="00880C15">
      <w:pPr>
        <w:pStyle w:val="Naslov4"/>
        <w:rPr>
          <w:lang w:val="en-US"/>
        </w:rPr>
      </w:pPr>
      <w:bookmarkStart w:id="79" w:name="_Toc113535487"/>
      <w:r w:rsidRPr="006E20A2">
        <w:rPr>
          <w:lang w:val="en-US"/>
        </w:rPr>
        <w:t xml:space="preserve">5.2.1.2 </w:t>
      </w:r>
      <w:bookmarkEnd w:id="79"/>
      <w:r w:rsidR="00880C15" w:rsidRPr="006E20A2">
        <w:rPr>
          <w:lang w:val="en-US"/>
        </w:rPr>
        <w:t>Council of Europe Convention on Laundering, Search, Seizure and Confiscation of the Proceeds from Crime and on the Financing of Terrorism</w:t>
      </w:r>
    </w:p>
    <w:p w14:paraId="245C161A" w14:textId="54169205" w:rsidR="00E4563E" w:rsidRPr="006E20A2" w:rsidRDefault="00E4563E" w:rsidP="00E4563E">
      <w:pPr>
        <w:pStyle w:val="Odstavekseznama"/>
        <w:spacing w:line="276" w:lineRule="auto"/>
        <w:ind w:left="567"/>
        <w:rPr>
          <w:rFonts w:ascii="Arial" w:hAnsi="Arial"/>
          <w:iCs/>
          <w:color w:val="FF0000"/>
          <w:sz w:val="20"/>
          <w:highlight w:val="yellow"/>
          <w:u w:val="single"/>
          <w:lang w:val="en-US"/>
        </w:rPr>
      </w:pPr>
    </w:p>
    <w:p w14:paraId="00B3412A" w14:textId="74B9DA65" w:rsidR="00880C15" w:rsidRPr="006E20A2" w:rsidRDefault="006A2045" w:rsidP="00880C15">
      <w:pPr>
        <w:pStyle w:val="Naslov4"/>
        <w:spacing w:line="276" w:lineRule="auto"/>
        <w:rPr>
          <w:i w:val="0"/>
          <w:iCs/>
          <w:lang w:val="en-US"/>
        </w:rPr>
      </w:pPr>
      <w:r>
        <w:rPr>
          <w:rFonts w:eastAsiaTheme="minorHAnsi" w:cstheme="minorBidi"/>
          <w:i w:val="0"/>
          <w:iCs/>
          <w:lang w:val="en-US"/>
        </w:rPr>
        <w:t xml:space="preserve">The </w:t>
      </w:r>
      <w:r w:rsidR="00880C15" w:rsidRPr="006E20A2">
        <w:rPr>
          <w:rFonts w:eastAsiaTheme="minorHAnsi" w:cstheme="minorBidi"/>
          <w:i w:val="0"/>
          <w:iCs/>
          <w:lang w:val="en-US"/>
        </w:rPr>
        <w:t xml:space="preserve">Council of Europe Convention on Laundering, Search, Seizure and Confiscation of the Proceeds from Crime and on the Financing of Terrorism (hereinafter: COE No. 198) that Slovenia ratified in 2020 intended to fight money laundering and terrorist financing. Under the basic principle of COE No. 198 </w:t>
      </w:r>
      <w:r w:rsidR="005F4B21">
        <w:rPr>
          <w:rFonts w:eastAsiaTheme="minorHAnsi" w:cstheme="minorBidi"/>
          <w:i w:val="0"/>
          <w:iCs/>
          <w:lang w:val="en-US"/>
        </w:rPr>
        <w:t>s</w:t>
      </w:r>
      <w:r w:rsidR="00880C15" w:rsidRPr="006E20A2">
        <w:rPr>
          <w:rFonts w:eastAsiaTheme="minorHAnsi" w:cstheme="minorBidi"/>
          <w:i w:val="0"/>
          <w:iCs/>
          <w:lang w:val="en-US"/>
        </w:rPr>
        <w:t>ignatory countries shall take such measures to enable to search, to follow, to detect, to freeze, to seize and to confiscate the proceeds from crime, that is partly or entire</w:t>
      </w:r>
      <w:r w:rsidR="005F4B21">
        <w:rPr>
          <w:rFonts w:eastAsiaTheme="minorHAnsi" w:cstheme="minorBidi"/>
          <w:i w:val="0"/>
          <w:iCs/>
          <w:lang w:val="en-US"/>
        </w:rPr>
        <w:t>l</w:t>
      </w:r>
      <w:r w:rsidR="00880C15" w:rsidRPr="006E20A2">
        <w:rPr>
          <w:rFonts w:eastAsiaTheme="minorHAnsi" w:cstheme="minorBidi"/>
          <w:i w:val="0"/>
          <w:iCs/>
          <w:lang w:val="en-US"/>
        </w:rPr>
        <w:t xml:space="preserve">y used to finance terrorism or proceeds from crime from this criminal offence and in this context enables extended cooperation. </w:t>
      </w:r>
      <w:r w:rsidR="00880C15" w:rsidRPr="006E20A2">
        <w:rPr>
          <w:i w:val="0"/>
          <w:iCs/>
          <w:lang w:val="en-US"/>
        </w:rPr>
        <w:t xml:space="preserve">One of its fundamental </w:t>
      </w:r>
      <w:r w:rsidR="005F4B21">
        <w:rPr>
          <w:i w:val="0"/>
          <w:iCs/>
          <w:lang w:val="en-US"/>
        </w:rPr>
        <w:t>obligations</w:t>
      </w:r>
      <w:r w:rsidR="00880C15" w:rsidRPr="006E20A2">
        <w:rPr>
          <w:i w:val="0"/>
          <w:iCs/>
          <w:lang w:val="en-US"/>
        </w:rPr>
        <w:t xml:space="preserve"> is</w:t>
      </w:r>
      <w:r w:rsidR="005F4B21">
        <w:rPr>
          <w:i w:val="0"/>
          <w:iCs/>
          <w:lang w:val="en-US"/>
        </w:rPr>
        <w:t xml:space="preserve"> to</w:t>
      </w:r>
      <w:r w:rsidR="00880C15" w:rsidRPr="006E20A2">
        <w:rPr>
          <w:i w:val="0"/>
          <w:iCs/>
          <w:lang w:val="en-US"/>
        </w:rPr>
        <w:t xml:space="preserve"> support the direct communication between contracting states and their authorities and </w:t>
      </w:r>
      <w:r w:rsidR="005F4B21">
        <w:rPr>
          <w:i w:val="0"/>
          <w:iCs/>
          <w:lang w:val="en-US"/>
        </w:rPr>
        <w:t>to prescribe</w:t>
      </w:r>
      <w:r w:rsidR="00880C15" w:rsidRPr="006E20A2">
        <w:rPr>
          <w:i w:val="0"/>
          <w:iCs/>
          <w:lang w:val="en-US"/>
        </w:rPr>
        <w:t xml:space="preserve"> the obligation of information sharing between authorities of contracting </w:t>
      </w:r>
      <w:r w:rsidR="00880C15" w:rsidRPr="006E20A2">
        <w:rPr>
          <w:i w:val="0"/>
          <w:iCs/>
          <w:lang w:val="en-US"/>
        </w:rPr>
        <w:lastRenderedPageBreak/>
        <w:t>members. In Slovenia</w:t>
      </w:r>
      <w:r w:rsidR="005F4B21">
        <w:rPr>
          <w:i w:val="0"/>
          <w:iCs/>
          <w:lang w:val="en-US"/>
        </w:rPr>
        <w:t xml:space="preserve">, </w:t>
      </w:r>
      <w:r w:rsidR="00880C15" w:rsidRPr="006E20A2">
        <w:rPr>
          <w:i w:val="0"/>
          <w:iCs/>
          <w:lang w:val="en-US"/>
        </w:rPr>
        <w:t>the OMLP is the central authority competent for receiving and sending requests in the framework of chapter IV (international cooperation) and forwarding them to competent authorities.</w:t>
      </w:r>
    </w:p>
    <w:p w14:paraId="05A85286" w14:textId="77777777" w:rsidR="00E4563E" w:rsidRPr="006E20A2" w:rsidRDefault="00E4563E" w:rsidP="00E4563E">
      <w:pPr>
        <w:spacing w:line="276" w:lineRule="auto"/>
        <w:rPr>
          <w:rFonts w:ascii="Arial" w:hAnsi="Arial"/>
          <w:iCs/>
          <w:sz w:val="20"/>
          <w:lang w:val="en-US"/>
        </w:rPr>
      </w:pPr>
    </w:p>
    <w:p w14:paraId="25729382" w14:textId="409B2C0B" w:rsidR="00E4563E" w:rsidRPr="006E20A2" w:rsidRDefault="00880C15" w:rsidP="00E4563E">
      <w:pPr>
        <w:spacing w:line="276" w:lineRule="auto"/>
        <w:rPr>
          <w:rFonts w:ascii="Arial" w:hAnsi="Arial"/>
          <w:iCs/>
          <w:sz w:val="20"/>
          <w:lang w:val="en-US"/>
        </w:rPr>
      </w:pPr>
      <w:r w:rsidRPr="006E20A2">
        <w:rPr>
          <w:rFonts w:ascii="Arial" w:hAnsi="Arial"/>
          <w:iCs/>
          <w:sz w:val="20"/>
          <w:lang w:val="en-US"/>
        </w:rPr>
        <w:t xml:space="preserve">In </w:t>
      </w:r>
      <w:r w:rsidR="00192999" w:rsidRPr="006E20A2">
        <w:rPr>
          <w:rFonts w:ascii="Arial" w:hAnsi="Arial"/>
          <w:iCs/>
          <w:sz w:val="20"/>
          <w:lang w:val="en-US"/>
        </w:rPr>
        <w:t>October</w:t>
      </w:r>
      <w:r w:rsidRPr="006E20A2">
        <w:rPr>
          <w:rFonts w:ascii="Arial" w:hAnsi="Arial"/>
          <w:iCs/>
          <w:sz w:val="20"/>
          <w:lang w:val="en-US"/>
        </w:rPr>
        <w:t xml:space="preserve"> 202</w:t>
      </w:r>
      <w:r w:rsidR="005F4B21">
        <w:rPr>
          <w:rFonts w:ascii="Arial" w:hAnsi="Arial"/>
          <w:iCs/>
          <w:sz w:val="20"/>
          <w:lang w:val="en-US"/>
        </w:rPr>
        <w:t>0,</w:t>
      </w:r>
      <w:r w:rsidRPr="006E20A2">
        <w:rPr>
          <w:rFonts w:ascii="Arial" w:hAnsi="Arial"/>
          <w:iCs/>
          <w:sz w:val="20"/>
          <w:lang w:val="en-US"/>
        </w:rPr>
        <w:t xml:space="preserve"> the 12th conference of the par</w:t>
      </w:r>
      <w:r w:rsidR="00FB1D37" w:rsidRPr="006E20A2">
        <w:rPr>
          <w:rFonts w:ascii="Arial" w:hAnsi="Arial"/>
          <w:iCs/>
          <w:sz w:val="20"/>
          <w:lang w:val="en-US"/>
        </w:rPr>
        <w:t>t</w:t>
      </w:r>
      <w:r w:rsidRPr="006E20A2">
        <w:rPr>
          <w:rFonts w:ascii="Arial" w:hAnsi="Arial"/>
          <w:iCs/>
          <w:sz w:val="20"/>
          <w:lang w:val="en-US"/>
        </w:rPr>
        <w:t>ies of C</w:t>
      </w:r>
      <w:r w:rsidR="00FB1D37" w:rsidRPr="006E20A2">
        <w:rPr>
          <w:rFonts w:ascii="Arial" w:hAnsi="Arial"/>
          <w:iCs/>
          <w:sz w:val="20"/>
          <w:lang w:val="en-US"/>
        </w:rPr>
        <w:t>O</w:t>
      </w:r>
      <w:r w:rsidRPr="006E20A2">
        <w:rPr>
          <w:rFonts w:ascii="Arial" w:hAnsi="Arial"/>
          <w:iCs/>
          <w:sz w:val="20"/>
          <w:lang w:val="en-US"/>
        </w:rPr>
        <w:t xml:space="preserve">E </w:t>
      </w:r>
      <w:r w:rsidR="006A2045">
        <w:rPr>
          <w:rFonts w:ascii="Arial" w:hAnsi="Arial"/>
          <w:iCs/>
          <w:sz w:val="20"/>
          <w:lang w:val="en-US"/>
        </w:rPr>
        <w:t xml:space="preserve">No. </w:t>
      </w:r>
      <w:r w:rsidRPr="006E20A2">
        <w:rPr>
          <w:rFonts w:ascii="Arial" w:hAnsi="Arial"/>
          <w:iCs/>
          <w:sz w:val="20"/>
          <w:lang w:val="en-US"/>
        </w:rPr>
        <w:t>198</w:t>
      </w:r>
      <w:r w:rsidR="005F4B21" w:rsidRPr="005F4B21">
        <w:rPr>
          <w:rFonts w:ascii="Arial" w:hAnsi="Arial"/>
          <w:iCs/>
          <w:sz w:val="20"/>
          <w:lang w:val="en-US"/>
        </w:rPr>
        <w:t xml:space="preserve"> </w:t>
      </w:r>
      <w:r w:rsidR="005F4B21" w:rsidRPr="006E20A2">
        <w:rPr>
          <w:rFonts w:ascii="Arial" w:hAnsi="Arial"/>
          <w:iCs/>
          <w:sz w:val="20"/>
          <w:lang w:val="en-US"/>
        </w:rPr>
        <w:t>took place</w:t>
      </w:r>
      <w:r w:rsidRPr="006E20A2">
        <w:rPr>
          <w:rFonts w:ascii="Arial" w:hAnsi="Arial"/>
          <w:iCs/>
          <w:sz w:val="20"/>
          <w:lang w:val="en-US"/>
        </w:rPr>
        <w:t xml:space="preserve">, </w:t>
      </w:r>
      <w:r w:rsidR="005F4B21">
        <w:rPr>
          <w:rFonts w:ascii="Arial" w:hAnsi="Arial"/>
          <w:iCs/>
          <w:sz w:val="20"/>
          <w:lang w:val="en-US"/>
        </w:rPr>
        <w:t xml:space="preserve">also </w:t>
      </w:r>
      <w:r w:rsidRPr="006E20A2">
        <w:rPr>
          <w:rFonts w:ascii="Arial" w:hAnsi="Arial"/>
          <w:iCs/>
          <w:sz w:val="20"/>
          <w:lang w:val="en-US"/>
        </w:rPr>
        <w:t xml:space="preserve">participated </w:t>
      </w:r>
      <w:r w:rsidR="005F4B21">
        <w:rPr>
          <w:rFonts w:ascii="Arial" w:hAnsi="Arial"/>
          <w:iCs/>
          <w:sz w:val="20"/>
          <w:lang w:val="en-US"/>
        </w:rPr>
        <w:t>by the representative of OMLP</w:t>
      </w:r>
      <w:r w:rsidRPr="006E20A2">
        <w:rPr>
          <w:rFonts w:ascii="Arial" w:hAnsi="Arial"/>
          <w:iCs/>
          <w:sz w:val="20"/>
          <w:lang w:val="en-US"/>
        </w:rPr>
        <w:t>.</w:t>
      </w:r>
      <w:r w:rsidR="00E4563E" w:rsidRPr="006E20A2">
        <w:rPr>
          <w:rFonts w:ascii="Arial" w:hAnsi="Arial"/>
          <w:iCs/>
          <w:sz w:val="20"/>
          <w:lang w:val="en-US"/>
        </w:rPr>
        <w:t xml:space="preserve"> </w:t>
      </w:r>
      <w:r w:rsidRPr="006E20A2">
        <w:rPr>
          <w:rFonts w:ascii="Arial" w:hAnsi="Arial"/>
          <w:iCs/>
          <w:sz w:val="20"/>
          <w:lang w:val="en-US"/>
        </w:rPr>
        <w:t xml:space="preserve">Due to </w:t>
      </w:r>
      <w:r w:rsidR="00192999" w:rsidRPr="006E20A2">
        <w:rPr>
          <w:rFonts w:ascii="Arial" w:hAnsi="Arial"/>
          <w:iCs/>
          <w:sz w:val="20"/>
          <w:lang w:val="en-US"/>
        </w:rPr>
        <w:t>emergency</w:t>
      </w:r>
      <w:r w:rsidRPr="006E20A2">
        <w:rPr>
          <w:rFonts w:ascii="Arial" w:hAnsi="Arial"/>
          <w:iCs/>
          <w:sz w:val="20"/>
          <w:lang w:val="en-US"/>
        </w:rPr>
        <w:t xml:space="preserve"> </w:t>
      </w:r>
      <w:r w:rsidR="00192999" w:rsidRPr="006E20A2">
        <w:rPr>
          <w:rFonts w:ascii="Arial" w:hAnsi="Arial"/>
          <w:iCs/>
          <w:sz w:val="20"/>
          <w:lang w:val="en-US"/>
        </w:rPr>
        <w:t>circumstances</w:t>
      </w:r>
      <w:r w:rsidRPr="006E20A2">
        <w:rPr>
          <w:rFonts w:ascii="Arial" w:hAnsi="Arial"/>
          <w:iCs/>
          <w:sz w:val="20"/>
          <w:lang w:val="en-US"/>
        </w:rPr>
        <w:t xml:space="preserve"> the </w:t>
      </w:r>
      <w:r w:rsidR="00192999" w:rsidRPr="006E20A2">
        <w:rPr>
          <w:rFonts w:ascii="Arial" w:hAnsi="Arial"/>
          <w:iCs/>
          <w:sz w:val="20"/>
          <w:lang w:val="en-US"/>
        </w:rPr>
        <w:t>mandate</w:t>
      </w:r>
      <w:r w:rsidRPr="006E20A2">
        <w:rPr>
          <w:rFonts w:ascii="Arial" w:hAnsi="Arial"/>
          <w:iCs/>
          <w:sz w:val="20"/>
          <w:lang w:val="en-US"/>
        </w:rPr>
        <w:t xml:space="preserve"> of three members of </w:t>
      </w:r>
      <w:r w:rsidR="006A2045">
        <w:rPr>
          <w:rFonts w:ascii="Arial" w:hAnsi="Arial"/>
          <w:iCs/>
          <w:sz w:val="20"/>
          <w:lang w:val="en-US"/>
        </w:rPr>
        <w:t xml:space="preserve">the </w:t>
      </w:r>
      <w:r w:rsidRPr="006E20A2">
        <w:rPr>
          <w:rFonts w:ascii="Arial" w:hAnsi="Arial"/>
          <w:iCs/>
          <w:sz w:val="20"/>
          <w:lang w:val="en-US"/>
        </w:rPr>
        <w:t xml:space="preserve">presidency was extended. </w:t>
      </w:r>
      <w:r w:rsidR="00FB1D37" w:rsidRPr="006E20A2">
        <w:rPr>
          <w:rFonts w:ascii="Arial" w:hAnsi="Arial"/>
          <w:iCs/>
          <w:sz w:val="20"/>
          <w:lang w:val="en-US"/>
        </w:rPr>
        <w:t xml:space="preserve">The thematic report on implementation of the </w:t>
      </w:r>
      <w:r w:rsidR="00192999" w:rsidRPr="006E20A2">
        <w:rPr>
          <w:rFonts w:ascii="Arial" w:hAnsi="Arial"/>
          <w:iCs/>
          <w:sz w:val="20"/>
          <w:lang w:val="en-US"/>
        </w:rPr>
        <w:t>implementation</w:t>
      </w:r>
      <w:r w:rsidR="00FB1D37" w:rsidRPr="006E20A2">
        <w:rPr>
          <w:rFonts w:ascii="Arial" w:hAnsi="Arial"/>
          <w:iCs/>
          <w:sz w:val="20"/>
          <w:lang w:val="en-US"/>
        </w:rPr>
        <w:t xml:space="preserve"> of the convention in member states in relation to Articles</w:t>
      </w:r>
      <w:r w:rsidR="00E4563E" w:rsidRPr="006E20A2">
        <w:rPr>
          <w:rFonts w:ascii="Arial" w:hAnsi="Arial"/>
          <w:iCs/>
          <w:sz w:val="20"/>
          <w:lang w:val="en-US"/>
        </w:rPr>
        <w:t xml:space="preserve"> 7(2c) </w:t>
      </w:r>
      <w:r w:rsidR="00FB1D37" w:rsidRPr="006E20A2">
        <w:rPr>
          <w:rFonts w:ascii="Arial" w:hAnsi="Arial"/>
          <w:iCs/>
          <w:sz w:val="20"/>
          <w:lang w:val="en-US"/>
        </w:rPr>
        <w:t>and</w:t>
      </w:r>
      <w:r w:rsidR="00E4563E" w:rsidRPr="006E20A2">
        <w:rPr>
          <w:rFonts w:ascii="Arial" w:hAnsi="Arial"/>
          <w:iCs/>
          <w:sz w:val="20"/>
          <w:lang w:val="en-US"/>
        </w:rPr>
        <w:t xml:space="preserve"> 19(1) </w:t>
      </w:r>
      <w:r w:rsidR="00FB1D37" w:rsidRPr="006E20A2">
        <w:rPr>
          <w:rFonts w:ascii="Arial" w:hAnsi="Arial"/>
          <w:iCs/>
          <w:sz w:val="20"/>
          <w:lang w:val="en-US"/>
        </w:rPr>
        <w:t>was adopted</w:t>
      </w:r>
      <w:r w:rsidR="00E4563E" w:rsidRPr="006E20A2">
        <w:rPr>
          <w:rFonts w:ascii="Arial" w:hAnsi="Arial"/>
          <w:iCs/>
          <w:sz w:val="20"/>
          <w:lang w:val="en-US"/>
        </w:rPr>
        <w:t xml:space="preserve">. </w:t>
      </w:r>
      <w:r w:rsidR="00FB1D37" w:rsidRPr="006E20A2">
        <w:rPr>
          <w:rFonts w:ascii="Arial" w:hAnsi="Arial"/>
          <w:iCs/>
          <w:sz w:val="20"/>
          <w:lang w:val="en-US"/>
        </w:rPr>
        <w:t xml:space="preserve">The next </w:t>
      </w:r>
      <w:r w:rsidR="00192999" w:rsidRPr="006E20A2">
        <w:rPr>
          <w:rFonts w:ascii="Arial" w:hAnsi="Arial"/>
          <w:iCs/>
          <w:sz w:val="20"/>
          <w:lang w:val="en-US"/>
        </w:rPr>
        <w:t>thematic</w:t>
      </w:r>
      <w:r w:rsidR="00FB1D37" w:rsidRPr="006E20A2">
        <w:rPr>
          <w:rFonts w:ascii="Arial" w:hAnsi="Arial"/>
          <w:iCs/>
          <w:sz w:val="20"/>
          <w:lang w:val="en-US"/>
        </w:rPr>
        <w:t xml:space="preserve"> review focus</w:t>
      </w:r>
      <w:r w:rsidR="005F4B21">
        <w:rPr>
          <w:rFonts w:ascii="Arial" w:hAnsi="Arial"/>
          <w:iCs/>
          <w:sz w:val="20"/>
          <w:lang w:val="en-US"/>
        </w:rPr>
        <w:t>ed</w:t>
      </w:r>
      <w:r w:rsidR="00FB1D37" w:rsidRPr="006E20A2">
        <w:rPr>
          <w:rFonts w:ascii="Arial" w:hAnsi="Arial"/>
          <w:iCs/>
          <w:sz w:val="20"/>
          <w:lang w:val="en-US"/>
        </w:rPr>
        <w:t xml:space="preserve"> on first and second paragraph of Article</w:t>
      </w:r>
      <w:r w:rsidR="006A2045">
        <w:rPr>
          <w:rFonts w:ascii="Arial" w:hAnsi="Arial"/>
          <w:iCs/>
          <w:sz w:val="20"/>
          <w:lang w:val="en-US"/>
        </w:rPr>
        <w:t xml:space="preserve"> </w:t>
      </w:r>
      <w:r w:rsidR="00FB1D37" w:rsidRPr="006E20A2">
        <w:rPr>
          <w:rFonts w:ascii="Arial" w:hAnsi="Arial"/>
          <w:iCs/>
          <w:sz w:val="20"/>
          <w:lang w:val="en-US"/>
        </w:rPr>
        <w:t>10 of the convention that cover</w:t>
      </w:r>
      <w:r w:rsidR="005F4B21">
        <w:rPr>
          <w:rFonts w:ascii="Arial" w:hAnsi="Arial"/>
          <w:iCs/>
          <w:sz w:val="20"/>
          <w:lang w:val="en-US"/>
        </w:rPr>
        <w:t>ed</w:t>
      </w:r>
      <w:r w:rsidR="00FB1D37" w:rsidRPr="006E20A2">
        <w:rPr>
          <w:rFonts w:ascii="Arial" w:hAnsi="Arial"/>
          <w:iCs/>
          <w:sz w:val="20"/>
          <w:lang w:val="en-US"/>
        </w:rPr>
        <w:t xml:space="preserve"> the </w:t>
      </w:r>
      <w:r w:rsidR="00192999" w:rsidRPr="006E20A2">
        <w:rPr>
          <w:rFonts w:ascii="Arial" w:hAnsi="Arial"/>
          <w:iCs/>
          <w:sz w:val="20"/>
          <w:lang w:val="en-US"/>
        </w:rPr>
        <w:t>responsibility</w:t>
      </w:r>
      <w:r w:rsidR="00FB1D37" w:rsidRPr="006E20A2">
        <w:rPr>
          <w:rFonts w:ascii="Arial" w:hAnsi="Arial"/>
          <w:iCs/>
          <w:sz w:val="20"/>
          <w:lang w:val="en-US"/>
        </w:rPr>
        <w:t xml:space="preserve"> of legal persons. Some changes were </w:t>
      </w:r>
      <w:r w:rsidR="00192999" w:rsidRPr="006E20A2">
        <w:rPr>
          <w:rFonts w:ascii="Arial" w:hAnsi="Arial"/>
          <w:iCs/>
          <w:sz w:val="20"/>
          <w:lang w:val="en-US"/>
        </w:rPr>
        <w:t>adopted</w:t>
      </w:r>
      <w:r w:rsidR="00FB1D37" w:rsidRPr="006E20A2">
        <w:rPr>
          <w:rFonts w:ascii="Arial" w:hAnsi="Arial"/>
          <w:iCs/>
          <w:sz w:val="20"/>
          <w:lang w:val="en-US"/>
        </w:rPr>
        <w:t xml:space="preserve"> in relation to thematic </w:t>
      </w:r>
      <w:r w:rsidR="00192999" w:rsidRPr="006E20A2">
        <w:rPr>
          <w:rFonts w:ascii="Arial" w:hAnsi="Arial"/>
          <w:iCs/>
          <w:sz w:val="20"/>
          <w:lang w:val="en-US"/>
        </w:rPr>
        <w:t>assessments</w:t>
      </w:r>
      <w:r w:rsidR="00FB1D37" w:rsidRPr="006E20A2">
        <w:rPr>
          <w:rFonts w:ascii="Arial" w:hAnsi="Arial"/>
          <w:iCs/>
          <w:sz w:val="20"/>
          <w:lang w:val="en-US"/>
        </w:rPr>
        <w:t xml:space="preserve"> for 2018 and 2019 connected to </w:t>
      </w:r>
      <w:r w:rsidR="006A2045">
        <w:rPr>
          <w:rFonts w:ascii="Arial" w:hAnsi="Arial"/>
          <w:iCs/>
          <w:sz w:val="20"/>
          <w:lang w:val="en-US"/>
        </w:rPr>
        <w:t xml:space="preserve">the </w:t>
      </w:r>
      <w:r w:rsidR="00192999" w:rsidRPr="006E20A2">
        <w:rPr>
          <w:rFonts w:ascii="Arial" w:hAnsi="Arial"/>
          <w:iCs/>
          <w:sz w:val="20"/>
          <w:lang w:val="en-US"/>
        </w:rPr>
        <w:t>Ratification</w:t>
      </w:r>
      <w:r w:rsidR="00FB1D37" w:rsidRPr="006E20A2">
        <w:rPr>
          <w:rFonts w:ascii="Arial" w:hAnsi="Arial"/>
          <w:iCs/>
          <w:sz w:val="20"/>
          <w:lang w:val="en-US"/>
        </w:rPr>
        <w:t xml:space="preserve"> </w:t>
      </w:r>
      <w:r w:rsidR="006A2045">
        <w:rPr>
          <w:rFonts w:ascii="Arial" w:hAnsi="Arial"/>
          <w:iCs/>
          <w:sz w:val="20"/>
          <w:lang w:val="en-US"/>
        </w:rPr>
        <w:t>by</w:t>
      </w:r>
      <w:r w:rsidR="006A2045" w:rsidRPr="006E20A2">
        <w:rPr>
          <w:rFonts w:ascii="Arial" w:hAnsi="Arial"/>
          <w:iCs/>
          <w:sz w:val="20"/>
          <w:lang w:val="en-US"/>
        </w:rPr>
        <w:t xml:space="preserve"> </w:t>
      </w:r>
      <w:r w:rsidR="00FB1D37" w:rsidRPr="006E20A2">
        <w:rPr>
          <w:rFonts w:ascii="Arial" w:hAnsi="Arial"/>
          <w:iCs/>
          <w:sz w:val="20"/>
          <w:lang w:val="en-US"/>
        </w:rPr>
        <w:t xml:space="preserve">Monaco and </w:t>
      </w:r>
      <w:r w:rsidR="006A2045">
        <w:rPr>
          <w:rFonts w:ascii="Arial" w:hAnsi="Arial"/>
          <w:iCs/>
          <w:sz w:val="20"/>
          <w:lang w:val="en-US"/>
        </w:rPr>
        <w:t xml:space="preserve">the </w:t>
      </w:r>
      <w:r w:rsidR="00FB1D37" w:rsidRPr="006E20A2">
        <w:rPr>
          <w:rFonts w:ascii="Arial" w:hAnsi="Arial"/>
          <w:iCs/>
          <w:sz w:val="20"/>
          <w:lang w:val="en-US"/>
        </w:rPr>
        <w:t>financial contribution of Russia</w:t>
      </w:r>
      <w:r w:rsidR="00192999">
        <w:rPr>
          <w:rFonts w:ascii="Arial" w:hAnsi="Arial"/>
          <w:iCs/>
          <w:sz w:val="20"/>
          <w:lang w:val="en-US"/>
        </w:rPr>
        <w:t>.</w:t>
      </w:r>
      <w:r w:rsidR="00E4563E" w:rsidRPr="006E20A2">
        <w:rPr>
          <w:rFonts w:ascii="Arial" w:hAnsi="Arial"/>
          <w:iCs/>
          <w:sz w:val="20"/>
          <w:lang w:val="en-US"/>
        </w:rPr>
        <w:t xml:space="preserve"> </w:t>
      </w:r>
      <w:r w:rsidR="00FB1D37" w:rsidRPr="006E20A2">
        <w:rPr>
          <w:rFonts w:ascii="Arial" w:hAnsi="Arial"/>
          <w:iCs/>
          <w:sz w:val="20"/>
          <w:lang w:val="en-US"/>
        </w:rPr>
        <w:t xml:space="preserve">In relation to thematic reports on </w:t>
      </w:r>
      <w:r w:rsidR="006A2045">
        <w:rPr>
          <w:rFonts w:ascii="Arial" w:hAnsi="Arial"/>
          <w:iCs/>
          <w:sz w:val="20"/>
          <w:lang w:val="en-US"/>
        </w:rPr>
        <w:t xml:space="preserve">the </w:t>
      </w:r>
      <w:r w:rsidR="00FB1D37" w:rsidRPr="006E20A2">
        <w:rPr>
          <w:rFonts w:ascii="Arial" w:hAnsi="Arial"/>
          <w:iCs/>
          <w:sz w:val="20"/>
          <w:lang w:val="en-US"/>
        </w:rPr>
        <w:t xml:space="preserve">implementation of </w:t>
      </w:r>
      <w:r w:rsidR="006A2045">
        <w:rPr>
          <w:rFonts w:ascii="Arial" w:hAnsi="Arial"/>
          <w:iCs/>
          <w:sz w:val="20"/>
          <w:lang w:val="en-US"/>
        </w:rPr>
        <w:t xml:space="preserve">the </w:t>
      </w:r>
      <w:r w:rsidR="00FB1D37" w:rsidRPr="006E20A2">
        <w:rPr>
          <w:rFonts w:ascii="Arial" w:hAnsi="Arial"/>
          <w:iCs/>
          <w:sz w:val="20"/>
          <w:lang w:val="en-US"/>
        </w:rPr>
        <w:t xml:space="preserve">fourth paragraph of </w:t>
      </w:r>
      <w:r w:rsidR="000C458E" w:rsidRPr="006E20A2">
        <w:rPr>
          <w:rFonts w:ascii="Arial" w:hAnsi="Arial"/>
          <w:iCs/>
          <w:sz w:val="20"/>
          <w:lang w:val="en-US"/>
        </w:rPr>
        <w:t>A</w:t>
      </w:r>
      <w:r w:rsidR="00FB1D37" w:rsidRPr="006E20A2">
        <w:rPr>
          <w:rFonts w:ascii="Arial" w:hAnsi="Arial"/>
          <w:iCs/>
          <w:sz w:val="20"/>
          <w:lang w:val="en-US"/>
        </w:rPr>
        <w:t xml:space="preserve">rticle 3, it was decided that </w:t>
      </w:r>
      <w:r w:rsidR="006A2045">
        <w:rPr>
          <w:rFonts w:ascii="Arial" w:hAnsi="Arial"/>
          <w:iCs/>
          <w:sz w:val="20"/>
          <w:lang w:val="en-US"/>
        </w:rPr>
        <w:t xml:space="preserve">an </w:t>
      </w:r>
      <w:r w:rsidR="000C458E" w:rsidRPr="006E20A2">
        <w:rPr>
          <w:rFonts w:ascii="Arial" w:hAnsi="Arial"/>
          <w:iCs/>
          <w:sz w:val="20"/>
          <w:lang w:val="en-US"/>
        </w:rPr>
        <w:t xml:space="preserve">explanatory note is needed. It was decided </w:t>
      </w:r>
      <w:r w:rsidR="00192999" w:rsidRPr="006E20A2">
        <w:rPr>
          <w:rFonts w:ascii="Arial" w:hAnsi="Arial"/>
          <w:iCs/>
          <w:sz w:val="20"/>
          <w:lang w:val="en-US"/>
        </w:rPr>
        <w:t>that</w:t>
      </w:r>
      <w:r w:rsidR="000C458E" w:rsidRPr="006E20A2">
        <w:rPr>
          <w:rFonts w:ascii="Arial" w:hAnsi="Arial"/>
          <w:iCs/>
          <w:sz w:val="20"/>
          <w:lang w:val="en-US"/>
        </w:rPr>
        <w:t xml:space="preserve"> for</w:t>
      </w:r>
      <w:r w:rsidR="005F4B21">
        <w:rPr>
          <w:rFonts w:ascii="Arial" w:hAnsi="Arial"/>
          <w:iCs/>
          <w:sz w:val="20"/>
          <w:lang w:val="en-US"/>
        </w:rPr>
        <w:t xml:space="preserve"> </w:t>
      </w:r>
      <w:r w:rsidR="000C458E" w:rsidRPr="006E20A2">
        <w:rPr>
          <w:rFonts w:ascii="Arial" w:hAnsi="Arial"/>
          <w:iCs/>
          <w:sz w:val="20"/>
          <w:lang w:val="en-US"/>
        </w:rPr>
        <w:t xml:space="preserve">this reason a meeting will be </w:t>
      </w:r>
      <w:r w:rsidR="00192999" w:rsidRPr="006E20A2">
        <w:rPr>
          <w:rFonts w:ascii="Arial" w:hAnsi="Arial"/>
          <w:iCs/>
          <w:sz w:val="20"/>
          <w:lang w:val="en-US"/>
        </w:rPr>
        <w:t>organized</w:t>
      </w:r>
      <w:r w:rsidR="000C458E" w:rsidRPr="006E20A2">
        <w:rPr>
          <w:rFonts w:ascii="Arial" w:hAnsi="Arial"/>
          <w:iCs/>
          <w:sz w:val="20"/>
          <w:lang w:val="en-US"/>
        </w:rPr>
        <w:t xml:space="preserve"> in May 202</w:t>
      </w:r>
      <w:r w:rsidR="005F4B21">
        <w:rPr>
          <w:rFonts w:ascii="Arial" w:hAnsi="Arial"/>
          <w:iCs/>
          <w:sz w:val="20"/>
          <w:lang w:val="en-US"/>
        </w:rPr>
        <w:t>1</w:t>
      </w:r>
      <w:r w:rsidR="000C458E" w:rsidRPr="006E20A2">
        <w:rPr>
          <w:rFonts w:ascii="Arial" w:hAnsi="Arial"/>
          <w:iCs/>
          <w:sz w:val="20"/>
          <w:lang w:val="en-US"/>
        </w:rPr>
        <w:t>.</w:t>
      </w:r>
      <w:r w:rsidR="00FB1D37" w:rsidRPr="006E20A2">
        <w:rPr>
          <w:rFonts w:ascii="Arial" w:hAnsi="Arial"/>
          <w:iCs/>
          <w:sz w:val="20"/>
          <w:lang w:val="en-US"/>
        </w:rPr>
        <w:t xml:space="preserve"> </w:t>
      </w:r>
      <w:r w:rsidR="000C458E" w:rsidRPr="006E20A2">
        <w:rPr>
          <w:rFonts w:ascii="Arial" w:hAnsi="Arial"/>
          <w:iCs/>
          <w:sz w:val="20"/>
          <w:lang w:val="en-US"/>
        </w:rPr>
        <w:t xml:space="preserve">The representative of the European Court for Human Rights presented the case </w:t>
      </w:r>
      <w:r w:rsidR="00E4563E" w:rsidRPr="006E20A2">
        <w:rPr>
          <w:rFonts w:ascii="Arial" w:hAnsi="Arial"/>
          <w:iCs/>
          <w:sz w:val="20"/>
          <w:lang w:val="en-US"/>
        </w:rPr>
        <w:t xml:space="preserve">Phillips </w:t>
      </w:r>
      <w:r w:rsidR="000C458E" w:rsidRPr="006E20A2">
        <w:rPr>
          <w:rFonts w:ascii="Arial" w:hAnsi="Arial"/>
          <w:iCs/>
          <w:sz w:val="20"/>
          <w:lang w:val="en-US"/>
        </w:rPr>
        <w:t>agains</w:t>
      </w:r>
      <w:r w:rsidR="00192999">
        <w:rPr>
          <w:rFonts w:ascii="Arial" w:hAnsi="Arial"/>
          <w:iCs/>
          <w:sz w:val="20"/>
          <w:lang w:val="en-US"/>
        </w:rPr>
        <w:t>t</w:t>
      </w:r>
      <w:r w:rsidR="000C458E" w:rsidRPr="006E20A2">
        <w:rPr>
          <w:rFonts w:ascii="Arial" w:hAnsi="Arial"/>
          <w:iCs/>
          <w:sz w:val="20"/>
          <w:lang w:val="en-US"/>
        </w:rPr>
        <w:t xml:space="preserve"> United Kingdom and other </w:t>
      </w:r>
      <w:r w:rsidR="00192999" w:rsidRPr="006E20A2">
        <w:rPr>
          <w:rFonts w:ascii="Arial" w:hAnsi="Arial"/>
          <w:iCs/>
          <w:sz w:val="20"/>
          <w:lang w:val="en-US"/>
        </w:rPr>
        <w:t>judicial</w:t>
      </w:r>
      <w:r w:rsidR="000C458E" w:rsidRPr="006E20A2">
        <w:rPr>
          <w:rFonts w:ascii="Arial" w:hAnsi="Arial"/>
          <w:iCs/>
          <w:sz w:val="20"/>
          <w:lang w:val="en-US"/>
        </w:rPr>
        <w:t xml:space="preserve"> practice </w:t>
      </w:r>
      <w:r w:rsidR="005F4B21">
        <w:rPr>
          <w:rFonts w:ascii="Arial" w:hAnsi="Arial"/>
          <w:iCs/>
          <w:sz w:val="20"/>
          <w:lang w:val="en-US"/>
        </w:rPr>
        <w:t xml:space="preserve">related to the </w:t>
      </w:r>
      <w:r w:rsidR="000C458E" w:rsidRPr="006E20A2">
        <w:rPr>
          <w:rFonts w:ascii="Arial" w:hAnsi="Arial"/>
          <w:iCs/>
          <w:sz w:val="20"/>
          <w:lang w:val="en-US"/>
        </w:rPr>
        <w:t xml:space="preserve">reversal of </w:t>
      </w:r>
      <w:r w:rsidR="000C458E" w:rsidRPr="00BA5BC9">
        <w:rPr>
          <w:rFonts w:ascii="Arial" w:hAnsi="Arial"/>
          <w:iCs/>
          <w:sz w:val="20"/>
          <w:lang w:val="en-US"/>
        </w:rPr>
        <w:t>burden of proof in confiscation proceedings.</w:t>
      </w:r>
      <w:r w:rsidR="00E4563E" w:rsidRPr="006E20A2">
        <w:rPr>
          <w:rFonts w:ascii="Arial" w:hAnsi="Arial"/>
          <w:iCs/>
          <w:sz w:val="20"/>
          <w:lang w:val="en-US"/>
        </w:rPr>
        <w:t xml:space="preserve"> </w:t>
      </w:r>
      <w:r w:rsidR="005F4B21">
        <w:rPr>
          <w:rFonts w:ascii="Arial" w:hAnsi="Arial"/>
          <w:iCs/>
          <w:sz w:val="20"/>
          <w:lang w:val="en-US"/>
        </w:rPr>
        <w:t>T</w:t>
      </w:r>
      <w:r w:rsidR="000C458E" w:rsidRPr="006E20A2">
        <w:rPr>
          <w:rFonts w:ascii="Arial" w:hAnsi="Arial"/>
          <w:iCs/>
          <w:sz w:val="20"/>
          <w:lang w:val="en-US"/>
        </w:rPr>
        <w:t xml:space="preserve">he questionnaire on </w:t>
      </w:r>
      <w:r w:rsidR="00192999" w:rsidRPr="006E20A2">
        <w:rPr>
          <w:rFonts w:ascii="Arial" w:hAnsi="Arial"/>
          <w:iCs/>
          <w:sz w:val="20"/>
          <w:lang w:val="en-US"/>
        </w:rPr>
        <w:t>virtual</w:t>
      </w:r>
      <w:r w:rsidR="000C458E" w:rsidRPr="006E20A2">
        <w:rPr>
          <w:rFonts w:ascii="Arial" w:hAnsi="Arial"/>
          <w:iCs/>
          <w:sz w:val="20"/>
          <w:lang w:val="en-US"/>
        </w:rPr>
        <w:t xml:space="preserve"> </w:t>
      </w:r>
      <w:r w:rsidR="00192999" w:rsidRPr="006E20A2">
        <w:rPr>
          <w:rFonts w:ascii="Arial" w:hAnsi="Arial"/>
          <w:iCs/>
          <w:sz w:val="20"/>
          <w:lang w:val="en-US"/>
        </w:rPr>
        <w:t>assets</w:t>
      </w:r>
      <w:r w:rsidR="00A943EF">
        <w:rPr>
          <w:rFonts w:ascii="Arial" w:hAnsi="Arial"/>
          <w:iCs/>
          <w:sz w:val="20"/>
          <w:lang w:val="en-US"/>
        </w:rPr>
        <w:t xml:space="preserve"> was also discussed.</w:t>
      </w:r>
      <w:r w:rsidR="000C458E" w:rsidRPr="006E20A2">
        <w:rPr>
          <w:rFonts w:ascii="Arial" w:hAnsi="Arial"/>
          <w:iCs/>
          <w:sz w:val="20"/>
          <w:lang w:val="en-US"/>
        </w:rPr>
        <w:t xml:space="preserve"> </w:t>
      </w:r>
    </w:p>
    <w:p w14:paraId="3D2BE2C1" w14:textId="77777777" w:rsidR="00EC3A04" w:rsidRPr="006E20A2" w:rsidRDefault="00EC3A04" w:rsidP="006D0841">
      <w:pPr>
        <w:spacing w:line="276" w:lineRule="auto"/>
        <w:rPr>
          <w:rFonts w:ascii="Arial" w:hAnsi="Arial"/>
          <w:bCs/>
          <w:sz w:val="20"/>
          <w:lang w:val="en-US"/>
        </w:rPr>
      </w:pPr>
    </w:p>
    <w:p w14:paraId="20D71D35" w14:textId="35637AD1" w:rsidR="00851C49" w:rsidRPr="006E20A2" w:rsidRDefault="00C231A0" w:rsidP="00BA5BC9">
      <w:pPr>
        <w:pStyle w:val="Naslov3"/>
        <w:rPr>
          <w:lang w:val="en-US"/>
        </w:rPr>
      </w:pPr>
      <w:bookmarkStart w:id="80" w:name="_Toc113535488"/>
      <w:r w:rsidRPr="006E20A2">
        <w:rPr>
          <w:lang w:val="en-US"/>
        </w:rPr>
        <w:t xml:space="preserve">5.2.2 </w:t>
      </w:r>
      <w:bookmarkEnd w:id="80"/>
      <w:r w:rsidR="00B42697" w:rsidRPr="006E20A2">
        <w:rPr>
          <w:lang w:val="en-US"/>
        </w:rPr>
        <w:t xml:space="preserve">European </w:t>
      </w:r>
      <w:r w:rsidR="00192999" w:rsidRPr="006E20A2">
        <w:rPr>
          <w:lang w:val="en-US"/>
        </w:rPr>
        <w:t>Commission</w:t>
      </w:r>
    </w:p>
    <w:p w14:paraId="778841F5" w14:textId="75CFB9F3" w:rsidR="00851C49" w:rsidRPr="006E20A2" w:rsidRDefault="00C231A0" w:rsidP="00BA5BC9">
      <w:pPr>
        <w:pStyle w:val="Naslov3"/>
        <w:rPr>
          <w:lang w:val="en-US"/>
        </w:rPr>
      </w:pPr>
      <w:bookmarkStart w:id="81" w:name="_Toc113535489"/>
      <w:bookmarkStart w:id="82" w:name="_Toc292714858"/>
      <w:bookmarkStart w:id="83" w:name="_Toc107306513"/>
      <w:bookmarkStart w:id="84" w:name="_Toc134427540"/>
      <w:bookmarkStart w:id="85" w:name="_Toc200524166"/>
      <w:bookmarkStart w:id="86" w:name="_Toc200853562"/>
      <w:bookmarkStart w:id="87" w:name="_Toc227744145"/>
      <w:bookmarkEnd w:id="51"/>
      <w:r w:rsidRPr="006E20A2">
        <w:rPr>
          <w:lang w:val="en-US"/>
        </w:rPr>
        <w:t xml:space="preserve">5.2.2.1 </w:t>
      </w:r>
      <w:bookmarkEnd w:id="81"/>
      <w:r w:rsidR="00B42697" w:rsidRPr="006E20A2">
        <w:rPr>
          <w:lang w:val="en-US"/>
        </w:rPr>
        <w:t xml:space="preserve">Expert Group on Money Laundering and </w:t>
      </w:r>
      <w:r w:rsidR="00192999" w:rsidRPr="006E20A2">
        <w:rPr>
          <w:lang w:val="en-US"/>
        </w:rPr>
        <w:t>Terrorist</w:t>
      </w:r>
      <w:r w:rsidR="00B42697" w:rsidRPr="006E20A2">
        <w:rPr>
          <w:lang w:val="en-US"/>
        </w:rPr>
        <w:t xml:space="preserve"> Financing« – EGMLTF</w:t>
      </w:r>
    </w:p>
    <w:p w14:paraId="102BF9CC" w14:textId="77777777" w:rsidR="00B42697" w:rsidRPr="006E20A2" w:rsidRDefault="00B42697" w:rsidP="00AF06A0">
      <w:pPr>
        <w:spacing w:line="276" w:lineRule="auto"/>
        <w:rPr>
          <w:rFonts w:ascii="Arial" w:hAnsi="Arial"/>
          <w:sz w:val="20"/>
          <w:lang w:val="en-US"/>
        </w:rPr>
      </w:pPr>
    </w:p>
    <w:p w14:paraId="2AEBB8D7" w14:textId="30BCB386" w:rsidR="00AF06A0" w:rsidRPr="006E20A2" w:rsidRDefault="00B42697" w:rsidP="00AF06A0">
      <w:pPr>
        <w:spacing w:line="276" w:lineRule="auto"/>
        <w:rPr>
          <w:rFonts w:ascii="Arial" w:hAnsi="Arial"/>
          <w:sz w:val="20"/>
          <w:lang w:val="en-US"/>
        </w:rPr>
      </w:pPr>
      <w:r w:rsidRPr="006E20A2">
        <w:rPr>
          <w:rFonts w:ascii="Arial" w:hAnsi="Arial"/>
          <w:sz w:val="20"/>
          <w:lang w:val="en-US"/>
        </w:rPr>
        <w:t xml:space="preserve">In 2020 the representatives of the FIU participated </w:t>
      </w:r>
      <w:r w:rsidR="006A2045">
        <w:rPr>
          <w:rFonts w:ascii="Arial" w:hAnsi="Arial"/>
          <w:sz w:val="20"/>
          <w:lang w:val="en-US"/>
        </w:rPr>
        <w:t>in</w:t>
      </w:r>
      <w:r w:rsidR="006A2045" w:rsidRPr="006E20A2">
        <w:rPr>
          <w:rFonts w:ascii="Arial" w:hAnsi="Arial"/>
          <w:sz w:val="20"/>
          <w:lang w:val="en-US"/>
        </w:rPr>
        <w:t xml:space="preserve"> </w:t>
      </w:r>
      <w:r w:rsidRPr="006E20A2">
        <w:rPr>
          <w:rFonts w:ascii="Arial" w:hAnsi="Arial"/>
          <w:sz w:val="20"/>
          <w:lang w:val="en-US"/>
        </w:rPr>
        <w:t xml:space="preserve">five meetings of </w:t>
      </w:r>
      <w:r w:rsidR="006A2045">
        <w:rPr>
          <w:rFonts w:ascii="Arial" w:hAnsi="Arial"/>
          <w:sz w:val="20"/>
          <w:lang w:val="en-US"/>
        </w:rPr>
        <w:t xml:space="preserve">the </w:t>
      </w:r>
      <w:r w:rsidR="00AF06A0" w:rsidRPr="006E20A2">
        <w:rPr>
          <w:rFonts w:ascii="Arial" w:hAnsi="Arial"/>
          <w:sz w:val="20"/>
          <w:lang w:val="en-US"/>
        </w:rPr>
        <w:t xml:space="preserve">Expert Group on Money Laundering and </w:t>
      </w:r>
      <w:r w:rsidR="00192999" w:rsidRPr="006E20A2">
        <w:rPr>
          <w:rFonts w:ascii="Arial" w:hAnsi="Arial"/>
          <w:sz w:val="20"/>
          <w:lang w:val="en-US"/>
        </w:rPr>
        <w:t>Terrorist</w:t>
      </w:r>
      <w:r w:rsidR="00AF06A0" w:rsidRPr="006E20A2">
        <w:rPr>
          <w:rFonts w:ascii="Arial" w:hAnsi="Arial"/>
          <w:sz w:val="20"/>
          <w:lang w:val="en-US"/>
        </w:rPr>
        <w:t xml:space="preserve"> Financing </w:t>
      </w:r>
      <w:r w:rsidR="008A1626" w:rsidRPr="006E20A2">
        <w:rPr>
          <w:rFonts w:ascii="Arial" w:hAnsi="Arial"/>
          <w:sz w:val="20"/>
          <w:lang w:val="en-US"/>
        </w:rPr>
        <w:t>–</w:t>
      </w:r>
      <w:r w:rsidR="00AF06A0" w:rsidRPr="006E20A2">
        <w:rPr>
          <w:rFonts w:ascii="Arial" w:hAnsi="Arial"/>
          <w:sz w:val="20"/>
          <w:lang w:val="en-US"/>
        </w:rPr>
        <w:t xml:space="preserve"> EGMLTF) </w:t>
      </w:r>
      <w:r w:rsidRPr="006E20A2">
        <w:rPr>
          <w:rFonts w:ascii="Arial" w:hAnsi="Arial"/>
          <w:sz w:val="20"/>
          <w:lang w:val="en-US"/>
        </w:rPr>
        <w:t>at the European Commission</w:t>
      </w:r>
      <w:r w:rsidR="00AF06A0" w:rsidRPr="006E20A2">
        <w:rPr>
          <w:rFonts w:ascii="Arial" w:hAnsi="Arial"/>
          <w:sz w:val="20"/>
          <w:lang w:val="en-US"/>
        </w:rPr>
        <w:t xml:space="preserve">. </w:t>
      </w:r>
    </w:p>
    <w:p w14:paraId="40198BA2" w14:textId="77777777" w:rsidR="00791BE2" w:rsidRDefault="00791BE2" w:rsidP="00AF06A0">
      <w:pPr>
        <w:widowControl/>
        <w:spacing w:line="276" w:lineRule="auto"/>
        <w:rPr>
          <w:rFonts w:ascii="Arial" w:hAnsi="Arial"/>
          <w:sz w:val="20"/>
          <w:lang w:val="en-US"/>
        </w:rPr>
      </w:pPr>
    </w:p>
    <w:p w14:paraId="28616FDF" w14:textId="2363A0B9" w:rsidR="00AF06A0" w:rsidRPr="006E20A2" w:rsidRDefault="00B42697" w:rsidP="00AF06A0">
      <w:pPr>
        <w:widowControl/>
        <w:spacing w:line="276" w:lineRule="auto"/>
        <w:rPr>
          <w:rFonts w:ascii="Arial" w:hAnsi="Arial"/>
          <w:sz w:val="20"/>
          <w:lang w:val="en-US"/>
        </w:rPr>
      </w:pPr>
      <w:r w:rsidRPr="006E20A2">
        <w:rPr>
          <w:rFonts w:ascii="Arial" w:hAnsi="Arial"/>
          <w:sz w:val="20"/>
          <w:lang w:val="en-US"/>
        </w:rPr>
        <w:t>The main topics of the meetings were as follows</w:t>
      </w:r>
      <w:r w:rsidR="00AF06A0" w:rsidRPr="006E20A2">
        <w:rPr>
          <w:rFonts w:ascii="Arial" w:hAnsi="Arial"/>
          <w:sz w:val="20"/>
          <w:lang w:val="en-US"/>
        </w:rPr>
        <w:t>:</w:t>
      </w:r>
    </w:p>
    <w:p w14:paraId="3D0D7AEE" w14:textId="77777777" w:rsidR="00AF06A0" w:rsidRPr="006E20A2" w:rsidRDefault="00AF06A0" w:rsidP="00AF06A0">
      <w:pPr>
        <w:widowControl/>
        <w:spacing w:line="276" w:lineRule="auto"/>
        <w:rPr>
          <w:rFonts w:ascii="Arial" w:hAnsi="Arial"/>
          <w:sz w:val="20"/>
          <w:lang w:val="en-US"/>
        </w:rPr>
      </w:pPr>
    </w:p>
    <w:p w14:paraId="4931C9C9" w14:textId="40B4E38F" w:rsidR="00AF06A0" w:rsidRPr="006E20A2" w:rsidRDefault="00B42697" w:rsidP="00636B18">
      <w:pPr>
        <w:widowControl/>
        <w:numPr>
          <w:ilvl w:val="0"/>
          <w:numId w:val="11"/>
        </w:numPr>
        <w:spacing w:line="276" w:lineRule="auto"/>
        <w:contextualSpacing/>
        <w:jc w:val="left"/>
        <w:rPr>
          <w:rFonts w:ascii="Arial" w:hAnsi="Arial"/>
          <w:sz w:val="20"/>
          <w:lang w:val="en-US"/>
        </w:rPr>
      </w:pPr>
      <w:r w:rsidRPr="006E20A2">
        <w:rPr>
          <w:rFonts w:ascii="Arial" w:hAnsi="Arial"/>
          <w:sz w:val="20"/>
          <w:lang w:val="en-US"/>
        </w:rPr>
        <w:t xml:space="preserve">Definition of high risk third </w:t>
      </w:r>
      <w:r w:rsidR="00BF7D37" w:rsidRPr="006E20A2">
        <w:rPr>
          <w:rFonts w:ascii="Arial" w:hAnsi="Arial"/>
          <w:sz w:val="20"/>
          <w:lang w:val="en-US"/>
        </w:rPr>
        <w:t>countries that</w:t>
      </w:r>
      <w:r w:rsidRPr="006E20A2">
        <w:rPr>
          <w:rFonts w:ascii="Arial" w:hAnsi="Arial"/>
          <w:sz w:val="20"/>
          <w:lang w:val="en-US"/>
        </w:rPr>
        <w:t xml:space="preserve"> the European Commission adopted with the delegated </w:t>
      </w:r>
      <w:proofErr w:type="gramStart"/>
      <w:r w:rsidRPr="006E20A2">
        <w:rPr>
          <w:rFonts w:ascii="Arial" w:hAnsi="Arial"/>
          <w:sz w:val="20"/>
          <w:lang w:val="en-US"/>
        </w:rPr>
        <w:t>Regulation</w:t>
      </w:r>
      <w:proofErr w:type="gramEnd"/>
    </w:p>
    <w:p w14:paraId="0DB09498" w14:textId="523FE1E3" w:rsidR="00AF06A0" w:rsidRPr="006E20A2" w:rsidRDefault="00B517C4" w:rsidP="00AF06A0">
      <w:pPr>
        <w:widowControl/>
        <w:spacing w:line="276" w:lineRule="auto"/>
        <w:rPr>
          <w:rFonts w:ascii="Arial" w:hAnsi="Arial"/>
          <w:sz w:val="20"/>
          <w:lang w:val="en-US"/>
        </w:rPr>
      </w:pPr>
      <w:r w:rsidRPr="006E20A2">
        <w:rPr>
          <w:rFonts w:ascii="Arial" w:hAnsi="Arial"/>
          <w:sz w:val="20"/>
          <w:lang w:val="en-US"/>
        </w:rPr>
        <w:t>In May in the framework of AML/</w:t>
      </w:r>
      <w:r w:rsidR="006A2045">
        <w:rPr>
          <w:rFonts w:ascii="Arial" w:hAnsi="Arial"/>
          <w:sz w:val="20"/>
          <w:lang w:val="en-US"/>
        </w:rPr>
        <w:t>T</w:t>
      </w:r>
      <w:r w:rsidR="006A2045" w:rsidRPr="006E20A2">
        <w:rPr>
          <w:rFonts w:ascii="Arial" w:hAnsi="Arial"/>
          <w:sz w:val="20"/>
          <w:lang w:val="en-US"/>
        </w:rPr>
        <w:t xml:space="preserve">F </w:t>
      </w:r>
      <w:r w:rsidRPr="006E20A2">
        <w:rPr>
          <w:rFonts w:ascii="Arial" w:hAnsi="Arial"/>
          <w:sz w:val="20"/>
          <w:lang w:val="en-US"/>
        </w:rPr>
        <w:t>package the European Commission improved the methodology to determine the high risk third countries</w:t>
      </w:r>
      <w:r w:rsidR="006A2045">
        <w:rPr>
          <w:rFonts w:ascii="Arial" w:hAnsi="Arial"/>
          <w:sz w:val="20"/>
          <w:lang w:val="en-US"/>
        </w:rPr>
        <w:t>.</w:t>
      </w:r>
      <w:r w:rsidRPr="006E20A2">
        <w:rPr>
          <w:rFonts w:ascii="Arial" w:hAnsi="Arial"/>
          <w:sz w:val="20"/>
          <w:lang w:val="en-US"/>
        </w:rPr>
        <w:t xml:space="preserve"> The revised methodology focuse</w:t>
      </w:r>
      <w:r w:rsidR="007C29E0">
        <w:rPr>
          <w:rFonts w:ascii="Arial" w:hAnsi="Arial"/>
          <w:sz w:val="20"/>
          <w:lang w:val="en-US"/>
        </w:rPr>
        <w:t>d</w:t>
      </w:r>
      <w:r w:rsidRPr="006E20A2">
        <w:rPr>
          <w:rFonts w:ascii="Arial" w:hAnsi="Arial"/>
          <w:sz w:val="20"/>
          <w:lang w:val="en-US"/>
        </w:rPr>
        <w:t xml:space="preserve"> on three main goals:</w:t>
      </w:r>
      <w:r w:rsidR="00AF06A0" w:rsidRPr="006E20A2">
        <w:rPr>
          <w:rFonts w:ascii="Arial" w:hAnsi="Arial"/>
          <w:sz w:val="20"/>
          <w:lang w:val="en-US"/>
        </w:rPr>
        <w:t xml:space="preserve"> </w:t>
      </w:r>
    </w:p>
    <w:p w14:paraId="4A41413E" w14:textId="21C1DA26" w:rsidR="00AF06A0" w:rsidRPr="006E20A2" w:rsidRDefault="00AF06A0" w:rsidP="00AF06A0">
      <w:pPr>
        <w:widowControl/>
        <w:spacing w:line="276" w:lineRule="auto"/>
        <w:rPr>
          <w:rFonts w:ascii="Arial" w:hAnsi="Arial"/>
          <w:sz w:val="20"/>
          <w:lang w:val="en-US"/>
        </w:rPr>
      </w:pPr>
      <w:proofErr w:type="spellStart"/>
      <w:r w:rsidRPr="006E20A2">
        <w:rPr>
          <w:rFonts w:ascii="Arial" w:hAnsi="Arial"/>
          <w:sz w:val="20"/>
          <w:lang w:val="en-US"/>
        </w:rPr>
        <w:t>i</w:t>
      </w:r>
      <w:proofErr w:type="spellEnd"/>
      <w:r w:rsidRPr="006E20A2">
        <w:rPr>
          <w:rFonts w:ascii="Arial" w:hAnsi="Arial"/>
          <w:sz w:val="20"/>
          <w:lang w:val="en-US"/>
        </w:rPr>
        <w:t xml:space="preserve">) </w:t>
      </w:r>
      <w:r w:rsidR="00B517C4" w:rsidRPr="006E20A2">
        <w:rPr>
          <w:rFonts w:ascii="Arial" w:hAnsi="Arial"/>
          <w:sz w:val="20"/>
          <w:lang w:val="en-US"/>
        </w:rPr>
        <w:t xml:space="preserve">synergy with </w:t>
      </w:r>
      <w:r w:rsidR="006A2045">
        <w:rPr>
          <w:rFonts w:ascii="Arial" w:hAnsi="Arial"/>
          <w:sz w:val="20"/>
          <w:lang w:val="en-US"/>
        </w:rPr>
        <w:t xml:space="preserve">the </w:t>
      </w:r>
      <w:r w:rsidR="00B517C4" w:rsidRPr="006E20A2">
        <w:rPr>
          <w:rFonts w:ascii="Arial" w:hAnsi="Arial"/>
          <w:sz w:val="20"/>
          <w:lang w:val="en-US"/>
        </w:rPr>
        <w:t xml:space="preserve">FATF list, </w:t>
      </w:r>
      <w:r w:rsidR="00BF7D37">
        <w:rPr>
          <w:rFonts w:ascii="Arial" w:hAnsi="Arial"/>
          <w:sz w:val="20"/>
          <w:lang w:val="en-US"/>
        </w:rPr>
        <w:t>s</w:t>
      </w:r>
      <w:r w:rsidR="00B517C4" w:rsidRPr="006E20A2">
        <w:rPr>
          <w:rFonts w:ascii="Arial" w:hAnsi="Arial"/>
          <w:sz w:val="20"/>
          <w:lang w:val="en-US"/>
        </w:rPr>
        <w:t xml:space="preserve">o that the country that </w:t>
      </w:r>
      <w:r w:rsidR="007C29E0">
        <w:rPr>
          <w:rFonts w:ascii="Arial" w:hAnsi="Arial"/>
          <w:sz w:val="20"/>
          <w:lang w:val="en-US"/>
        </w:rPr>
        <w:t>was</w:t>
      </w:r>
      <w:r w:rsidR="00B517C4" w:rsidRPr="006E20A2">
        <w:rPr>
          <w:rFonts w:ascii="Arial" w:hAnsi="Arial"/>
          <w:sz w:val="20"/>
          <w:lang w:val="en-US"/>
        </w:rPr>
        <w:t xml:space="preserve"> </w:t>
      </w:r>
      <w:r w:rsidR="006A2045">
        <w:rPr>
          <w:rFonts w:ascii="Arial" w:hAnsi="Arial"/>
          <w:sz w:val="20"/>
          <w:lang w:val="en-US"/>
        </w:rPr>
        <w:t>on</w:t>
      </w:r>
      <w:r w:rsidR="006A2045" w:rsidRPr="006E20A2">
        <w:rPr>
          <w:rFonts w:ascii="Arial" w:hAnsi="Arial"/>
          <w:sz w:val="20"/>
          <w:lang w:val="en-US"/>
        </w:rPr>
        <w:t xml:space="preserve"> </w:t>
      </w:r>
      <w:r w:rsidR="00B517C4" w:rsidRPr="006E20A2">
        <w:rPr>
          <w:rFonts w:ascii="Arial" w:hAnsi="Arial"/>
          <w:sz w:val="20"/>
          <w:lang w:val="en-US"/>
        </w:rPr>
        <w:t>the FATF list</w:t>
      </w:r>
      <w:r w:rsidR="00BF7D37">
        <w:rPr>
          <w:rFonts w:ascii="Arial" w:hAnsi="Arial"/>
          <w:sz w:val="20"/>
          <w:lang w:val="en-US"/>
        </w:rPr>
        <w:t xml:space="preserve"> </w:t>
      </w:r>
      <w:r w:rsidR="007C29E0">
        <w:rPr>
          <w:rFonts w:ascii="Arial" w:hAnsi="Arial"/>
          <w:sz w:val="20"/>
          <w:lang w:val="en-US"/>
        </w:rPr>
        <w:t>was also</w:t>
      </w:r>
      <w:r w:rsidR="00B517C4" w:rsidRPr="006E20A2">
        <w:rPr>
          <w:rFonts w:ascii="Arial" w:hAnsi="Arial"/>
          <w:sz w:val="20"/>
          <w:lang w:val="en-US"/>
        </w:rPr>
        <w:t xml:space="preserve"> listed </w:t>
      </w:r>
      <w:r w:rsidR="006A2045">
        <w:rPr>
          <w:rFonts w:ascii="Arial" w:hAnsi="Arial"/>
          <w:sz w:val="20"/>
          <w:lang w:val="en-US"/>
        </w:rPr>
        <w:t xml:space="preserve">on </w:t>
      </w:r>
      <w:r w:rsidR="007C29E0">
        <w:rPr>
          <w:rFonts w:ascii="Arial" w:hAnsi="Arial"/>
          <w:sz w:val="20"/>
          <w:lang w:val="en-US"/>
        </w:rPr>
        <w:t>the EU list as well</w:t>
      </w:r>
    </w:p>
    <w:p w14:paraId="4470BFF0" w14:textId="3C668AA1" w:rsidR="00AF06A0" w:rsidRPr="006E20A2" w:rsidRDefault="00AF06A0" w:rsidP="00AF06A0">
      <w:pPr>
        <w:widowControl/>
        <w:spacing w:line="276" w:lineRule="auto"/>
        <w:rPr>
          <w:rFonts w:ascii="Arial" w:hAnsi="Arial"/>
          <w:sz w:val="20"/>
          <w:lang w:val="en-US"/>
        </w:rPr>
      </w:pPr>
      <w:r w:rsidRPr="006E20A2">
        <w:rPr>
          <w:rFonts w:ascii="Arial" w:hAnsi="Arial"/>
          <w:sz w:val="20"/>
          <w:lang w:val="en-US"/>
        </w:rPr>
        <w:t xml:space="preserve">ii) </w:t>
      </w:r>
      <w:r w:rsidR="00B517C4" w:rsidRPr="006E20A2">
        <w:rPr>
          <w:rFonts w:ascii="Arial" w:hAnsi="Arial"/>
          <w:sz w:val="20"/>
          <w:lang w:val="en-US"/>
        </w:rPr>
        <w:t>enhancing the cooperation with third countries and</w:t>
      </w:r>
      <w:r w:rsidRPr="006E20A2">
        <w:rPr>
          <w:rFonts w:ascii="Arial" w:hAnsi="Arial"/>
          <w:sz w:val="20"/>
          <w:lang w:val="en-US"/>
        </w:rPr>
        <w:t xml:space="preserve"> </w:t>
      </w:r>
    </w:p>
    <w:p w14:paraId="348040EA" w14:textId="48C71ABF" w:rsidR="00AF06A0" w:rsidRPr="006E20A2" w:rsidRDefault="00AF06A0" w:rsidP="00AF06A0">
      <w:pPr>
        <w:widowControl/>
        <w:spacing w:line="276" w:lineRule="auto"/>
        <w:rPr>
          <w:rFonts w:ascii="Arial" w:hAnsi="Arial"/>
          <w:sz w:val="20"/>
          <w:lang w:val="en-US"/>
        </w:rPr>
      </w:pPr>
      <w:r w:rsidRPr="006E20A2">
        <w:rPr>
          <w:rFonts w:ascii="Arial" w:hAnsi="Arial"/>
          <w:sz w:val="20"/>
          <w:lang w:val="en-US"/>
        </w:rPr>
        <w:t xml:space="preserve">iii) </w:t>
      </w:r>
      <w:r w:rsidR="00B517C4" w:rsidRPr="006E20A2">
        <w:rPr>
          <w:rFonts w:ascii="Arial" w:hAnsi="Arial"/>
          <w:sz w:val="20"/>
          <w:lang w:val="en-US"/>
        </w:rPr>
        <w:t xml:space="preserve">enhancing the cooperation with experts from </w:t>
      </w:r>
      <w:r w:rsidR="00BF7D37" w:rsidRPr="006E20A2">
        <w:rPr>
          <w:rFonts w:ascii="Arial" w:hAnsi="Arial"/>
          <w:sz w:val="20"/>
          <w:lang w:val="en-US"/>
        </w:rPr>
        <w:t>member</w:t>
      </w:r>
      <w:r w:rsidR="00B517C4" w:rsidRPr="006E20A2">
        <w:rPr>
          <w:rFonts w:ascii="Arial" w:hAnsi="Arial"/>
          <w:sz w:val="20"/>
          <w:lang w:val="en-US"/>
        </w:rPr>
        <w:t xml:space="preserve"> states in the whole </w:t>
      </w:r>
      <w:r w:rsidR="00BF7D37" w:rsidRPr="006E20A2">
        <w:rPr>
          <w:rFonts w:ascii="Arial" w:hAnsi="Arial"/>
          <w:sz w:val="20"/>
          <w:lang w:val="en-US"/>
        </w:rPr>
        <w:t>process</w:t>
      </w:r>
      <w:r w:rsidR="00B517C4" w:rsidRPr="006E20A2">
        <w:rPr>
          <w:rFonts w:ascii="Arial" w:hAnsi="Arial"/>
          <w:sz w:val="20"/>
          <w:lang w:val="en-US"/>
        </w:rPr>
        <w:t xml:space="preserve"> of determining the high risk third </w:t>
      </w:r>
      <w:r w:rsidR="00BF7D37" w:rsidRPr="006E20A2">
        <w:rPr>
          <w:rFonts w:ascii="Arial" w:hAnsi="Arial"/>
          <w:sz w:val="20"/>
          <w:lang w:val="en-US"/>
        </w:rPr>
        <w:t>countries</w:t>
      </w:r>
      <w:r w:rsidRPr="006E20A2">
        <w:rPr>
          <w:rFonts w:ascii="Arial" w:hAnsi="Arial"/>
          <w:sz w:val="20"/>
          <w:lang w:val="en-US"/>
        </w:rPr>
        <w:t>.</w:t>
      </w:r>
    </w:p>
    <w:p w14:paraId="10AD7D21" w14:textId="77777777" w:rsidR="007C4BCA" w:rsidRPr="006E20A2" w:rsidRDefault="007C4BCA" w:rsidP="00AF06A0">
      <w:pPr>
        <w:widowControl/>
        <w:spacing w:line="276" w:lineRule="auto"/>
        <w:rPr>
          <w:rFonts w:ascii="Arial" w:hAnsi="Arial"/>
          <w:sz w:val="20"/>
          <w:lang w:val="en-US"/>
        </w:rPr>
      </w:pPr>
    </w:p>
    <w:p w14:paraId="725E9A9C" w14:textId="1959E35C" w:rsidR="00AF06A0" w:rsidRPr="006E20A2" w:rsidRDefault="00B517C4" w:rsidP="00636B18">
      <w:pPr>
        <w:widowControl/>
        <w:numPr>
          <w:ilvl w:val="0"/>
          <w:numId w:val="11"/>
        </w:numPr>
        <w:spacing w:line="276" w:lineRule="auto"/>
        <w:contextualSpacing/>
        <w:jc w:val="left"/>
        <w:rPr>
          <w:rFonts w:ascii="Arial" w:hAnsi="Arial"/>
          <w:sz w:val="20"/>
          <w:lang w:val="en-US"/>
        </w:rPr>
      </w:pPr>
      <w:r w:rsidRPr="006E20A2">
        <w:rPr>
          <w:rFonts w:ascii="Arial" w:hAnsi="Arial"/>
          <w:sz w:val="20"/>
          <w:lang w:val="en-US"/>
        </w:rPr>
        <w:t xml:space="preserve">Transposition of Directives </w:t>
      </w:r>
      <w:r w:rsidR="00AF06A0" w:rsidRPr="006E20A2">
        <w:rPr>
          <w:rFonts w:ascii="Arial" w:hAnsi="Arial"/>
          <w:sz w:val="20"/>
          <w:lang w:val="en-US"/>
        </w:rPr>
        <w:t xml:space="preserve">AMLD4 </w:t>
      </w:r>
      <w:r w:rsidRPr="006E20A2">
        <w:rPr>
          <w:rFonts w:ascii="Arial" w:hAnsi="Arial"/>
          <w:sz w:val="20"/>
          <w:lang w:val="en-US"/>
        </w:rPr>
        <w:t>and</w:t>
      </w:r>
      <w:r w:rsidR="00AF06A0" w:rsidRPr="006E20A2">
        <w:rPr>
          <w:rFonts w:ascii="Arial" w:hAnsi="Arial"/>
          <w:sz w:val="20"/>
          <w:lang w:val="en-US"/>
        </w:rPr>
        <w:t xml:space="preserve"> AMLD5</w:t>
      </w:r>
    </w:p>
    <w:p w14:paraId="4434C75E" w14:textId="40E13304" w:rsidR="00AF06A0" w:rsidRPr="006E20A2" w:rsidRDefault="007C29E0" w:rsidP="00AF06A0">
      <w:pPr>
        <w:spacing w:line="276" w:lineRule="auto"/>
        <w:rPr>
          <w:rFonts w:ascii="Arial" w:hAnsi="Arial"/>
          <w:sz w:val="20"/>
          <w:lang w:val="en-US"/>
        </w:rPr>
      </w:pPr>
      <w:r>
        <w:rPr>
          <w:rFonts w:ascii="Arial" w:hAnsi="Arial"/>
          <w:sz w:val="20"/>
          <w:lang w:val="en-US"/>
        </w:rPr>
        <w:t>The European Commission recognized that t</w:t>
      </w:r>
      <w:r w:rsidR="00203978" w:rsidRPr="006E20A2">
        <w:rPr>
          <w:rFonts w:ascii="Arial" w:hAnsi="Arial"/>
          <w:sz w:val="20"/>
          <w:lang w:val="en-US"/>
        </w:rPr>
        <w:t xml:space="preserve">he process of transposition of </w:t>
      </w:r>
      <w:r w:rsidR="00BF7D37" w:rsidRPr="006E20A2">
        <w:rPr>
          <w:rFonts w:ascii="Arial" w:hAnsi="Arial"/>
          <w:sz w:val="20"/>
          <w:lang w:val="en-US"/>
        </w:rPr>
        <w:t>European</w:t>
      </w:r>
      <w:r w:rsidR="00203978" w:rsidRPr="006E20A2">
        <w:rPr>
          <w:rFonts w:ascii="Arial" w:hAnsi="Arial"/>
          <w:sz w:val="20"/>
          <w:lang w:val="en-US"/>
        </w:rPr>
        <w:t xml:space="preserve"> legislation </w:t>
      </w:r>
      <w:r>
        <w:rPr>
          <w:rFonts w:ascii="Arial" w:hAnsi="Arial"/>
          <w:sz w:val="20"/>
          <w:lang w:val="en-US"/>
        </w:rPr>
        <w:t>from</w:t>
      </w:r>
      <w:r w:rsidR="00203978" w:rsidRPr="006E20A2">
        <w:rPr>
          <w:rFonts w:ascii="Arial" w:hAnsi="Arial"/>
          <w:sz w:val="20"/>
          <w:lang w:val="en-US"/>
        </w:rPr>
        <w:t xml:space="preserve"> the area of AML/TF </w:t>
      </w:r>
      <w:r>
        <w:rPr>
          <w:rFonts w:ascii="Arial" w:hAnsi="Arial"/>
          <w:sz w:val="20"/>
          <w:lang w:val="en-US"/>
        </w:rPr>
        <w:t xml:space="preserve">could represent a problem due to </w:t>
      </w:r>
      <w:r w:rsidR="00203978" w:rsidRPr="006E20A2">
        <w:rPr>
          <w:rFonts w:ascii="Arial" w:hAnsi="Arial"/>
          <w:sz w:val="20"/>
          <w:lang w:val="en-US"/>
        </w:rPr>
        <w:t xml:space="preserve">different understanding of certain provisions of </w:t>
      </w:r>
      <w:r w:rsidR="000E1456">
        <w:rPr>
          <w:rFonts w:ascii="Arial" w:hAnsi="Arial"/>
          <w:sz w:val="20"/>
          <w:lang w:val="en-US"/>
        </w:rPr>
        <w:t xml:space="preserve">the </w:t>
      </w:r>
      <w:r w:rsidR="00203978" w:rsidRPr="006E20A2">
        <w:rPr>
          <w:rFonts w:ascii="Arial" w:hAnsi="Arial"/>
          <w:sz w:val="20"/>
          <w:lang w:val="en-US"/>
        </w:rPr>
        <w:t xml:space="preserve">Directives. </w:t>
      </w:r>
      <w:r>
        <w:rPr>
          <w:rFonts w:ascii="Arial" w:hAnsi="Arial"/>
          <w:sz w:val="20"/>
          <w:lang w:val="en-US"/>
        </w:rPr>
        <w:t>T</w:t>
      </w:r>
      <w:r w:rsidR="00203978" w:rsidRPr="006E20A2">
        <w:rPr>
          <w:rFonts w:ascii="Arial" w:hAnsi="Arial"/>
          <w:sz w:val="20"/>
          <w:lang w:val="en-US"/>
        </w:rPr>
        <w:t>he</w:t>
      </w:r>
      <w:r w:rsidR="00AF06A0" w:rsidRPr="006E20A2">
        <w:rPr>
          <w:rFonts w:ascii="Arial" w:hAnsi="Arial"/>
          <w:sz w:val="20"/>
          <w:lang w:val="en-US"/>
        </w:rPr>
        <w:t xml:space="preserve"> </w:t>
      </w:r>
      <w:r w:rsidR="00203978" w:rsidRPr="006E20A2">
        <w:rPr>
          <w:rFonts w:ascii="Arial" w:hAnsi="Arial"/>
          <w:sz w:val="20"/>
          <w:lang w:val="en-US"/>
        </w:rPr>
        <w:t xml:space="preserve">deadline for the transposition </w:t>
      </w:r>
      <w:r>
        <w:rPr>
          <w:rFonts w:ascii="Arial" w:hAnsi="Arial"/>
          <w:sz w:val="20"/>
          <w:lang w:val="en-US"/>
        </w:rPr>
        <w:t xml:space="preserve">of AMLD4 </w:t>
      </w:r>
      <w:r w:rsidR="00203978" w:rsidRPr="006E20A2">
        <w:rPr>
          <w:rFonts w:ascii="Arial" w:hAnsi="Arial"/>
          <w:sz w:val="20"/>
          <w:lang w:val="en-US"/>
        </w:rPr>
        <w:t xml:space="preserve">was June </w:t>
      </w:r>
      <w:r w:rsidR="00AF06A0" w:rsidRPr="006E20A2">
        <w:rPr>
          <w:rFonts w:ascii="Arial" w:hAnsi="Arial"/>
          <w:sz w:val="20"/>
          <w:lang w:val="en-US"/>
        </w:rPr>
        <w:t>2017</w:t>
      </w:r>
      <w:r>
        <w:rPr>
          <w:rFonts w:ascii="Arial" w:hAnsi="Arial"/>
          <w:sz w:val="20"/>
          <w:lang w:val="en-US"/>
        </w:rPr>
        <w:t>,</w:t>
      </w:r>
      <w:r w:rsidR="00203978" w:rsidRPr="006E20A2">
        <w:rPr>
          <w:rFonts w:ascii="Arial" w:hAnsi="Arial"/>
          <w:sz w:val="20"/>
          <w:lang w:val="en-US"/>
        </w:rPr>
        <w:t xml:space="preserve"> when</w:t>
      </w:r>
      <w:r w:rsidR="00AF06A0" w:rsidRPr="006E20A2">
        <w:rPr>
          <w:rFonts w:ascii="Arial" w:hAnsi="Arial"/>
          <w:sz w:val="20"/>
          <w:lang w:val="en-US"/>
        </w:rPr>
        <w:t xml:space="preserve"> </w:t>
      </w:r>
      <w:r w:rsidR="00203978" w:rsidRPr="006E20A2">
        <w:rPr>
          <w:rFonts w:ascii="Arial" w:hAnsi="Arial"/>
          <w:sz w:val="20"/>
          <w:lang w:val="en-US"/>
        </w:rPr>
        <w:t>the infringement procedures against all member states started. At the beginning of 2020</w:t>
      </w:r>
      <w:r>
        <w:rPr>
          <w:rFonts w:ascii="Arial" w:hAnsi="Arial"/>
          <w:sz w:val="20"/>
          <w:lang w:val="en-US"/>
        </w:rPr>
        <w:t>,</w:t>
      </w:r>
      <w:r w:rsidR="00203978" w:rsidRPr="006E20A2">
        <w:rPr>
          <w:rFonts w:ascii="Arial" w:hAnsi="Arial"/>
          <w:sz w:val="20"/>
          <w:lang w:val="en-US"/>
        </w:rPr>
        <w:t xml:space="preserve"> two cases of infringement were </w:t>
      </w:r>
      <w:r w:rsidR="000E1456">
        <w:rPr>
          <w:rFonts w:ascii="Arial" w:hAnsi="Arial"/>
          <w:sz w:val="20"/>
          <w:lang w:val="en-US"/>
        </w:rPr>
        <w:t xml:space="preserve">before the </w:t>
      </w:r>
      <w:r w:rsidR="00203978" w:rsidRPr="006E20A2">
        <w:rPr>
          <w:rFonts w:ascii="Arial" w:hAnsi="Arial"/>
          <w:sz w:val="20"/>
          <w:lang w:val="en-US"/>
        </w:rPr>
        <w:t>Court</w:t>
      </w:r>
      <w:r w:rsidR="000E1456">
        <w:rPr>
          <w:rFonts w:ascii="Arial" w:hAnsi="Arial"/>
          <w:sz w:val="20"/>
          <w:lang w:val="en-US"/>
        </w:rPr>
        <w:t xml:space="preserve"> of Justice of the European Union</w:t>
      </w:r>
      <w:r w:rsidR="00203978" w:rsidRPr="006E20A2">
        <w:rPr>
          <w:rFonts w:ascii="Arial" w:hAnsi="Arial"/>
          <w:sz w:val="20"/>
          <w:lang w:val="en-US"/>
        </w:rPr>
        <w:t xml:space="preserve"> and 13 were still open due to </w:t>
      </w:r>
      <w:r w:rsidR="00BF7D37" w:rsidRPr="006E20A2">
        <w:rPr>
          <w:rFonts w:ascii="Arial" w:hAnsi="Arial"/>
          <w:sz w:val="20"/>
          <w:lang w:val="en-US"/>
        </w:rPr>
        <w:t>incomplete</w:t>
      </w:r>
      <w:r w:rsidR="00203978" w:rsidRPr="006E20A2">
        <w:rPr>
          <w:rFonts w:ascii="Arial" w:hAnsi="Arial"/>
          <w:sz w:val="20"/>
          <w:lang w:val="en-US"/>
        </w:rPr>
        <w:t xml:space="preserve"> transposition. At the end of 2020 the situation improved</w:t>
      </w:r>
      <w:r w:rsidR="00466EE5" w:rsidRPr="006E20A2">
        <w:rPr>
          <w:rFonts w:ascii="Arial" w:hAnsi="Arial"/>
          <w:sz w:val="20"/>
          <w:lang w:val="en-US"/>
        </w:rPr>
        <w:t xml:space="preserve">, mainly for what concerns the Directive </w:t>
      </w:r>
      <w:r w:rsidR="00AF06A0" w:rsidRPr="006E20A2">
        <w:rPr>
          <w:rFonts w:ascii="Arial" w:hAnsi="Arial"/>
          <w:sz w:val="20"/>
          <w:lang w:val="en-US"/>
        </w:rPr>
        <w:t>AMLD4</w:t>
      </w:r>
      <w:r w:rsidR="00466EE5" w:rsidRPr="006E20A2">
        <w:rPr>
          <w:rFonts w:ascii="Arial" w:hAnsi="Arial"/>
          <w:sz w:val="20"/>
          <w:lang w:val="en-US"/>
        </w:rPr>
        <w:t xml:space="preserve">. The European </w:t>
      </w:r>
      <w:r w:rsidR="00BF7D37" w:rsidRPr="006E20A2">
        <w:rPr>
          <w:rFonts w:ascii="Arial" w:hAnsi="Arial"/>
          <w:sz w:val="20"/>
          <w:lang w:val="en-US"/>
        </w:rPr>
        <w:t>Commission</w:t>
      </w:r>
      <w:r w:rsidR="00466EE5" w:rsidRPr="006E20A2">
        <w:rPr>
          <w:rFonts w:ascii="Arial" w:hAnsi="Arial"/>
          <w:sz w:val="20"/>
          <w:lang w:val="en-US"/>
        </w:rPr>
        <w:t xml:space="preserve"> stressed that </w:t>
      </w:r>
      <w:r>
        <w:rPr>
          <w:rFonts w:ascii="Arial" w:hAnsi="Arial"/>
          <w:sz w:val="20"/>
          <w:lang w:val="en-US"/>
        </w:rPr>
        <w:t xml:space="preserve">it would </w:t>
      </w:r>
      <w:r w:rsidR="00BF7D37" w:rsidRPr="006E20A2">
        <w:rPr>
          <w:rFonts w:ascii="Arial" w:hAnsi="Arial"/>
          <w:sz w:val="20"/>
          <w:lang w:val="en-US"/>
        </w:rPr>
        <w:t>cooperate</w:t>
      </w:r>
      <w:r w:rsidR="00466EE5" w:rsidRPr="006E20A2">
        <w:rPr>
          <w:rFonts w:ascii="Arial" w:hAnsi="Arial"/>
          <w:sz w:val="20"/>
          <w:lang w:val="en-US"/>
        </w:rPr>
        <w:t xml:space="preserve"> with all member states to ensure the correct implementation. In </w:t>
      </w:r>
      <w:r w:rsidR="00BF7D37" w:rsidRPr="006E20A2">
        <w:rPr>
          <w:rFonts w:ascii="Arial" w:hAnsi="Arial"/>
          <w:sz w:val="20"/>
          <w:lang w:val="en-US"/>
        </w:rPr>
        <w:t>relation</w:t>
      </w:r>
      <w:r w:rsidR="00466EE5" w:rsidRPr="006E20A2">
        <w:rPr>
          <w:rFonts w:ascii="Arial" w:hAnsi="Arial"/>
          <w:sz w:val="20"/>
          <w:lang w:val="en-US"/>
        </w:rPr>
        <w:t xml:space="preserve"> to Directive </w:t>
      </w:r>
      <w:r w:rsidR="00AF06A0" w:rsidRPr="006E20A2">
        <w:rPr>
          <w:rFonts w:ascii="Arial" w:hAnsi="Arial"/>
          <w:sz w:val="20"/>
          <w:lang w:val="en-US"/>
        </w:rPr>
        <w:t>AMLD5</w:t>
      </w:r>
      <w:r w:rsidR="000E1456">
        <w:rPr>
          <w:rFonts w:ascii="Arial" w:hAnsi="Arial"/>
          <w:sz w:val="20"/>
          <w:lang w:val="en-US"/>
        </w:rPr>
        <w:t xml:space="preserve"> for which</w:t>
      </w:r>
      <w:r w:rsidR="00466EE5" w:rsidRPr="006E20A2">
        <w:rPr>
          <w:rFonts w:ascii="Arial" w:hAnsi="Arial"/>
          <w:sz w:val="20"/>
          <w:lang w:val="en-US"/>
        </w:rPr>
        <w:t xml:space="preserve"> </w:t>
      </w:r>
      <w:r w:rsidR="000E1456">
        <w:rPr>
          <w:rFonts w:ascii="Arial" w:hAnsi="Arial"/>
          <w:sz w:val="20"/>
          <w:lang w:val="en-US"/>
        </w:rPr>
        <w:t xml:space="preserve">the </w:t>
      </w:r>
      <w:r w:rsidR="00466EE5" w:rsidRPr="006E20A2">
        <w:rPr>
          <w:rFonts w:ascii="Arial" w:hAnsi="Arial"/>
          <w:sz w:val="20"/>
          <w:lang w:val="en-US"/>
        </w:rPr>
        <w:t>deadline</w:t>
      </w:r>
      <w:r w:rsidR="000E1456">
        <w:rPr>
          <w:rFonts w:ascii="Arial" w:hAnsi="Arial"/>
          <w:sz w:val="20"/>
          <w:lang w:val="en-US"/>
        </w:rPr>
        <w:t xml:space="preserve"> expired</w:t>
      </w:r>
      <w:r w:rsidR="00466EE5" w:rsidRPr="006E20A2">
        <w:rPr>
          <w:rFonts w:ascii="Arial" w:hAnsi="Arial"/>
          <w:sz w:val="20"/>
          <w:lang w:val="en-US"/>
        </w:rPr>
        <w:t xml:space="preserve"> in January until September 15 member states notified complete transposition, 10 member states partial transposition and two member state</w:t>
      </w:r>
      <w:r>
        <w:rPr>
          <w:rFonts w:ascii="Arial" w:hAnsi="Arial"/>
          <w:sz w:val="20"/>
          <w:lang w:val="en-US"/>
        </w:rPr>
        <w:t>s</w:t>
      </w:r>
      <w:r w:rsidR="00466EE5" w:rsidRPr="006E20A2">
        <w:rPr>
          <w:rFonts w:ascii="Arial" w:hAnsi="Arial"/>
          <w:sz w:val="20"/>
          <w:lang w:val="en-US"/>
        </w:rPr>
        <w:t xml:space="preserve"> did not notify the European Commission. Given the above mentioned in February the European </w:t>
      </w:r>
      <w:r w:rsidR="00BF7D37" w:rsidRPr="006E20A2">
        <w:rPr>
          <w:rFonts w:ascii="Arial" w:hAnsi="Arial"/>
          <w:sz w:val="20"/>
          <w:lang w:val="en-US"/>
        </w:rPr>
        <w:t>Commission</w:t>
      </w:r>
      <w:r w:rsidR="00466EE5" w:rsidRPr="006E20A2">
        <w:rPr>
          <w:rFonts w:ascii="Arial" w:hAnsi="Arial"/>
          <w:sz w:val="20"/>
          <w:lang w:val="en-US"/>
        </w:rPr>
        <w:t xml:space="preserve"> started eight infringement</w:t>
      </w:r>
      <w:r w:rsidR="000E1456">
        <w:rPr>
          <w:rFonts w:ascii="Arial" w:hAnsi="Arial"/>
          <w:sz w:val="20"/>
          <w:lang w:val="en-US"/>
        </w:rPr>
        <w:t xml:space="preserve"> proceeding</w:t>
      </w:r>
      <w:r w:rsidR="00466EE5" w:rsidRPr="006E20A2">
        <w:rPr>
          <w:rFonts w:ascii="Arial" w:hAnsi="Arial"/>
          <w:sz w:val="20"/>
          <w:lang w:val="en-US"/>
        </w:rPr>
        <w:t xml:space="preserve">s due to </w:t>
      </w:r>
      <w:r w:rsidR="000E1456" w:rsidRPr="006E20A2">
        <w:rPr>
          <w:rFonts w:ascii="Arial" w:hAnsi="Arial"/>
          <w:sz w:val="20"/>
          <w:lang w:val="en-US"/>
        </w:rPr>
        <w:t>non-notification</w:t>
      </w:r>
      <w:r w:rsidR="00466EE5" w:rsidRPr="006E20A2">
        <w:rPr>
          <w:rFonts w:ascii="Arial" w:hAnsi="Arial"/>
          <w:sz w:val="20"/>
          <w:lang w:val="en-US"/>
        </w:rPr>
        <w:t xml:space="preserve"> and nine infringements in May </w:t>
      </w:r>
      <w:r w:rsidR="000E1456">
        <w:rPr>
          <w:rFonts w:ascii="Arial" w:hAnsi="Arial"/>
          <w:sz w:val="20"/>
          <w:lang w:val="en-US"/>
        </w:rPr>
        <w:t>due to incomplete</w:t>
      </w:r>
      <w:r w:rsidR="00466EE5" w:rsidRPr="006E20A2">
        <w:rPr>
          <w:rFonts w:ascii="Arial" w:hAnsi="Arial"/>
          <w:sz w:val="20"/>
          <w:lang w:val="en-US"/>
        </w:rPr>
        <w:t xml:space="preserve"> transposition. </w:t>
      </w:r>
    </w:p>
    <w:p w14:paraId="44C109ED" w14:textId="77777777" w:rsidR="005473D1" w:rsidRPr="006E20A2" w:rsidRDefault="005473D1" w:rsidP="00AF06A0">
      <w:pPr>
        <w:spacing w:line="276" w:lineRule="auto"/>
        <w:rPr>
          <w:rFonts w:ascii="Arial" w:hAnsi="Arial"/>
          <w:sz w:val="20"/>
          <w:lang w:val="en-US"/>
        </w:rPr>
      </w:pPr>
    </w:p>
    <w:p w14:paraId="37D133A5" w14:textId="477F0ABB" w:rsidR="00AF06A0" w:rsidRPr="006E20A2" w:rsidRDefault="00466EE5" w:rsidP="00636B18">
      <w:pPr>
        <w:widowControl/>
        <w:numPr>
          <w:ilvl w:val="0"/>
          <w:numId w:val="11"/>
        </w:numPr>
        <w:spacing w:line="276" w:lineRule="auto"/>
        <w:contextualSpacing/>
        <w:jc w:val="left"/>
        <w:rPr>
          <w:rFonts w:ascii="Arial" w:hAnsi="Arial"/>
          <w:sz w:val="20"/>
          <w:lang w:val="en-US"/>
        </w:rPr>
      </w:pPr>
      <w:r w:rsidRPr="006E20A2">
        <w:rPr>
          <w:rFonts w:ascii="Arial" w:hAnsi="Arial"/>
          <w:sz w:val="20"/>
          <w:lang w:val="en-US"/>
        </w:rPr>
        <w:t xml:space="preserve">Action Plan of the European Commission. </w:t>
      </w:r>
    </w:p>
    <w:p w14:paraId="5E771D3B" w14:textId="5448D157" w:rsidR="00AF06A0" w:rsidRPr="006E20A2" w:rsidRDefault="00BF7D37" w:rsidP="00AF06A0">
      <w:pPr>
        <w:spacing w:line="276" w:lineRule="auto"/>
        <w:rPr>
          <w:rFonts w:ascii="Arial" w:hAnsi="Arial"/>
          <w:sz w:val="20"/>
          <w:lang w:val="en-US"/>
        </w:rPr>
      </w:pPr>
      <w:r w:rsidRPr="006E20A2">
        <w:rPr>
          <w:rFonts w:ascii="Arial" w:hAnsi="Arial"/>
          <w:sz w:val="20"/>
          <w:lang w:val="en-US"/>
        </w:rPr>
        <w:t>Based</w:t>
      </w:r>
      <w:r w:rsidR="00E80236" w:rsidRPr="006E20A2">
        <w:rPr>
          <w:rFonts w:ascii="Arial" w:hAnsi="Arial"/>
          <w:sz w:val="20"/>
          <w:lang w:val="en-US"/>
        </w:rPr>
        <w:t xml:space="preserve"> on </w:t>
      </w:r>
      <w:r w:rsidR="000E1456">
        <w:rPr>
          <w:rFonts w:ascii="Arial" w:hAnsi="Arial"/>
          <w:sz w:val="20"/>
          <w:lang w:val="en-US"/>
        </w:rPr>
        <w:t xml:space="preserve">the </w:t>
      </w:r>
      <w:r w:rsidR="00E80236" w:rsidRPr="006E20A2">
        <w:rPr>
          <w:rFonts w:ascii="Arial" w:hAnsi="Arial"/>
          <w:sz w:val="20"/>
          <w:lang w:val="en-US"/>
        </w:rPr>
        <w:t>findings of four reports of the Commission published in July 2019 and the conclusions o</w:t>
      </w:r>
      <w:r>
        <w:rPr>
          <w:rFonts w:ascii="Arial" w:hAnsi="Arial"/>
          <w:sz w:val="20"/>
          <w:lang w:val="en-US"/>
        </w:rPr>
        <w:t>f</w:t>
      </w:r>
      <w:r w:rsidR="00E80236" w:rsidRPr="006E20A2">
        <w:rPr>
          <w:rFonts w:ascii="Arial" w:hAnsi="Arial"/>
          <w:sz w:val="20"/>
          <w:lang w:val="en-US"/>
        </w:rPr>
        <w:t xml:space="preserve"> the Council adopted in December 2019 the Commission prepared the basis for legislative changes for</w:t>
      </w:r>
      <w:r>
        <w:rPr>
          <w:rFonts w:ascii="Arial" w:hAnsi="Arial"/>
          <w:sz w:val="20"/>
          <w:lang w:val="en-US"/>
        </w:rPr>
        <w:t xml:space="preserve"> </w:t>
      </w:r>
      <w:r w:rsidR="00E80236" w:rsidRPr="006E20A2">
        <w:rPr>
          <w:rFonts w:ascii="Arial" w:hAnsi="Arial"/>
          <w:sz w:val="20"/>
          <w:lang w:val="en-US"/>
        </w:rPr>
        <w:t xml:space="preserve">the wide </w:t>
      </w:r>
      <w:r w:rsidRPr="006E20A2">
        <w:rPr>
          <w:rFonts w:ascii="Arial" w:hAnsi="Arial"/>
          <w:sz w:val="20"/>
          <w:lang w:val="en-US"/>
        </w:rPr>
        <w:t>harmonization</w:t>
      </w:r>
      <w:r w:rsidR="00E80236" w:rsidRPr="006E20A2">
        <w:rPr>
          <w:rFonts w:ascii="Arial" w:hAnsi="Arial"/>
          <w:sz w:val="20"/>
          <w:lang w:val="en-US"/>
        </w:rPr>
        <w:t xml:space="preserve"> of rules </w:t>
      </w:r>
      <w:proofErr w:type="gramStart"/>
      <w:r w:rsidR="00E80236" w:rsidRPr="006E20A2">
        <w:rPr>
          <w:rFonts w:ascii="Arial" w:hAnsi="Arial"/>
          <w:sz w:val="20"/>
          <w:lang w:val="en-US"/>
        </w:rPr>
        <w:t>in the area of</w:t>
      </w:r>
      <w:proofErr w:type="gramEnd"/>
      <w:r w:rsidR="00E80236" w:rsidRPr="006E20A2">
        <w:rPr>
          <w:rFonts w:ascii="Arial" w:hAnsi="Arial"/>
          <w:sz w:val="20"/>
          <w:lang w:val="en-US"/>
        </w:rPr>
        <w:t xml:space="preserve"> AML/TF.</w:t>
      </w:r>
      <w:r>
        <w:rPr>
          <w:rFonts w:ascii="Arial" w:hAnsi="Arial"/>
          <w:sz w:val="20"/>
          <w:lang w:val="en-US"/>
        </w:rPr>
        <w:t xml:space="preserve"> </w:t>
      </w:r>
      <w:r w:rsidRPr="006E20A2">
        <w:rPr>
          <w:rFonts w:ascii="Arial" w:hAnsi="Arial"/>
          <w:sz w:val="20"/>
          <w:lang w:val="en-US"/>
        </w:rPr>
        <w:t>These</w:t>
      </w:r>
      <w:r w:rsidR="00E80236" w:rsidRPr="006E20A2">
        <w:rPr>
          <w:rFonts w:ascii="Arial" w:hAnsi="Arial"/>
          <w:sz w:val="20"/>
          <w:lang w:val="en-US"/>
        </w:rPr>
        <w:t xml:space="preserve"> changes </w:t>
      </w:r>
      <w:r w:rsidR="000E1456">
        <w:rPr>
          <w:rFonts w:ascii="Arial" w:hAnsi="Arial"/>
          <w:sz w:val="20"/>
          <w:lang w:val="en-US"/>
        </w:rPr>
        <w:t xml:space="preserve">are </w:t>
      </w:r>
      <w:r w:rsidRPr="006E20A2">
        <w:rPr>
          <w:rFonts w:ascii="Arial" w:hAnsi="Arial"/>
          <w:sz w:val="20"/>
          <w:lang w:val="en-US"/>
        </w:rPr>
        <w:t>supposed to</w:t>
      </w:r>
      <w:r w:rsidR="00E80236" w:rsidRPr="006E20A2">
        <w:rPr>
          <w:rFonts w:ascii="Arial" w:hAnsi="Arial"/>
          <w:sz w:val="20"/>
          <w:lang w:val="en-US"/>
        </w:rPr>
        <w:t xml:space="preserve"> create a </w:t>
      </w:r>
      <w:proofErr w:type="gramStart"/>
      <w:r w:rsidR="00E80236" w:rsidRPr="006E20A2">
        <w:rPr>
          <w:rFonts w:ascii="Arial" w:hAnsi="Arial"/>
          <w:sz w:val="20"/>
          <w:lang w:val="en-US"/>
        </w:rPr>
        <w:t>lon</w:t>
      </w:r>
      <w:r>
        <w:rPr>
          <w:rFonts w:ascii="Arial" w:hAnsi="Arial"/>
          <w:sz w:val="20"/>
          <w:lang w:val="en-US"/>
        </w:rPr>
        <w:t xml:space="preserve">g </w:t>
      </w:r>
      <w:r w:rsidR="00E80236" w:rsidRPr="006E20A2">
        <w:rPr>
          <w:rFonts w:ascii="Arial" w:hAnsi="Arial"/>
          <w:sz w:val="20"/>
          <w:lang w:val="en-US"/>
        </w:rPr>
        <w:t>ter</w:t>
      </w:r>
      <w:r>
        <w:rPr>
          <w:rFonts w:ascii="Arial" w:hAnsi="Arial"/>
          <w:sz w:val="20"/>
          <w:lang w:val="en-US"/>
        </w:rPr>
        <w:t>m</w:t>
      </w:r>
      <w:proofErr w:type="gramEnd"/>
      <w:r>
        <w:rPr>
          <w:rFonts w:ascii="Arial" w:hAnsi="Arial"/>
          <w:sz w:val="20"/>
          <w:lang w:val="en-US"/>
        </w:rPr>
        <w:t xml:space="preserve"> </w:t>
      </w:r>
      <w:r w:rsidR="00E80236" w:rsidRPr="006E20A2">
        <w:rPr>
          <w:rFonts w:ascii="Arial" w:hAnsi="Arial"/>
          <w:sz w:val="20"/>
          <w:lang w:val="en-US"/>
        </w:rPr>
        <w:t xml:space="preserve">sustainable system of measures that would </w:t>
      </w:r>
      <w:r w:rsidRPr="006E20A2">
        <w:rPr>
          <w:rFonts w:ascii="Arial" w:hAnsi="Arial"/>
          <w:sz w:val="20"/>
          <w:lang w:val="en-US"/>
        </w:rPr>
        <w:t>address</w:t>
      </w:r>
      <w:r w:rsidR="00E80236" w:rsidRPr="006E20A2">
        <w:rPr>
          <w:rFonts w:ascii="Arial" w:hAnsi="Arial"/>
          <w:sz w:val="20"/>
          <w:lang w:val="en-US"/>
        </w:rPr>
        <w:t xml:space="preserve"> the </w:t>
      </w:r>
      <w:r w:rsidR="007C29E0">
        <w:rPr>
          <w:rFonts w:ascii="Arial" w:hAnsi="Arial"/>
          <w:sz w:val="20"/>
          <w:lang w:val="en-US"/>
        </w:rPr>
        <w:t xml:space="preserve">issues </w:t>
      </w:r>
      <w:r w:rsidR="00E80236" w:rsidRPr="006E20A2">
        <w:rPr>
          <w:rFonts w:ascii="Arial" w:hAnsi="Arial"/>
          <w:sz w:val="20"/>
          <w:lang w:val="en-US"/>
        </w:rPr>
        <w:t>of legislative framework implementation, inconsistent legal framework, inconsistent supervision and insufficient cooperation between FIUs. On 7th May 2020</w:t>
      </w:r>
      <w:r w:rsidR="000E1456">
        <w:rPr>
          <w:rFonts w:ascii="Arial" w:hAnsi="Arial"/>
          <w:sz w:val="20"/>
          <w:lang w:val="en-US"/>
        </w:rPr>
        <w:t xml:space="preserve"> </w:t>
      </w:r>
      <w:r w:rsidR="00E80236" w:rsidRPr="006E20A2">
        <w:rPr>
          <w:rFonts w:ascii="Arial" w:hAnsi="Arial"/>
          <w:sz w:val="20"/>
          <w:lang w:val="en-US"/>
        </w:rPr>
        <w:t xml:space="preserve">the European Commission published the Action plan for the comprehensive policy of the EU </w:t>
      </w:r>
      <w:proofErr w:type="gramStart"/>
      <w:r w:rsidR="00E80236" w:rsidRPr="006E20A2">
        <w:rPr>
          <w:rFonts w:ascii="Arial" w:hAnsi="Arial"/>
          <w:sz w:val="20"/>
          <w:lang w:val="en-US"/>
        </w:rPr>
        <w:t>in the area of</w:t>
      </w:r>
      <w:proofErr w:type="gramEnd"/>
      <w:r w:rsidR="00E80236" w:rsidRPr="006E20A2">
        <w:rPr>
          <w:rFonts w:ascii="Arial" w:hAnsi="Arial"/>
          <w:sz w:val="20"/>
          <w:lang w:val="en-US"/>
        </w:rPr>
        <w:t xml:space="preserve"> AML/TF as the proposal to </w:t>
      </w:r>
      <w:r w:rsidRPr="006E20A2">
        <w:rPr>
          <w:rFonts w:ascii="Arial" w:hAnsi="Arial"/>
          <w:sz w:val="20"/>
          <w:lang w:val="en-US"/>
        </w:rPr>
        <w:t>eliminate</w:t>
      </w:r>
      <w:r w:rsidR="008B024C" w:rsidRPr="006E20A2">
        <w:rPr>
          <w:rFonts w:ascii="Arial" w:hAnsi="Arial"/>
          <w:sz w:val="20"/>
          <w:lang w:val="en-US"/>
        </w:rPr>
        <w:t xml:space="preserve"> the weaknesses of </w:t>
      </w:r>
      <w:r w:rsidR="008B024C" w:rsidRPr="006E20A2">
        <w:rPr>
          <w:rFonts w:ascii="Arial" w:hAnsi="Arial"/>
          <w:sz w:val="20"/>
          <w:lang w:val="en-US"/>
        </w:rPr>
        <w:lastRenderedPageBreak/>
        <w:t xml:space="preserve">the current legal framework. The Action plan consist of six </w:t>
      </w:r>
      <w:r w:rsidRPr="006E20A2">
        <w:rPr>
          <w:rFonts w:ascii="Arial" w:hAnsi="Arial"/>
          <w:sz w:val="20"/>
          <w:lang w:val="en-US"/>
        </w:rPr>
        <w:t>pillars</w:t>
      </w:r>
      <w:r w:rsidR="008B024C" w:rsidRPr="006E20A2">
        <w:rPr>
          <w:rFonts w:ascii="Arial" w:hAnsi="Arial"/>
          <w:sz w:val="20"/>
          <w:lang w:val="en-US"/>
        </w:rPr>
        <w:t xml:space="preserve">: </w:t>
      </w:r>
    </w:p>
    <w:p w14:paraId="3852554A" w14:textId="4AA16105" w:rsidR="00207B47" w:rsidRPr="006E20A2" w:rsidRDefault="00AF06A0" w:rsidP="00AF06A0">
      <w:pPr>
        <w:spacing w:line="276" w:lineRule="auto"/>
        <w:rPr>
          <w:rFonts w:ascii="Arial" w:hAnsi="Arial"/>
          <w:sz w:val="20"/>
          <w:lang w:val="en-US"/>
        </w:rPr>
      </w:pPr>
      <w:r w:rsidRPr="006E20A2">
        <w:rPr>
          <w:rFonts w:ascii="Arial" w:hAnsi="Arial"/>
          <w:sz w:val="20"/>
          <w:lang w:val="en-US"/>
        </w:rPr>
        <w:t xml:space="preserve"> </w:t>
      </w:r>
    </w:p>
    <w:p w14:paraId="1AA956BF" w14:textId="29BCCA15" w:rsidR="00AF06A0" w:rsidRPr="006E20A2" w:rsidRDefault="00915D84" w:rsidP="00AF06A0">
      <w:pPr>
        <w:spacing w:line="276" w:lineRule="auto"/>
        <w:rPr>
          <w:rFonts w:ascii="Arial" w:hAnsi="Arial"/>
          <w:sz w:val="20"/>
          <w:lang w:val="en-US"/>
        </w:rPr>
      </w:pPr>
      <w:r w:rsidRPr="000E1456">
        <w:rPr>
          <w:rFonts w:ascii="Arial" w:hAnsi="Arial"/>
          <w:sz w:val="20"/>
          <w:lang w:val="en-US"/>
        </w:rPr>
        <w:t xml:space="preserve">- </w:t>
      </w:r>
      <w:r w:rsidR="00207B47" w:rsidRPr="000E1456">
        <w:rPr>
          <w:rFonts w:ascii="Arial" w:hAnsi="Arial"/>
          <w:sz w:val="20"/>
          <w:lang w:val="en-US"/>
        </w:rPr>
        <w:t>efficient transposition or implementation of existing regulations</w:t>
      </w:r>
      <w:r w:rsidR="00762545" w:rsidRPr="006E20A2">
        <w:rPr>
          <w:rFonts w:ascii="Arial" w:hAnsi="Arial"/>
          <w:sz w:val="20"/>
          <w:lang w:val="en-US"/>
        </w:rPr>
        <w:t>,</w:t>
      </w:r>
    </w:p>
    <w:p w14:paraId="6D71AFF5" w14:textId="2CA72BB6" w:rsidR="00AF06A0" w:rsidRPr="006E20A2" w:rsidRDefault="00AF06A0" w:rsidP="00AF06A0">
      <w:pPr>
        <w:spacing w:line="276" w:lineRule="auto"/>
        <w:rPr>
          <w:rFonts w:ascii="Arial" w:hAnsi="Arial"/>
          <w:sz w:val="20"/>
          <w:lang w:val="en-US"/>
        </w:rPr>
      </w:pPr>
      <w:r w:rsidRPr="006E20A2">
        <w:rPr>
          <w:rFonts w:ascii="Arial" w:hAnsi="Arial"/>
          <w:sz w:val="20"/>
          <w:lang w:val="en-US"/>
        </w:rPr>
        <w:t xml:space="preserve">- </w:t>
      </w:r>
      <w:r w:rsidR="00207B47" w:rsidRPr="006E20A2">
        <w:rPr>
          <w:rFonts w:ascii="Arial" w:hAnsi="Arial"/>
          <w:sz w:val="20"/>
          <w:lang w:val="en-US"/>
        </w:rPr>
        <w:t xml:space="preserve">preparation of new unified </w:t>
      </w:r>
      <w:r w:rsidR="00BF7D37" w:rsidRPr="006E20A2">
        <w:rPr>
          <w:rFonts w:ascii="Arial" w:hAnsi="Arial"/>
          <w:sz w:val="20"/>
          <w:lang w:val="en-US"/>
        </w:rPr>
        <w:t>European</w:t>
      </w:r>
      <w:r w:rsidR="00207B47" w:rsidRPr="006E20A2">
        <w:rPr>
          <w:rFonts w:ascii="Arial" w:hAnsi="Arial"/>
          <w:sz w:val="20"/>
          <w:lang w:val="en-US"/>
        </w:rPr>
        <w:t xml:space="preserve"> rules, to </w:t>
      </w:r>
      <w:r w:rsidR="00BF7D37" w:rsidRPr="006E20A2">
        <w:rPr>
          <w:rFonts w:ascii="Arial" w:hAnsi="Arial"/>
          <w:sz w:val="20"/>
          <w:lang w:val="en-US"/>
        </w:rPr>
        <w:t>achieve</w:t>
      </w:r>
      <w:r w:rsidR="00207B47" w:rsidRPr="006E20A2">
        <w:rPr>
          <w:rFonts w:ascii="Arial" w:hAnsi="Arial"/>
          <w:sz w:val="20"/>
          <w:lang w:val="en-US"/>
        </w:rPr>
        <w:t xml:space="preserve"> the maximum </w:t>
      </w:r>
      <w:r w:rsidR="00BF7D37" w:rsidRPr="006E20A2">
        <w:rPr>
          <w:rFonts w:ascii="Arial" w:hAnsi="Arial"/>
          <w:sz w:val="20"/>
          <w:lang w:val="en-US"/>
        </w:rPr>
        <w:t>harmonization</w:t>
      </w:r>
      <w:r w:rsidR="00207B47" w:rsidRPr="006E20A2">
        <w:rPr>
          <w:rFonts w:ascii="Arial" w:hAnsi="Arial"/>
          <w:sz w:val="20"/>
          <w:lang w:val="en-US"/>
        </w:rPr>
        <w:t xml:space="preserve"> and </w:t>
      </w:r>
      <w:r w:rsidR="00BF7D37" w:rsidRPr="006E20A2">
        <w:rPr>
          <w:rFonts w:ascii="Arial" w:hAnsi="Arial"/>
          <w:sz w:val="20"/>
          <w:lang w:val="en-US"/>
        </w:rPr>
        <w:t>achieve</w:t>
      </w:r>
      <w:r w:rsidR="00207B47" w:rsidRPr="006E20A2">
        <w:rPr>
          <w:rFonts w:ascii="Arial" w:hAnsi="Arial"/>
          <w:sz w:val="20"/>
          <w:lang w:val="en-US"/>
        </w:rPr>
        <w:t xml:space="preserve"> the same conditions </w:t>
      </w:r>
      <w:r w:rsidR="007C29E0">
        <w:rPr>
          <w:rFonts w:ascii="Arial" w:hAnsi="Arial"/>
          <w:sz w:val="20"/>
          <w:lang w:val="en-US"/>
        </w:rPr>
        <w:t>at</w:t>
      </w:r>
      <w:r w:rsidR="00207B47" w:rsidRPr="006E20A2">
        <w:rPr>
          <w:rFonts w:ascii="Arial" w:hAnsi="Arial"/>
          <w:sz w:val="20"/>
          <w:lang w:val="en-US"/>
        </w:rPr>
        <w:t xml:space="preserve"> the internal market,</w:t>
      </w:r>
    </w:p>
    <w:p w14:paraId="3D782A4A" w14:textId="2BA94B1B" w:rsidR="00AF06A0" w:rsidRPr="006E20A2" w:rsidRDefault="00AF06A0" w:rsidP="00AF06A0">
      <w:pPr>
        <w:spacing w:line="276" w:lineRule="auto"/>
        <w:rPr>
          <w:rFonts w:ascii="Arial" w:hAnsi="Arial"/>
          <w:sz w:val="20"/>
          <w:lang w:val="en-US"/>
        </w:rPr>
      </w:pPr>
      <w:r w:rsidRPr="006E20A2">
        <w:rPr>
          <w:rFonts w:ascii="Arial" w:hAnsi="Arial"/>
          <w:sz w:val="20"/>
          <w:lang w:val="en-US"/>
        </w:rPr>
        <w:t xml:space="preserve">- </w:t>
      </w:r>
      <w:r w:rsidR="00207B47" w:rsidRPr="006E20A2">
        <w:rPr>
          <w:rFonts w:ascii="Arial" w:hAnsi="Arial"/>
          <w:sz w:val="20"/>
          <w:lang w:val="en-US"/>
        </w:rPr>
        <w:t>supervision at the EU level</w:t>
      </w:r>
      <w:r w:rsidR="008053E2" w:rsidRPr="006E20A2">
        <w:rPr>
          <w:rFonts w:ascii="Arial" w:hAnsi="Arial"/>
          <w:sz w:val="20"/>
          <w:lang w:val="en-US"/>
        </w:rPr>
        <w:t>,</w:t>
      </w:r>
    </w:p>
    <w:p w14:paraId="45FB1C18" w14:textId="4C7D8674" w:rsidR="00AF06A0" w:rsidRPr="006E20A2" w:rsidRDefault="00AF06A0" w:rsidP="00AF06A0">
      <w:pPr>
        <w:spacing w:line="276" w:lineRule="auto"/>
        <w:rPr>
          <w:rFonts w:ascii="Arial" w:hAnsi="Arial"/>
          <w:sz w:val="20"/>
          <w:lang w:val="en-US"/>
        </w:rPr>
      </w:pPr>
      <w:r w:rsidRPr="006E20A2">
        <w:rPr>
          <w:rFonts w:ascii="Arial" w:hAnsi="Arial"/>
          <w:sz w:val="20"/>
          <w:lang w:val="en-US"/>
        </w:rPr>
        <w:t xml:space="preserve">- </w:t>
      </w:r>
      <w:r w:rsidR="00207B47" w:rsidRPr="006E20A2">
        <w:rPr>
          <w:rFonts w:ascii="Arial" w:hAnsi="Arial"/>
          <w:sz w:val="20"/>
          <w:lang w:val="en-US"/>
        </w:rPr>
        <w:t>mechanism to support and enhance cooperation of FIUs</w:t>
      </w:r>
      <w:r w:rsidR="008053E2" w:rsidRPr="006E20A2">
        <w:rPr>
          <w:rFonts w:ascii="Arial" w:hAnsi="Arial"/>
          <w:sz w:val="20"/>
          <w:lang w:val="en-US"/>
        </w:rPr>
        <w:t>,</w:t>
      </w:r>
    </w:p>
    <w:p w14:paraId="4D719BEF" w14:textId="26421C8B" w:rsidR="00AF06A0" w:rsidRPr="006E20A2" w:rsidRDefault="00AF06A0" w:rsidP="000E1456">
      <w:pPr>
        <w:spacing w:line="276" w:lineRule="auto"/>
        <w:rPr>
          <w:rFonts w:ascii="Arial" w:hAnsi="Arial"/>
          <w:sz w:val="20"/>
          <w:lang w:val="en-US"/>
        </w:rPr>
      </w:pPr>
      <w:r w:rsidRPr="006E20A2">
        <w:rPr>
          <w:rFonts w:ascii="Arial" w:hAnsi="Arial"/>
          <w:sz w:val="20"/>
          <w:lang w:val="en-US"/>
        </w:rPr>
        <w:t xml:space="preserve">- </w:t>
      </w:r>
      <w:r w:rsidR="00207B47" w:rsidRPr="000E1456">
        <w:rPr>
          <w:rFonts w:ascii="Arial" w:hAnsi="Arial"/>
          <w:sz w:val="20"/>
          <w:lang w:val="en-US"/>
        </w:rPr>
        <w:t>enforcement of criminal law provisions at EU level and exchange of information</w:t>
      </w:r>
      <w:r w:rsidR="00B345CE" w:rsidRPr="006E20A2">
        <w:rPr>
          <w:rFonts w:ascii="Arial" w:hAnsi="Arial"/>
          <w:sz w:val="20"/>
          <w:lang w:val="en-US"/>
        </w:rPr>
        <w:t>,</w:t>
      </w:r>
    </w:p>
    <w:p w14:paraId="1A780A26" w14:textId="27D083D2" w:rsidR="00AF06A0" w:rsidRPr="006E20A2" w:rsidRDefault="00AF06A0" w:rsidP="000E1456">
      <w:pPr>
        <w:spacing w:line="276" w:lineRule="auto"/>
        <w:rPr>
          <w:rFonts w:ascii="Arial" w:hAnsi="Arial"/>
          <w:sz w:val="20"/>
          <w:lang w:val="en-US"/>
        </w:rPr>
      </w:pPr>
      <w:r w:rsidRPr="006E20A2">
        <w:rPr>
          <w:rFonts w:ascii="Arial" w:hAnsi="Arial"/>
          <w:sz w:val="20"/>
          <w:lang w:val="en-US"/>
        </w:rPr>
        <w:t xml:space="preserve">- </w:t>
      </w:r>
      <w:r w:rsidR="00BF7D37" w:rsidRPr="006E20A2">
        <w:rPr>
          <w:rFonts w:ascii="Arial" w:hAnsi="Arial"/>
          <w:sz w:val="20"/>
          <w:lang w:val="en-US"/>
        </w:rPr>
        <w:t>strengthen</w:t>
      </w:r>
      <w:r w:rsidR="00207B47" w:rsidRPr="006E20A2">
        <w:rPr>
          <w:rFonts w:ascii="Arial" w:hAnsi="Arial"/>
          <w:sz w:val="20"/>
          <w:lang w:val="en-US"/>
        </w:rPr>
        <w:t xml:space="preserve"> the role of EU in the world</w:t>
      </w:r>
      <w:r w:rsidRPr="006E20A2">
        <w:rPr>
          <w:rFonts w:ascii="Arial" w:hAnsi="Arial"/>
          <w:sz w:val="20"/>
          <w:lang w:val="en-US"/>
        </w:rPr>
        <w:t>.</w:t>
      </w:r>
    </w:p>
    <w:p w14:paraId="0DB3154D" w14:textId="2F0EA90F" w:rsidR="00AF06A0" w:rsidRPr="006E20A2" w:rsidRDefault="00AF06A0" w:rsidP="00AF06A0">
      <w:pPr>
        <w:widowControl/>
        <w:spacing w:line="276" w:lineRule="auto"/>
        <w:rPr>
          <w:rFonts w:ascii="Arial" w:hAnsi="Arial"/>
          <w:sz w:val="20"/>
          <w:lang w:val="en-US"/>
        </w:rPr>
      </w:pPr>
    </w:p>
    <w:p w14:paraId="5E8921F3" w14:textId="5A6F29FA" w:rsidR="00B81E89" w:rsidRPr="006E20A2" w:rsidRDefault="00C231A0" w:rsidP="00BA5BC9">
      <w:pPr>
        <w:pStyle w:val="Naslov3"/>
        <w:rPr>
          <w:lang w:val="en-US"/>
        </w:rPr>
      </w:pPr>
      <w:bookmarkStart w:id="88" w:name="_Toc113535490"/>
      <w:bookmarkStart w:id="89" w:name="_Hlk73002774"/>
      <w:r w:rsidRPr="006E20A2">
        <w:rPr>
          <w:lang w:val="en-US"/>
        </w:rPr>
        <w:t xml:space="preserve">5.2.2.2 </w:t>
      </w:r>
      <w:r w:rsidR="00B81E89" w:rsidRPr="006E20A2">
        <w:rPr>
          <w:lang w:val="en-US"/>
        </w:rPr>
        <w:t>FIU</w:t>
      </w:r>
      <w:r w:rsidR="00654A4D" w:rsidRPr="006E20A2">
        <w:rPr>
          <w:lang w:val="en-US"/>
        </w:rPr>
        <w:t xml:space="preserve"> Platforms</w:t>
      </w:r>
      <w:r w:rsidR="00B81E89" w:rsidRPr="006E20A2">
        <w:rPr>
          <w:lang w:val="en-US"/>
        </w:rPr>
        <w:t xml:space="preserve"> </w:t>
      </w:r>
      <w:r w:rsidR="006D5A5A" w:rsidRPr="006E20A2">
        <w:rPr>
          <w:lang w:val="en-US"/>
        </w:rPr>
        <w:t>(Financial Intelligence Unit)</w:t>
      </w:r>
      <w:bookmarkEnd w:id="88"/>
      <w:r w:rsidR="006D5A5A" w:rsidRPr="006E20A2">
        <w:rPr>
          <w:lang w:val="en-US"/>
        </w:rPr>
        <w:t xml:space="preserve"> </w:t>
      </w:r>
      <w:r w:rsidR="00B81E89" w:rsidRPr="006E20A2">
        <w:rPr>
          <w:lang w:val="en-US"/>
        </w:rPr>
        <w:t xml:space="preserve"> </w:t>
      </w:r>
    </w:p>
    <w:bookmarkEnd w:id="89"/>
    <w:p w14:paraId="4DE83F9E" w14:textId="77777777" w:rsidR="00B81E89" w:rsidRPr="006E20A2" w:rsidRDefault="00B81E89" w:rsidP="00D21F86">
      <w:pPr>
        <w:spacing w:line="276" w:lineRule="auto"/>
        <w:rPr>
          <w:rFonts w:ascii="Arial" w:hAnsi="Arial"/>
          <w:sz w:val="20"/>
          <w:lang w:val="en-US"/>
        </w:rPr>
      </w:pPr>
    </w:p>
    <w:p w14:paraId="17D9FB3C" w14:textId="7CDCBEA4" w:rsidR="002566E2" w:rsidRPr="006E20A2" w:rsidRDefault="00654A4D" w:rsidP="002566E2">
      <w:pPr>
        <w:spacing w:line="276" w:lineRule="auto"/>
        <w:rPr>
          <w:rFonts w:ascii="Arial" w:hAnsi="Arial"/>
          <w:sz w:val="20"/>
          <w:lang w:val="en-US"/>
        </w:rPr>
      </w:pPr>
      <w:r w:rsidRPr="006E20A2">
        <w:rPr>
          <w:rFonts w:ascii="Arial" w:hAnsi="Arial"/>
          <w:sz w:val="20"/>
          <w:lang w:val="en-US"/>
        </w:rPr>
        <w:t xml:space="preserve">In 2020 the European Commission </w:t>
      </w:r>
      <w:r w:rsidR="00BF7D37" w:rsidRPr="006E20A2">
        <w:rPr>
          <w:rFonts w:ascii="Arial" w:hAnsi="Arial"/>
          <w:sz w:val="20"/>
          <w:lang w:val="en-US"/>
        </w:rPr>
        <w:t>organized</w:t>
      </w:r>
      <w:r w:rsidRPr="006E20A2">
        <w:rPr>
          <w:rFonts w:ascii="Arial" w:hAnsi="Arial"/>
          <w:sz w:val="20"/>
          <w:lang w:val="en-US"/>
        </w:rPr>
        <w:t xml:space="preserve"> four virtual meetings of representatives of FIUs in the framework of FIU Platforms. Representatives of the OMLP attended those meetings as well. The main topics of meetings in 2020 were:</w:t>
      </w:r>
    </w:p>
    <w:p w14:paraId="2087F089" w14:textId="3C93A28F" w:rsidR="002566E2" w:rsidRPr="006E20A2" w:rsidRDefault="00A564C4" w:rsidP="00BA5BC9">
      <w:pPr>
        <w:spacing w:line="276" w:lineRule="auto"/>
        <w:ind w:left="720" w:hanging="720"/>
        <w:rPr>
          <w:rFonts w:ascii="Arial" w:hAnsi="Arial"/>
          <w:sz w:val="20"/>
          <w:lang w:val="en-US"/>
        </w:rPr>
      </w:pPr>
      <w:r w:rsidRPr="006E20A2">
        <w:rPr>
          <w:rFonts w:ascii="Arial" w:hAnsi="Arial"/>
          <w:sz w:val="20"/>
          <w:lang w:val="en-US"/>
        </w:rPr>
        <w:t>–</w:t>
      </w:r>
      <w:r w:rsidR="002566E2" w:rsidRPr="006E20A2">
        <w:rPr>
          <w:rFonts w:ascii="Arial" w:hAnsi="Arial"/>
          <w:sz w:val="20"/>
          <w:lang w:val="en-US"/>
        </w:rPr>
        <w:tab/>
      </w:r>
      <w:r w:rsidR="00654A4D" w:rsidRPr="006E20A2">
        <w:rPr>
          <w:rFonts w:ascii="Arial" w:hAnsi="Arial"/>
          <w:sz w:val="20"/>
          <w:lang w:val="en-US"/>
        </w:rPr>
        <w:t>the</w:t>
      </w:r>
      <w:r w:rsidR="002566E2" w:rsidRPr="006E20A2">
        <w:rPr>
          <w:rFonts w:ascii="Arial" w:hAnsi="Arial"/>
          <w:sz w:val="20"/>
          <w:lang w:val="en-US"/>
        </w:rPr>
        <w:t xml:space="preserve"> Coordination and Support Mechanism </w:t>
      </w:r>
      <w:r w:rsidRPr="006E20A2">
        <w:rPr>
          <w:rFonts w:ascii="Arial" w:hAnsi="Arial"/>
          <w:sz w:val="20"/>
          <w:lang w:val="en-US"/>
        </w:rPr>
        <w:t>–</w:t>
      </w:r>
      <w:r w:rsidR="002566E2" w:rsidRPr="006E20A2">
        <w:rPr>
          <w:rFonts w:ascii="Arial" w:hAnsi="Arial"/>
          <w:sz w:val="20"/>
          <w:lang w:val="en-US"/>
        </w:rPr>
        <w:t xml:space="preserve"> CSM, </w:t>
      </w:r>
      <w:r w:rsidR="00654A4D" w:rsidRPr="006E20A2">
        <w:rPr>
          <w:rFonts w:ascii="Arial" w:hAnsi="Arial"/>
          <w:sz w:val="20"/>
          <w:lang w:val="en-US"/>
        </w:rPr>
        <w:t xml:space="preserve">that includes the construction of information system to exchange the data between FIUs, </w:t>
      </w:r>
      <w:r w:rsidR="002F6F7A" w:rsidRPr="006E20A2">
        <w:rPr>
          <w:rFonts w:ascii="Arial" w:hAnsi="Arial"/>
          <w:sz w:val="20"/>
          <w:lang w:val="en-US"/>
        </w:rPr>
        <w:t xml:space="preserve">potential </w:t>
      </w:r>
      <w:r w:rsidR="00654A4D" w:rsidRPr="006E20A2">
        <w:rPr>
          <w:rFonts w:ascii="Arial" w:hAnsi="Arial"/>
          <w:sz w:val="20"/>
          <w:lang w:val="en-US"/>
        </w:rPr>
        <w:t>establishment of European FIU and cooperation</w:t>
      </w:r>
      <w:r w:rsidR="007104DB">
        <w:rPr>
          <w:rFonts w:ascii="Arial" w:hAnsi="Arial"/>
          <w:sz w:val="20"/>
          <w:lang w:val="en-US"/>
        </w:rPr>
        <w:t>,</w:t>
      </w:r>
    </w:p>
    <w:p w14:paraId="1A23730A" w14:textId="07477C0C" w:rsidR="002566E2" w:rsidRPr="006E20A2" w:rsidRDefault="00A564C4" w:rsidP="002566E2">
      <w:pPr>
        <w:spacing w:line="276" w:lineRule="auto"/>
        <w:rPr>
          <w:rFonts w:ascii="Arial" w:hAnsi="Arial"/>
          <w:sz w:val="20"/>
          <w:lang w:val="en-US"/>
        </w:rPr>
      </w:pPr>
      <w:r w:rsidRPr="006E20A2">
        <w:rPr>
          <w:rFonts w:ascii="Arial" w:hAnsi="Arial"/>
          <w:sz w:val="20"/>
          <w:lang w:val="en-US"/>
        </w:rPr>
        <w:t>–</w:t>
      </w:r>
      <w:r w:rsidR="002566E2" w:rsidRPr="006E20A2">
        <w:rPr>
          <w:rFonts w:ascii="Arial" w:hAnsi="Arial"/>
          <w:sz w:val="20"/>
          <w:lang w:val="en-US"/>
        </w:rPr>
        <w:tab/>
      </w:r>
      <w:r w:rsidR="00654A4D" w:rsidRPr="006E20A2">
        <w:rPr>
          <w:rFonts w:ascii="Arial" w:hAnsi="Arial"/>
          <w:sz w:val="20"/>
          <w:lang w:val="en-US"/>
        </w:rPr>
        <w:t xml:space="preserve">exchange of data in accordance with the </w:t>
      </w:r>
      <w:r w:rsidR="000704A0" w:rsidRPr="006E20A2">
        <w:rPr>
          <w:rFonts w:ascii="Arial" w:hAnsi="Arial"/>
          <w:sz w:val="20"/>
          <w:lang w:val="en-US"/>
        </w:rPr>
        <w:t>Directive (EU) 1153/2019</w:t>
      </w:r>
      <w:r w:rsidR="002566E2" w:rsidRPr="006E20A2">
        <w:rPr>
          <w:rFonts w:ascii="Arial" w:hAnsi="Arial"/>
          <w:sz w:val="20"/>
          <w:lang w:val="en-US"/>
        </w:rPr>
        <w:t xml:space="preserve">, </w:t>
      </w:r>
    </w:p>
    <w:p w14:paraId="5D01141B" w14:textId="268E9897" w:rsidR="002566E2" w:rsidRPr="006E20A2" w:rsidRDefault="00A564C4" w:rsidP="002566E2">
      <w:pPr>
        <w:spacing w:line="276" w:lineRule="auto"/>
        <w:rPr>
          <w:rFonts w:ascii="Arial" w:hAnsi="Arial"/>
          <w:sz w:val="20"/>
          <w:lang w:val="en-US"/>
        </w:rPr>
      </w:pPr>
      <w:r w:rsidRPr="006E20A2">
        <w:rPr>
          <w:rFonts w:ascii="Arial" w:hAnsi="Arial"/>
          <w:sz w:val="20"/>
          <w:lang w:val="en-US"/>
        </w:rPr>
        <w:t>–</w:t>
      </w:r>
      <w:r w:rsidR="002566E2" w:rsidRPr="006E20A2">
        <w:rPr>
          <w:rFonts w:ascii="Arial" w:hAnsi="Arial"/>
          <w:sz w:val="20"/>
          <w:lang w:val="en-US"/>
        </w:rPr>
        <w:tab/>
      </w:r>
      <w:r w:rsidR="000704A0" w:rsidRPr="006E20A2">
        <w:rPr>
          <w:rFonts w:ascii="Arial" w:hAnsi="Arial"/>
          <w:sz w:val="20"/>
          <w:lang w:val="en-US"/>
        </w:rPr>
        <w:t>access of LEA to financial data in accordance with the Directive</w:t>
      </w:r>
      <w:r w:rsidR="002566E2" w:rsidRPr="006E20A2">
        <w:rPr>
          <w:rFonts w:ascii="Arial" w:hAnsi="Arial"/>
          <w:sz w:val="20"/>
          <w:lang w:val="en-US"/>
        </w:rPr>
        <w:t xml:space="preserve"> </w:t>
      </w:r>
      <w:r w:rsidRPr="006E20A2">
        <w:rPr>
          <w:rFonts w:ascii="Arial" w:hAnsi="Arial"/>
          <w:sz w:val="20"/>
          <w:lang w:val="en-US"/>
        </w:rPr>
        <w:t>(</w:t>
      </w:r>
      <w:r w:rsidR="002566E2" w:rsidRPr="006E20A2">
        <w:rPr>
          <w:rFonts w:ascii="Arial" w:hAnsi="Arial"/>
          <w:sz w:val="20"/>
          <w:lang w:val="en-US"/>
        </w:rPr>
        <w:t>EU</w:t>
      </w:r>
      <w:r w:rsidRPr="006E20A2">
        <w:rPr>
          <w:rFonts w:ascii="Arial" w:hAnsi="Arial"/>
          <w:sz w:val="20"/>
          <w:lang w:val="en-US"/>
        </w:rPr>
        <w:t>)</w:t>
      </w:r>
      <w:r w:rsidR="002566E2" w:rsidRPr="006E20A2">
        <w:rPr>
          <w:rFonts w:ascii="Arial" w:hAnsi="Arial"/>
          <w:sz w:val="20"/>
          <w:lang w:val="en-US"/>
        </w:rPr>
        <w:t xml:space="preserve"> 1153/2019.</w:t>
      </w:r>
    </w:p>
    <w:p w14:paraId="60512D3E" w14:textId="77777777" w:rsidR="005879AC" w:rsidRPr="006E20A2" w:rsidRDefault="005879AC" w:rsidP="002566E2">
      <w:pPr>
        <w:spacing w:line="276" w:lineRule="auto"/>
        <w:rPr>
          <w:rFonts w:ascii="Arial" w:hAnsi="Arial"/>
          <w:sz w:val="20"/>
          <w:lang w:val="en-US"/>
        </w:rPr>
      </w:pPr>
    </w:p>
    <w:p w14:paraId="1FFAB6E6" w14:textId="2DC5DA7E" w:rsidR="005879AC" w:rsidRPr="006E20A2" w:rsidRDefault="00B86990" w:rsidP="00BA5BC9">
      <w:pPr>
        <w:pStyle w:val="Naslov3"/>
        <w:rPr>
          <w:lang w:val="en-US"/>
        </w:rPr>
      </w:pPr>
      <w:bookmarkStart w:id="90" w:name="_Toc113535491"/>
      <w:r w:rsidRPr="006E20A2">
        <w:rPr>
          <w:lang w:val="en-US"/>
        </w:rPr>
        <w:t xml:space="preserve">5.2.2.3 </w:t>
      </w:r>
      <w:r w:rsidR="000704A0" w:rsidRPr="006E20A2">
        <w:rPr>
          <w:lang w:val="en-US"/>
        </w:rPr>
        <w:t xml:space="preserve">Committee on Prevention of Money Laundering and Terrorist Financing – Interconnection of BO registers </w:t>
      </w:r>
      <w:r w:rsidR="008A1626" w:rsidRPr="006E20A2">
        <w:rPr>
          <w:lang w:val="en-US"/>
        </w:rPr>
        <w:t>–</w:t>
      </w:r>
      <w:r w:rsidR="00561211" w:rsidRPr="006E20A2">
        <w:rPr>
          <w:lang w:val="en-US"/>
        </w:rPr>
        <w:t xml:space="preserve"> </w:t>
      </w:r>
      <w:r w:rsidR="005879AC" w:rsidRPr="006E20A2">
        <w:rPr>
          <w:lang w:val="en-US"/>
        </w:rPr>
        <w:t>BORIS</w:t>
      </w:r>
      <w:bookmarkEnd w:id="90"/>
    </w:p>
    <w:p w14:paraId="609D9A7A" w14:textId="6B5046A5" w:rsidR="005879AC" w:rsidRPr="006E20A2" w:rsidRDefault="005879AC" w:rsidP="005879AC">
      <w:pPr>
        <w:pStyle w:val="Odstavekseznama"/>
        <w:spacing w:line="276" w:lineRule="auto"/>
        <w:ind w:left="851"/>
        <w:rPr>
          <w:rFonts w:ascii="Arial" w:hAnsi="Arial"/>
          <w:i/>
          <w:iCs/>
          <w:sz w:val="20"/>
          <w:lang w:val="en-US"/>
        </w:rPr>
      </w:pPr>
    </w:p>
    <w:p w14:paraId="1EBC2D1D" w14:textId="79905558" w:rsidR="000704A0" w:rsidRPr="006E20A2" w:rsidRDefault="000704A0" w:rsidP="000E0460">
      <w:pPr>
        <w:spacing w:line="276" w:lineRule="auto"/>
        <w:rPr>
          <w:rFonts w:ascii="Arial" w:hAnsi="Arial"/>
          <w:sz w:val="20"/>
          <w:lang w:val="en-US"/>
        </w:rPr>
      </w:pPr>
      <w:r w:rsidRPr="006E20A2">
        <w:rPr>
          <w:rFonts w:ascii="Arial" w:hAnsi="Arial"/>
          <w:sz w:val="20"/>
          <w:lang w:val="en-US"/>
        </w:rPr>
        <w:t xml:space="preserve">In 2020 the representatives of OMLP and the Agency of the Republic of Slovenia for Public Legal Records and Related Services participated </w:t>
      </w:r>
      <w:r w:rsidR="002F6F7A">
        <w:rPr>
          <w:rFonts w:ascii="Arial" w:hAnsi="Arial"/>
          <w:sz w:val="20"/>
          <w:lang w:val="en-US"/>
        </w:rPr>
        <w:t>in</w:t>
      </w:r>
      <w:r w:rsidR="002F6F7A" w:rsidRPr="006E20A2">
        <w:rPr>
          <w:rFonts w:ascii="Arial" w:hAnsi="Arial"/>
          <w:sz w:val="20"/>
          <w:lang w:val="en-US"/>
        </w:rPr>
        <w:t xml:space="preserve"> </w:t>
      </w:r>
      <w:r w:rsidRPr="006E20A2">
        <w:rPr>
          <w:rFonts w:ascii="Arial" w:hAnsi="Arial"/>
          <w:sz w:val="20"/>
          <w:lang w:val="en-US"/>
        </w:rPr>
        <w:t xml:space="preserve">three comitology meetings of </w:t>
      </w:r>
      <w:r w:rsidR="002F6F7A">
        <w:rPr>
          <w:rFonts w:ascii="Arial" w:hAnsi="Arial"/>
          <w:sz w:val="20"/>
          <w:lang w:val="en-US"/>
        </w:rPr>
        <w:t xml:space="preserve">the </w:t>
      </w:r>
      <w:r w:rsidRPr="006E20A2">
        <w:rPr>
          <w:rFonts w:ascii="Arial" w:hAnsi="Arial"/>
          <w:sz w:val="20"/>
          <w:lang w:val="en-US"/>
        </w:rPr>
        <w:t>Committee on Prevention of Money Laundering and Terrorist Financing – Interconnection of BO registers</w:t>
      </w:r>
      <w:r w:rsidR="002F6F7A">
        <w:rPr>
          <w:rFonts w:ascii="Arial" w:hAnsi="Arial"/>
          <w:sz w:val="20"/>
          <w:lang w:val="en-US"/>
        </w:rPr>
        <w:t xml:space="preserve"> </w:t>
      </w:r>
      <w:r w:rsidRPr="006E20A2">
        <w:rPr>
          <w:rFonts w:ascii="Arial" w:hAnsi="Arial"/>
          <w:sz w:val="20"/>
          <w:lang w:val="en-US"/>
        </w:rPr>
        <w:t xml:space="preserve">- CPMLTF. </w:t>
      </w:r>
    </w:p>
    <w:p w14:paraId="5EBD248E" w14:textId="77777777" w:rsidR="000E0460" w:rsidRPr="006E20A2" w:rsidRDefault="000E0460" w:rsidP="000E0460">
      <w:pPr>
        <w:spacing w:line="276" w:lineRule="auto"/>
        <w:rPr>
          <w:rFonts w:ascii="Arial" w:hAnsi="Arial"/>
          <w:sz w:val="20"/>
          <w:lang w:val="en-US"/>
        </w:rPr>
      </w:pPr>
    </w:p>
    <w:p w14:paraId="193050C7" w14:textId="0C185EC1" w:rsidR="000E0460" w:rsidRPr="006E20A2" w:rsidRDefault="000704A0" w:rsidP="000E0460">
      <w:pPr>
        <w:spacing w:line="276" w:lineRule="auto"/>
        <w:rPr>
          <w:rFonts w:ascii="Arial" w:hAnsi="Arial"/>
          <w:sz w:val="20"/>
          <w:lang w:val="en-US"/>
        </w:rPr>
      </w:pPr>
      <w:r w:rsidRPr="006E20A2">
        <w:rPr>
          <w:rFonts w:ascii="Arial" w:hAnsi="Arial"/>
          <w:sz w:val="20"/>
          <w:lang w:val="en-US"/>
        </w:rPr>
        <w:t xml:space="preserve">In the framework of the </w:t>
      </w:r>
      <w:r w:rsidR="007C29E0">
        <w:rPr>
          <w:rFonts w:ascii="Arial" w:hAnsi="Arial"/>
          <w:sz w:val="20"/>
          <w:lang w:val="en-US"/>
        </w:rPr>
        <w:t>C</w:t>
      </w:r>
      <w:r w:rsidRPr="006E20A2">
        <w:rPr>
          <w:rFonts w:ascii="Arial" w:hAnsi="Arial"/>
          <w:sz w:val="20"/>
          <w:lang w:val="en-US"/>
        </w:rPr>
        <w:t>ommittee</w:t>
      </w:r>
      <w:r w:rsidR="007C29E0">
        <w:rPr>
          <w:rFonts w:ascii="Arial" w:hAnsi="Arial"/>
          <w:sz w:val="20"/>
          <w:lang w:val="en-US"/>
        </w:rPr>
        <w:t xml:space="preserve">, </w:t>
      </w:r>
      <w:r w:rsidRPr="006E20A2">
        <w:rPr>
          <w:rFonts w:ascii="Arial" w:hAnsi="Arial"/>
          <w:sz w:val="20"/>
          <w:lang w:val="en-US"/>
        </w:rPr>
        <w:t>the members</w:t>
      </w:r>
      <w:r w:rsidR="007C29E0">
        <w:rPr>
          <w:rFonts w:ascii="Arial" w:hAnsi="Arial"/>
          <w:sz w:val="20"/>
          <w:lang w:val="en-US"/>
        </w:rPr>
        <w:t xml:space="preserve"> were</w:t>
      </w:r>
      <w:r w:rsidRPr="006E20A2">
        <w:rPr>
          <w:rFonts w:ascii="Arial" w:hAnsi="Arial"/>
          <w:sz w:val="20"/>
          <w:lang w:val="en-US"/>
        </w:rPr>
        <w:t xml:space="preserve"> </w:t>
      </w:r>
      <w:r w:rsidR="00BF7D37" w:rsidRPr="006E20A2">
        <w:rPr>
          <w:rFonts w:ascii="Arial" w:hAnsi="Arial"/>
          <w:sz w:val="20"/>
          <w:lang w:val="en-US"/>
        </w:rPr>
        <w:t>familiarized</w:t>
      </w:r>
      <w:r w:rsidR="00F759A5" w:rsidRPr="006E20A2">
        <w:rPr>
          <w:rFonts w:ascii="Arial" w:hAnsi="Arial"/>
          <w:sz w:val="20"/>
          <w:lang w:val="en-US"/>
        </w:rPr>
        <w:t xml:space="preserve"> with the forms and state of play of BOR in member states and started to prepare the text of </w:t>
      </w:r>
      <w:r w:rsidR="002F6F7A">
        <w:rPr>
          <w:rFonts w:ascii="Arial" w:hAnsi="Arial"/>
          <w:sz w:val="20"/>
          <w:lang w:val="en-US"/>
        </w:rPr>
        <w:t xml:space="preserve">the </w:t>
      </w:r>
      <w:r w:rsidR="00F759A5" w:rsidRPr="006E20A2">
        <w:rPr>
          <w:rFonts w:ascii="Arial" w:hAnsi="Arial"/>
          <w:sz w:val="20"/>
          <w:lang w:val="en-US"/>
        </w:rPr>
        <w:t xml:space="preserve">Commission </w:t>
      </w:r>
      <w:r w:rsidR="00BF7D37" w:rsidRPr="006E20A2">
        <w:rPr>
          <w:rFonts w:ascii="Arial" w:hAnsi="Arial"/>
          <w:sz w:val="20"/>
          <w:lang w:val="en-US"/>
        </w:rPr>
        <w:t>implementing</w:t>
      </w:r>
      <w:r w:rsidR="00F759A5" w:rsidRPr="006E20A2">
        <w:rPr>
          <w:rFonts w:ascii="Arial" w:hAnsi="Arial"/>
          <w:sz w:val="20"/>
          <w:lang w:val="en-US"/>
        </w:rPr>
        <w:t xml:space="preserve"> regulation on establishing the technical specifications and procedures required for the system of interconnection of central registers referred to in Directive (EU) 2015/849 of the European Parliament and of the Council.</w:t>
      </w:r>
    </w:p>
    <w:p w14:paraId="6D979910" w14:textId="77777777" w:rsidR="000E0460" w:rsidRPr="006E20A2" w:rsidRDefault="000E0460" w:rsidP="000E0460">
      <w:pPr>
        <w:spacing w:line="276" w:lineRule="auto"/>
        <w:rPr>
          <w:rFonts w:ascii="Arial" w:hAnsi="Arial"/>
          <w:sz w:val="20"/>
          <w:lang w:val="en-US"/>
        </w:rPr>
      </w:pPr>
    </w:p>
    <w:p w14:paraId="6188F96A" w14:textId="77777777" w:rsidR="00AC6E5C" w:rsidRPr="006E20A2" w:rsidRDefault="00AC6E5C" w:rsidP="00A8652F">
      <w:pPr>
        <w:widowControl/>
        <w:spacing w:line="276" w:lineRule="auto"/>
        <w:rPr>
          <w:rFonts w:ascii="Arial" w:hAnsi="Arial"/>
          <w:sz w:val="20"/>
          <w:lang w:val="en-US"/>
        </w:rPr>
      </w:pPr>
    </w:p>
    <w:p w14:paraId="2059AD22" w14:textId="380E3500" w:rsidR="002F64F4" w:rsidRPr="006E20A2" w:rsidRDefault="00F759A5" w:rsidP="00AC6E5C">
      <w:pPr>
        <w:pStyle w:val="Naslov2"/>
        <w:rPr>
          <w:lang w:val="en-US"/>
        </w:rPr>
      </w:pPr>
      <w:bookmarkStart w:id="91" w:name="_Toc74461975"/>
      <w:bookmarkStart w:id="92" w:name="_Toc135206761"/>
      <w:bookmarkStart w:id="93" w:name="_Toc505573540"/>
      <w:bookmarkStart w:id="94" w:name="_Toc506877165"/>
      <w:bookmarkStart w:id="95" w:name="_Toc6633746"/>
      <w:bookmarkStart w:id="96" w:name="_Toc43532595"/>
      <w:bookmarkStart w:id="97" w:name="_Toc478192120"/>
      <w:bookmarkStart w:id="98" w:name="_Toc505573537"/>
      <w:bookmarkStart w:id="99" w:name="_Toc506877162"/>
      <w:bookmarkStart w:id="100" w:name="_Toc6633743"/>
      <w:bookmarkStart w:id="101" w:name="_Toc43532592"/>
      <w:bookmarkStart w:id="102" w:name="_Toc107306537"/>
      <w:bookmarkEnd w:id="82"/>
      <w:bookmarkEnd w:id="83"/>
      <w:bookmarkEnd w:id="84"/>
      <w:bookmarkEnd w:id="85"/>
      <w:bookmarkEnd w:id="86"/>
      <w:bookmarkEnd w:id="87"/>
      <w:r w:rsidRPr="006E20A2">
        <w:rPr>
          <w:lang w:val="en-US"/>
        </w:rPr>
        <w:t>PARTICIPATION IN PROFESSIONAL TRAINING</w:t>
      </w:r>
    </w:p>
    <w:p w14:paraId="2B53B6D0" w14:textId="77777777" w:rsidR="002F64F4" w:rsidRPr="006E20A2" w:rsidRDefault="002F64F4" w:rsidP="00D21F86">
      <w:pPr>
        <w:pStyle w:val="Noga"/>
        <w:tabs>
          <w:tab w:val="clear" w:pos="4153"/>
          <w:tab w:val="clear" w:pos="8306"/>
        </w:tabs>
        <w:spacing w:line="276" w:lineRule="auto"/>
        <w:rPr>
          <w:rFonts w:ascii="Arial" w:hAnsi="Arial"/>
          <w:lang w:val="en-US"/>
        </w:rPr>
      </w:pPr>
    </w:p>
    <w:p w14:paraId="486AF223" w14:textId="606F61D6" w:rsidR="000D2827" w:rsidRPr="006E20A2" w:rsidRDefault="00F759A5" w:rsidP="000D2827">
      <w:pPr>
        <w:widowControl/>
        <w:spacing w:line="276" w:lineRule="auto"/>
        <w:rPr>
          <w:rFonts w:ascii="Arial" w:hAnsi="Arial"/>
          <w:bCs/>
          <w:iCs/>
          <w:sz w:val="20"/>
          <w:lang w:val="en-US"/>
        </w:rPr>
      </w:pPr>
      <w:bookmarkStart w:id="103" w:name="_Toc107306514"/>
      <w:bookmarkStart w:id="104" w:name="_Toc134427541"/>
      <w:bookmarkStart w:id="105" w:name="_Toc200524167"/>
      <w:bookmarkStart w:id="106" w:name="_Toc200853563"/>
      <w:bookmarkStart w:id="107" w:name="_Toc227744146"/>
      <w:bookmarkStart w:id="108" w:name="_Toc292714859"/>
      <w:bookmarkStart w:id="109" w:name="_Toc325462254"/>
      <w:bookmarkStart w:id="110" w:name="_Toc402346337"/>
      <w:bookmarkStart w:id="111" w:name="_Toc529353604"/>
      <w:bookmarkStart w:id="112" w:name="_Toc107306515"/>
      <w:bookmarkStart w:id="113" w:name="_Toc134427542"/>
      <w:bookmarkStart w:id="114" w:name="_Toc200524168"/>
      <w:bookmarkStart w:id="115" w:name="_Toc200853564"/>
      <w:bookmarkStart w:id="116" w:name="_Toc227744147"/>
      <w:bookmarkStart w:id="117" w:name="_Toc292714860"/>
      <w:bookmarkStart w:id="118" w:name="_Toc325462255"/>
      <w:bookmarkStart w:id="119" w:name="_Toc43532576"/>
      <w:r w:rsidRPr="006E20A2">
        <w:rPr>
          <w:rFonts w:ascii="Arial" w:hAnsi="Arial"/>
          <w:sz w:val="20"/>
          <w:lang w:val="en-US"/>
        </w:rPr>
        <w:t xml:space="preserve">According to </w:t>
      </w:r>
      <w:r w:rsidR="007C29E0">
        <w:rPr>
          <w:rFonts w:ascii="Arial" w:hAnsi="Arial"/>
          <w:sz w:val="20"/>
          <w:lang w:val="en-US"/>
        </w:rPr>
        <w:t xml:space="preserve">the </w:t>
      </w:r>
      <w:r w:rsidRPr="006E20A2">
        <w:rPr>
          <w:rFonts w:ascii="Arial" w:hAnsi="Arial"/>
          <w:sz w:val="20"/>
          <w:lang w:val="en-US"/>
        </w:rPr>
        <w:t xml:space="preserve">point 6 of first paragraph of Article </w:t>
      </w:r>
      <w:r w:rsidR="000D2827" w:rsidRPr="006E20A2">
        <w:rPr>
          <w:rFonts w:ascii="Arial" w:hAnsi="Arial"/>
          <w:sz w:val="20"/>
          <w:lang w:val="en-US"/>
        </w:rPr>
        <w:t xml:space="preserve">79. </w:t>
      </w:r>
      <w:r w:rsidRPr="006E20A2">
        <w:rPr>
          <w:rFonts w:ascii="Arial" w:hAnsi="Arial"/>
          <w:sz w:val="20"/>
          <w:lang w:val="en-US"/>
        </w:rPr>
        <w:t>of</w:t>
      </w:r>
      <w:r w:rsidR="000D2827" w:rsidRPr="006E20A2">
        <w:rPr>
          <w:rFonts w:ascii="Arial" w:hAnsi="Arial"/>
          <w:sz w:val="20"/>
          <w:lang w:val="en-US"/>
        </w:rPr>
        <w:t xml:space="preserve"> </w:t>
      </w:r>
      <w:r w:rsidRPr="006E20A2">
        <w:rPr>
          <w:rFonts w:ascii="Arial" w:hAnsi="Arial"/>
          <w:sz w:val="20"/>
          <w:lang w:val="en-US"/>
        </w:rPr>
        <w:t xml:space="preserve">APMLFT-1 and </w:t>
      </w:r>
      <w:r w:rsidR="002F6F7A">
        <w:rPr>
          <w:rFonts w:ascii="Arial" w:hAnsi="Arial"/>
          <w:sz w:val="20"/>
          <w:lang w:val="en-US"/>
        </w:rPr>
        <w:t xml:space="preserve">the </w:t>
      </w:r>
      <w:r w:rsidRPr="006E20A2">
        <w:rPr>
          <w:rFonts w:ascii="Arial" w:hAnsi="Arial"/>
          <w:sz w:val="20"/>
          <w:lang w:val="en-US"/>
        </w:rPr>
        <w:t xml:space="preserve">Rules on the performance of internal control, </w:t>
      </w:r>
      <w:r w:rsidR="00BF7D37" w:rsidRPr="006E20A2">
        <w:rPr>
          <w:rFonts w:ascii="Arial" w:hAnsi="Arial"/>
          <w:sz w:val="20"/>
          <w:lang w:val="en-US"/>
        </w:rPr>
        <w:t>authorized</w:t>
      </w:r>
      <w:r w:rsidRPr="006E20A2">
        <w:rPr>
          <w:rFonts w:ascii="Arial" w:hAnsi="Arial"/>
          <w:sz w:val="20"/>
          <w:lang w:val="en-US"/>
        </w:rPr>
        <w:t xml:space="preserve"> persons, the storage and protection of data, professional training, and management of records by obliged persons </w:t>
      </w:r>
      <w:r w:rsidR="000D2827" w:rsidRPr="006E20A2">
        <w:rPr>
          <w:rFonts w:ascii="Arial" w:hAnsi="Arial"/>
          <w:sz w:val="20"/>
          <w:lang w:val="en-US"/>
        </w:rPr>
        <w:t>(</w:t>
      </w:r>
      <w:r w:rsidRPr="006E20A2">
        <w:rPr>
          <w:rFonts w:ascii="Arial" w:hAnsi="Arial"/>
          <w:sz w:val="20"/>
          <w:lang w:val="en-US"/>
        </w:rPr>
        <w:t>Official Gazette of the Republic of Slovenia No.</w:t>
      </w:r>
      <w:r w:rsidR="000D2827" w:rsidRPr="006E20A2">
        <w:rPr>
          <w:rFonts w:ascii="Arial" w:hAnsi="Arial"/>
          <w:sz w:val="20"/>
          <w:lang w:val="en-US"/>
        </w:rPr>
        <w:t xml:space="preserve"> 54/17) </w:t>
      </w:r>
      <w:r w:rsidR="00E1293E" w:rsidRPr="006E20A2">
        <w:rPr>
          <w:rFonts w:ascii="Arial" w:hAnsi="Arial"/>
          <w:sz w:val="20"/>
          <w:lang w:val="en-US"/>
        </w:rPr>
        <w:t>the obliged entities from Article 4 of APMLFT</w:t>
      </w:r>
      <w:r w:rsidR="006F0D0F" w:rsidRPr="006E20A2">
        <w:rPr>
          <w:rFonts w:ascii="Arial" w:hAnsi="Arial"/>
          <w:sz w:val="20"/>
          <w:lang w:val="en-US"/>
        </w:rPr>
        <w:t xml:space="preserve">-1 must ensure regular professional training in relation to prevention of money laundering and terrorist financing for all employees performing tasks from APMLFT-1. In 2020 the representatives of the OMLP participated </w:t>
      </w:r>
      <w:r w:rsidR="00C03019">
        <w:rPr>
          <w:rFonts w:ascii="Arial" w:hAnsi="Arial"/>
          <w:sz w:val="20"/>
          <w:lang w:val="en-US"/>
        </w:rPr>
        <w:t>in</w:t>
      </w:r>
      <w:r w:rsidR="00C03019" w:rsidRPr="006E20A2">
        <w:rPr>
          <w:rFonts w:ascii="Arial" w:hAnsi="Arial"/>
          <w:sz w:val="20"/>
          <w:lang w:val="en-US"/>
        </w:rPr>
        <w:t xml:space="preserve"> </w:t>
      </w:r>
      <w:r w:rsidR="006F0D0F" w:rsidRPr="006E20A2">
        <w:rPr>
          <w:rFonts w:ascii="Arial" w:hAnsi="Arial"/>
          <w:sz w:val="20"/>
          <w:lang w:val="en-US"/>
        </w:rPr>
        <w:t xml:space="preserve">17 </w:t>
      </w:r>
      <w:r w:rsidR="00BF7D37" w:rsidRPr="006E20A2">
        <w:rPr>
          <w:rFonts w:ascii="Arial" w:hAnsi="Arial"/>
          <w:sz w:val="20"/>
          <w:lang w:val="en-US"/>
        </w:rPr>
        <w:t>training</w:t>
      </w:r>
      <w:r w:rsidR="00C03019">
        <w:rPr>
          <w:rFonts w:ascii="Arial" w:hAnsi="Arial"/>
          <w:sz w:val="20"/>
          <w:lang w:val="en-US"/>
        </w:rPr>
        <w:t>s</w:t>
      </w:r>
      <w:r w:rsidR="006F0D0F" w:rsidRPr="006E20A2">
        <w:rPr>
          <w:rFonts w:ascii="Arial" w:hAnsi="Arial"/>
          <w:sz w:val="20"/>
          <w:lang w:val="en-US"/>
        </w:rPr>
        <w:t xml:space="preserve"> with their presentations in Slovenia and abroad </w:t>
      </w:r>
      <w:r w:rsidR="00BF7D37" w:rsidRPr="006E20A2">
        <w:rPr>
          <w:rFonts w:ascii="Arial" w:hAnsi="Arial"/>
          <w:sz w:val="20"/>
          <w:lang w:val="en-US"/>
        </w:rPr>
        <w:t>that</w:t>
      </w:r>
      <w:r w:rsidR="006F0D0F" w:rsidRPr="006E20A2">
        <w:rPr>
          <w:rFonts w:ascii="Arial" w:hAnsi="Arial"/>
          <w:sz w:val="20"/>
          <w:lang w:val="en-US"/>
        </w:rPr>
        <w:t xml:space="preserve"> were mainly held virtually due to COVID-19.</w:t>
      </w:r>
    </w:p>
    <w:bookmarkEnd w:id="103"/>
    <w:bookmarkEnd w:id="104"/>
    <w:bookmarkEnd w:id="105"/>
    <w:bookmarkEnd w:id="106"/>
    <w:bookmarkEnd w:id="107"/>
    <w:bookmarkEnd w:id="108"/>
    <w:bookmarkEnd w:id="109"/>
    <w:bookmarkEnd w:id="110"/>
    <w:bookmarkEnd w:id="111"/>
    <w:p w14:paraId="7D2ACB6B" w14:textId="77777777" w:rsidR="00446A4A" w:rsidRPr="006E20A2" w:rsidRDefault="00446A4A" w:rsidP="001F1A55">
      <w:pPr>
        <w:widowControl/>
        <w:spacing w:line="276" w:lineRule="auto"/>
        <w:contextualSpacing/>
        <w:rPr>
          <w:rFonts w:ascii="Arial" w:hAnsi="Arial" w:cs="Times New Roman"/>
          <w:sz w:val="20"/>
          <w:szCs w:val="24"/>
          <w:lang w:val="en-US"/>
        </w:rPr>
      </w:pPr>
    </w:p>
    <w:p w14:paraId="08DD9A27" w14:textId="05C9127A" w:rsidR="002A2FEC" w:rsidRPr="006E20A2" w:rsidRDefault="006F0D0F" w:rsidP="00446A4A">
      <w:pPr>
        <w:pStyle w:val="Naslov2"/>
        <w:rPr>
          <w:lang w:val="en-US"/>
        </w:rPr>
      </w:pPr>
      <w:bookmarkStart w:id="120" w:name="_Toc292714861"/>
      <w:bookmarkStart w:id="121" w:name="_Toc325462256"/>
      <w:bookmarkStart w:id="122" w:name="_Toc402346338"/>
      <w:bookmarkStart w:id="123" w:name="_Toc113535495"/>
      <w:bookmarkEnd w:id="112"/>
      <w:bookmarkEnd w:id="113"/>
      <w:bookmarkEnd w:id="114"/>
      <w:bookmarkEnd w:id="115"/>
      <w:bookmarkEnd w:id="116"/>
      <w:bookmarkEnd w:id="117"/>
      <w:bookmarkEnd w:id="118"/>
      <w:r w:rsidRPr="006E20A2">
        <w:rPr>
          <w:lang w:val="en-US"/>
        </w:rPr>
        <w:t xml:space="preserve">SUPERVISION </w:t>
      </w:r>
      <w:r w:rsidR="000E29F8" w:rsidRPr="006E20A2">
        <w:rPr>
          <w:lang w:val="en-US"/>
        </w:rPr>
        <w:t>OF IMPLEMENTATION OF PROVISIONS OF APMLFT-1 AT OBLIGE</w:t>
      </w:r>
      <w:r w:rsidR="007C29E0">
        <w:rPr>
          <w:lang w:val="en-US"/>
        </w:rPr>
        <w:t>D</w:t>
      </w:r>
      <w:r w:rsidR="000E29F8" w:rsidRPr="006E20A2">
        <w:rPr>
          <w:lang w:val="en-US"/>
        </w:rPr>
        <w:t xml:space="preserve"> ENTITIES</w:t>
      </w:r>
      <w:bookmarkEnd w:id="120"/>
      <w:bookmarkEnd w:id="121"/>
      <w:bookmarkEnd w:id="122"/>
      <w:bookmarkEnd w:id="123"/>
      <w:r w:rsidR="002F64F4" w:rsidRPr="006E20A2">
        <w:rPr>
          <w:lang w:val="en-US"/>
        </w:rPr>
        <w:t xml:space="preserve"> </w:t>
      </w:r>
      <w:bookmarkStart w:id="124" w:name="_Toc292714862"/>
      <w:bookmarkStart w:id="125" w:name="_Toc325462257"/>
      <w:bookmarkStart w:id="126" w:name="_Toc402346339"/>
    </w:p>
    <w:p w14:paraId="386F8F41" w14:textId="5C04C799" w:rsidR="002A2FEC" w:rsidRPr="006E20A2" w:rsidRDefault="00292A8B" w:rsidP="00BA5BC9">
      <w:pPr>
        <w:pStyle w:val="Naslov3"/>
        <w:rPr>
          <w:lang w:val="en-US"/>
        </w:rPr>
      </w:pPr>
      <w:bookmarkStart w:id="127" w:name="_Toc113535496"/>
      <w:r w:rsidRPr="006E20A2">
        <w:rPr>
          <w:lang w:val="en-US"/>
        </w:rPr>
        <w:t xml:space="preserve">5.4.1 </w:t>
      </w:r>
      <w:bookmarkEnd w:id="127"/>
      <w:r w:rsidR="000E29F8" w:rsidRPr="006E20A2">
        <w:rPr>
          <w:lang w:val="en-US"/>
        </w:rPr>
        <w:t>Supervision procedures</w:t>
      </w:r>
    </w:p>
    <w:p w14:paraId="2AD77639" w14:textId="77777777" w:rsidR="002A2FEC" w:rsidRPr="006E20A2" w:rsidRDefault="002A2FEC" w:rsidP="00D21F86">
      <w:pPr>
        <w:spacing w:line="276" w:lineRule="auto"/>
        <w:rPr>
          <w:rFonts w:ascii="Arial" w:hAnsi="Arial"/>
          <w:sz w:val="20"/>
          <w:u w:val="single"/>
          <w:lang w:val="en-US"/>
        </w:rPr>
      </w:pPr>
    </w:p>
    <w:p w14:paraId="02286AFC" w14:textId="2C0943A2" w:rsidR="000E29F8" w:rsidRPr="006E20A2" w:rsidRDefault="000E29F8" w:rsidP="00917725">
      <w:pPr>
        <w:spacing w:line="276" w:lineRule="auto"/>
        <w:rPr>
          <w:rFonts w:ascii="Arial" w:hAnsi="Arial"/>
          <w:sz w:val="20"/>
          <w:lang w:val="en-US"/>
        </w:rPr>
      </w:pPr>
      <w:bookmarkStart w:id="128" w:name="_Toc292714863"/>
      <w:bookmarkStart w:id="129" w:name="_Toc325462258"/>
      <w:bookmarkStart w:id="130" w:name="_Toc402346340"/>
      <w:bookmarkEnd w:id="119"/>
      <w:bookmarkEnd w:id="124"/>
      <w:bookmarkEnd w:id="125"/>
      <w:bookmarkEnd w:id="126"/>
      <w:r w:rsidRPr="006E20A2">
        <w:rPr>
          <w:rFonts w:ascii="Arial" w:hAnsi="Arial"/>
          <w:sz w:val="20"/>
          <w:lang w:val="en-US"/>
        </w:rPr>
        <w:t xml:space="preserve">The supervisory tasks are from the </w:t>
      </w:r>
      <w:r w:rsidR="00BF7D37" w:rsidRPr="006E20A2">
        <w:rPr>
          <w:rFonts w:ascii="Arial" w:hAnsi="Arial"/>
          <w:sz w:val="20"/>
          <w:lang w:val="en-US"/>
        </w:rPr>
        <w:t>organizational</w:t>
      </w:r>
      <w:r w:rsidRPr="006E20A2">
        <w:rPr>
          <w:rFonts w:ascii="Arial" w:hAnsi="Arial"/>
          <w:sz w:val="20"/>
          <w:lang w:val="en-US"/>
        </w:rPr>
        <w:t xml:space="preserve"> point of view placed in the Department for prevention and supervision, </w:t>
      </w:r>
      <w:r w:rsidR="007C29E0">
        <w:rPr>
          <w:rFonts w:ascii="Arial" w:hAnsi="Arial"/>
          <w:sz w:val="20"/>
          <w:lang w:val="en-US"/>
        </w:rPr>
        <w:t xml:space="preserve">which </w:t>
      </w:r>
      <w:r w:rsidR="0008223F">
        <w:rPr>
          <w:rFonts w:ascii="Arial" w:hAnsi="Arial"/>
          <w:sz w:val="20"/>
          <w:lang w:val="en-US"/>
        </w:rPr>
        <w:t xml:space="preserve">has </w:t>
      </w:r>
      <w:r w:rsidR="007C29E0">
        <w:rPr>
          <w:rFonts w:ascii="Arial" w:hAnsi="Arial"/>
          <w:sz w:val="20"/>
          <w:lang w:val="en-US"/>
        </w:rPr>
        <w:t xml:space="preserve">also several other duties, </w:t>
      </w:r>
      <w:r w:rsidRPr="006E20A2">
        <w:rPr>
          <w:rFonts w:ascii="Arial" w:hAnsi="Arial"/>
          <w:sz w:val="20"/>
          <w:lang w:val="en-US"/>
        </w:rPr>
        <w:t xml:space="preserve">described in the previous parts of this report. </w:t>
      </w:r>
    </w:p>
    <w:p w14:paraId="46665B26" w14:textId="37C4561D" w:rsidR="00917725" w:rsidRPr="006E20A2" w:rsidRDefault="00917725" w:rsidP="00917725">
      <w:pPr>
        <w:spacing w:line="276" w:lineRule="auto"/>
        <w:rPr>
          <w:rFonts w:ascii="Arial" w:hAnsi="Arial"/>
          <w:sz w:val="20"/>
          <w:lang w:val="en-US"/>
        </w:rPr>
      </w:pPr>
      <w:r w:rsidRPr="006E20A2">
        <w:rPr>
          <w:rFonts w:ascii="Arial" w:hAnsi="Arial"/>
          <w:sz w:val="20"/>
          <w:lang w:val="en-US"/>
        </w:rPr>
        <w:t xml:space="preserve"> </w:t>
      </w:r>
    </w:p>
    <w:p w14:paraId="5FC3886F" w14:textId="5D71BD64" w:rsidR="00917725" w:rsidRPr="006E20A2" w:rsidRDefault="000E29F8" w:rsidP="00917725">
      <w:pPr>
        <w:spacing w:line="276" w:lineRule="auto"/>
        <w:rPr>
          <w:rFonts w:ascii="Arial" w:hAnsi="Arial"/>
          <w:sz w:val="20"/>
          <w:lang w:val="en-US"/>
        </w:rPr>
      </w:pPr>
      <w:r w:rsidRPr="006E20A2">
        <w:rPr>
          <w:rFonts w:ascii="Arial" w:hAnsi="Arial"/>
          <w:sz w:val="20"/>
          <w:lang w:val="en-US"/>
        </w:rPr>
        <w:t xml:space="preserve">Due to </w:t>
      </w:r>
      <w:r w:rsidR="007C29E0">
        <w:rPr>
          <w:rFonts w:ascii="Arial" w:hAnsi="Arial"/>
          <w:sz w:val="20"/>
          <w:lang w:val="en-US"/>
        </w:rPr>
        <w:t xml:space="preserve">the </w:t>
      </w:r>
      <w:r w:rsidRPr="006E20A2">
        <w:rPr>
          <w:rFonts w:ascii="Arial" w:hAnsi="Arial"/>
          <w:sz w:val="20"/>
          <w:lang w:val="en-US"/>
        </w:rPr>
        <w:t xml:space="preserve">low number of employes in the Department, two vacancy </w:t>
      </w:r>
      <w:r w:rsidR="00C14A4A" w:rsidRPr="006E20A2">
        <w:rPr>
          <w:rFonts w:ascii="Arial" w:hAnsi="Arial"/>
          <w:sz w:val="20"/>
          <w:lang w:val="en-US"/>
        </w:rPr>
        <w:t>tenders for supervisors were published</w:t>
      </w:r>
      <w:r w:rsidR="00E00D16" w:rsidRPr="006E20A2">
        <w:rPr>
          <w:rFonts w:ascii="Arial" w:hAnsi="Arial"/>
          <w:sz w:val="20"/>
          <w:lang w:val="en-US"/>
        </w:rPr>
        <w:t>.</w:t>
      </w:r>
      <w:r w:rsidR="00917725" w:rsidRPr="006E20A2">
        <w:rPr>
          <w:rFonts w:ascii="Arial" w:hAnsi="Arial"/>
          <w:sz w:val="20"/>
          <w:lang w:val="en-US"/>
        </w:rPr>
        <w:t xml:space="preserve"> </w:t>
      </w:r>
      <w:r w:rsidR="0008223F">
        <w:rPr>
          <w:rFonts w:ascii="Arial" w:hAnsi="Arial"/>
          <w:sz w:val="20"/>
          <w:lang w:val="en-US"/>
        </w:rPr>
        <w:t>The m</w:t>
      </w:r>
      <w:r w:rsidR="00C14A4A" w:rsidRPr="006E20A2">
        <w:rPr>
          <w:rFonts w:ascii="Arial" w:hAnsi="Arial"/>
          <w:sz w:val="20"/>
          <w:lang w:val="en-US"/>
        </w:rPr>
        <w:t xml:space="preserve">ain obstacles for more efficient supervision </w:t>
      </w:r>
      <w:r w:rsidR="007C29E0">
        <w:rPr>
          <w:rFonts w:ascii="Arial" w:hAnsi="Arial"/>
          <w:sz w:val="20"/>
          <w:lang w:val="en-US"/>
        </w:rPr>
        <w:t>are</w:t>
      </w:r>
      <w:r w:rsidR="00C14A4A" w:rsidRPr="006E20A2">
        <w:rPr>
          <w:rFonts w:ascii="Arial" w:hAnsi="Arial"/>
          <w:sz w:val="20"/>
          <w:lang w:val="en-US"/>
        </w:rPr>
        <w:t xml:space="preserve"> the </w:t>
      </w:r>
      <w:r w:rsidR="00BF7D37" w:rsidRPr="006E20A2">
        <w:rPr>
          <w:rFonts w:ascii="Arial" w:hAnsi="Arial"/>
          <w:sz w:val="20"/>
          <w:lang w:val="en-US"/>
        </w:rPr>
        <w:t>lack</w:t>
      </w:r>
      <w:r w:rsidR="00C14A4A" w:rsidRPr="006E20A2">
        <w:rPr>
          <w:rFonts w:ascii="Arial" w:hAnsi="Arial"/>
          <w:sz w:val="20"/>
          <w:lang w:val="en-US"/>
        </w:rPr>
        <w:t xml:space="preserve"> of staff and other tasks that the department </w:t>
      </w:r>
      <w:proofErr w:type="gramStart"/>
      <w:r w:rsidR="00C14A4A" w:rsidRPr="006E20A2">
        <w:rPr>
          <w:rFonts w:ascii="Arial" w:hAnsi="Arial"/>
          <w:sz w:val="20"/>
          <w:lang w:val="en-US"/>
        </w:rPr>
        <w:t>has to</w:t>
      </w:r>
      <w:proofErr w:type="gramEnd"/>
      <w:r w:rsidR="00C14A4A" w:rsidRPr="006E20A2">
        <w:rPr>
          <w:rFonts w:ascii="Arial" w:hAnsi="Arial"/>
          <w:sz w:val="20"/>
          <w:lang w:val="en-US"/>
        </w:rPr>
        <w:t xml:space="preserve"> perform besides the supervision.</w:t>
      </w:r>
    </w:p>
    <w:p w14:paraId="6686430D" w14:textId="77777777" w:rsidR="000E29F8" w:rsidRPr="006E20A2" w:rsidRDefault="000E29F8" w:rsidP="00917725">
      <w:pPr>
        <w:spacing w:line="276" w:lineRule="auto"/>
        <w:rPr>
          <w:rFonts w:ascii="Arial" w:hAnsi="Arial"/>
          <w:sz w:val="20"/>
          <w:lang w:val="en-US"/>
        </w:rPr>
      </w:pPr>
    </w:p>
    <w:p w14:paraId="46C8C3C4" w14:textId="7117D74A" w:rsidR="001771BC" w:rsidRPr="006E20A2" w:rsidRDefault="00C14A4A" w:rsidP="001771BC">
      <w:pPr>
        <w:spacing w:line="276" w:lineRule="auto"/>
        <w:rPr>
          <w:rFonts w:ascii="Arial" w:hAnsi="Arial"/>
          <w:sz w:val="20"/>
          <w:lang w:val="en-US"/>
        </w:rPr>
      </w:pPr>
      <w:r w:rsidRPr="006E20A2">
        <w:rPr>
          <w:rFonts w:ascii="Arial" w:hAnsi="Arial"/>
          <w:sz w:val="20"/>
          <w:lang w:val="en-US"/>
        </w:rPr>
        <w:t xml:space="preserve">According to the adopted strategic orientation and priorities for 2020 the OMLP continued to execute supervisions </w:t>
      </w:r>
      <w:r w:rsidR="0008223F">
        <w:rPr>
          <w:rFonts w:ascii="Arial" w:hAnsi="Arial"/>
          <w:sz w:val="20"/>
          <w:lang w:val="en-US"/>
        </w:rPr>
        <w:t>of</w:t>
      </w:r>
      <w:r w:rsidR="0008223F" w:rsidRPr="006E20A2">
        <w:rPr>
          <w:rFonts w:ascii="Arial" w:hAnsi="Arial"/>
          <w:sz w:val="20"/>
          <w:lang w:val="en-US"/>
        </w:rPr>
        <w:t xml:space="preserve"> </w:t>
      </w:r>
      <w:r w:rsidRPr="006E20A2">
        <w:rPr>
          <w:rFonts w:ascii="Arial" w:hAnsi="Arial"/>
          <w:sz w:val="20"/>
          <w:lang w:val="en-US"/>
        </w:rPr>
        <w:t>natural and legal persons performing accounting services, tax advisors and fiduciary services</w:t>
      </w:r>
      <w:r w:rsidR="00917725" w:rsidRPr="006E20A2">
        <w:rPr>
          <w:rFonts w:ascii="Arial" w:hAnsi="Arial"/>
          <w:sz w:val="20"/>
          <w:lang w:val="en-US"/>
        </w:rPr>
        <w:t>.</w:t>
      </w:r>
      <w:bookmarkStart w:id="131" w:name="_Hlk69394456"/>
      <w:r w:rsidR="00917725" w:rsidRPr="006E20A2">
        <w:rPr>
          <w:rFonts w:ascii="Arial" w:hAnsi="Arial"/>
          <w:sz w:val="20"/>
          <w:lang w:val="en-US"/>
        </w:rPr>
        <w:t xml:space="preserve"> </w:t>
      </w:r>
      <w:r w:rsidRPr="006E20A2">
        <w:rPr>
          <w:rFonts w:ascii="Arial" w:hAnsi="Arial"/>
          <w:sz w:val="20"/>
          <w:lang w:val="en-US"/>
        </w:rPr>
        <w:t xml:space="preserve">In 2020 the OMLP performed 50 on site supervisions and </w:t>
      </w:r>
      <w:r w:rsidR="009773CE" w:rsidRPr="006E20A2">
        <w:rPr>
          <w:rFonts w:ascii="Arial" w:hAnsi="Arial"/>
          <w:sz w:val="20"/>
          <w:lang w:val="en-US"/>
        </w:rPr>
        <w:t xml:space="preserve">issued 46 regulatory decisions. Due to COVID-19, 103 off site </w:t>
      </w:r>
      <w:r w:rsidR="00BF7D37" w:rsidRPr="006E20A2">
        <w:rPr>
          <w:rFonts w:ascii="Arial" w:hAnsi="Arial"/>
          <w:sz w:val="20"/>
          <w:lang w:val="en-US"/>
        </w:rPr>
        <w:t>supervisions</w:t>
      </w:r>
      <w:r w:rsidR="009773CE" w:rsidRPr="006E20A2">
        <w:rPr>
          <w:rFonts w:ascii="Arial" w:hAnsi="Arial"/>
          <w:sz w:val="20"/>
          <w:lang w:val="en-US"/>
        </w:rPr>
        <w:t xml:space="preserve"> with </w:t>
      </w:r>
      <w:r w:rsidR="00BF7D37">
        <w:rPr>
          <w:rFonts w:ascii="Arial" w:hAnsi="Arial"/>
          <w:sz w:val="20"/>
          <w:lang w:val="en-US"/>
        </w:rPr>
        <w:t>question</w:t>
      </w:r>
      <w:r w:rsidR="00BF7D37" w:rsidRPr="006E20A2">
        <w:rPr>
          <w:rFonts w:ascii="Arial" w:hAnsi="Arial"/>
          <w:sz w:val="20"/>
          <w:lang w:val="en-US"/>
        </w:rPr>
        <w:t>nair</w:t>
      </w:r>
      <w:r w:rsidR="00BF7D37">
        <w:rPr>
          <w:rFonts w:ascii="Arial" w:hAnsi="Arial"/>
          <w:sz w:val="20"/>
          <w:lang w:val="en-US"/>
        </w:rPr>
        <w:t xml:space="preserve">es </w:t>
      </w:r>
      <w:r w:rsidR="009773CE" w:rsidRPr="006E20A2">
        <w:rPr>
          <w:rFonts w:ascii="Arial" w:hAnsi="Arial"/>
          <w:sz w:val="20"/>
          <w:lang w:val="en-US"/>
        </w:rPr>
        <w:t xml:space="preserve">on activities of business entities in the field of </w:t>
      </w:r>
      <w:r w:rsidR="0008223F">
        <w:rPr>
          <w:rFonts w:ascii="Arial" w:hAnsi="Arial"/>
          <w:sz w:val="20"/>
          <w:lang w:val="en-US"/>
        </w:rPr>
        <w:t>A</w:t>
      </w:r>
      <w:r w:rsidR="0008223F" w:rsidRPr="006E20A2">
        <w:rPr>
          <w:rFonts w:ascii="Arial" w:hAnsi="Arial"/>
          <w:sz w:val="20"/>
          <w:lang w:val="en-US"/>
        </w:rPr>
        <w:t>ML</w:t>
      </w:r>
      <w:r w:rsidR="009773CE" w:rsidRPr="006E20A2">
        <w:rPr>
          <w:rFonts w:ascii="Arial" w:hAnsi="Arial"/>
          <w:sz w:val="20"/>
          <w:lang w:val="en-US"/>
        </w:rPr>
        <w:t>/TF were performed</w:t>
      </w:r>
      <w:r w:rsidR="00917725" w:rsidRPr="006E20A2">
        <w:rPr>
          <w:rFonts w:ascii="Arial" w:hAnsi="Arial"/>
          <w:sz w:val="20"/>
          <w:lang w:val="en-US"/>
        </w:rPr>
        <w:t xml:space="preserve">, </w:t>
      </w:r>
      <w:r w:rsidR="001771BC" w:rsidRPr="006E20A2">
        <w:rPr>
          <w:rFonts w:ascii="Arial" w:hAnsi="Arial"/>
          <w:sz w:val="20"/>
          <w:lang w:val="en-US"/>
        </w:rPr>
        <w:t xml:space="preserve">one decision to remedy irregularities was issued and one </w:t>
      </w:r>
      <w:r w:rsidR="00BF7D37" w:rsidRPr="006E20A2">
        <w:rPr>
          <w:rFonts w:ascii="Arial" w:hAnsi="Arial"/>
          <w:sz w:val="20"/>
          <w:lang w:val="en-US"/>
        </w:rPr>
        <w:t>misdemeanor</w:t>
      </w:r>
      <w:r w:rsidR="001771BC" w:rsidRPr="006E20A2">
        <w:rPr>
          <w:rFonts w:ascii="Arial" w:hAnsi="Arial"/>
          <w:sz w:val="20"/>
          <w:lang w:val="en-US"/>
        </w:rPr>
        <w:t xml:space="preserve"> case opened</w:t>
      </w:r>
      <w:r w:rsidR="007104DB">
        <w:rPr>
          <w:rFonts w:ascii="Arial" w:hAnsi="Arial"/>
          <w:sz w:val="20"/>
          <w:lang w:val="en-US"/>
        </w:rPr>
        <w:t>.</w:t>
      </w:r>
    </w:p>
    <w:p w14:paraId="45DDDD67" w14:textId="1F0B088D" w:rsidR="001771BC" w:rsidRPr="006E20A2" w:rsidRDefault="001771BC" w:rsidP="001771BC">
      <w:pPr>
        <w:spacing w:line="276" w:lineRule="auto"/>
        <w:rPr>
          <w:rFonts w:ascii="Arial" w:hAnsi="Arial"/>
          <w:sz w:val="20"/>
          <w:lang w:val="en-US"/>
        </w:rPr>
      </w:pPr>
    </w:p>
    <w:bookmarkEnd w:id="131"/>
    <w:p w14:paraId="0EA89A80" w14:textId="61839F41" w:rsidR="00CC6FB5" w:rsidRPr="006E20A2" w:rsidRDefault="007C29E0" w:rsidP="00CC6FB5">
      <w:pPr>
        <w:spacing w:line="276" w:lineRule="auto"/>
        <w:rPr>
          <w:rFonts w:ascii="Arial" w:hAnsi="Arial"/>
          <w:sz w:val="20"/>
          <w:lang w:val="en-US"/>
        </w:rPr>
      </w:pPr>
      <w:r>
        <w:rPr>
          <w:rFonts w:ascii="Arial" w:hAnsi="Arial"/>
          <w:sz w:val="20"/>
          <w:lang w:val="en-US"/>
        </w:rPr>
        <w:t xml:space="preserve">With regard to the </w:t>
      </w:r>
      <w:r w:rsidR="00CC6FB5" w:rsidRPr="006E20A2">
        <w:rPr>
          <w:rFonts w:ascii="Arial" w:hAnsi="Arial"/>
          <w:sz w:val="20"/>
          <w:lang w:val="en-US"/>
        </w:rPr>
        <w:t>extent of entities</w:t>
      </w:r>
      <w:r>
        <w:rPr>
          <w:rFonts w:ascii="Arial" w:hAnsi="Arial"/>
          <w:sz w:val="20"/>
          <w:lang w:val="en-US"/>
        </w:rPr>
        <w:t xml:space="preserve"> obliged </w:t>
      </w:r>
      <w:r w:rsidR="00CC6FB5" w:rsidRPr="006E20A2">
        <w:rPr>
          <w:rFonts w:ascii="Arial" w:hAnsi="Arial"/>
          <w:sz w:val="20"/>
          <w:lang w:val="en-US"/>
        </w:rPr>
        <w:t xml:space="preserve">for the implementation of the provisions of the APMLFT-1 and the number and diversity of supervisory bodies supervising individual types of obliged entities (Bank of Slovenia, Securities Market Agency, Insurance supervision Agency, Financial Administration, Market Inspectorate, Agency for Public Oversight of Auditing, Slovenian Bar Association and Chamber of Notaries of Slovenia), the OMLP also foresees carrying out of inspections </w:t>
      </w:r>
      <w:r w:rsidR="00291DEB">
        <w:rPr>
          <w:rFonts w:ascii="Arial" w:hAnsi="Arial"/>
          <w:sz w:val="20"/>
          <w:lang w:val="en-US"/>
        </w:rPr>
        <w:t xml:space="preserve">that would include </w:t>
      </w:r>
      <w:r w:rsidR="00CC6FB5" w:rsidRPr="006E20A2">
        <w:rPr>
          <w:rFonts w:ascii="Arial" w:hAnsi="Arial"/>
          <w:sz w:val="20"/>
          <w:lang w:val="en-US"/>
        </w:rPr>
        <w:t xml:space="preserve">both independent inspections, especially at entities that do not have a primary supervisor, as well as joint inspections with other supervisors in order to </w:t>
      </w:r>
      <w:r w:rsidR="00BF7D37" w:rsidRPr="006E20A2">
        <w:rPr>
          <w:rFonts w:ascii="Arial" w:hAnsi="Arial"/>
          <w:sz w:val="20"/>
          <w:lang w:val="en-US"/>
        </w:rPr>
        <w:t>harmonize</w:t>
      </w:r>
      <w:r w:rsidR="00CC6FB5" w:rsidRPr="006E20A2">
        <w:rPr>
          <w:rFonts w:ascii="Arial" w:hAnsi="Arial"/>
          <w:sz w:val="20"/>
          <w:lang w:val="en-US"/>
        </w:rPr>
        <w:t xml:space="preserve"> supervisory practices and improve the implementation of the provisions of the APMLFT-1 in practice.</w:t>
      </w:r>
    </w:p>
    <w:p w14:paraId="70949F94" w14:textId="2E990313" w:rsidR="004352D3" w:rsidRPr="006E20A2" w:rsidRDefault="00292A8B" w:rsidP="00BA5BC9">
      <w:pPr>
        <w:pStyle w:val="Naslov3"/>
        <w:rPr>
          <w:lang w:val="en-US"/>
        </w:rPr>
      </w:pPr>
      <w:bookmarkStart w:id="132" w:name="_Toc113535497"/>
      <w:r w:rsidRPr="006E20A2">
        <w:rPr>
          <w:lang w:val="en-US"/>
        </w:rPr>
        <w:t xml:space="preserve">5.4.2 </w:t>
      </w:r>
      <w:bookmarkEnd w:id="128"/>
      <w:bookmarkEnd w:id="129"/>
      <w:bookmarkEnd w:id="130"/>
      <w:r w:rsidR="009773CE" w:rsidRPr="006E20A2">
        <w:rPr>
          <w:lang w:val="en-US"/>
        </w:rPr>
        <w:t xml:space="preserve">The OMLP as </w:t>
      </w:r>
      <w:r w:rsidR="0008223F">
        <w:rPr>
          <w:lang w:val="en-US"/>
        </w:rPr>
        <w:t xml:space="preserve">a </w:t>
      </w:r>
      <w:r w:rsidR="009773CE" w:rsidRPr="006E20A2">
        <w:rPr>
          <w:lang w:val="en-US"/>
        </w:rPr>
        <w:t>minor offence authority- general</w:t>
      </w:r>
      <w:bookmarkEnd w:id="132"/>
      <w:r w:rsidR="000D0254" w:rsidRPr="006E20A2">
        <w:rPr>
          <w:lang w:val="en-US"/>
        </w:rPr>
        <w:t xml:space="preserve"> </w:t>
      </w:r>
    </w:p>
    <w:p w14:paraId="10BAE848" w14:textId="77777777" w:rsidR="004352D3" w:rsidRPr="006E20A2" w:rsidRDefault="004352D3" w:rsidP="004352D3">
      <w:pPr>
        <w:tabs>
          <w:tab w:val="left" w:pos="-1026"/>
          <w:tab w:val="left" w:pos="-756"/>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spacing w:line="276" w:lineRule="auto"/>
        <w:rPr>
          <w:rFonts w:ascii="Arial" w:hAnsi="Arial"/>
          <w:sz w:val="20"/>
          <w:lang w:val="en-US"/>
        </w:rPr>
      </w:pPr>
    </w:p>
    <w:p w14:paraId="3D1E286B" w14:textId="3FB34948" w:rsidR="000B0239" w:rsidRPr="006E20A2" w:rsidRDefault="009773CE" w:rsidP="00466F4B">
      <w:pPr>
        <w:spacing w:line="276" w:lineRule="auto"/>
        <w:rPr>
          <w:rFonts w:ascii="Arial" w:hAnsi="Arial"/>
          <w:sz w:val="20"/>
          <w:lang w:val="en-US"/>
        </w:rPr>
      </w:pPr>
      <w:bookmarkStart w:id="133" w:name="_Toc200853573"/>
      <w:bookmarkStart w:id="134" w:name="_Toc227744154"/>
      <w:bookmarkStart w:id="135" w:name="_Toc292714867"/>
      <w:bookmarkStart w:id="136" w:name="_Toc325462262"/>
      <w:bookmarkStart w:id="137" w:name="_Toc402346342"/>
      <w:bookmarkStart w:id="138" w:name="_Toc463955082"/>
      <w:bookmarkStart w:id="139" w:name="_Toc499807237"/>
      <w:bookmarkStart w:id="140" w:name="_Toc529353607"/>
      <w:r w:rsidRPr="006E20A2">
        <w:rPr>
          <w:rFonts w:ascii="Arial" w:hAnsi="Arial"/>
          <w:sz w:val="20"/>
          <w:lang w:val="en-US"/>
        </w:rPr>
        <w:t>The APMLFT-1 contains detailed sanctions for violations of provisions. Violations of provisions of the act are precisely defined according to subjects (</w:t>
      </w:r>
      <w:r w:rsidR="000B0239" w:rsidRPr="006E20A2">
        <w:rPr>
          <w:rFonts w:ascii="Arial" w:hAnsi="Arial"/>
          <w:sz w:val="20"/>
          <w:lang w:val="en-US"/>
        </w:rPr>
        <w:t>violations</w:t>
      </w:r>
      <w:r w:rsidRPr="006E20A2">
        <w:rPr>
          <w:rFonts w:ascii="Arial" w:hAnsi="Arial"/>
          <w:sz w:val="20"/>
          <w:lang w:val="en-US"/>
        </w:rPr>
        <w:t xml:space="preserve"> </w:t>
      </w:r>
      <w:r w:rsidR="0085323D" w:rsidRPr="006E20A2">
        <w:rPr>
          <w:rFonts w:ascii="Arial" w:hAnsi="Arial"/>
          <w:sz w:val="20"/>
          <w:lang w:val="en-US"/>
        </w:rPr>
        <w:t xml:space="preserve">committed by issuer of electronic mean of communication, </w:t>
      </w:r>
      <w:r w:rsidR="000B0239" w:rsidRPr="006E20A2">
        <w:rPr>
          <w:rFonts w:ascii="Arial" w:hAnsi="Arial"/>
          <w:sz w:val="20"/>
          <w:lang w:val="en-US"/>
        </w:rPr>
        <w:t>violations</w:t>
      </w:r>
      <w:r w:rsidR="00466F4B" w:rsidRPr="006E20A2">
        <w:rPr>
          <w:rFonts w:ascii="Arial" w:hAnsi="Arial"/>
          <w:sz w:val="20"/>
          <w:lang w:val="en-US"/>
        </w:rPr>
        <w:t xml:space="preserve"> of third </w:t>
      </w:r>
      <w:r w:rsidR="000B0239" w:rsidRPr="006E20A2">
        <w:rPr>
          <w:rFonts w:ascii="Arial" w:hAnsi="Arial"/>
          <w:sz w:val="20"/>
          <w:lang w:val="en-US"/>
        </w:rPr>
        <w:t>parties</w:t>
      </w:r>
      <w:r w:rsidRPr="006E20A2">
        <w:rPr>
          <w:rFonts w:ascii="Arial" w:hAnsi="Arial"/>
          <w:sz w:val="20"/>
          <w:lang w:val="en-US"/>
        </w:rPr>
        <w:t xml:space="preserve">, </w:t>
      </w:r>
      <w:r w:rsidR="008663CF" w:rsidRPr="006E20A2">
        <w:rPr>
          <w:rFonts w:ascii="Arial" w:hAnsi="Arial"/>
          <w:sz w:val="20"/>
          <w:lang w:val="en-US"/>
        </w:rPr>
        <w:t>violations of persons performing the activity of selling goods, violation</w:t>
      </w:r>
      <w:r w:rsidR="00291DEB">
        <w:rPr>
          <w:rFonts w:ascii="Arial" w:hAnsi="Arial"/>
          <w:sz w:val="20"/>
          <w:lang w:val="en-US"/>
        </w:rPr>
        <w:t>s</w:t>
      </w:r>
      <w:r w:rsidR="008663CF" w:rsidRPr="006E20A2">
        <w:rPr>
          <w:rFonts w:ascii="Arial" w:hAnsi="Arial"/>
          <w:sz w:val="20"/>
          <w:lang w:val="en-US"/>
        </w:rPr>
        <w:t xml:space="preserve"> of business entities wh</w:t>
      </w:r>
      <w:r w:rsidR="00291DEB">
        <w:rPr>
          <w:rFonts w:ascii="Arial" w:hAnsi="Arial"/>
          <w:sz w:val="20"/>
          <w:lang w:val="en-US"/>
        </w:rPr>
        <w:t>ich</w:t>
      </w:r>
      <w:r w:rsidR="008663CF" w:rsidRPr="006E20A2">
        <w:rPr>
          <w:rFonts w:ascii="Arial" w:hAnsi="Arial"/>
          <w:sz w:val="20"/>
          <w:lang w:val="en-US"/>
        </w:rPr>
        <w:t xml:space="preserve"> are obliged to identify and enter data on their beneficial owner, etc.)</w:t>
      </w:r>
      <w:r w:rsidR="008663CF" w:rsidRPr="006E20A2">
        <w:rPr>
          <w:rFonts w:ascii="Arial" w:hAnsi="Arial"/>
          <w:sz w:val="20"/>
          <w:highlight w:val="yellow"/>
          <w:lang w:val="en-US"/>
        </w:rPr>
        <w:t xml:space="preserve"> </w:t>
      </w:r>
    </w:p>
    <w:p w14:paraId="493A210C" w14:textId="10F088CB" w:rsidR="009773CE" w:rsidRPr="006E20A2" w:rsidRDefault="009773CE" w:rsidP="00466F4B">
      <w:pPr>
        <w:spacing w:line="276" w:lineRule="auto"/>
        <w:rPr>
          <w:rFonts w:ascii="Arial" w:hAnsi="Arial"/>
          <w:sz w:val="20"/>
          <w:lang w:val="en-US"/>
        </w:rPr>
      </w:pPr>
      <w:r w:rsidRPr="006E20A2">
        <w:rPr>
          <w:rFonts w:ascii="Arial" w:hAnsi="Arial"/>
          <w:sz w:val="20"/>
          <w:lang w:val="en-US"/>
        </w:rPr>
        <w:t>In APMLFT-1</w:t>
      </w:r>
      <w:r w:rsidR="00291DEB">
        <w:rPr>
          <w:rFonts w:ascii="Arial" w:hAnsi="Arial"/>
          <w:sz w:val="20"/>
          <w:lang w:val="en-US"/>
        </w:rPr>
        <w:t>, the offences</w:t>
      </w:r>
      <w:r w:rsidRPr="006E20A2">
        <w:rPr>
          <w:rFonts w:ascii="Arial" w:hAnsi="Arial"/>
          <w:sz w:val="20"/>
          <w:lang w:val="en-US"/>
        </w:rPr>
        <w:t xml:space="preserve"> are divided by the</w:t>
      </w:r>
      <w:r w:rsidR="00291DEB">
        <w:rPr>
          <w:rFonts w:ascii="Arial" w:hAnsi="Arial"/>
          <w:sz w:val="20"/>
          <w:lang w:val="en-US"/>
        </w:rPr>
        <w:t>ir</w:t>
      </w:r>
      <w:r w:rsidRPr="006E20A2">
        <w:rPr>
          <w:rFonts w:ascii="Arial" w:hAnsi="Arial"/>
          <w:sz w:val="20"/>
          <w:lang w:val="en-US"/>
        </w:rPr>
        <w:t xml:space="preserve"> gravity:</w:t>
      </w:r>
    </w:p>
    <w:p w14:paraId="5612A7FE" w14:textId="77777777" w:rsidR="009773CE" w:rsidRPr="006E20A2" w:rsidRDefault="009773CE" w:rsidP="00466F4B">
      <w:pPr>
        <w:pStyle w:val="Odstavekseznama"/>
        <w:numPr>
          <w:ilvl w:val="0"/>
          <w:numId w:val="21"/>
        </w:numPr>
        <w:spacing w:after="120" w:line="276" w:lineRule="auto"/>
        <w:ind w:left="851" w:hanging="284"/>
        <w:contextualSpacing w:val="0"/>
        <w:jc w:val="both"/>
        <w:rPr>
          <w:rFonts w:ascii="Arial" w:hAnsi="Arial" w:cs="Arial"/>
          <w:sz w:val="20"/>
          <w:szCs w:val="20"/>
          <w:lang w:val="en-US"/>
        </w:rPr>
      </w:pPr>
      <w:r w:rsidRPr="006E20A2">
        <w:rPr>
          <w:rFonts w:ascii="Arial" w:hAnsi="Arial" w:cs="Arial"/>
          <w:sz w:val="20"/>
          <w:szCs w:val="20"/>
          <w:lang w:val="en-US"/>
        </w:rPr>
        <w:t xml:space="preserve">most serious offence (imposed fine for legal entity is from 12.000 to 120.000 EUR, for responsible person of the legal entity from 800 to 4.000 EUR and for a sole trader or a self-employed person from 4.000 to 40.000 EUR), </w:t>
      </w:r>
    </w:p>
    <w:p w14:paraId="56AAEC5B" w14:textId="77777777" w:rsidR="00291DEB" w:rsidRDefault="009773CE" w:rsidP="00683EF1">
      <w:pPr>
        <w:pStyle w:val="Odstavekseznama"/>
        <w:numPr>
          <w:ilvl w:val="0"/>
          <w:numId w:val="21"/>
        </w:numPr>
        <w:spacing w:after="120" w:line="276" w:lineRule="auto"/>
        <w:ind w:left="851" w:hanging="284"/>
        <w:contextualSpacing w:val="0"/>
        <w:jc w:val="both"/>
        <w:rPr>
          <w:rFonts w:ascii="Arial" w:hAnsi="Arial" w:cs="Arial"/>
          <w:sz w:val="20"/>
          <w:szCs w:val="20"/>
          <w:lang w:val="en-US"/>
        </w:rPr>
      </w:pPr>
      <w:r w:rsidRPr="00291DEB">
        <w:rPr>
          <w:rFonts w:ascii="Arial" w:hAnsi="Arial" w:cs="Arial"/>
          <w:sz w:val="20"/>
          <w:szCs w:val="20"/>
          <w:lang w:val="en-US"/>
        </w:rPr>
        <w:t>serious offence (imposed fine for legal entity is from 6.000 to 60.000 EUR, for responsible person of the legal entity from 400 to 2.000 EUR and for a sole trader or a self-employed person from 2.000 to 20.000 EUR)</w:t>
      </w:r>
      <w:r w:rsidR="00291DEB" w:rsidRPr="00291DEB">
        <w:rPr>
          <w:rFonts w:ascii="Arial" w:hAnsi="Arial" w:cs="Arial"/>
          <w:sz w:val="20"/>
          <w:szCs w:val="20"/>
          <w:lang w:val="en-US"/>
        </w:rPr>
        <w:t xml:space="preserve"> and</w:t>
      </w:r>
    </w:p>
    <w:p w14:paraId="009ACFEC" w14:textId="763A4B8D" w:rsidR="009773CE" w:rsidRPr="00291DEB" w:rsidRDefault="009773CE" w:rsidP="00683EF1">
      <w:pPr>
        <w:pStyle w:val="Odstavekseznama"/>
        <w:numPr>
          <w:ilvl w:val="0"/>
          <w:numId w:val="21"/>
        </w:numPr>
        <w:spacing w:after="120" w:line="276" w:lineRule="auto"/>
        <w:ind w:left="851" w:hanging="284"/>
        <w:contextualSpacing w:val="0"/>
        <w:jc w:val="both"/>
        <w:rPr>
          <w:rFonts w:ascii="Arial" w:hAnsi="Arial" w:cs="Arial"/>
          <w:sz w:val="20"/>
          <w:szCs w:val="20"/>
          <w:lang w:val="en-US"/>
        </w:rPr>
      </w:pPr>
      <w:r w:rsidRPr="00291DEB">
        <w:rPr>
          <w:rFonts w:ascii="Arial" w:hAnsi="Arial" w:cs="Arial"/>
          <w:sz w:val="20"/>
          <w:szCs w:val="20"/>
          <w:lang w:val="en-US"/>
        </w:rPr>
        <w:t>minor offence (imposed fine for legal entity is from 3.000 to 30.000 EUR, for responsible person of the legal entity from 200 to 1.000 EUR, and for a sole trader or a self-employed person from 1.000 to 10.000 EUR).</w:t>
      </w:r>
    </w:p>
    <w:p w14:paraId="1C38D1AB" w14:textId="4B4EA456" w:rsidR="004352D3" w:rsidRPr="006E20A2" w:rsidRDefault="00292A8B" w:rsidP="00BA5BC9">
      <w:pPr>
        <w:pStyle w:val="Naslov3"/>
        <w:rPr>
          <w:lang w:val="en-US"/>
        </w:rPr>
      </w:pPr>
      <w:bookmarkStart w:id="141" w:name="_Toc113535498"/>
      <w:r w:rsidRPr="006E20A2">
        <w:rPr>
          <w:lang w:val="en-US"/>
        </w:rPr>
        <w:t xml:space="preserve">5.4.3 </w:t>
      </w:r>
      <w:bookmarkEnd w:id="133"/>
      <w:bookmarkEnd w:id="134"/>
      <w:bookmarkEnd w:id="135"/>
      <w:bookmarkEnd w:id="136"/>
      <w:bookmarkEnd w:id="137"/>
      <w:bookmarkEnd w:id="138"/>
      <w:bookmarkEnd w:id="139"/>
      <w:bookmarkEnd w:id="140"/>
      <w:bookmarkEnd w:id="141"/>
      <w:r w:rsidR="00466F4B" w:rsidRPr="006E20A2">
        <w:rPr>
          <w:lang w:val="en-US"/>
        </w:rPr>
        <w:t xml:space="preserve">Recorded violations </w:t>
      </w:r>
    </w:p>
    <w:p w14:paraId="2303579A" w14:textId="5244790C" w:rsidR="00466F4B" w:rsidRPr="006E20A2" w:rsidRDefault="00466F4B" w:rsidP="00466F4B">
      <w:pPr>
        <w:rPr>
          <w:lang w:val="en-US"/>
        </w:rPr>
      </w:pPr>
    </w:p>
    <w:p w14:paraId="0BD47AA8" w14:textId="719CEA3A" w:rsidR="00466F4B" w:rsidRPr="006E20A2" w:rsidRDefault="00466F4B" w:rsidP="001A5A6C">
      <w:pPr>
        <w:spacing w:line="276" w:lineRule="auto"/>
        <w:rPr>
          <w:rFonts w:ascii="Arial" w:hAnsi="Arial"/>
          <w:sz w:val="20"/>
          <w:lang w:val="en-US"/>
        </w:rPr>
      </w:pPr>
      <w:r w:rsidRPr="006E20A2">
        <w:rPr>
          <w:rFonts w:ascii="Arial" w:hAnsi="Arial"/>
          <w:sz w:val="20"/>
          <w:lang w:val="en-US"/>
        </w:rPr>
        <w:t xml:space="preserve">In 2020, the OMLP recorded four violations at obliged entities from Article 4 of APMLFT-1, namely </w:t>
      </w:r>
      <w:proofErr w:type="gramStart"/>
      <w:r w:rsidRPr="006E20A2">
        <w:rPr>
          <w:rFonts w:ascii="Arial" w:hAnsi="Arial"/>
          <w:sz w:val="20"/>
          <w:lang w:val="en-US"/>
        </w:rPr>
        <w:t>with regard to</w:t>
      </w:r>
      <w:proofErr w:type="gramEnd"/>
      <w:r w:rsidRPr="006E20A2">
        <w:rPr>
          <w:rFonts w:ascii="Arial" w:hAnsi="Arial"/>
          <w:sz w:val="20"/>
          <w:lang w:val="en-US"/>
        </w:rPr>
        <w:t xml:space="preserve"> their delay at reporting data on cash transactions exceeding 15.000 EUR and transfers to higher risk countries (Article 68 of APMLFT-1). In all cases, there were minor overrun</w:t>
      </w:r>
      <w:r w:rsidR="00291DEB">
        <w:rPr>
          <w:rFonts w:ascii="Arial" w:hAnsi="Arial"/>
          <w:sz w:val="20"/>
          <w:lang w:val="en-US"/>
        </w:rPr>
        <w:t>s</w:t>
      </w:r>
      <w:r w:rsidRPr="006E20A2">
        <w:rPr>
          <w:rFonts w:ascii="Arial" w:hAnsi="Arial"/>
          <w:sz w:val="20"/>
          <w:lang w:val="en-US"/>
        </w:rPr>
        <w:t xml:space="preserve"> of the statutory deadline or the delays </w:t>
      </w:r>
      <w:r w:rsidR="00291DEB">
        <w:rPr>
          <w:rFonts w:ascii="Arial" w:hAnsi="Arial"/>
          <w:sz w:val="20"/>
          <w:lang w:val="en-US"/>
        </w:rPr>
        <w:t>due to</w:t>
      </w:r>
      <w:r w:rsidRPr="006E20A2">
        <w:rPr>
          <w:rFonts w:ascii="Arial" w:hAnsi="Arial"/>
          <w:sz w:val="20"/>
          <w:lang w:val="en-US"/>
        </w:rPr>
        <w:t xml:space="preserve"> technical issues, explained by the obliged entities on their initiative. Therefore, the OMLP considered</w:t>
      </w:r>
      <w:r w:rsidR="00380BDC">
        <w:rPr>
          <w:rFonts w:ascii="Arial" w:hAnsi="Arial"/>
          <w:sz w:val="20"/>
          <w:lang w:val="en-US"/>
        </w:rPr>
        <w:t xml:space="preserve"> that</w:t>
      </w:r>
      <w:r w:rsidRPr="006E20A2">
        <w:rPr>
          <w:rFonts w:ascii="Arial" w:hAnsi="Arial"/>
          <w:sz w:val="20"/>
          <w:lang w:val="en-US"/>
        </w:rPr>
        <w:t xml:space="preserve"> those were </w:t>
      </w:r>
      <w:r w:rsidR="00380BDC">
        <w:rPr>
          <w:rFonts w:ascii="Arial" w:hAnsi="Arial"/>
          <w:sz w:val="20"/>
          <w:lang w:val="en-US"/>
        </w:rPr>
        <w:t>petty</w:t>
      </w:r>
      <w:r w:rsidR="00380BDC" w:rsidRPr="006E20A2">
        <w:rPr>
          <w:rFonts w:ascii="Arial" w:hAnsi="Arial"/>
          <w:sz w:val="20"/>
          <w:lang w:val="en-US"/>
        </w:rPr>
        <w:t xml:space="preserve"> </w:t>
      </w:r>
      <w:proofErr w:type="gramStart"/>
      <w:r w:rsidRPr="006E20A2">
        <w:rPr>
          <w:rFonts w:ascii="Arial" w:hAnsi="Arial"/>
          <w:sz w:val="20"/>
          <w:lang w:val="en-US"/>
        </w:rPr>
        <w:t>offences</w:t>
      </w:r>
      <w:proofErr w:type="gramEnd"/>
      <w:r w:rsidRPr="006E20A2">
        <w:rPr>
          <w:rFonts w:ascii="Arial" w:hAnsi="Arial"/>
          <w:sz w:val="20"/>
          <w:lang w:val="en-US"/>
        </w:rPr>
        <w:t xml:space="preserve"> and the procedures would not be expedient. In 2019 there were 6 such violations.</w:t>
      </w:r>
    </w:p>
    <w:bookmarkEnd w:id="91"/>
    <w:bookmarkEnd w:id="92"/>
    <w:p w14:paraId="39F89C14" w14:textId="65AD111C" w:rsidR="00851C49" w:rsidRPr="006E20A2" w:rsidRDefault="001A5A6C" w:rsidP="00636B18">
      <w:pPr>
        <w:pStyle w:val="Naslov1"/>
        <w:numPr>
          <w:ilvl w:val="0"/>
          <w:numId w:val="4"/>
        </w:numPr>
        <w:spacing w:line="276" w:lineRule="auto"/>
        <w:rPr>
          <w:rFonts w:ascii="Arial" w:hAnsi="Arial"/>
          <w:sz w:val="20"/>
          <w:lang w:val="en-US"/>
        </w:rPr>
      </w:pPr>
      <w:r w:rsidRPr="006E20A2">
        <w:rPr>
          <w:rFonts w:ascii="Arial" w:hAnsi="Arial"/>
          <w:sz w:val="20"/>
          <w:lang w:val="en-US"/>
        </w:rPr>
        <w:t xml:space="preserve">INTERNATIONAL COOPERATION </w:t>
      </w:r>
    </w:p>
    <w:p w14:paraId="118879A5" w14:textId="77777777" w:rsidR="00851C49" w:rsidRPr="006E20A2" w:rsidRDefault="00851C49" w:rsidP="00D21F86">
      <w:pPr>
        <w:spacing w:line="276" w:lineRule="auto"/>
        <w:ind w:left="31"/>
        <w:rPr>
          <w:rFonts w:ascii="Arial" w:hAnsi="Arial"/>
          <w:sz w:val="20"/>
          <w:lang w:val="en-US"/>
        </w:rPr>
      </w:pPr>
    </w:p>
    <w:p w14:paraId="62088D23" w14:textId="2BD2B5D2" w:rsidR="001A5A6C" w:rsidRPr="006E20A2" w:rsidRDefault="001A5A6C" w:rsidP="001A5A6C">
      <w:pPr>
        <w:spacing w:line="276" w:lineRule="auto"/>
        <w:rPr>
          <w:rFonts w:ascii="Arial" w:hAnsi="Arial"/>
          <w:sz w:val="20"/>
          <w:lang w:val="en-US"/>
        </w:rPr>
      </w:pPr>
      <w:bookmarkStart w:id="142" w:name="_Toc113535502"/>
      <w:r w:rsidRPr="006E20A2">
        <w:rPr>
          <w:rFonts w:ascii="Arial" w:hAnsi="Arial"/>
          <w:sz w:val="20"/>
          <w:lang w:val="en-US"/>
        </w:rPr>
        <w:t xml:space="preserve">The legal basis for the international activities of the OMLP is determined by Articles 105, 106 and 108 of APMLFT-1, authorizing the OMLP to exchange the information with foreign counterparts competent for the prevention of money laundering and terrorist financing. The chapter of the APMLTF-1 referring to the international cooperation also determines conditions under which the OMLP can temporarily postpone a transaction </w:t>
      </w:r>
      <w:proofErr w:type="gramStart"/>
      <w:r w:rsidRPr="006E20A2">
        <w:rPr>
          <w:rFonts w:ascii="Arial" w:hAnsi="Arial"/>
          <w:sz w:val="20"/>
          <w:lang w:val="en-US"/>
        </w:rPr>
        <w:t>on the basis of</w:t>
      </w:r>
      <w:proofErr w:type="gramEnd"/>
      <w:r w:rsidRPr="006E20A2">
        <w:rPr>
          <w:rFonts w:ascii="Arial" w:hAnsi="Arial"/>
          <w:sz w:val="20"/>
          <w:lang w:val="en-US"/>
        </w:rPr>
        <w:t xml:space="preserve"> the initiative of the foreign FIU and enables the OMLP itself to give (within its obligations of the prevention of money laundering and terrorist financing) an initiative to a foreign authority for the temporary postponement of transaction on the basis of </w:t>
      </w:r>
      <w:r w:rsidR="00380BDC">
        <w:rPr>
          <w:rFonts w:ascii="Arial" w:hAnsi="Arial"/>
          <w:sz w:val="20"/>
          <w:lang w:val="en-US"/>
        </w:rPr>
        <w:t>reasoned</w:t>
      </w:r>
      <w:r w:rsidRPr="006E20A2">
        <w:rPr>
          <w:rFonts w:ascii="Arial" w:hAnsi="Arial"/>
          <w:sz w:val="20"/>
          <w:lang w:val="en-US"/>
        </w:rPr>
        <w:t xml:space="preserve"> suspicion of money laundering and terrorist financing. </w:t>
      </w:r>
    </w:p>
    <w:p w14:paraId="7D1B5226" w14:textId="77777777" w:rsidR="001A5A6C" w:rsidRPr="006E20A2" w:rsidRDefault="001A5A6C" w:rsidP="001A5A6C">
      <w:pPr>
        <w:spacing w:line="276" w:lineRule="auto"/>
        <w:rPr>
          <w:rFonts w:ascii="Arial" w:hAnsi="Arial"/>
          <w:sz w:val="20"/>
          <w:lang w:val="en-US"/>
        </w:rPr>
      </w:pPr>
    </w:p>
    <w:p w14:paraId="1C2B853A" w14:textId="2DE2BF99" w:rsidR="001A5A6C" w:rsidRPr="006E20A2" w:rsidRDefault="001A5A6C" w:rsidP="001A5A6C">
      <w:pPr>
        <w:spacing w:line="276" w:lineRule="auto"/>
        <w:rPr>
          <w:rFonts w:ascii="Arial" w:hAnsi="Arial"/>
          <w:sz w:val="20"/>
          <w:lang w:val="en-US"/>
        </w:rPr>
      </w:pPr>
      <w:r w:rsidRPr="006E20A2">
        <w:rPr>
          <w:rFonts w:ascii="Arial" w:hAnsi="Arial"/>
          <w:sz w:val="20"/>
          <w:lang w:val="en-US"/>
        </w:rPr>
        <w:t xml:space="preserve">The OMLP has obtained certain competences </w:t>
      </w:r>
      <w:proofErr w:type="gramStart"/>
      <w:r w:rsidRPr="006E20A2">
        <w:rPr>
          <w:rFonts w:ascii="Arial" w:hAnsi="Arial"/>
          <w:sz w:val="20"/>
          <w:lang w:val="en-US"/>
        </w:rPr>
        <w:t>on the basis of</w:t>
      </w:r>
      <w:proofErr w:type="gramEnd"/>
      <w:r w:rsidRPr="006E20A2">
        <w:rPr>
          <w:rFonts w:ascii="Arial" w:hAnsi="Arial"/>
          <w:sz w:val="20"/>
          <w:lang w:val="en-US"/>
        </w:rPr>
        <w:t xml:space="preserve"> </w:t>
      </w:r>
      <w:r w:rsidR="00380BDC">
        <w:rPr>
          <w:rFonts w:ascii="Arial" w:hAnsi="Arial"/>
          <w:sz w:val="20"/>
          <w:lang w:val="en-US"/>
        </w:rPr>
        <w:t>COE</w:t>
      </w:r>
      <w:r w:rsidRPr="006E20A2">
        <w:rPr>
          <w:rFonts w:ascii="Arial" w:hAnsi="Arial"/>
          <w:sz w:val="20"/>
          <w:lang w:val="en-US"/>
        </w:rPr>
        <w:t xml:space="preserve"> No. 198, which was adopted by the Board of Ministers of the Council of Europe on 16 May 2005. Slovenia signed it on 28 March 2007, ratified on 26 April 2010, so it came into force on 1 August 2010. The OMLP was foreseen as the central </w:t>
      </w:r>
      <w:r w:rsidRPr="006E20A2">
        <w:rPr>
          <w:rFonts w:ascii="Arial" w:hAnsi="Arial"/>
          <w:sz w:val="20"/>
          <w:lang w:val="en-US"/>
        </w:rPr>
        <w:lastRenderedPageBreak/>
        <w:t xml:space="preserve">authority competent for receiving and sending requests referring to money laundering, search, </w:t>
      </w:r>
      <w:proofErr w:type="gramStart"/>
      <w:r w:rsidRPr="006E20A2">
        <w:rPr>
          <w:rFonts w:ascii="Arial" w:hAnsi="Arial"/>
          <w:sz w:val="20"/>
          <w:lang w:val="en-US"/>
        </w:rPr>
        <w:t>seizure</w:t>
      </w:r>
      <w:proofErr w:type="gramEnd"/>
      <w:r w:rsidRPr="006E20A2">
        <w:rPr>
          <w:rFonts w:ascii="Arial" w:hAnsi="Arial"/>
          <w:sz w:val="20"/>
          <w:lang w:val="en-US"/>
        </w:rPr>
        <w:t xml:space="preserve"> and confiscation of the proceeds from crime and financing of terrorism. </w:t>
      </w:r>
    </w:p>
    <w:p w14:paraId="4CA2BAA4" w14:textId="77777777" w:rsidR="001A5A6C" w:rsidRPr="006E20A2" w:rsidRDefault="001A5A6C" w:rsidP="001A5A6C">
      <w:pPr>
        <w:spacing w:line="276" w:lineRule="auto"/>
        <w:rPr>
          <w:rFonts w:ascii="Arial" w:hAnsi="Arial"/>
          <w:sz w:val="20"/>
          <w:lang w:val="en-US"/>
        </w:rPr>
      </w:pPr>
    </w:p>
    <w:p w14:paraId="19DF04BD" w14:textId="2006523B" w:rsidR="001A5A6C" w:rsidRPr="006E20A2" w:rsidRDefault="001A5A6C" w:rsidP="001A5A6C">
      <w:pPr>
        <w:spacing w:line="276" w:lineRule="auto"/>
        <w:rPr>
          <w:rFonts w:ascii="Arial" w:hAnsi="Arial"/>
          <w:sz w:val="20"/>
          <w:lang w:val="en-US"/>
        </w:rPr>
      </w:pPr>
      <w:r w:rsidRPr="006E20A2">
        <w:rPr>
          <w:rFonts w:ascii="Arial" w:hAnsi="Arial"/>
          <w:sz w:val="20"/>
          <w:lang w:val="en-US"/>
        </w:rPr>
        <w:t xml:space="preserve">Below you will find </w:t>
      </w:r>
      <w:r w:rsidR="00291DEB">
        <w:rPr>
          <w:rFonts w:ascii="Arial" w:hAnsi="Arial"/>
          <w:sz w:val="20"/>
          <w:lang w:val="en-US"/>
        </w:rPr>
        <w:t xml:space="preserve">data on the activities of </w:t>
      </w:r>
      <w:r w:rsidR="00380BDC">
        <w:rPr>
          <w:rFonts w:ascii="Arial" w:hAnsi="Arial"/>
          <w:sz w:val="20"/>
          <w:lang w:val="en-US"/>
        </w:rPr>
        <w:t>the</w:t>
      </w:r>
      <w:r w:rsidR="00195336">
        <w:rPr>
          <w:rFonts w:ascii="Arial" w:hAnsi="Arial"/>
          <w:sz w:val="20"/>
          <w:lang w:val="en-US"/>
        </w:rPr>
        <w:t xml:space="preserve"> </w:t>
      </w:r>
      <w:r w:rsidRPr="006E20A2">
        <w:rPr>
          <w:rFonts w:ascii="Arial" w:hAnsi="Arial"/>
          <w:sz w:val="20"/>
          <w:lang w:val="en-US"/>
        </w:rPr>
        <w:t xml:space="preserve">OMLP in the field of </w:t>
      </w:r>
      <w:r w:rsidR="00291DEB">
        <w:rPr>
          <w:rFonts w:ascii="Arial" w:hAnsi="Arial"/>
          <w:sz w:val="20"/>
          <w:lang w:val="en-US"/>
        </w:rPr>
        <w:t xml:space="preserve">multilateral and </w:t>
      </w:r>
      <w:r w:rsidRPr="006E20A2">
        <w:rPr>
          <w:rFonts w:ascii="Arial" w:hAnsi="Arial"/>
          <w:sz w:val="20"/>
          <w:lang w:val="en-US"/>
        </w:rPr>
        <w:t xml:space="preserve">bilateral cooperation. </w:t>
      </w:r>
    </w:p>
    <w:p w14:paraId="1BC5945D" w14:textId="77777777" w:rsidR="001A5A6C" w:rsidRPr="006E20A2" w:rsidRDefault="001A5A6C" w:rsidP="001A5A6C">
      <w:pPr>
        <w:pStyle w:val="Telobesedila"/>
        <w:ind w:right="-22"/>
        <w:rPr>
          <w:lang w:val="en-US"/>
        </w:rPr>
      </w:pPr>
    </w:p>
    <w:bookmarkEnd w:id="142"/>
    <w:p w14:paraId="6F581462" w14:textId="5DEC472D" w:rsidR="00851C49" w:rsidRPr="006E20A2" w:rsidRDefault="001A5A6C">
      <w:pPr>
        <w:pStyle w:val="Naslov2"/>
        <w:rPr>
          <w:lang w:val="en-US"/>
        </w:rPr>
      </w:pPr>
      <w:r w:rsidRPr="006E20A2">
        <w:rPr>
          <w:lang w:val="en-US"/>
        </w:rPr>
        <w:t xml:space="preserve">MULTILATERAL COOPERATION </w:t>
      </w:r>
    </w:p>
    <w:p w14:paraId="2112EB57" w14:textId="77777777" w:rsidR="00851C49" w:rsidRPr="006E20A2" w:rsidRDefault="00851C49" w:rsidP="00D21F86">
      <w:pPr>
        <w:snapToGrid w:val="0"/>
        <w:spacing w:line="276" w:lineRule="auto"/>
        <w:rPr>
          <w:rFonts w:ascii="Arial" w:hAnsi="Arial"/>
          <w:sz w:val="20"/>
          <w:lang w:val="en-US"/>
        </w:rPr>
      </w:pPr>
    </w:p>
    <w:p w14:paraId="228DC4E0" w14:textId="3195323E" w:rsidR="00EB5154" w:rsidRPr="006E20A2" w:rsidRDefault="00291DEB" w:rsidP="00EB5154">
      <w:pPr>
        <w:snapToGrid w:val="0"/>
        <w:spacing w:line="276" w:lineRule="auto"/>
        <w:rPr>
          <w:rFonts w:ascii="Arial" w:hAnsi="Arial"/>
          <w:sz w:val="20"/>
          <w:lang w:val="en-US"/>
        </w:rPr>
      </w:pPr>
      <w:bookmarkStart w:id="143" w:name="_Toc135206763"/>
      <w:r>
        <w:rPr>
          <w:rFonts w:ascii="Arial" w:hAnsi="Arial"/>
          <w:sz w:val="20"/>
          <w:lang w:val="en-US"/>
        </w:rPr>
        <w:t>This</w:t>
      </w:r>
      <w:r w:rsidR="001A5A6C" w:rsidRPr="006E20A2">
        <w:rPr>
          <w:rFonts w:ascii="Arial" w:hAnsi="Arial"/>
          <w:sz w:val="20"/>
          <w:lang w:val="en-US"/>
        </w:rPr>
        <w:t xml:space="preserve"> chapter</w:t>
      </w:r>
      <w:r>
        <w:rPr>
          <w:rFonts w:ascii="Arial" w:hAnsi="Arial"/>
          <w:sz w:val="20"/>
          <w:lang w:val="en-US"/>
        </w:rPr>
        <w:t xml:space="preserve"> refers to </w:t>
      </w:r>
      <w:r w:rsidR="001A5A6C" w:rsidRPr="006E20A2">
        <w:rPr>
          <w:rFonts w:ascii="Arial" w:hAnsi="Arial"/>
          <w:sz w:val="20"/>
          <w:lang w:val="en-US"/>
        </w:rPr>
        <w:t xml:space="preserve">the activities of </w:t>
      </w:r>
      <w:r w:rsidR="00380BDC">
        <w:rPr>
          <w:rFonts w:ascii="Arial" w:hAnsi="Arial"/>
          <w:sz w:val="20"/>
          <w:lang w:val="en-US"/>
        </w:rPr>
        <w:t>the</w:t>
      </w:r>
      <w:r w:rsidR="001A5A6C" w:rsidRPr="006E20A2">
        <w:rPr>
          <w:rFonts w:ascii="Arial" w:hAnsi="Arial"/>
          <w:sz w:val="20"/>
          <w:lang w:val="en-US"/>
        </w:rPr>
        <w:t xml:space="preserve"> OMLP in 2020 that are related to </w:t>
      </w:r>
      <w:r w:rsidR="00380BDC">
        <w:rPr>
          <w:rFonts w:ascii="Arial" w:hAnsi="Arial"/>
          <w:sz w:val="20"/>
          <w:lang w:val="en-US"/>
        </w:rPr>
        <w:t xml:space="preserve">the </w:t>
      </w:r>
      <w:r w:rsidR="001A5A6C" w:rsidRPr="006E20A2">
        <w:rPr>
          <w:rFonts w:ascii="Arial" w:hAnsi="Arial"/>
          <w:sz w:val="20"/>
          <w:lang w:val="en-US"/>
        </w:rPr>
        <w:t xml:space="preserve">cooperation in </w:t>
      </w:r>
      <w:r w:rsidR="00380BDC">
        <w:rPr>
          <w:rFonts w:ascii="Arial" w:hAnsi="Arial"/>
          <w:sz w:val="20"/>
          <w:lang w:val="en-US"/>
        </w:rPr>
        <w:t xml:space="preserve">the </w:t>
      </w:r>
      <w:r w:rsidR="001A5A6C" w:rsidRPr="006E20A2">
        <w:rPr>
          <w:rFonts w:ascii="Arial" w:hAnsi="Arial"/>
          <w:sz w:val="20"/>
          <w:lang w:val="en-US"/>
        </w:rPr>
        <w:t xml:space="preserve">EGMONT group. The activities in the Council of Europe and European </w:t>
      </w:r>
      <w:r w:rsidR="00BF7D37" w:rsidRPr="006E20A2">
        <w:rPr>
          <w:rFonts w:ascii="Arial" w:hAnsi="Arial"/>
          <w:sz w:val="20"/>
          <w:lang w:val="en-US"/>
        </w:rPr>
        <w:t>Commission</w:t>
      </w:r>
      <w:r w:rsidR="001A5A6C" w:rsidRPr="006E20A2">
        <w:rPr>
          <w:rFonts w:ascii="Arial" w:hAnsi="Arial"/>
          <w:sz w:val="20"/>
          <w:lang w:val="en-US"/>
        </w:rPr>
        <w:t xml:space="preserve"> are presented in the chapter of Prevention and supervision. </w:t>
      </w:r>
    </w:p>
    <w:p w14:paraId="0B5811B7" w14:textId="77777777" w:rsidR="002A449C" w:rsidRPr="006E20A2" w:rsidRDefault="002A449C" w:rsidP="002A449C">
      <w:pPr>
        <w:snapToGrid w:val="0"/>
        <w:spacing w:line="276" w:lineRule="auto"/>
        <w:rPr>
          <w:rFonts w:ascii="Arial" w:hAnsi="Arial"/>
          <w:sz w:val="20"/>
          <w:lang w:val="en-US"/>
        </w:rPr>
      </w:pPr>
    </w:p>
    <w:p w14:paraId="4CAC5BA4" w14:textId="72AB2A89" w:rsidR="004F666B" w:rsidRPr="006E20A2" w:rsidRDefault="001A5A6C" w:rsidP="002A449C">
      <w:pPr>
        <w:snapToGrid w:val="0"/>
        <w:spacing w:line="276" w:lineRule="auto"/>
        <w:rPr>
          <w:rFonts w:ascii="Arial" w:hAnsi="Arial"/>
          <w:sz w:val="20"/>
          <w:u w:val="single"/>
          <w:lang w:val="en-US"/>
        </w:rPr>
      </w:pPr>
      <w:r w:rsidRPr="006E20A2">
        <w:rPr>
          <w:rFonts w:ascii="Arial" w:hAnsi="Arial"/>
          <w:sz w:val="20"/>
          <w:u w:val="single"/>
          <w:lang w:val="en-US"/>
        </w:rPr>
        <w:t xml:space="preserve">Activities in the framework of </w:t>
      </w:r>
      <w:r w:rsidR="00380BDC">
        <w:rPr>
          <w:rFonts w:ascii="Arial" w:hAnsi="Arial"/>
          <w:sz w:val="20"/>
          <w:u w:val="single"/>
          <w:lang w:val="en-US"/>
        </w:rPr>
        <w:t xml:space="preserve">the </w:t>
      </w:r>
      <w:r w:rsidRPr="006E20A2">
        <w:rPr>
          <w:rFonts w:ascii="Arial" w:hAnsi="Arial"/>
          <w:sz w:val="20"/>
          <w:u w:val="single"/>
          <w:lang w:val="en-US"/>
        </w:rPr>
        <w:t>EGMONT group</w:t>
      </w:r>
      <w:bookmarkEnd w:id="143"/>
    </w:p>
    <w:p w14:paraId="0B448B55" w14:textId="77777777" w:rsidR="004F666B" w:rsidRPr="006E20A2" w:rsidRDefault="004F666B" w:rsidP="004F666B">
      <w:pPr>
        <w:spacing w:line="276" w:lineRule="auto"/>
        <w:rPr>
          <w:rFonts w:ascii="Arial" w:hAnsi="Arial"/>
          <w:sz w:val="20"/>
          <w:lang w:val="en-US"/>
        </w:rPr>
      </w:pPr>
    </w:p>
    <w:p w14:paraId="70CF5524" w14:textId="43B533B0" w:rsidR="004B4EB5" w:rsidRPr="006E20A2" w:rsidRDefault="001A5A6C" w:rsidP="004B4EB5">
      <w:pPr>
        <w:spacing w:line="276" w:lineRule="auto"/>
        <w:rPr>
          <w:rFonts w:ascii="Arial" w:hAnsi="Arial"/>
          <w:sz w:val="20"/>
          <w:lang w:val="en-US"/>
        </w:rPr>
      </w:pPr>
      <w:r w:rsidRPr="006E20A2">
        <w:rPr>
          <w:rFonts w:ascii="Arial" w:hAnsi="Arial"/>
          <w:sz w:val="20"/>
          <w:lang w:val="en-US"/>
        </w:rPr>
        <w:t xml:space="preserve">In 2020 the meeting of representatives of FIUs </w:t>
      </w:r>
      <w:r w:rsidR="00BF7D37" w:rsidRPr="006E20A2">
        <w:rPr>
          <w:rFonts w:ascii="Arial" w:hAnsi="Arial"/>
          <w:sz w:val="20"/>
          <w:lang w:val="en-US"/>
        </w:rPr>
        <w:t>members</w:t>
      </w:r>
      <w:r w:rsidRPr="006E20A2">
        <w:rPr>
          <w:rFonts w:ascii="Arial" w:hAnsi="Arial"/>
          <w:sz w:val="20"/>
          <w:lang w:val="en-US"/>
        </w:rPr>
        <w:t xml:space="preserve"> of EGMONT was </w:t>
      </w:r>
      <w:r w:rsidR="00BF7D37" w:rsidRPr="006E20A2">
        <w:rPr>
          <w:rFonts w:ascii="Arial" w:hAnsi="Arial"/>
          <w:sz w:val="20"/>
          <w:lang w:val="en-US"/>
        </w:rPr>
        <w:t>organized</w:t>
      </w:r>
      <w:r w:rsidRPr="006E20A2">
        <w:rPr>
          <w:rFonts w:ascii="Arial" w:hAnsi="Arial"/>
          <w:sz w:val="20"/>
          <w:lang w:val="en-US"/>
        </w:rPr>
        <w:t xml:space="preserve"> in Mauritius (</w:t>
      </w:r>
      <w:r w:rsidR="00BF7D37" w:rsidRPr="006E20A2">
        <w:rPr>
          <w:rFonts w:ascii="Arial" w:hAnsi="Arial"/>
          <w:sz w:val="20"/>
          <w:lang w:val="en-US"/>
        </w:rPr>
        <w:t>January</w:t>
      </w:r>
      <w:r w:rsidRPr="006E20A2">
        <w:rPr>
          <w:rFonts w:ascii="Arial" w:hAnsi="Arial"/>
          <w:sz w:val="20"/>
          <w:lang w:val="en-US"/>
        </w:rPr>
        <w:t xml:space="preserve"> 27th to January 30th</w:t>
      </w:r>
      <w:proofErr w:type="gramStart"/>
      <w:r w:rsidR="00BF7D37">
        <w:rPr>
          <w:rFonts w:ascii="Arial" w:hAnsi="Arial"/>
          <w:sz w:val="20"/>
          <w:lang w:val="en-US"/>
        </w:rPr>
        <w:t xml:space="preserve"> </w:t>
      </w:r>
      <w:r w:rsidRPr="006E20A2">
        <w:rPr>
          <w:rFonts w:ascii="Arial" w:hAnsi="Arial"/>
          <w:sz w:val="20"/>
          <w:lang w:val="en-US"/>
        </w:rPr>
        <w:t>2020</w:t>
      </w:r>
      <w:proofErr w:type="gramEnd"/>
      <w:r w:rsidRPr="006E20A2">
        <w:rPr>
          <w:rFonts w:ascii="Arial" w:hAnsi="Arial"/>
          <w:sz w:val="20"/>
          <w:lang w:val="en-US"/>
        </w:rPr>
        <w:t xml:space="preserve">), the OMLP did not participate </w:t>
      </w:r>
      <w:r w:rsidR="00380BDC">
        <w:rPr>
          <w:rFonts w:ascii="Arial" w:hAnsi="Arial"/>
          <w:sz w:val="20"/>
          <w:lang w:val="en-US"/>
        </w:rPr>
        <w:t>in</w:t>
      </w:r>
      <w:r w:rsidR="00380BDC" w:rsidRPr="006E20A2">
        <w:rPr>
          <w:rFonts w:ascii="Arial" w:hAnsi="Arial"/>
          <w:sz w:val="20"/>
          <w:lang w:val="en-US"/>
        </w:rPr>
        <w:t xml:space="preserve"> </w:t>
      </w:r>
      <w:r w:rsidRPr="006E20A2">
        <w:rPr>
          <w:rFonts w:ascii="Arial" w:hAnsi="Arial"/>
          <w:sz w:val="20"/>
          <w:lang w:val="en-US"/>
        </w:rPr>
        <w:t xml:space="preserve">this meeting. </w:t>
      </w:r>
      <w:r w:rsidR="00436B75" w:rsidRPr="006E20A2">
        <w:rPr>
          <w:rFonts w:ascii="Arial" w:hAnsi="Arial"/>
          <w:sz w:val="20"/>
          <w:lang w:val="en-US"/>
        </w:rPr>
        <w:t xml:space="preserve">The meeting of heads of FIUs </w:t>
      </w:r>
      <w:r w:rsidR="00291DEB">
        <w:rPr>
          <w:rFonts w:ascii="Arial" w:hAnsi="Arial"/>
          <w:sz w:val="20"/>
          <w:lang w:val="en-US"/>
        </w:rPr>
        <w:t>also</w:t>
      </w:r>
      <w:r w:rsidR="00436B75" w:rsidRPr="006E20A2">
        <w:rPr>
          <w:rFonts w:ascii="Arial" w:hAnsi="Arial"/>
          <w:sz w:val="20"/>
          <w:lang w:val="en-US"/>
        </w:rPr>
        <w:t xml:space="preserve"> took place virtually in July 2020 due to COVID-19. </w:t>
      </w:r>
    </w:p>
    <w:p w14:paraId="5D022C21" w14:textId="77777777" w:rsidR="004B4EB5" w:rsidRPr="006E20A2" w:rsidRDefault="004B4EB5" w:rsidP="004B4EB5">
      <w:pPr>
        <w:spacing w:line="276" w:lineRule="auto"/>
        <w:rPr>
          <w:rFonts w:ascii="Arial" w:hAnsi="Arial"/>
          <w:sz w:val="20"/>
          <w:lang w:val="en-US"/>
        </w:rPr>
      </w:pPr>
    </w:p>
    <w:p w14:paraId="0C40474F" w14:textId="2A77E33C" w:rsidR="004B4EB5" w:rsidRPr="006E20A2" w:rsidRDefault="00436B75" w:rsidP="004B4EB5">
      <w:pPr>
        <w:snapToGrid w:val="0"/>
        <w:spacing w:line="276" w:lineRule="auto"/>
        <w:rPr>
          <w:rFonts w:ascii="Arial" w:hAnsi="Arial"/>
          <w:sz w:val="20"/>
          <w:lang w:val="en-US"/>
        </w:rPr>
      </w:pPr>
      <w:r w:rsidRPr="006E20A2">
        <w:rPr>
          <w:rFonts w:ascii="Arial" w:hAnsi="Arial"/>
          <w:sz w:val="20"/>
          <w:lang w:val="en-US"/>
        </w:rPr>
        <w:t>In 2020</w:t>
      </w:r>
      <w:r w:rsidR="00291DEB">
        <w:rPr>
          <w:rFonts w:ascii="Arial" w:hAnsi="Arial"/>
          <w:sz w:val="20"/>
          <w:lang w:val="en-US"/>
        </w:rPr>
        <w:t>,</w:t>
      </w:r>
      <w:r w:rsidRPr="006E20A2">
        <w:rPr>
          <w:rFonts w:ascii="Arial" w:hAnsi="Arial"/>
          <w:sz w:val="20"/>
          <w:lang w:val="en-US"/>
        </w:rPr>
        <w:t xml:space="preserve"> the number of FIU members of </w:t>
      </w:r>
      <w:r w:rsidR="00380BDC">
        <w:rPr>
          <w:rFonts w:ascii="Arial" w:hAnsi="Arial"/>
          <w:sz w:val="20"/>
          <w:lang w:val="en-US"/>
        </w:rPr>
        <w:t xml:space="preserve">the </w:t>
      </w:r>
      <w:r w:rsidRPr="006E20A2">
        <w:rPr>
          <w:rFonts w:ascii="Arial" w:hAnsi="Arial"/>
          <w:sz w:val="20"/>
          <w:lang w:val="en-US"/>
        </w:rPr>
        <w:t xml:space="preserve">EGMONT group rose to 166, as </w:t>
      </w:r>
      <w:r w:rsidR="00BF7D37" w:rsidRPr="006E20A2">
        <w:rPr>
          <w:rFonts w:ascii="Arial" w:hAnsi="Arial"/>
          <w:sz w:val="20"/>
          <w:lang w:val="en-US"/>
        </w:rPr>
        <w:t>Bhutan</w:t>
      </w:r>
      <w:r w:rsidRPr="006E20A2">
        <w:rPr>
          <w:rFonts w:ascii="Arial" w:hAnsi="Arial"/>
          <w:sz w:val="20"/>
          <w:lang w:val="en-US"/>
        </w:rPr>
        <w:t xml:space="preserve"> and </w:t>
      </w:r>
      <w:r w:rsidR="00BF7D37" w:rsidRPr="006E20A2">
        <w:rPr>
          <w:rFonts w:ascii="Arial" w:hAnsi="Arial"/>
          <w:sz w:val="20"/>
          <w:lang w:val="en-US"/>
        </w:rPr>
        <w:t>Montenegro</w:t>
      </w:r>
      <w:r w:rsidRPr="006E20A2">
        <w:rPr>
          <w:rFonts w:ascii="Arial" w:hAnsi="Arial"/>
          <w:sz w:val="20"/>
          <w:lang w:val="en-US"/>
        </w:rPr>
        <w:t xml:space="preserve"> joined the group. The president of </w:t>
      </w:r>
      <w:r w:rsidR="00380BDC">
        <w:rPr>
          <w:rFonts w:ascii="Arial" w:hAnsi="Arial"/>
          <w:sz w:val="20"/>
          <w:lang w:val="en-US"/>
        </w:rPr>
        <w:t xml:space="preserve">the </w:t>
      </w:r>
      <w:r w:rsidR="004B4EB5" w:rsidRPr="006E20A2">
        <w:rPr>
          <w:rFonts w:ascii="Arial" w:hAnsi="Arial"/>
          <w:sz w:val="20"/>
          <w:lang w:val="en-US"/>
        </w:rPr>
        <w:t>EGMONT</w:t>
      </w:r>
      <w:r w:rsidRPr="006E20A2">
        <w:rPr>
          <w:rFonts w:ascii="Arial" w:hAnsi="Arial"/>
          <w:sz w:val="20"/>
          <w:lang w:val="en-US"/>
        </w:rPr>
        <w:t xml:space="preserve"> group</w:t>
      </w:r>
      <w:r w:rsidR="004B4EB5" w:rsidRPr="006E20A2">
        <w:rPr>
          <w:rFonts w:ascii="Arial" w:hAnsi="Arial"/>
          <w:sz w:val="20"/>
          <w:lang w:val="en-US"/>
        </w:rPr>
        <w:t>, Henni VERBEEK KUSTERS</w:t>
      </w:r>
      <w:r w:rsidR="00950455" w:rsidRPr="006E20A2">
        <w:rPr>
          <w:rFonts w:ascii="Arial" w:hAnsi="Arial"/>
          <w:sz w:val="20"/>
          <w:lang w:val="en-US"/>
        </w:rPr>
        <w:t>,</w:t>
      </w:r>
      <w:r w:rsidR="004B4EB5" w:rsidRPr="006E20A2">
        <w:rPr>
          <w:rFonts w:ascii="Arial" w:hAnsi="Arial"/>
          <w:sz w:val="20"/>
          <w:lang w:val="en-US"/>
        </w:rPr>
        <w:t xml:space="preserve"> </w:t>
      </w:r>
      <w:r w:rsidRPr="006E20A2">
        <w:rPr>
          <w:rFonts w:ascii="Arial" w:hAnsi="Arial"/>
          <w:sz w:val="20"/>
          <w:lang w:val="en-US"/>
        </w:rPr>
        <w:t xml:space="preserve">presented the role of FIUs in </w:t>
      </w:r>
      <w:r w:rsidR="00380BDC">
        <w:rPr>
          <w:rFonts w:ascii="Arial" w:hAnsi="Arial"/>
          <w:sz w:val="20"/>
          <w:lang w:val="en-US"/>
        </w:rPr>
        <w:t xml:space="preserve">the </w:t>
      </w:r>
      <w:r w:rsidRPr="006E20A2">
        <w:rPr>
          <w:rFonts w:ascii="Arial" w:hAnsi="Arial"/>
          <w:sz w:val="20"/>
          <w:lang w:val="en-US"/>
        </w:rPr>
        <w:t xml:space="preserve">fight against corruption at G20 meeting. It was the first time that </w:t>
      </w:r>
      <w:r w:rsidR="00380BDC">
        <w:rPr>
          <w:rFonts w:ascii="Arial" w:hAnsi="Arial"/>
          <w:sz w:val="20"/>
          <w:lang w:val="en-US"/>
        </w:rPr>
        <w:t>a</w:t>
      </w:r>
      <w:r w:rsidR="00380BDC" w:rsidRPr="006E20A2">
        <w:rPr>
          <w:rFonts w:ascii="Arial" w:hAnsi="Arial"/>
          <w:sz w:val="20"/>
          <w:lang w:val="en-US"/>
        </w:rPr>
        <w:t xml:space="preserve"> </w:t>
      </w:r>
      <w:r w:rsidR="00BF7D37" w:rsidRPr="006E20A2">
        <w:rPr>
          <w:rFonts w:ascii="Arial" w:hAnsi="Arial"/>
          <w:sz w:val="20"/>
          <w:lang w:val="en-US"/>
        </w:rPr>
        <w:t>member</w:t>
      </w:r>
      <w:r w:rsidRPr="006E20A2">
        <w:rPr>
          <w:rFonts w:ascii="Arial" w:hAnsi="Arial"/>
          <w:sz w:val="20"/>
          <w:lang w:val="en-US"/>
        </w:rPr>
        <w:t xml:space="preserve"> of </w:t>
      </w:r>
      <w:r w:rsidR="00380BDC">
        <w:rPr>
          <w:rFonts w:ascii="Arial" w:hAnsi="Arial"/>
          <w:sz w:val="20"/>
          <w:lang w:val="en-US"/>
        </w:rPr>
        <w:t xml:space="preserve">the </w:t>
      </w:r>
      <w:r w:rsidRPr="006E20A2">
        <w:rPr>
          <w:rFonts w:ascii="Arial" w:hAnsi="Arial"/>
          <w:sz w:val="20"/>
          <w:lang w:val="en-US"/>
        </w:rPr>
        <w:t xml:space="preserve">EGMONT group was invited to such </w:t>
      </w:r>
      <w:r w:rsidR="00380BDC">
        <w:rPr>
          <w:rFonts w:ascii="Arial" w:hAnsi="Arial"/>
          <w:sz w:val="20"/>
          <w:lang w:val="en-US"/>
        </w:rPr>
        <w:t xml:space="preserve">an </w:t>
      </w:r>
      <w:r w:rsidRPr="006E20A2">
        <w:rPr>
          <w:rFonts w:ascii="Arial" w:hAnsi="Arial"/>
          <w:sz w:val="20"/>
          <w:lang w:val="en-US"/>
        </w:rPr>
        <w:t>event.</w:t>
      </w:r>
      <w:r w:rsidR="004B4EB5" w:rsidRPr="006E20A2">
        <w:rPr>
          <w:rFonts w:ascii="Arial" w:hAnsi="Arial"/>
          <w:sz w:val="20"/>
          <w:lang w:val="en-US"/>
        </w:rPr>
        <w:t xml:space="preserve"> </w:t>
      </w:r>
      <w:r w:rsidRPr="006E20A2">
        <w:rPr>
          <w:rFonts w:ascii="Arial" w:hAnsi="Arial"/>
          <w:sz w:val="20"/>
          <w:lang w:val="en-US"/>
        </w:rPr>
        <w:t xml:space="preserve">Members from India, Australia, Italy, </w:t>
      </w:r>
      <w:proofErr w:type="gramStart"/>
      <w:r w:rsidR="00BF7D37" w:rsidRPr="006E20A2">
        <w:rPr>
          <w:rFonts w:ascii="Arial" w:hAnsi="Arial"/>
          <w:sz w:val="20"/>
          <w:lang w:val="en-US"/>
        </w:rPr>
        <w:t>France</w:t>
      </w:r>
      <w:proofErr w:type="gramEnd"/>
      <w:r w:rsidRPr="006E20A2">
        <w:rPr>
          <w:rFonts w:ascii="Arial" w:hAnsi="Arial"/>
          <w:sz w:val="20"/>
          <w:lang w:val="en-US"/>
        </w:rPr>
        <w:t xml:space="preserve"> and Armenia were welcomed to the EGMONT secretariat.</w:t>
      </w:r>
    </w:p>
    <w:p w14:paraId="04C37FE8" w14:textId="77777777" w:rsidR="00851C49" w:rsidRPr="006E20A2" w:rsidRDefault="00851C49" w:rsidP="00D21F86">
      <w:pPr>
        <w:spacing w:line="276" w:lineRule="auto"/>
        <w:rPr>
          <w:rFonts w:ascii="Arial" w:hAnsi="Arial"/>
          <w:sz w:val="20"/>
          <w:lang w:val="en-US"/>
        </w:rPr>
      </w:pPr>
    </w:p>
    <w:p w14:paraId="5B0EAC4A" w14:textId="6A001325" w:rsidR="00851C49" w:rsidRPr="006E20A2" w:rsidRDefault="00436B75">
      <w:pPr>
        <w:pStyle w:val="Naslov2"/>
        <w:rPr>
          <w:lang w:val="en-US"/>
        </w:rPr>
      </w:pPr>
      <w:r w:rsidRPr="006E20A2">
        <w:rPr>
          <w:lang w:val="en-US"/>
        </w:rPr>
        <w:t>BILATERAL C</w:t>
      </w:r>
      <w:r w:rsidR="007104DB">
        <w:rPr>
          <w:lang w:val="en-US"/>
        </w:rPr>
        <w:t>O</w:t>
      </w:r>
      <w:r w:rsidRPr="006E20A2">
        <w:rPr>
          <w:lang w:val="en-US"/>
        </w:rPr>
        <w:t xml:space="preserve">OPERATION </w:t>
      </w:r>
    </w:p>
    <w:p w14:paraId="5CF477E2" w14:textId="77777777" w:rsidR="00851C49" w:rsidRPr="006E20A2" w:rsidRDefault="00851C49" w:rsidP="00D21F86">
      <w:pPr>
        <w:spacing w:line="276" w:lineRule="auto"/>
        <w:rPr>
          <w:rFonts w:ascii="Arial" w:hAnsi="Arial"/>
          <w:sz w:val="20"/>
          <w:lang w:val="en-US"/>
        </w:rPr>
      </w:pPr>
    </w:p>
    <w:p w14:paraId="3538A916" w14:textId="3C952A32" w:rsidR="004241B4" w:rsidRPr="006E20A2" w:rsidRDefault="004241B4" w:rsidP="00E14F70">
      <w:pPr>
        <w:spacing w:line="276" w:lineRule="auto"/>
        <w:rPr>
          <w:rFonts w:ascii="Arial" w:hAnsi="Arial"/>
          <w:sz w:val="20"/>
          <w:lang w:val="en-US"/>
        </w:rPr>
      </w:pPr>
      <w:bookmarkStart w:id="144" w:name="_Toc74461985"/>
      <w:bookmarkStart w:id="145" w:name="_Toc135206768"/>
      <w:r w:rsidRPr="006E20A2">
        <w:rPr>
          <w:rFonts w:ascii="Arial" w:hAnsi="Arial"/>
          <w:bCs/>
          <w:sz w:val="20"/>
          <w:lang w:val="en-US"/>
        </w:rPr>
        <w:t>For bilateral cooperation of OMLP, numerous contacts with its foreign counterparts were characteristic in the year 2020 as well</w:t>
      </w:r>
      <w:r w:rsidR="00BF7D37">
        <w:rPr>
          <w:rFonts w:ascii="Arial" w:hAnsi="Arial"/>
          <w:bCs/>
          <w:sz w:val="20"/>
          <w:lang w:val="en-US"/>
        </w:rPr>
        <w:t>.</w:t>
      </w:r>
    </w:p>
    <w:p w14:paraId="58469BAD" w14:textId="77777777" w:rsidR="00E14F70" w:rsidRPr="006E20A2" w:rsidRDefault="00E14F70" w:rsidP="00E14F70">
      <w:pPr>
        <w:spacing w:line="276" w:lineRule="auto"/>
        <w:rPr>
          <w:rFonts w:ascii="Arial" w:hAnsi="Arial"/>
          <w:sz w:val="20"/>
          <w:lang w:val="en-US"/>
        </w:rPr>
      </w:pPr>
    </w:p>
    <w:p w14:paraId="300520D6" w14:textId="7DBF4189" w:rsidR="00403773" w:rsidRPr="006E20A2" w:rsidRDefault="004241B4" w:rsidP="00BA5BC9">
      <w:pPr>
        <w:pStyle w:val="Naslov3"/>
        <w:numPr>
          <w:ilvl w:val="2"/>
          <w:numId w:val="4"/>
        </w:numPr>
        <w:rPr>
          <w:lang w:val="en-US"/>
        </w:rPr>
      </w:pPr>
      <w:bookmarkStart w:id="146" w:name="_Toc113535504"/>
      <w:r w:rsidRPr="006E20A2">
        <w:rPr>
          <w:lang w:val="en-US"/>
        </w:rPr>
        <w:t xml:space="preserve">International cooperation </w:t>
      </w:r>
      <w:proofErr w:type="gramStart"/>
      <w:r w:rsidRPr="006E20A2">
        <w:rPr>
          <w:lang w:val="en-US"/>
        </w:rPr>
        <w:t>on the basis of</w:t>
      </w:r>
      <w:proofErr w:type="gramEnd"/>
      <w:r w:rsidRPr="006E20A2">
        <w:rPr>
          <w:lang w:val="en-US"/>
        </w:rPr>
        <w:t xml:space="preserve"> </w:t>
      </w:r>
      <w:r w:rsidR="0046195D">
        <w:rPr>
          <w:lang w:val="en-US"/>
        </w:rPr>
        <w:t xml:space="preserve">the </w:t>
      </w:r>
      <w:r w:rsidRPr="006E20A2">
        <w:rPr>
          <w:lang w:val="en-US"/>
        </w:rPr>
        <w:t>Act on prevention of money laundering and terrorist financing</w:t>
      </w:r>
      <w:bookmarkEnd w:id="144"/>
      <w:bookmarkEnd w:id="145"/>
      <w:bookmarkEnd w:id="146"/>
    </w:p>
    <w:p w14:paraId="4FC9916D" w14:textId="77777777" w:rsidR="00403773" w:rsidRPr="006E20A2" w:rsidRDefault="00403773" w:rsidP="00403773">
      <w:pPr>
        <w:spacing w:line="276" w:lineRule="auto"/>
        <w:rPr>
          <w:rFonts w:ascii="Arial" w:hAnsi="Arial"/>
          <w:sz w:val="20"/>
          <w:lang w:val="en-US"/>
        </w:rPr>
      </w:pPr>
    </w:p>
    <w:p w14:paraId="35843A59" w14:textId="54553443" w:rsidR="00DC3A3F" w:rsidRPr="006E20A2" w:rsidRDefault="007921E4" w:rsidP="00413D60">
      <w:pPr>
        <w:spacing w:line="276" w:lineRule="auto"/>
        <w:rPr>
          <w:rFonts w:ascii="Arial" w:hAnsi="Arial"/>
          <w:sz w:val="20"/>
          <w:lang w:val="en-US"/>
        </w:rPr>
      </w:pPr>
      <w:proofErr w:type="gramStart"/>
      <w:r w:rsidRPr="006E20A2">
        <w:rPr>
          <w:rFonts w:ascii="Arial" w:hAnsi="Arial"/>
          <w:sz w:val="20"/>
          <w:lang w:val="en-US"/>
        </w:rPr>
        <w:t>On the basis of</w:t>
      </w:r>
      <w:proofErr w:type="gramEnd"/>
      <w:r w:rsidRPr="006E20A2">
        <w:rPr>
          <w:rFonts w:ascii="Arial" w:hAnsi="Arial"/>
          <w:sz w:val="20"/>
          <w:lang w:val="en-US"/>
        </w:rPr>
        <w:t xml:space="preserve"> Article 105 of APMLFT-1 the OMLP sent 345 requests in 245 cases to 52 countries (in 2019 239 requests in 189 </w:t>
      </w:r>
      <w:r w:rsidR="00BF7D37">
        <w:rPr>
          <w:rFonts w:ascii="Arial" w:hAnsi="Arial"/>
          <w:sz w:val="20"/>
          <w:lang w:val="en-US"/>
        </w:rPr>
        <w:t>cases</w:t>
      </w:r>
      <w:r w:rsidRPr="006E20A2">
        <w:rPr>
          <w:rFonts w:ascii="Arial" w:hAnsi="Arial"/>
          <w:sz w:val="20"/>
          <w:lang w:val="en-US"/>
        </w:rPr>
        <w:t xml:space="preserve"> to 52 countries) and on the basis of Article 108 168 spontaneous information to 28 countries (in 2019 141 spontaneous </w:t>
      </w:r>
      <w:r w:rsidR="00BF7D37" w:rsidRPr="006E20A2">
        <w:rPr>
          <w:rFonts w:ascii="Arial" w:hAnsi="Arial"/>
          <w:sz w:val="20"/>
          <w:lang w:val="en-US"/>
        </w:rPr>
        <w:t>information</w:t>
      </w:r>
      <w:r w:rsidRPr="006E20A2">
        <w:rPr>
          <w:rFonts w:ascii="Arial" w:hAnsi="Arial"/>
          <w:sz w:val="20"/>
          <w:lang w:val="en-US"/>
        </w:rPr>
        <w:t xml:space="preserve"> to 32 countries)</w:t>
      </w:r>
      <w:r w:rsidR="00874D75" w:rsidRPr="006E20A2">
        <w:rPr>
          <w:rFonts w:ascii="Arial" w:hAnsi="Arial"/>
          <w:sz w:val="20"/>
          <w:lang w:val="en-US"/>
        </w:rPr>
        <w:t>.</w:t>
      </w:r>
    </w:p>
    <w:p w14:paraId="41547868" w14:textId="77777777" w:rsidR="00DC3A3F" w:rsidRPr="006E20A2" w:rsidRDefault="00DC3A3F" w:rsidP="00413D60">
      <w:pPr>
        <w:spacing w:line="276" w:lineRule="auto"/>
        <w:rPr>
          <w:rFonts w:ascii="Arial" w:hAnsi="Arial"/>
          <w:sz w:val="20"/>
          <w:lang w:val="en-US"/>
        </w:rPr>
      </w:pPr>
    </w:p>
    <w:p w14:paraId="78873C80" w14:textId="1D54F4E3" w:rsidR="008F3F85" w:rsidRPr="006E20A2" w:rsidRDefault="007921E4" w:rsidP="00413D60">
      <w:pPr>
        <w:spacing w:line="276" w:lineRule="auto"/>
        <w:rPr>
          <w:rFonts w:ascii="Arial" w:hAnsi="Arial"/>
          <w:sz w:val="20"/>
          <w:lang w:val="en-US"/>
        </w:rPr>
      </w:pPr>
      <w:r w:rsidRPr="006E20A2">
        <w:rPr>
          <w:rFonts w:ascii="Arial" w:hAnsi="Arial"/>
          <w:sz w:val="20"/>
          <w:lang w:val="en-US"/>
        </w:rPr>
        <w:t>In comparison to 2019 we note</w:t>
      </w:r>
      <w:r w:rsidR="00291DEB">
        <w:rPr>
          <w:rFonts w:ascii="Arial" w:hAnsi="Arial"/>
          <w:sz w:val="20"/>
          <w:lang w:val="en-US"/>
        </w:rPr>
        <w:t>d</w:t>
      </w:r>
      <w:r w:rsidRPr="006E20A2">
        <w:rPr>
          <w:rFonts w:ascii="Arial" w:hAnsi="Arial"/>
          <w:sz w:val="20"/>
          <w:lang w:val="en-US"/>
        </w:rPr>
        <w:t xml:space="preserve"> </w:t>
      </w:r>
      <w:r w:rsidR="00291DEB">
        <w:rPr>
          <w:rFonts w:ascii="Arial" w:hAnsi="Arial"/>
          <w:sz w:val="20"/>
          <w:lang w:val="en-US"/>
        </w:rPr>
        <w:t xml:space="preserve">an increase of </w:t>
      </w:r>
      <w:r w:rsidRPr="006E20A2">
        <w:rPr>
          <w:rFonts w:ascii="Arial" w:hAnsi="Arial"/>
          <w:sz w:val="20"/>
          <w:lang w:val="en-US"/>
        </w:rPr>
        <w:t xml:space="preserve">sent requests </w:t>
      </w:r>
      <w:r w:rsidR="0046195D">
        <w:rPr>
          <w:rFonts w:ascii="Arial" w:hAnsi="Arial"/>
          <w:sz w:val="20"/>
          <w:lang w:val="en-US"/>
        </w:rPr>
        <w:t>by</w:t>
      </w:r>
      <w:r w:rsidR="0046195D" w:rsidRPr="006E20A2">
        <w:rPr>
          <w:rFonts w:ascii="Arial" w:hAnsi="Arial"/>
          <w:sz w:val="20"/>
          <w:lang w:val="en-US"/>
        </w:rPr>
        <w:t xml:space="preserve"> </w:t>
      </w:r>
      <w:r w:rsidRPr="006E20A2">
        <w:rPr>
          <w:rFonts w:ascii="Arial" w:hAnsi="Arial"/>
          <w:sz w:val="20"/>
          <w:lang w:val="en-US"/>
        </w:rPr>
        <w:t xml:space="preserve">44 % and spontaneous information </w:t>
      </w:r>
      <w:r w:rsidR="0046195D">
        <w:rPr>
          <w:rFonts w:ascii="Arial" w:hAnsi="Arial"/>
          <w:sz w:val="20"/>
          <w:lang w:val="en-US"/>
        </w:rPr>
        <w:t>by</w:t>
      </w:r>
      <w:r w:rsidR="0046195D" w:rsidRPr="006E20A2">
        <w:rPr>
          <w:rFonts w:ascii="Arial" w:hAnsi="Arial"/>
          <w:sz w:val="20"/>
          <w:lang w:val="en-US"/>
        </w:rPr>
        <w:t xml:space="preserve"> </w:t>
      </w:r>
      <w:r w:rsidRPr="006E20A2">
        <w:rPr>
          <w:rFonts w:ascii="Arial" w:hAnsi="Arial"/>
          <w:sz w:val="20"/>
          <w:lang w:val="en-US"/>
        </w:rPr>
        <w:t xml:space="preserve">18 %. </w:t>
      </w:r>
    </w:p>
    <w:p w14:paraId="44A2473A" w14:textId="77777777" w:rsidR="007921E4" w:rsidRPr="006E20A2" w:rsidRDefault="007921E4" w:rsidP="00413D60">
      <w:pPr>
        <w:spacing w:line="276" w:lineRule="auto"/>
        <w:rPr>
          <w:rFonts w:ascii="Arial" w:hAnsi="Arial"/>
          <w:sz w:val="20"/>
          <w:lang w:val="en-US"/>
        </w:rPr>
      </w:pPr>
    </w:p>
    <w:p w14:paraId="5468B0D8" w14:textId="5F4376D7" w:rsidR="007921E4" w:rsidRPr="006E20A2" w:rsidRDefault="008F3F85" w:rsidP="00413D60">
      <w:pPr>
        <w:spacing w:line="276" w:lineRule="auto"/>
        <w:rPr>
          <w:rFonts w:ascii="Arial" w:hAnsi="Arial"/>
          <w:sz w:val="20"/>
          <w:lang w:val="en-US"/>
        </w:rPr>
      </w:pPr>
      <w:proofErr w:type="gramStart"/>
      <w:r w:rsidRPr="006E20A2">
        <w:rPr>
          <w:rFonts w:ascii="Arial" w:hAnsi="Arial"/>
          <w:sz w:val="20"/>
          <w:lang w:val="en-US"/>
        </w:rPr>
        <w:t>On the basis of</w:t>
      </w:r>
      <w:proofErr w:type="gramEnd"/>
      <w:r w:rsidRPr="006E20A2">
        <w:rPr>
          <w:rFonts w:ascii="Arial" w:hAnsi="Arial"/>
          <w:sz w:val="20"/>
          <w:lang w:val="en-US"/>
        </w:rPr>
        <w:t xml:space="preserve"> Article 106 of APMLFT-1 in 2020 the OMLP </w:t>
      </w:r>
      <w:r w:rsidRPr="006E20A2">
        <w:rPr>
          <w:rFonts w:ascii="Arial" w:hAnsi="Arial"/>
          <w:sz w:val="20"/>
          <w:u w:val="single"/>
          <w:lang w:val="en-US"/>
        </w:rPr>
        <w:t>received</w:t>
      </w:r>
      <w:r w:rsidRPr="006E20A2">
        <w:rPr>
          <w:rFonts w:ascii="Arial" w:hAnsi="Arial"/>
          <w:sz w:val="20"/>
          <w:lang w:val="en-US"/>
        </w:rPr>
        <w:t xml:space="preserve"> 141 requests in 135 cases from 38 countries (in 2019 176 requests in 142 cases from 59 countries) and 85 spontaneous information from 24 countries (in 2019, 52 spontaneous </w:t>
      </w:r>
      <w:r w:rsidR="00BF7D37" w:rsidRPr="006E20A2">
        <w:rPr>
          <w:rFonts w:ascii="Arial" w:hAnsi="Arial"/>
          <w:sz w:val="20"/>
          <w:lang w:val="en-US"/>
        </w:rPr>
        <w:t>information</w:t>
      </w:r>
      <w:r w:rsidRPr="006E20A2">
        <w:rPr>
          <w:rFonts w:ascii="Arial" w:hAnsi="Arial"/>
          <w:sz w:val="20"/>
          <w:lang w:val="en-US"/>
        </w:rPr>
        <w:t xml:space="preserve"> </w:t>
      </w:r>
      <w:r w:rsidR="007921E4" w:rsidRPr="006E20A2">
        <w:rPr>
          <w:rFonts w:ascii="Arial" w:hAnsi="Arial"/>
          <w:sz w:val="20"/>
          <w:lang w:val="en-US"/>
        </w:rPr>
        <w:t xml:space="preserve">from 18 countries) </w:t>
      </w:r>
    </w:p>
    <w:p w14:paraId="110C4F78" w14:textId="77777777" w:rsidR="007921E4" w:rsidRPr="006E20A2" w:rsidRDefault="007921E4" w:rsidP="00413D60">
      <w:pPr>
        <w:spacing w:line="276" w:lineRule="auto"/>
        <w:rPr>
          <w:rFonts w:ascii="Arial" w:hAnsi="Arial"/>
          <w:sz w:val="20"/>
          <w:lang w:val="en-US"/>
        </w:rPr>
      </w:pPr>
    </w:p>
    <w:p w14:paraId="10D9C153" w14:textId="5A7E5AEB" w:rsidR="00874D75" w:rsidRPr="006E20A2" w:rsidRDefault="007921E4" w:rsidP="00413D60">
      <w:pPr>
        <w:spacing w:line="276" w:lineRule="auto"/>
        <w:rPr>
          <w:rFonts w:ascii="Arial" w:hAnsi="Arial"/>
          <w:sz w:val="20"/>
          <w:lang w:val="en-US"/>
        </w:rPr>
      </w:pPr>
      <w:r w:rsidRPr="006E20A2">
        <w:rPr>
          <w:rFonts w:ascii="Arial" w:hAnsi="Arial"/>
          <w:sz w:val="20"/>
          <w:lang w:val="en-US"/>
        </w:rPr>
        <w:t xml:space="preserve">In comparison to 2019 the number of received requests </w:t>
      </w:r>
      <w:r w:rsidR="00291DEB">
        <w:rPr>
          <w:rFonts w:ascii="Arial" w:hAnsi="Arial"/>
          <w:sz w:val="20"/>
          <w:lang w:val="en-US"/>
        </w:rPr>
        <w:t xml:space="preserve">decreased </w:t>
      </w:r>
      <w:r w:rsidR="0046195D">
        <w:rPr>
          <w:rFonts w:ascii="Arial" w:hAnsi="Arial"/>
          <w:sz w:val="20"/>
          <w:lang w:val="en-US"/>
        </w:rPr>
        <w:t>by</w:t>
      </w:r>
      <w:r w:rsidR="0046195D" w:rsidRPr="006E20A2">
        <w:rPr>
          <w:rFonts w:ascii="Arial" w:hAnsi="Arial"/>
          <w:sz w:val="20"/>
          <w:lang w:val="en-US"/>
        </w:rPr>
        <w:t xml:space="preserve"> </w:t>
      </w:r>
      <w:r w:rsidR="00B6076C" w:rsidRPr="006E20A2">
        <w:rPr>
          <w:rFonts w:ascii="Arial" w:hAnsi="Arial"/>
          <w:sz w:val="20"/>
          <w:lang w:val="en-US"/>
        </w:rPr>
        <w:t xml:space="preserve">20 % and the number of received spontaneous information </w:t>
      </w:r>
      <w:r w:rsidR="00413D60" w:rsidRPr="006E20A2">
        <w:rPr>
          <w:rFonts w:ascii="Arial" w:hAnsi="Arial"/>
          <w:sz w:val="20"/>
          <w:lang w:val="en-US"/>
        </w:rPr>
        <w:t>increased</w:t>
      </w:r>
      <w:r w:rsidR="00B6076C" w:rsidRPr="006E20A2">
        <w:rPr>
          <w:rFonts w:ascii="Arial" w:hAnsi="Arial"/>
          <w:sz w:val="20"/>
          <w:lang w:val="en-US"/>
        </w:rPr>
        <w:t xml:space="preserve"> </w:t>
      </w:r>
      <w:r w:rsidR="0046195D">
        <w:rPr>
          <w:rFonts w:ascii="Arial" w:hAnsi="Arial"/>
          <w:sz w:val="20"/>
          <w:lang w:val="en-US"/>
        </w:rPr>
        <w:t>by</w:t>
      </w:r>
      <w:r w:rsidR="0046195D" w:rsidRPr="006E20A2">
        <w:rPr>
          <w:rFonts w:ascii="Arial" w:hAnsi="Arial"/>
          <w:sz w:val="20"/>
          <w:lang w:val="en-US"/>
        </w:rPr>
        <w:t xml:space="preserve"> </w:t>
      </w:r>
      <w:r w:rsidR="00B6076C" w:rsidRPr="006E20A2">
        <w:rPr>
          <w:rFonts w:ascii="Arial" w:hAnsi="Arial"/>
          <w:sz w:val="20"/>
          <w:lang w:val="en-US"/>
        </w:rPr>
        <w:t>63 %.</w:t>
      </w:r>
    </w:p>
    <w:p w14:paraId="045754D2" w14:textId="4ED603EF" w:rsidR="00EE2FEB" w:rsidRPr="006E20A2" w:rsidRDefault="00EE2FEB" w:rsidP="00413D60">
      <w:pPr>
        <w:spacing w:line="276" w:lineRule="auto"/>
        <w:rPr>
          <w:rFonts w:ascii="Arial" w:hAnsi="Arial"/>
          <w:sz w:val="20"/>
          <w:lang w:val="en-US"/>
        </w:rPr>
      </w:pPr>
    </w:p>
    <w:p w14:paraId="5563F639" w14:textId="3C72E288" w:rsidR="000918AC" w:rsidRPr="006E20A2" w:rsidRDefault="00413D60" w:rsidP="00413D60">
      <w:pPr>
        <w:spacing w:line="276" w:lineRule="auto"/>
        <w:rPr>
          <w:rFonts w:ascii="Arial" w:hAnsi="Arial"/>
          <w:sz w:val="20"/>
          <w:lang w:val="en-US"/>
        </w:rPr>
      </w:pPr>
      <w:r w:rsidRPr="006E20A2">
        <w:rPr>
          <w:rFonts w:ascii="Arial" w:hAnsi="Arial"/>
          <w:sz w:val="20"/>
          <w:lang w:val="en-US"/>
        </w:rPr>
        <w:t xml:space="preserve">In 2020 </w:t>
      </w:r>
      <w:proofErr w:type="gramStart"/>
      <w:r w:rsidRPr="006E20A2">
        <w:rPr>
          <w:rFonts w:ascii="Arial" w:hAnsi="Arial"/>
          <w:sz w:val="20"/>
          <w:lang w:val="en-US"/>
        </w:rPr>
        <w:t>the majority of</w:t>
      </w:r>
      <w:proofErr w:type="gramEnd"/>
      <w:r w:rsidRPr="006E20A2">
        <w:rPr>
          <w:rFonts w:ascii="Arial" w:hAnsi="Arial"/>
          <w:sz w:val="20"/>
          <w:lang w:val="en-US"/>
        </w:rPr>
        <w:t xml:space="preserve"> data w</w:t>
      </w:r>
      <w:r w:rsidR="00291DEB">
        <w:rPr>
          <w:rFonts w:ascii="Arial" w:hAnsi="Arial"/>
          <w:sz w:val="20"/>
          <w:lang w:val="en-US"/>
        </w:rPr>
        <w:t>as</w:t>
      </w:r>
      <w:r w:rsidRPr="006E20A2">
        <w:rPr>
          <w:rFonts w:ascii="Arial" w:hAnsi="Arial"/>
          <w:sz w:val="20"/>
          <w:lang w:val="en-US"/>
        </w:rPr>
        <w:t xml:space="preserve"> exchanged with FIU</w:t>
      </w:r>
      <w:r w:rsidR="00291DEB">
        <w:rPr>
          <w:rFonts w:ascii="Arial" w:hAnsi="Arial"/>
          <w:sz w:val="20"/>
          <w:lang w:val="en-US"/>
        </w:rPr>
        <w:t xml:space="preserve">s of </w:t>
      </w:r>
      <w:r w:rsidRPr="006E20A2">
        <w:rPr>
          <w:rFonts w:ascii="Arial" w:hAnsi="Arial"/>
          <w:sz w:val="20"/>
          <w:lang w:val="en-US"/>
        </w:rPr>
        <w:t>Italy, Croatia, Germany, Russia, Great Britain and Serbia.</w:t>
      </w:r>
      <w:r w:rsidR="000918AC" w:rsidRPr="006E20A2">
        <w:rPr>
          <w:rFonts w:ascii="Arial" w:hAnsi="Arial"/>
          <w:sz w:val="20"/>
          <w:lang w:val="en-US"/>
        </w:rPr>
        <w:t xml:space="preserve"> </w:t>
      </w:r>
    </w:p>
    <w:p w14:paraId="66DCBB9F" w14:textId="1B5BF2EC" w:rsidR="00851C49" w:rsidRPr="006E20A2" w:rsidRDefault="00413D60" w:rsidP="00BA5BC9">
      <w:pPr>
        <w:pStyle w:val="Naslov3"/>
        <w:numPr>
          <w:ilvl w:val="2"/>
          <w:numId w:val="4"/>
        </w:numPr>
        <w:rPr>
          <w:lang w:val="en-US"/>
        </w:rPr>
      </w:pPr>
      <w:r w:rsidRPr="006E20A2">
        <w:rPr>
          <w:lang w:val="en-US"/>
        </w:rPr>
        <w:t>Memorandum of understanding</w:t>
      </w:r>
    </w:p>
    <w:p w14:paraId="6601FCDE" w14:textId="28E2AA12" w:rsidR="00413D60" w:rsidRPr="006E20A2" w:rsidRDefault="00413D60" w:rsidP="007F6A98">
      <w:pPr>
        <w:spacing w:line="276" w:lineRule="auto"/>
        <w:rPr>
          <w:rFonts w:ascii="Arial" w:hAnsi="Arial"/>
          <w:sz w:val="20"/>
          <w:lang w:val="en-US"/>
        </w:rPr>
      </w:pPr>
      <w:bookmarkStart w:id="147" w:name="_Toc499546350"/>
    </w:p>
    <w:p w14:paraId="521567CF" w14:textId="67BAB77A" w:rsidR="00413D60" w:rsidRPr="006E20A2" w:rsidRDefault="00413D60" w:rsidP="00413D60">
      <w:pPr>
        <w:rPr>
          <w:rFonts w:ascii="Arial" w:hAnsi="Arial"/>
          <w:sz w:val="20"/>
          <w:lang w:val="en-US"/>
        </w:rPr>
      </w:pPr>
      <w:r w:rsidRPr="006E20A2">
        <w:rPr>
          <w:rFonts w:ascii="Arial" w:hAnsi="Arial"/>
          <w:sz w:val="20"/>
          <w:lang w:val="en-US"/>
        </w:rPr>
        <w:t xml:space="preserve">The existing cooperation between FIUs can also be upgraded with </w:t>
      </w:r>
      <w:r w:rsidR="00610423">
        <w:rPr>
          <w:rFonts w:ascii="Arial" w:hAnsi="Arial"/>
          <w:sz w:val="20"/>
          <w:lang w:val="en-US"/>
        </w:rPr>
        <w:t xml:space="preserve">the </w:t>
      </w:r>
      <w:r w:rsidRPr="006E20A2">
        <w:rPr>
          <w:rFonts w:ascii="Arial" w:hAnsi="Arial"/>
          <w:sz w:val="20"/>
          <w:lang w:val="en-US"/>
        </w:rPr>
        <w:t>signing of legally non-binding documents, so called “Memorandum</w:t>
      </w:r>
      <w:r w:rsidR="00610423">
        <w:rPr>
          <w:rFonts w:ascii="Arial" w:hAnsi="Arial"/>
          <w:sz w:val="20"/>
          <w:lang w:val="en-US"/>
        </w:rPr>
        <w:t>s</w:t>
      </w:r>
      <w:r w:rsidRPr="006E20A2">
        <w:rPr>
          <w:rFonts w:ascii="Arial" w:hAnsi="Arial"/>
          <w:sz w:val="20"/>
          <w:lang w:val="en-US"/>
        </w:rPr>
        <w:t xml:space="preserve"> of Understanding”. In some countries the Memorandum of Understanding is mandatory </w:t>
      </w:r>
      <w:proofErr w:type="gramStart"/>
      <w:r w:rsidRPr="006E20A2">
        <w:rPr>
          <w:rFonts w:ascii="Arial" w:hAnsi="Arial"/>
          <w:sz w:val="20"/>
          <w:lang w:val="en-US"/>
        </w:rPr>
        <w:t>in order to</w:t>
      </w:r>
      <w:proofErr w:type="gramEnd"/>
      <w:r w:rsidRPr="006E20A2">
        <w:rPr>
          <w:rFonts w:ascii="Arial" w:hAnsi="Arial"/>
          <w:sz w:val="20"/>
          <w:lang w:val="en-US"/>
        </w:rPr>
        <w:t xml:space="preserve"> exchange information.</w:t>
      </w:r>
    </w:p>
    <w:p w14:paraId="73711446" w14:textId="77777777" w:rsidR="00413D60" w:rsidRPr="006E20A2" w:rsidRDefault="00413D60" w:rsidP="00413D60">
      <w:pPr>
        <w:rPr>
          <w:rFonts w:ascii="Arial" w:hAnsi="Arial"/>
          <w:sz w:val="20"/>
          <w:lang w:val="en-US"/>
        </w:rPr>
      </w:pPr>
    </w:p>
    <w:p w14:paraId="2A14E6C2" w14:textId="48519692" w:rsidR="00413D60" w:rsidRPr="006E20A2" w:rsidRDefault="00413D60" w:rsidP="00413D60">
      <w:pPr>
        <w:rPr>
          <w:rFonts w:ascii="Arial" w:hAnsi="Arial"/>
          <w:sz w:val="20"/>
          <w:lang w:val="en-US"/>
        </w:rPr>
      </w:pPr>
      <w:r w:rsidRPr="006E20A2">
        <w:rPr>
          <w:rFonts w:ascii="Arial" w:hAnsi="Arial"/>
          <w:sz w:val="20"/>
          <w:lang w:val="en-US"/>
        </w:rPr>
        <w:t xml:space="preserve">In 2020, the OMLP signed </w:t>
      </w:r>
      <w:r w:rsidR="00610423">
        <w:rPr>
          <w:rFonts w:ascii="Arial" w:hAnsi="Arial"/>
          <w:sz w:val="20"/>
          <w:lang w:val="en-US"/>
        </w:rPr>
        <w:t>a</w:t>
      </w:r>
      <w:r w:rsidR="00610423" w:rsidRPr="006E20A2">
        <w:rPr>
          <w:rFonts w:ascii="Arial" w:hAnsi="Arial"/>
          <w:sz w:val="20"/>
          <w:lang w:val="en-US"/>
        </w:rPr>
        <w:t xml:space="preserve"> </w:t>
      </w:r>
      <w:r w:rsidRPr="006E20A2">
        <w:rPr>
          <w:rFonts w:ascii="Arial" w:hAnsi="Arial"/>
          <w:sz w:val="20"/>
          <w:lang w:val="en-US"/>
        </w:rPr>
        <w:t xml:space="preserve">memorandum of understanding with Maldives, </w:t>
      </w:r>
      <w:proofErr w:type="gramStart"/>
      <w:r w:rsidRPr="006E20A2">
        <w:rPr>
          <w:rFonts w:ascii="Arial" w:hAnsi="Arial"/>
          <w:sz w:val="20"/>
          <w:lang w:val="en-US"/>
        </w:rPr>
        <w:t>Guatemala</w:t>
      </w:r>
      <w:proofErr w:type="gramEnd"/>
      <w:r w:rsidRPr="006E20A2">
        <w:rPr>
          <w:rFonts w:ascii="Arial" w:hAnsi="Arial"/>
          <w:sz w:val="20"/>
          <w:lang w:val="en-US"/>
        </w:rPr>
        <w:t xml:space="preserve"> and South Africa.</w:t>
      </w:r>
    </w:p>
    <w:p w14:paraId="41E625E1" w14:textId="77777777" w:rsidR="00413D60" w:rsidRPr="006E20A2" w:rsidRDefault="00413D60" w:rsidP="00413D60">
      <w:pPr>
        <w:rPr>
          <w:rFonts w:ascii="Arial" w:hAnsi="Arial"/>
          <w:sz w:val="20"/>
          <w:lang w:val="en-US"/>
        </w:rPr>
      </w:pPr>
    </w:p>
    <w:p w14:paraId="14BAC146" w14:textId="1FEB68DE" w:rsidR="00413D60" w:rsidRDefault="00413D60" w:rsidP="00413D60">
      <w:pPr>
        <w:rPr>
          <w:rFonts w:ascii="Arial" w:hAnsi="Arial"/>
          <w:sz w:val="20"/>
          <w:lang w:val="en-US"/>
        </w:rPr>
      </w:pPr>
      <w:r w:rsidRPr="006E20A2">
        <w:rPr>
          <w:rFonts w:ascii="Arial" w:hAnsi="Arial"/>
          <w:sz w:val="20"/>
          <w:lang w:val="en-US"/>
        </w:rPr>
        <w:lastRenderedPageBreak/>
        <w:t>Since its establishment the OMLP in 1995 until the end of 202</w:t>
      </w:r>
      <w:r w:rsidR="00291DEB">
        <w:rPr>
          <w:rFonts w:ascii="Arial" w:hAnsi="Arial"/>
          <w:sz w:val="20"/>
          <w:lang w:val="en-US"/>
        </w:rPr>
        <w:t>0</w:t>
      </w:r>
      <w:r w:rsidRPr="006E20A2">
        <w:rPr>
          <w:rFonts w:ascii="Arial" w:hAnsi="Arial"/>
          <w:sz w:val="20"/>
          <w:lang w:val="en-US"/>
        </w:rPr>
        <w:t xml:space="preserve"> has already signed 51 Memorand</w:t>
      </w:r>
      <w:r w:rsidR="00291DEB">
        <w:rPr>
          <w:rFonts w:ascii="Arial" w:hAnsi="Arial"/>
          <w:sz w:val="20"/>
          <w:lang w:val="en-US"/>
        </w:rPr>
        <w:t>a</w:t>
      </w:r>
      <w:r w:rsidRPr="006E20A2">
        <w:rPr>
          <w:rFonts w:ascii="Arial" w:hAnsi="Arial"/>
          <w:sz w:val="20"/>
          <w:lang w:val="en-US"/>
        </w:rPr>
        <w:t xml:space="preserve"> of Understanding.</w:t>
      </w:r>
    </w:p>
    <w:p w14:paraId="2522D688" w14:textId="77777777" w:rsidR="007104DB" w:rsidRPr="006E20A2" w:rsidRDefault="007104DB" w:rsidP="00413D60">
      <w:pPr>
        <w:rPr>
          <w:rFonts w:ascii="Arial" w:hAnsi="Arial"/>
          <w:sz w:val="20"/>
          <w:lang w:val="en-US"/>
        </w:rPr>
      </w:pPr>
    </w:p>
    <w:p w14:paraId="203976FE" w14:textId="4F8B9949" w:rsidR="00780822" w:rsidRPr="006E20A2" w:rsidRDefault="00413D60" w:rsidP="00BA5BC9">
      <w:pPr>
        <w:pStyle w:val="Naslov3"/>
        <w:numPr>
          <w:ilvl w:val="2"/>
          <w:numId w:val="4"/>
        </w:numPr>
        <w:rPr>
          <w:lang w:val="en-US"/>
        </w:rPr>
      </w:pPr>
      <w:bookmarkStart w:id="148" w:name="_Toc113535506"/>
      <w:r w:rsidRPr="006E20A2">
        <w:rPr>
          <w:lang w:val="en-US"/>
        </w:rPr>
        <w:t xml:space="preserve">International cooperation </w:t>
      </w:r>
      <w:proofErr w:type="gramStart"/>
      <w:r w:rsidRPr="006E20A2">
        <w:rPr>
          <w:lang w:val="en-US"/>
        </w:rPr>
        <w:t>on the basis of</w:t>
      </w:r>
      <w:proofErr w:type="gramEnd"/>
      <w:r w:rsidRPr="006E20A2">
        <w:rPr>
          <w:lang w:val="en-US"/>
        </w:rPr>
        <w:t xml:space="preserve"> COE No. 198</w:t>
      </w:r>
      <w:bookmarkEnd w:id="147"/>
      <w:bookmarkEnd w:id="148"/>
      <w:r w:rsidR="00780822" w:rsidRPr="006E20A2">
        <w:rPr>
          <w:lang w:val="en-US"/>
        </w:rPr>
        <w:t xml:space="preserve"> </w:t>
      </w:r>
    </w:p>
    <w:p w14:paraId="3EB78B9A" w14:textId="3984783C" w:rsidR="0092002D" w:rsidRPr="006E20A2" w:rsidRDefault="0092002D" w:rsidP="0092002D">
      <w:pPr>
        <w:rPr>
          <w:lang w:val="en-US"/>
        </w:rPr>
      </w:pPr>
    </w:p>
    <w:p w14:paraId="2D8DA66D" w14:textId="0AF01007" w:rsidR="00413D60" w:rsidRPr="006E20A2" w:rsidRDefault="00413D60" w:rsidP="00413D60">
      <w:pPr>
        <w:spacing w:line="276" w:lineRule="auto"/>
        <w:rPr>
          <w:rFonts w:ascii="Arial" w:hAnsi="Arial"/>
          <w:sz w:val="20"/>
          <w:lang w:val="en-US"/>
        </w:rPr>
      </w:pPr>
      <w:r w:rsidRPr="006E20A2">
        <w:rPr>
          <w:rFonts w:ascii="Arial" w:hAnsi="Arial"/>
          <w:sz w:val="20"/>
          <w:lang w:val="en-US"/>
        </w:rPr>
        <w:t xml:space="preserve">As already mentioned in chapter </w:t>
      </w:r>
      <w:proofErr w:type="gramStart"/>
      <w:r w:rsidRPr="006E20A2">
        <w:rPr>
          <w:rFonts w:ascii="Arial" w:hAnsi="Arial"/>
          <w:sz w:val="20"/>
          <w:lang w:val="en-US"/>
        </w:rPr>
        <w:t>5.2.1.2 ,</w:t>
      </w:r>
      <w:proofErr w:type="gramEnd"/>
      <w:r w:rsidRPr="006E20A2">
        <w:rPr>
          <w:rFonts w:ascii="Arial" w:hAnsi="Arial"/>
          <w:sz w:val="20"/>
          <w:lang w:val="en-US"/>
        </w:rPr>
        <w:t xml:space="preserve"> the OMLP is on the basis of COE No. 198 the central authority competent for receiving and sending requests in the framework of its chapter IV (international cooperation).</w:t>
      </w:r>
    </w:p>
    <w:p w14:paraId="6C607CC1" w14:textId="77777777" w:rsidR="00413D60" w:rsidRPr="006E20A2" w:rsidRDefault="00413D60" w:rsidP="00413D60">
      <w:pPr>
        <w:spacing w:line="276" w:lineRule="auto"/>
        <w:rPr>
          <w:rFonts w:ascii="Arial" w:hAnsi="Arial"/>
          <w:sz w:val="20"/>
          <w:lang w:val="en-US"/>
        </w:rPr>
      </w:pPr>
    </w:p>
    <w:p w14:paraId="2A057329" w14:textId="78769E95" w:rsidR="00413D60" w:rsidRPr="006E20A2" w:rsidRDefault="00413D60" w:rsidP="00643FFB">
      <w:pPr>
        <w:spacing w:line="276" w:lineRule="auto"/>
        <w:rPr>
          <w:rFonts w:ascii="Arial" w:hAnsi="Arial"/>
          <w:sz w:val="20"/>
          <w:lang w:val="en-US"/>
        </w:rPr>
      </w:pPr>
      <w:r w:rsidRPr="006E20A2">
        <w:rPr>
          <w:rFonts w:ascii="Arial" w:hAnsi="Arial"/>
          <w:sz w:val="20"/>
          <w:lang w:val="en-US"/>
        </w:rPr>
        <w:t xml:space="preserve">In 2020 the OMLP received eight requests from Slovenian Courts relating to </w:t>
      </w:r>
      <w:r w:rsidR="00610423">
        <w:rPr>
          <w:rFonts w:ascii="Arial" w:hAnsi="Arial"/>
          <w:sz w:val="20"/>
          <w:lang w:val="en-US"/>
        </w:rPr>
        <w:t xml:space="preserve">the </w:t>
      </w:r>
      <w:r w:rsidRPr="006E20A2">
        <w:rPr>
          <w:rFonts w:ascii="Arial" w:hAnsi="Arial"/>
          <w:sz w:val="20"/>
          <w:lang w:val="en-US"/>
        </w:rPr>
        <w:t>execution of their decisions regarding the confiscation of proceeds of crime</w:t>
      </w:r>
      <w:r w:rsidR="00291DEB" w:rsidRPr="00291DEB">
        <w:rPr>
          <w:rFonts w:ascii="Arial" w:hAnsi="Arial"/>
          <w:sz w:val="20"/>
          <w:lang w:val="en-US"/>
        </w:rPr>
        <w:t xml:space="preserve"> </w:t>
      </w:r>
      <w:proofErr w:type="gramStart"/>
      <w:r w:rsidR="00291DEB" w:rsidRPr="006E20A2">
        <w:rPr>
          <w:rFonts w:ascii="Arial" w:hAnsi="Arial"/>
          <w:sz w:val="20"/>
          <w:lang w:val="en-US"/>
        </w:rPr>
        <w:t>on the basis of</w:t>
      </w:r>
      <w:proofErr w:type="gramEnd"/>
      <w:r w:rsidR="00291DEB" w:rsidRPr="006E20A2">
        <w:rPr>
          <w:rFonts w:ascii="Arial" w:hAnsi="Arial"/>
          <w:sz w:val="20"/>
          <w:lang w:val="en-US"/>
        </w:rPr>
        <w:t xml:space="preserve"> the mentioned </w:t>
      </w:r>
      <w:r w:rsidR="00291DEB">
        <w:rPr>
          <w:rFonts w:ascii="Arial" w:hAnsi="Arial"/>
          <w:sz w:val="20"/>
          <w:lang w:val="en-US"/>
        </w:rPr>
        <w:t>C</w:t>
      </w:r>
      <w:r w:rsidR="00291DEB" w:rsidRPr="006E20A2">
        <w:rPr>
          <w:rFonts w:ascii="Arial" w:hAnsi="Arial"/>
          <w:sz w:val="20"/>
          <w:lang w:val="en-US"/>
        </w:rPr>
        <w:t>onvention</w:t>
      </w:r>
      <w:r w:rsidR="00291DEB">
        <w:rPr>
          <w:rFonts w:ascii="Arial" w:hAnsi="Arial"/>
          <w:sz w:val="20"/>
          <w:lang w:val="en-US"/>
        </w:rPr>
        <w:t>.</w:t>
      </w:r>
      <w:r w:rsidR="00643FFB" w:rsidRPr="006E20A2">
        <w:rPr>
          <w:rFonts w:ascii="Arial" w:hAnsi="Arial"/>
          <w:sz w:val="20"/>
          <w:lang w:val="en-US"/>
        </w:rPr>
        <w:t xml:space="preserve"> </w:t>
      </w:r>
      <w:r w:rsidR="00291DEB">
        <w:rPr>
          <w:rFonts w:ascii="Arial" w:hAnsi="Arial"/>
          <w:sz w:val="20"/>
          <w:lang w:val="en-US"/>
        </w:rPr>
        <w:t>No such requests were received f</w:t>
      </w:r>
      <w:r w:rsidR="00643FFB" w:rsidRPr="006E20A2">
        <w:rPr>
          <w:rFonts w:ascii="Arial" w:hAnsi="Arial"/>
          <w:sz w:val="20"/>
          <w:lang w:val="en-US"/>
        </w:rPr>
        <w:t>rom foreign competent authorities in 2020.</w:t>
      </w:r>
    </w:p>
    <w:p w14:paraId="5796C231" w14:textId="21070C0E" w:rsidR="00B8271D" w:rsidRPr="006E20A2" w:rsidRDefault="00B8271D" w:rsidP="00D21F86">
      <w:pPr>
        <w:spacing w:line="276" w:lineRule="auto"/>
        <w:rPr>
          <w:rFonts w:ascii="Arial" w:hAnsi="Arial"/>
          <w:sz w:val="20"/>
          <w:lang w:val="en-US"/>
        </w:rPr>
      </w:pPr>
    </w:p>
    <w:bookmarkEnd w:id="93"/>
    <w:bookmarkEnd w:id="94"/>
    <w:bookmarkEnd w:id="95"/>
    <w:bookmarkEnd w:id="96"/>
    <w:bookmarkEnd w:id="97"/>
    <w:bookmarkEnd w:id="98"/>
    <w:bookmarkEnd w:id="99"/>
    <w:bookmarkEnd w:id="100"/>
    <w:bookmarkEnd w:id="101"/>
    <w:bookmarkEnd w:id="102"/>
    <w:p w14:paraId="07FF7B78" w14:textId="57DCA900" w:rsidR="00851C49" w:rsidRPr="006E20A2" w:rsidRDefault="00B07B10" w:rsidP="00636B18">
      <w:pPr>
        <w:pStyle w:val="Naslov1"/>
        <w:numPr>
          <w:ilvl w:val="0"/>
          <w:numId w:val="4"/>
        </w:numPr>
        <w:spacing w:line="276" w:lineRule="auto"/>
        <w:rPr>
          <w:rFonts w:ascii="Arial" w:hAnsi="Arial"/>
          <w:sz w:val="20"/>
          <w:lang w:val="en-US"/>
        </w:rPr>
      </w:pPr>
      <w:r w:rsidRPr="006E20A2">
        <w:rPr>
          <w:rFonts w:ascii="Arial" w:hAnsi="Arial"/>
          <w:sz w:val="20"/>
          <w:lang w:val="en-US"/>
        </w:rPr>
        <w:t>LOGISTICS AND INFORMATICS</w:t>
      </w:r>
    </w:p>
    <w:p w14:paraId="6F30693B" w14:textId="77777777" w:rsidR="00851C49" w:rsidRPr="006E20A2" w:rsidRDefault="00851C49" w:rsidP="00D21F86">
      <w:pPr>
        <w:tabs>
          <w:tab w:val="left" w:pos="-1057"/>
          <w:tab w:val="left" w:pos="-787"/>
          <w:tab w:val="left" w:pos="0"/>
          <w:tab w:val="left" w:pos="720"/>
          <w:tab w:val="left" w:pos="1440"/>
          <w:tab w:val="left" w:pos="2160"/>
          <w:tab w:val="left" w:pos="2880"/>
          <w:tab w:val="left" w:pos="3600"/>
          <w:tab w:val="left" w:pos="4320"/>
          <w:tab w:val="left" w:pos="4500"/>
        </w:tabs>
        <w:snapToGrid w:val="0"/>
        <w:spacing w:line="276" w:lineRule="auto"/>
        <w:rPr>
          <w:rFonts w:ascii="Arial" w:hAnsi="Arial"/>
          <w:b/>
          <w:sz w:val="20"/>
          <w:lang w:val="en-US"/>
        </w:rPr>
      </w:pPr>
    </w:p>
    <w:p w14:paraId="2F41F6F1" w14:textId="410F683A" w:rsidR="00851C49" w:rsidRPr="006E20A2" w:rsidRDefault="00B07B10" w:rsidP="00EC6D0D">
      <w:pPr>
        <w:pStyle w:val="Naslov2"/>
        <w:rPr>
          <w:lang w:val="en-US"/>
        </w:rPr>
      </w:pPr>
      <w:r w:rsidRPr="006E20A2">
        <w:rPr>
          <w:lang w:val="en-US"/>
        </w:rPr>
        <w:t>ORGANISATION AND STAFF MATTERS</w:t>
      </w:r>
    </w:p>
    <w:p w14:paraId="10AB54CB" w14:textId="6EBA4A8F" w:rsidR="00851C49" w:rsidRPr="006E20A2" w:rsidRDefault="00B07B10" w:rsidP="00BA5BC9">
      <w:pPr>
        <w:pStyle w:val="Naslov3"/>
        <w:numPr>
          <w:ilvl w:val="2"/>
          <w:numId w:val="4"/>
        </w:numPr>
        <w:rPr>
          <w:lang w:val="en-US"/>
        </w:rPr>
      </w:pPr>
      <w:r w:rsidRPr="006E20A2">
        <w:rPr>
          <w:lang w:val="en-US"/>
        </w:rPr>
        <w:t>Movement and structure of personnel</w:t>
      </w:r>
    </w:p>
    <w:p w14:paraId="2D2EA277" w14:textId="711B8924" w:rsidR="00B07B10" w:rsidRPr="006E20A2" w:rsidRDefault="00B07B10" w:rsidP="00D25599">
      <w:pPr>
        <w:widowControl/>
        <w:tabs>
          <w:tab w:val="left" w:pos="-689"/>
          <w:tab w:val="left" w:pos="31"/>
          <w:tab w:val="left" w:pos="720"/>
        </w:tabs>
        <w:spacing w:line="276" w:lineRule="auto"/>
        <w:rPr>
          <w:rFonts w:ascii="Arial" w:eastAsia="Arial" w:hAnsi="Arial"/>
          <w:sz w:val="20"/>
          <w:szCs w:val="22"/>
          <w:lang w:val="en-US" w:eastAsia="sl-SI"/>
        </w:rPr>
      </w:pPr>
    </w:p>
    <w:p w14:paraId="0559DFFA" w14:textId="56A039FF" w:rsidR="00B07B10" w:rsidRPr="006E20A2" w:rsidRDefault="00B07B10" w:rsidP="00B07B10">
      <w:pPr>
        <w:spacing w:line="276" w:lineRule="auto"/>
        <w:rPr>
          <w:rFonts w:ascii="Arial" w:hAnsi="Arial"/>
          <w:sz w:val="20"/>
          <w:lang w:val="en-US"/>
        </w:rPr>
      </w:pPr>
      <w:r w:rsidRPr="006E20A2">
        <w:rPr>
          <w:rFonts w:ascii="Arial" w:hAnsi="Arial"/>
          <w:sz w:val="20"/>
          <w:lang w:val="en-US"/>
        </w:rPr>
        <w:t>On 31st December 2020</w:t>
      </w:r>
      <w:r w:rsidR="001C3005">
        <w:rPr>
          <w:rFonts w:ascii="Arial" w:hAnsi="Arial"/>
          <w:sz w:val="20"/>
          <w:lang w:val="en-US"/>
        </w:rPr>
        <w:t>,</w:t>
      </w:r>
      <w:r w:rsidRPr="006E20A2">
        <w:rPr>
          <w:rFonts w:ascii="Arial" w:hAnsi="Arial"/>
          <w:sz w:val="20"/>
          <w:lang w:val="en-US"/>
        </w:rPr>
        <w:t xml:space="preserve"> the OMLP had (together with the acting director) altogether 28 employees, which </w:t>
      </w:r>
      <w:r w:rsidR="001C3005">
        <w:rPr>
          <w:rFonts w:ascii="Arial" w:hAnsi="Arial"/>
          <w:sz w:val="20"/>
          <w:lang w:val="en-US"/>
        </w:rPr>
        <w:t>was</w:t>
      </w:r>
      <w:r w:rsidRPr="006E20A2">
        <w:rPr>
          <w:rFonts w:ascii="Arial" w:hAnsi="Arial"/>
          <w:sz w:val="20"/>
          <w:lang w:val="en-US"/>
        </w:rPr>
        <w:t xml:space="preserve"> four more </w:t>
      </w:r>
      <w:r w:rsidR="001C3005">
        <w:rPr>
          <w:rFonts w:ascii="Arial" w:hAnsi="Arial"/>
          <w:sz w:val="20"/>
          <w:lang w:val="en-US"/>
        </w:rPr>
        <w:t>than</w:t>
      </w:r>
      <w:r w:rsidRPr="006E20A2">
        <w:rPr>
          <w:rFonts w:ascii="Arial" w:hAnsi="Arial"/>
          <w:sz w:val="20"/>
          <w:lang w:val="en-US"/>
        </w:rPr>
        <w:t xml:space="preserve"> on 31st December 2019. </w:t>
      </w:r>
      <w:r w:rsidR="00610423">
        <w:rPr>
          <w:rFonts w:ascii="Arial" w:hAnsi="Arial"/>
          <w:sz w:val="20"/>
          <w:lang w:val="en-US"/>
        </w:rPr>
        <w:t>The i</w:t>
      </w:r>
      <w:r w:rsidRPr="006E20A2">
        <w:rPr>
          <w:rFonts w:ascii="Arial" w:hAnsi="Arial"/>
          <w:sz w:val="20"/>
          <w:lang w:val="en-US"/>
        </w:rPr>
        <w:t>ncrease</w:t>
      </w:r>
      <w:r w:rsidR="001C3005">
        <w:rPr>
          <w:rFonts w:ascii="Arial" w:hAnsi="Arial"/>
          <w:sz w:val="20"/>
          <w:lang w:val="en-US"/>
        </w:rPr>
        <w:t xml:space="preserve"> was a consequence of</w:t>
      </w:r>
      <w:r w:rsidRPr="006E20A2">
        <w:rPr>
          <w:rFonts w:ascii="Arial" w:hAnsi="Arial"/>
          <w:sz w:val="20"/>
          <w:lang w:val="en-US"/>
        </w:rPr>
        <w:t xml:space="preserve"> the employment of a new acting director, </w:t>
      </w:r>
      <w:r w:rsidR="001C3005">
        <w:rPr>
          <w:rFonts w:ascii="Arial" w:hAnsi="Arial"/>
          <w:sz w:val="20"/>
          <w:lang w:val="en-US"/>
        </w:rPr>
        <w:t>the</w:t>
      </w:r>
      <w:r w:rsidRPr="006E20A2">
        <w:rPr>
          <w:rFonts w:ascii="Arial" w:hAnsi="Arial"/>
          <w:sz w:val="20"/>
          <w:lang w:val="en-US"/>
        </w:rPr>
        <w:t xml:space="preserve"> internal redeployment of a previous director into </w:t>
      </w:r>
      <w:r w:rsidR="00610423">
        <w:rPr>
          <w:rFonts w:ascii="Arial" w:hAnsi="Arial"/>
          <w:sz w:val="20"/>
          <w:lang w:val="en-US"/>
        </w:rPr>
        <w:t xml:space="preserve">the </w:t>
      </w:r>
      <w:r w:rsidR="00BF7D37" w:rsidRPr="006E20A2">
        <w:rPr>
          <w:rFonts w:ascii="Arial" w:hAnsi="Arial"/>
          <w:sz w:val="20"/>
          <w:lang w:val="en-US"/>
        </w:rPr>
        <w:t>international</w:t>
      </w:r>
      <w:r w:rsidRPr="006E20A2">
        <w:rPr>
          <w:rFonts w:ascii="Arial" w:hAnsi="Arial"/>
          <w:sz w:val="20"/>
          <w:lang w:val="en-US"/>
        </w:rPr>
        <w:t xml:space="preserve"> cooperation service and three new employments in the Department for prevention and supervision. Based on </w:t>
      </w:r>
      <w:r w:rsidR="00610423">
        <w:rPr>
          <w:rFonts w:ascii="Arial" w:hAnsi="Arial"/>
          <w:sz w:val="20"/>
          <w:lang w:val="en-US"/>
        </w:rPr>
        <w:t xml:space="preserve">the </w:t>
      </w:r>
      <w:r w:rsidRPr="006E20A2">
        <w:rPr>
          <w:rFonts w:ascii="Arial" w:hAnsi="Arial"/>
          <w:sz w:val="20"/>
          <w:lang w:val="en-US"/>
        </w:rPr>
        <w:t xml:space="preserve">Decree on the internal </w:t>
      </w:r>
      <w:r w:rsidR="00BF7D37" w:rsidRPr="006E20A2">
        <w:rPr>
          <w:rFonts w:ascii="Arial" w:hAnsi="Arial"/>
          <w:sz w:val="20"/>
          <w:lang w:val="en-US"/>
        </w:rPr>
        <w:t>organization</w:t>
      </w:r>
      <w:r w:rsidRPr="006E20A2">
        <w:rPr>
          <w:rFonts w:ascii="Arial" w:hAnsi="Arial"/>
          <w:sz w:val="20"/>
          <w:lang w:val="en-US"/>
        </w:rPr>
        <w:t xml:space="preserve">, job classification, posts and titles in public administration and judicial bodies there </w:t>
      </w:r>
      <w:r w:rsidR="001C3005">
        <w:rPr>
          <w:rFonts w:ascii="Arial" w:hAnsi="Arial"/>
          <w:sz w:val="20"/>
          <w:lang w:val="en-US"/>
        </w:rPr>
        <w:t>wer</w:t>
      </w:r>
      <w:r w:rsidRPr="006E20A2">
        <w:rPr>
          <w:rFonts w:ascii="Arial" w:hAnsi="Arial"/>
          <w:sz w:val="20"/>
          <w:lang w:val="en-US"/>
        </w:rPr>
        <w:t>e 33 systematized posts, which mean</w:t>
      </w:r>
      <w:r w:rsidR="001C3005">
        <w:rPr>
          <w:rFonts w:ascii="Arial" w:hAnsi="Arial"/>
          <w:sz w:val="20"/>
          <w:lang w:val="en-US"/>
        </w:rPr>
        <w:t>t</w:t>
      </w:r>
      <w:r w:rsidRPr="006E20A2">
        <w:rPr>
          <w:rFonts w:ascii="Arial" w:hAnsi="Arial"/>
          <w:sz w:val="20"/>
          <w:lang w:val="en-US"/>
        </w:rPr>
        <w:t xml:space="preserve"> that at the end of 202</w:t>
      </w:r>
      <w:r w:rsidR="001C3005">
        <w:rPr>
          <w:rFonts w:ascii="Arial" w:hAnsi="Arial"/>
          <w:sz w:val="20"/>
          <w:lang w:val="en-US"/>
        </w:rPr>
        <w:t>0</w:t>
      </w:r>
      <w:r w:rsidRPr="006E20A2">
        <w:rPr>
          <w:rFonts w:ascii="Arial" w:hAnsi="Arial"/>
          <w:sz w:val="20"/>
          <w:lang w:val="en-US"/>
        </w:rPr>
        <w:t xml:space="preserve"> the occupancy was 85%.</w:t>
      </w:r>
    </w:p>
    <w:p w14:paraId="1DAE772B" w14:textId="491E7A3F" w:rsidR="00F36D7F" w:rsidRPr="006E20A2" w:rsidRDefault="00F36D7F" w:rsidP="00D25599">
      <w:pPr>
        <w:widowControl/>
        <w:tabs>
          <w:tab w:val="left" w:pos="-689"/>
          <w:tab w:val="left" w:pos="31"/>
          <w:tab w:val="left" w:pos="720"/>
        </w:tabs>
        <w:spacing w:line="276" w:lineRule="auto"/>
        <w:rPr>
          <w:rFonts w:ascii="Arial" w:eastAsia="Arial" w:hAnsi="Arial"/>
          <w:sz w:val="20"/>
          <w:szCs w:val="22"/>
          <w:lang w:val="en-US" w:eastAsia="sl-SI"/>
        </w:rPr>
      </w:pPr>
    </w:p>
    <w:p w14:paraId="1F737060" w14:textId="77777777" w:rsidR="006B0B34" w:rsidRPr="006E20A2" w:rsidRDefault="006B0B34" w:rsidP="00D21F86">
      <w:pPr>
        <w:pStyle w:val="Telobesedila"/>
        <w:spacing w:line="276" w:lineRule="auto"/>
        <w:ind w:right="-56"/>
        <w:rPr>
          <w:rFonts w:ascii="Arial" w:hAnsi="Arial"/>
          <w:sz w:val="20"/>
          <w:lang w:val="en-US"/>
        </w:rPr>
      </w:pPr>
    </w:p>
    <w:p w14:paraId="2AAAC574" w14:textId="12BB3782" w:rsidR="006B0B34" w:rsidRPr="006E20A2" w:rsidRDefault="00E74B4A" w:rsidP="00EC6D0D">
      <w:pPr>
        <w:pStyle w:val="Naslov2"/>
        <w:rPr>
          <w:lang w:val="en-US"/>
        </w:rPr>
      </w:pPr>
      <w:r w:rsidRPr="006E20A2">
        <w:rPr>
          <w:lang w:val="en-US"/>
        </w:rPr>
        <w:t xml:space="preserve">FINANCIAL AND MATERIAL OPERATIONS </w:t>
      </w:r>
    </w:p>
    <w:p w14:paraId="5F441B36" w14:textId="77777777" w:rsidR="00E74B4A" w:rsidRPr="006E20A2" w:rsidRDefault="00E74B4A" w:rsidP="00A17221">
      <w:pPr>
        <w:widowControl/>
        <w:spacing w:line="276" w:lineRule="auto"/>
        <w:rPr>
          <w:rFonts w:ascii="Arial" w:eastAsia="Arial" w:hAnsi="Arial"/>
          <w:sz w:val="20"/>
          <w:szCs w:val="22"/>
          <w:lang w:val="en-US" w:eastAsia="sl-SI"/>
        </w:rPr>
      </w:pPr>
    </w:p>
    <w:p w14:paraId="1B60667A" w14:textId="68159229" w:rsidR="00E74B4A" w:rsidRPr="006E20A2" w:rsidRDefault="00E74B4A" w:rsidP="00E74B4A">
      <w:pPr>
        <w:spacing w:line="276" w:lineRule="auto"/>
        <w:rPr>
          <w:lang w:val="en-US"/>
        </w:rPr>
      </w:pPr>
      <w:r w:rsidRPr="006E20A2">
        <w:rPr>
          <w:rFonts w:ascii="Arial" w:hAnsi="Arial"/>
          <w:sz w:val="20"/>
          <w:lang w:val="en-US"/>
        </w:rPr>
        <w:t xml:space="preserve">The budget funds intended for the OMLP operations in the year 2020 amounted to </w:t>
      </w:r>
      <w:r w:rsidRPr="006E20A2">
        <w:rPr>
          <w:rFonts w:ascii="Arial" w:eastAsia="Arial" w:hAnsi="Arial"/>
          <w:sz w:val="20"/>
          <w:lang w:val="en-US" w:eastAsia="sl-SI"/>
        </w:rPr>
        <w:t xml:space="preserve">1.159.624 </w:t>
      </w:r>
      <w:r w:rsidRPr="006E20A2">
        <w:rPr>
          <w:rFonts w:ascii="Arial" w:hAnsi="Arial"/>
          <w:b/>
          <w:sz w:val="20"/>
          <w:lang w:val="en-US"/>
        </w:rPr>
        <w:t xml:space="preserve">EUR. On the OMLP proposal the structure of planned funds changed slightly as some redistribution of certain budget items was executed during the year. </w:t>
      </w:r>
      <w:r w:rsidR="001C3005">
        <w:rPr>
          <w:rFonts w:ascii="Arial" w:hAnsi="Arial"/>
          <w:b/>
          <w:sz w:val="20"/>
          <w:lang w:val="en-US"/>
        </w:rPr>
        <w:t xml:space="preserve">The </w:t>
      </w:r>
      <w:r w:rsidR="001C3005" w:rsidRPr="006E20A2">
        <w:rPr>
          <w:rFonts w:ascii="Arial" w:hAnsi="Arial"/>
          <w:sz w:val="20"/>
          <w:lang w:val="en-US"/>
        </w:rPr>
        <w:t xml:space="preserve">total amount of </w:t>
      </w:r>
      <w:r w:rsidR="001C3005" w:rsidRPr="006E20A2">
        <w:rPr>
          <w:rFonts w:ascii="Arial" w:eastAsia="Arial" w:hAnsi="Arial"/>
          <w:sz w:val="20"/>
          <w:lang w:val="en-US" w:eastAsia="sl-SI"/>
        </w:rPr>
        <w:t xml:space="preserve">1.112.682 </w:t>
      </w:r>
      <w:r w:rsidR="001C3005" w:rsidRPr="006E20A2">
        <w:rPr>
          <w:rFonts w:ascii="Arial" w:hAnsi="Arial"/>
          <w:sz w:val="20"/>
          <w:lang w:val="en-US"/>
        </w:rPr>
        <w:t xml:space="preserve">EUR </w:t>
      </w:r>
      <w:r w:rsidR="001C3005">
        <w:rPr>
          <w:rFonts w:ascii="Arial" w:hAnsi="Arial"/>
          <w:sz w:val="20"/>
          <w:lang w:val="en-US"/>
        </w:rPr>
        <w:t>was</w:t>
      </w:r>
      <w:r w:rsidR="001C3005" w:rsidRPr="006E20A2">
        <w:rPr>
          <w:rFonts w:ascii="Arial" w:hAnsi="Arial"/>
          <w:sz w:val="20"/>
          <w:lang w:val="en-US"/>
        </w:rPr>
        <w:t xml:space="preserve"> used </w:t>
      </w:r>
      <w:r w:rsidRPr="006E20A2">
        <w:rPr>
          <w:rFonts w:ascii="Arial" w:hAnsi="Arial"/>
          <w:sz w:val="20"/>
          <w:lang w:val="en-US"/>
        </w:rPr>
        <w:t xml:space="preserve">for salaries, other personal </w:t>
      </w:r>
      <w:proofErr w:type="gramStart"/>
      <w:r w:rsidRPr="006E20A2">
        <w:rPr>
          <w:rFonts w:ascii="Arial" w:hAnsi="Arial"/>
          <w:sz w:val="20"/>
          <w:lang w:val="en-US"/>
        </w:rPr>
        <w:t>incomes</w:t>
      </w:r>
      <w:proofErr w:type="gramEnd"/>
      <w:r w:rsidRPr="006E20A2">
        <w:rPr>
          <w:rFonts w:ascii="Arial" w:hAnsi="Arial"/>
          <w:sz w:val="20"/>
          <w:lang w:val="en-US"/>
        </w:rPr>
        <w:t xml:space="preserve"> and contributions of the employer for the social security; costs of goods and services, for the membership fee of the EGMONT group, and for smaller investments and for own financial participation to the co</w:t>
      </w:r>
      <w:r w:rsidR="00BF7D37">
        <w:rPr>
          <w:rFonts w:ascii="Arial" w:hAnsi="Arial"/>
          <w:sz w:val="20"/>
          <w:lang w:val="en-US"/>
        </w:rPr>
        <w:t>-</w:t>
      </w:r>
      <w:r w:rsidRPr="006E20A2">
        <w:rPr>
          <w:rFonts w:ascii="Arial" w:hAnsi="Arial"/>
          <w:sz w:val="20"/>
          <w:lang w:val="en-US"/>
        </w:rPr>
        <w:t xml:space="preserve">financed project of IT development </w:t>
      </w:r>
      <w:r w:rsidR="001C3005">
        <w:rPr>
          <w:rFonts w:ascii="Arial" w:hAnsi="Arial"/>
          <w:sz w:val="20"/>
          <w:lang w:val="en-US"/>
        </w:rPr>
        <w:t xml:space="preserve">– which represented </w:t>
      </w:r>
      <w:r w:rsidRPr="006E20A2">
        <w:rPr>
          <w:rFonts w:ascii="Arial" w:eastAsia="Arial" w:hAnsi="Arial"/>
          <w:sz w:val="20"/>
          <w:lang w:val="en-US" w:eastAsia="sl-SI"/>
        </w:rPr>
        <w:t>95,95 </w:t>
      </w:r>
      <w:r w:rsidRPr="006E20A2">
        <w:rPr>
          <w:rFonts w:ascii="Arial" w:hAnsi="Arial"/>
          <w:sz w:val="20"/>
          <w:lang w:val="en-US"/>
        </w:rPr>
        <w:t xml:space="preserve">% of </w:t>
      </w:r>
      <w:r w:rsidR="00610423">
        <w:rPr>
          <w:rFonts w:ascii="Arial" w:hAnsi="Arial"/>
          <w:sz w:val="20"/>
          <w:lang w:val="en-US"/>
        </w:rPr>
        <w:t xml:space="preserve">the </w:t>
      </w:r>
      <w:r w:rsidRPr="006E20A2">
        <w:rPr>
          <w:rFonts w:ascii="Arial" w:hAnsi="Arial"/>
          <w:sz w:val="20"/>
          <w:lang w:val="en-US"/>
        </w:rPr>
        <w:t>planned funds</w:t>
      </w:r>
      <w:r w:rsidRPr="006E20A2">
        <w:rPr>
          <w:lang w:val="en-US"/>
        </w:rPr>
        <w:t>.</w:t>
      </w:r>
    </w:p>
    <w:p w14:paraId="3641F4FD" w14:textId="77777777" w:rsidR="00E74B4A" w:rsidRPr="006E20A2" w:rsidRDefault="00E74B4A" w:rsidP="00A17221">
      <w:pPr>
        <w:widowControl/>
        <w:spacing w:line="276" w:lineRule="auto"/>
        <w:rPr>
          <w:rFonts w:ascii="Arial" w:eastAsia="Arial" w:hAnsi="Arial"/>
          <w:sz w:val="20"/>
          <w:szCs w:val="22"/>
          <w:lang w:val="en-US" w:eastAsia="sl-SI"/>
        </w:rPr>
      </w:pPr>
    </w:p>
    <w:p w14:paraId="44473BB1" w14:textId="77777777" w:rsidR="00867D16" w:rsidRPr="006E20A2" w:rsidRDefault="00867D16" w:rsidP="00D21F86">
      <w:pPr>
        <w:spacing w:line="276" w:lineRule="auto"/>
        <w:rPr>
          <w:rFonts w:ascii="Arial" w:hAnsi="Arial"/>
          <w:sz w:val="20"/>
          <w:lang w:val="en-US"/>
        </w:rPr>
      </w:pPr>
    </w:p>
    <w:p w14:paraId="7BC9D535" w14:textId="5ED0EF11" w:rsidR="00C34A90" w:rsidRPr="006E20A2" w:rsidRDefault="00E74B4A" w:rsidP="00EC6D0D">
      <w:pPr>
        <w:pStyle w:val="Naslov2"/>
        <w:rPr>
          <w:lang w:val="en-US"/>
        </w:rPr>
      </w:pPr>
      <w:r w:rsidRPr="006E20A2">
        <w:rPr>
          <w:lang w:val="en-US"/>
        </w:rPr>
        <w:t>INFORMATICS</w:t>
      </w:r>
    </w:p>
    <w:p w14:paraId="09053F47" w14:textId="77777777" w:rsidR="00C34A90" w:rsidRPr="006E20A2" w:rsidRDefault="00C34A90" w:rsidP="00D21F86">
      <w:pPr>
        <w:spacing w:line="276" w:lineRule="auto"/>
        <w:rPr>
          <w:rFonts w:ascii="Arial" w:hAnsi="Arial"/>
          <w:sz w:val="20"/>
          <w:lang w:val="en-US"/>
        </w:rPr>
      </w:pPr>
    </w:p>
    <w:p w14:paraId="5691E78F" w14:textId="70B2FFA0" w:rsidR="005802F2" w:rsidRPr="006E20A2" w:rsidRDefault="00E74B4A" w:rsidP="00A17221">
      <w:pPr>
        <w:spacing w:line="276" w:lineRule="auto"/>
        <w:rPr>
          <w:rFonts w:ascii="Arial" w:hAnsi="Arial"/>
          <w:sz w:val="20"/>
          <w:lang w:val="en-US"/>
        </w:rPr>
      </w:pPr>
      <w:r w:rsidRPr="006E20A2">
        <w:rPr>
          <w:rFonts w:ascii="Arial" w:hAnsi="Arial"/>
          <w:sz w:val="20"/>
          <w:lang w:val="en-US"/>
        </w:rPr>
        <w:t xml:space="preserve">In </w:t>
      </w:r>
      <w:r w:rsidR="005802F2" w:rsidRPr="006E20A2">
        <w:rPr>
          <w:rFonts w:ascii="Arial" w:hAnsi="Arial"/>
          <w:sz w:val="20"/>
          <w:lang w:val="en-US"/>
        </w:rPr>
        <w:t>2020</w:t>
      </w:r>
      <w:r w:rsidRPr="006E20A2">
        <w:rPr>
          <w:rFonts w:ascii="Arial" w:hAnsi="Arial"/>
          <w:sz w:val="20"/>
          <w:lang w:val="en-US"/>
        </w:rPr>
        <w:t xml:space="preserve"> the IT service</w:t>
      </w:r>
      <w:r w:rsidR="005802F2" w:rsidRPr="006E20A2">
        <w:rPr>
          <w:rFonts w:ascii="Arial" w:hAnsi="Arial"/>
          <w:sz w:val="20"/>
          <w:lang w:val="en-US"/>
        </w:rPr>
        <w:t xml:space="preserve"> </w:t>
      </w:r>
      <w:r w:rsidRPr="006E20A2">
        <w:rPr>
          <w:rFonts w:ascii="Arial" w:hAnsi="Arial"/>
          <w:sz w:val="20"/>
          <w:lang w:val="en-US"/>
        </w:rPr>
        <w:t xml:space="preserve">started, </w:t>
      </w:r>
      <w:proofErr w:type="gramStart"/>
      <w:r w:rsidRPr="006E20A2">
        <w:rPr>
          <w:rFonts w:ascii="Arial" w:hAnsi="Arial"/>
          <w:sz w:val="20"/>
          <w:lang w:val="en-US"/>
        </w:rPr>
        <w:t>continued</w:t>
      </w:r>
      <w:proofErr w:type="gramEnd"/>
      <w:r w:rsidRPr="006E20A2">
        <w:rPr>
          <w:rFonts w:ascii="Arial" w:hAnsi="Arial"/>
          <w:sz w:val="20"/>
          <w:lang w:val="en-US"/>
        </w:rPr>
        <w:t xml:space="preserve"> or finished the following activities</w:t>
      </w:r>
      <w:r w:rsidR="005802F2" w:rsidRPr="006E20A2">
        <w:rPr>
          <w:rFonts w:ascii="Arial" w:hAnsi="Arial"/>
          <w:sz w:val="20"/>
          <w:lang w:val="en-US"/>
        </w:rPr>
        <w:t>:</w:t>
      </w:r>
    </w:p>
    <w:p w14:paraId="639178E9" w14:textId="28463C11" w:rsidR="007104DB" w:rsidRPr="001E69CA" w:rsidRDefault="00162692" w:rsidP="00C774DE">
      <w:pPr>
        <w:pStyle w:val="Naslov3"/>
        <w:numPr>
          <w:ilvl w:val="0"/>
          <w:numId w:val="20"/>
        </w:numPr>
        <w:spacing w:line="240" w:lineRule="auto"/>
        <w:rPr>
          <w:lang w:val="en-US"/>
        </w:rPr>
      </w:pPr>
      <w:bookmarkStart w:id="149" w:name="_Toc45272765"/>
      <w:bookmarkStart w:id="150" w:name="_Toc113535512"/>
      <w:r w:rsidRPr="001E69CA">
        <w:rPr>
          <w:lang w:val="en-US"/>
        </w:rPr>
        <w:t xml:space="preserve">preparation of the needed documentation </w:t>
      </w:r>
      <w:r w:rsidR="00FB66CE" w:rsidRPr="001E69CA">
        <w:rPr>
          <w:lang w:val="en-US"/>
        </w:rPr>
        <w:t>for</w:t>
      </w:r>
      <w:r w:rsidRPr="001E69CA">
        <w:rPr>
          <w:lang w:val="en-US"/>
        </w:rPr>
        <w:t xml:space="preserve"> maintenance of IT </w:t>
      </w:r>
      <w:bookmarkEnd w:id="149"/>
      <w:bookmarkEnd w:id="150"/>
      <w:r w:rsidR="00BF7D37" w:rsidRPr="001E69CA">
        <w:rPr>
          <w:lang w:val="en-US"/>
        </w:rPr>
        <w:t>systems</w:t>
      </w:r>
      <w:r w:rsidR="00FB66CE" w:rsidRPr="001E69CA">
        <w:rPr>
          <w:lang w:val="en-US"/>
        </w:rPr>
        <w:t>,</w:t>
      </w:r>
      <w:bookmarkStart w:id="151" w:name="_Toc113535513"/>
      <w:bookmarkStart w:id="152" w:name="_Hlk69812580"/>
    </w:p>
    <w:p w14:paraId="242E2BB2" w14:textId="3E063141" w:rsidR="00CE25BD" w:rsidRPr="001E69CA" w:rsidRDefault="00C774DE" w:rsidP="00C774DE">
      <w:pPr>
        <w:pStyle w:val="Naslov3"/>
        <w:numPr>
          <w:ilvl w:val="0"/>
          <w:numId w:val="20"/>
        </w:numPr>
        <w:spacing w:line="240" w:lineRule="auto"/>
        <w:rPr>
          <w:lang w:val="en-US"/>
        </w:rPr>
      </w:pPr>
      <w:r>
        <w:rPr>
          <w:lang w:val="en-US"/>
        </w:rPr>
        <w:t>i</w:t>
      </w:r>
      <w:r w:rsidR="00162692" w:rsidRPr="001E69CA">
        <w:rPr>
          <w:lang w:val="en-US"/>
        </w:rPr>
        <w:t xml:space="preserve">mplementation of </w:t>
      </w:r>
      <w:r w:rsidR="00610423" w:rsidRPr="001E69CA">
        <w:rPr>
          <w:lang w:val="en-US"/>
        </w:rPr>
        <w:t xml:space="preserve">the </w:t>
      </w:r>
      <w:r w:rsidR="00162692" w:rsidRPr="001E69CA">
        <w:rPr>
          <w:lang w:val="en-US"/>
        </w:rPr>
        <w:t xml:space="preserve">Agreement </w:t>
      </w:r>
      <w:r w:rsidR="001C3005" w:rsidRPr="001E69CA">
        <w:rPr>
          <w:lang w:val="en-US"/>
        </w:rPr>
        <w:t>b</w:t>
      </w:r>
      <w:r w:rsidR="00162692" w:rsidRPr="001E69CA">
        <w:rPr>
          <w:lang w:val="en-US"/>
        </w:rPr>
        <w:t xml:space="preserve">etween </w:t>
      </w:r>
      <w:r w:rsidR="001C3005" w:rsidRPr="001E69CA">
        <w:rPr>
          <w:lang w:val="en-US"/>
        </w:rPr>
        <w:t xml:space="preserve">the </w:t>
      </w:r>
      <w:r w:rsidR="00162692" w:rsidRPr="001E69CA">
        <w:rPr>
          <w:lang w:val="en-US"/>
        </w:rPr>
        <w:t xml:space="preserve">Ministry of </w:t>
      </w:r>
      <w:r w:rsidR="00FB66CE" w:rsidRPr="001E69CA">
        <w:rPr>
          <w:lang w:val="en-US"/>
        </w:rPr>
        <w:t xml:space="preserve">Public Administration and preparation </w:t>
      </w:r>
      <w:r w:rsidR="00610423" w:rsidRPr="001E69CA">
        <w:rPr>
          <w:lang w:val="en-US"/>
        </w:rPr>
        <w:lastRenderedPageBreak/>
        <w:t xml:space="preserve">for </w:t>
      </w:r>
      <w:r w:rsidR="00FB66CE" w:rsidRPr="001E69CA">
        <w:rPr>
          <w:lang w:val="en-US"/>
        </w:rPr>
        <w:t xml:space="preserve">the movement of users to the state </w:t>
      </w:r>
      <w:r w:rsidR="00BF7D37" w:rsidRPr="001E69CA">
        <w:rPr>
          <w:lang w:val="en-US"/>
        </w:rPr>
        <w:t>computer</w:t>
      </w:r>
      <w:r w:rsidR="00FB66CE" w:rsidRPr="001E69CA">
        <w:rPr>
          <w:lang w:val="en-US"/>
        </w:rPr>
        <w:t xml:space="preserve"> cloud.,</w:t>
      </w:r>
      <w:bookmarkEnd w:id="151"/>
    </w:p>
    <w:p w14:paraId="67A2BB1D" w14:textId="19B3B8E3" w:rsidR="001F1A55" w:rsidRPr="00610423" w:rsidRDefault="00162692" w:rsidP="00C774DE">
      <w:pPr>
        <w:pStyle w:val="Odstavekseznama"/>
        <w:keepNext/>
        <w:numPr>
          <w:ilvl w:val="0"/>
          <w:numId w:val="23"/>
        </w:numPr>
        <w:spacing w:before="240" w:after="60"/>
        <w:outlineLvl w:val="2"/>
        <w:rPr>
          <w:rFonts w:ascii="Arial" w:hAnsi="Arial"/>
          <w:sz w:val="20"/>
          <w:lang w:val="en-US"/>
        </w:rPr>
      </w:pPr>
      <w:bookmarkStart w:id="153" w:name="_Toc45272767"/>
      <w:bookmarkStart w:id="154" w:name="_Toc113535514"/>
      <w:bookmarkEnd w:id="152"/>
      <w:r w:rsidRPr="00610423">
        <w:rPr>
          <w:rFonts w:ascii="Arial" w:hAnsi="Arial"/>
          <w:sz w:val="20"/>
          <w:lang w:val="en-US"/>
        </w:rPr>
        <w:t xml:space="preserve">maintenance of databases and </w:t>
      </w:r>
      <w:r w:rsidR="00610423" w:rsidRPr="00610423">
        <w:rPr>
          <w:rFonts w:ascii="Arial" w:hAnsi="Arial"/>
          <w:sz w:val="20"/>
          <w:lang w:val="en-US"/>
        </w:rPr>
        <w:t xml:space="preserve">the </w:t>
      </w:r>
      <w:r w:rsidRPr="00610423">
        <w:rPr>
          <w:rFonts w:ascii="Arial" w:hAnsi="Arial"/>
          <w:sz w:val="20"/>
          <w:lang w:val="en-US"/>
        </w:rPr>
        <w:t>record system of the OMLP</w:t>
      </w:r>
      <w:bookmarkStart w:id="155" w:name="_Toc45272768"/>
      <w:bookmarkStart w:id="156" w:name="_Toc113535515"/>
      <w:bookmarkEnd w:id="153"/>
      <w:bookmarkEnd w:id="154"/>
      <w:r w:rsidR="00FB66CE" w:rsidRPr="00610423">
        <w:rPr>
          <w:rFonts w:ascii="Arial" w:hAnsi="Arial"/>
          <w:sz w:val="20"/>
          <w:lang w:val="en-US"/>
        </w:rPr>
        <w:t>,</w:t>
      </w:r>
    </w:p>
    <w:p w14:paraId="709CA938" w14:textId="77777777" w:rsidR="00FB66CE" w:rsidRPr="00610423" w:rsidRDefault="00FB66CE" w:rsidP="00C774DE">
      <w:pPr>
        <w:pStyle w:val="Odstavekseznama"/>
        <w:keepNext/>
        <w:spacing w:before="240" w:after="60"/>
        <w:outlineLvl w:val="2"/>
        <w:rPr>
          <w:rFonts w:ascii="Arial" w:hAnsi="Arial"/>
          <w:sz w:val="20"/>
          <w:lang w:val="en-US"/>
        </w:rPr>
      </w:pPr>
    </w:p>
    <w:p w14:paraId="694C1B44" w14:textId="4EA8B289" w:rsidR="00FB66CE" w:rsidRPr="00610423" w:rsidRDefault="00162692" w:rsidP="00C774DE">
      <w:pPr>
        <w:pStyle w:val="Odstavekseznama"/>
        <w:keepNext/>
        <w:numPr>
          <w:ilvl w:val="0"/>
          <w:numId w:val="23"/>
        </w:numPr>
        <w:spacing w:before="240" w:after="60"/>
        <w:outlineLvl w:val="2"/>
        <w:rPr>
          <w:rFonts w:ascii="Arial" w:hAnsi="Arial"/>
          <w:sz w:val="20"/>
          <w:lang w:val="en-US"/>
        </w:rPr>
      </w:pPr>
      <w:r w:rsidRPr="00610423">
        <w:rPr>
          <w:rFonts w:ascii="Arial" w:hAnsi="Arial"/>
          <w:sz w:val="20"/>
          <w:szCs w:val="20"/>
          <w:lang w:val="en-US"/>
        </w:rPr>
        <w:t xml:space="preserve">collecting, </w:t>
      </w:r>
      <w:proofErr w:type="gramStart"/>
      <w:r w:rsidRPr="00610423">
        <w:rPr>
          <w:rFonts w:ascii="Arial" w:hAnsi="Arial"/>
          <w:sz w:val="20"/>
          <w:szCs w:val="20"/>
          <w:lang w:val="en-US"/>
        </w:rPr>
        <w:t>keeping</w:t>
      </w:r>
      <w:proofErr w:type="gramEnd"/>
      <w:r w:rsidRPr="00610423">
        <w:rPr>
          <w:rFonts w:ascii="Arial" w:hAnsi="Arial"/>
          <w:sz w:val="20"/>
          <w:szCs w:val="20"/>
          <w:lang w:val="en-US"/>
        </w:rPr>
        <w:t xml:space="preserve"> and publishing </w:t>
      </w:r>
      <w:r w:rsidR="001C3005" w:rsidRPr="00610423">
        <w:rPr>
          <w:rFonts w:ascii="Arial" w:hAnsi="Arial"/>
          <w:sz w:val="20"/>
          <w:szCs w:val="20"/>
          <w:lang w:val="en-US"/>
        </w:rPr>
        <w:t xml:space="preserve">of </w:t>
      </w:r>
      <w:r w:rsidRPr="00610423">
        <w:rPr>
          <w:rFonts w:ascii="Arial" w:hAnsi="Arial"/>
          <w:sz w:val="20"/>
          <w:szCs w:val="20"/>
          <w:lang w:val="en-US"/>
        </w:rPr>
        <w:t xml:space="preserve">data </w:t>
      </w:r>
      <w:r w:rsidRPr="00610423">
        <w:rPr>
          <w:rFonts w:ascii="Arial" w:hAnsi="Arial"/>
          <w:sz w:val="20"/>
          <w:lang w:val="en-US"/>
        </w:rPr>
        <w:t xml:space="preserve">sent by obliged entities according to </w:t>
      </w:r>
      <w:r w:rsidR="001C3005" w:rsidRPr="00610423">
        <w:rPr>
          <w:rFonts w:ascii="Arial" w:hAnsi="Arial"/>
          <w:sz w:val="20"/>
          <w:lang w:val="en-US"/>
        </w:rPr>
        <w:t xml:space="preserve">the </w:t>
      </w:r>
      <w:r w:rsidRPr="00610423">
        <w:rPr>
          <w:rFonts w:ascii="Arial" w:hAnsi="Arial"/>
          <w:sz w:val="20"/>
          <w:lang w:val="en-US"/>
        </w:rPr>
        <w:t xml:space="preserve">Article </w:t>
      </w:r>
      <w:r w:rsidR="009B766E" w:rsidRPr="00610423">
        <w:rPr>
          <w:rFonts w:ascii="Arial" w:hAnsi="Arial"/>
          <w:sz w:val="20"/>
          <w:lang w:val="en-US"/>
        </w:rPr>
        <w:t>68</w:t>
      </w:r>
      <w:r w:rsidRPr="00610423">
        <w:rPr>
          <w:rFonts w:ascii="Arial" w:hAnsi="Arial"/>
          <w:sz w:val="20"/>
          <w:lang w:val="en-US"/>
        </w:rPr>
        <w:t xml:space="preserve"> of AMLPTF-1</w:t>
      </w:r>
      <w:bookmarkEnd w:id="155"/>
      <w:bookmarkEnd w:id="156"/>
      <w:r w:rsidR="00FB66CE" w:rsidRPr="00610423">
        <w:rPr>
          <w:rFonts w:ascii="Arial" w:hAnsi="Arial"/>
          <w:sz w:val="20"/>
          <w:lang w:val="en-US"/>
        </w:rPr>
        <w:t>,</w:t>
      </w:r>
    </w:p>
    <w:p w14:paraId="7BA588A2" w14:textId="77777777" w:rsidR="00FB66CE" w:rsidRPr="00610423" w:rsidRDefault="00FB66CE" w:rsidP="00C774DE">
      <w:pPr>
        <w:pStyle w:val="Odstavekseznama"/>
        <w:keepNext/>
        <w:spacing w:before="240" w:after="60"/>
        <w:outlineLvl w:val="2"/>
        <w:rPr>
          <w:rFonts w:ascii="Arial" w:hAnsi="Arial"/>
          <w:sz w:val="20"/>
          <w:lang w:val="en-US"/>
        </w:rPr>
      </w:pPr>
    </w:p>
    <w:p w14:paraId="50AEACD1" w14:textId="0D71BEB9" w:rsidR="00C774DE" w:rsidRPr="00C774DE" w:rsidRDefault="00162692" w:rsidP="00C774DE">
      <w:pPr>
        <w:pStyle w:val="Odstavekseznama"/>
        <w:keepNext/>
        <w:numPr>
          <w:ilvl w:val="0"/>
          <w:numId w:val="23"/>
        </w:numPr>
        <w:spacing w:before="240" w:after="60"/>
        <w:outlineLvl w:val="2"/>
        <w:rPr>
          <w:lang w:val="en-US"/>
        </w:rPr>
      </w:pPr>
      <w:bookmarkStart w:id="157" w:name="_Toc45272769"/>
      <w:bookmarkStart w:id="158" w:name="_Toc113535516"/>
      <w:r w:rsidRPr="00C774DE">
        <w:rPr>
          <w:rFonts w:ascii="Arial" w:hAnsi="Arial"/>
          <w:sz w:val="20"/>
          <w:lang w:val="en-US"/>
        </w:rPr>
        <w:t xml:space="preserve">preparation of statistical data and analysis of cash transactions </w:t>
      </w:r>
      <w:r w:rsidR="00BF7D37" w:rsidRPr="00C774DE">
        <w:rPr>
          <w:rFonts w:ascii="Arial" w:hAnsi="Arial"/>
          <w:sz w:val="20"/>
          <w:lang w:val="en-US"/>
        </w:rPr>
        <w:t>for the</w:t>
      </w:r>
      <w:r w:rsidRPr="00C774DE">
        <w:rPr>
          <w:rFonts w:ascii="Arial" w:hAnsi="Arial"/>
          <w:sz w:val="20"/>
          <w:lang w:val="en-US"/>
        </w:rPr>
        <w:t xml:space="preserve"> yearly report of the OMLP</w:t>
      </w:r>
      <w:bookmarkEnd w:id="157"/>
      <w:bookmarkEnd w:id="158"/>
      <w:r w:rsidR="00FB66CE" w:rsidRPr="00C774DE">
        <w:rPr>
          <w:rFonts w:ascii="Arial" w:hAnsi="Arial"/>
          <w:sz w:val="20"/>
          <w:lang w:val="en-US"/>
        </w:rPr>
        <w:t>,</w:t>
      </w:r>
      <w:bookmarkStart w:id="159" w:name="_Toc45272772"/>
      <w:bookmarkStart w:id="160" w:name="_Toc113535518"/>
    </w:p>
    <w:p w14:paraId="7EBB8CBA" w14:textId="2E1E04E6" w:rsidR="00F36D7F" w:rsidRPr="001E69CA" w:rsidRDefault="00162692" w:rsidP="00C774DE">
      <w:pPr>
        <w:pStyle w:val="Naslov3"/>
        <w:numPr>
          <w:ilvl w:val="0"/>
          <w:numId w:val="20"/>
        </w:numPr>
        <w:spacing w:line="240" w:lineRule="auto"/>
        <w:rPr>
          <w:lang w:val="en-US"/>
        </w:rPr>
      </w:pPr>
      <w:r w:rsidRPr="001E69CA">
        <w:rPr>
          <w:lang w:val="en-US"/>
        </w:rPr>
        <w:t>administration and maintenance of internal servers of the OMLP</w:t>
      </w:r>
      <w:r w:rsidR="00FB66CE" w:rsidRPr="001E69CA">
        <w:rPr>
          <w:lang w:val="en-US"/>
        </w:rPr>
        <w:t>,</w:t>
      </w:r>
    </w:p>
    <w:bookmarkEnd w:id="159"/>
    <w:bookmarkEnd w:id="160"/>
    <w:p w14:paraId="532B98E3" w14:textId="7E3933B1" w:rsidR="004445DD" w:rsidRPr="00610423" w:rsidRDefault="00162692" w:rsidP="00C774DE">
      <w:pPr>
        <w:pStyle w:val="Odstavekseznama"/>
        <w:keepNext/>
        <w:numPr>
          <w:ilvl w:val="0"/>
          <w:numId w:val="23"/>
        </w:numPr>
        <w:spacing w:before="240" w:after="60"/>
        <w:outlineLvl w:val="2"/>
        <w:rPr>
          <w:rFonts w:ascii="Arial" w:hAnsi="Arial"/>
          <w:sz w:val="20"/>
          <w:lang w:val="en-US"/>
        </w:rPr>
      </w:pPr>
      <w:r w:rsidRPr="00610423">
        <w:rPr>
          <w:rFonts w:ascii="Arial" w:hAnsi="Arial"/>
          <w:sz w:val="20"/>
          <w:lang w:val="en-US"/>
        </w:rPr>
        <w:t>archiving</w:t>
      </w:r>
      <w:r w:rsidR="001C3005" w:rsidRPr="00610423">
        <w:rPr>
          <w:rFonts w:ascii="Arial" w:hAnsi="Arial"/>
          <w:sz w:val="20"/>
          <w:lang w:val="en-US"/>
        </w:rPr>
        <w:t xml:space="preserve"> the</w:t>
      </w:r>
      <w:r w:rsidRPr="00610423">
        <w:rPr>
          <w:rFonts w:ascii="Arial" w:hAnsi="Arial"/>
          <w:sz w:val="20"/>
          <w:lang w:val="en-US"/>
        </w:rPr>
        <w:t xml:space="preserve"> confidential data</w:t>
      </w:r>
      <w:r w:rsidR="00FB66CE" w:rsidRPr="00610423">
        <w:rPr>
          <w:rFonts w:ascii="Arial" w:hAnsi="Arial"/>
          <w:sz w:val="20"/>
          <w:lang w:val="en-US"/>
        </w:rPr>
        <w:t>,</w:t>
      </w:r>
    </w:p>
    <w:p w14:paraId="7B3D6053" w14:textId="77777777" w:rsidR="00FB66CE" w:rsidRPr="00610423" w:rsidRDefault="00FB66CE" w:rsidP="00C774DE">
      <w:pPr>
        <w:pStyle w:val="Odstavekseznama"/>
        <w:keepNext/>
        <w:spacing w:before="240" w:after="60"/>
        <w:outlineLvl w:val="2"/>
        <w:rPr>
          <w:rFonts w:ascii="Arial" w:hAnsi="Arial"/>
          <w:sz w:val="20"/>
          <w:lang w:val="en-US"/>
        </w:rPr>
      </w:pPr>
    </w:p>
    <w:p w14:paraId="22CF9BF1" w14:textId="16C1FE76" w:rsidR="006909A7" w:rsidRPr="00610423" w:rsidRDefault="00162692" w:rsidP="00C774DE">
      <w:pPr>
        <w:pStyle w:val="Odstavekseznama"/>
        <w:numPr>
          <w:ilvl w:val="0"/>
          <w:numId w:val="23"/>
        </w:numPr>
        <w:rPr>
          <w:rFonts w:ascii="Arial" w:hAnsi="Arial"/>
          <w:sz w:val="20"/>
          <w:lang w:val="en-US"/>
        </w:rPr>
      </w:pPr>
      <w:r w:rsidRPr="00610423">
        <w:rPr>
          <w:rFonts w:ascii="Arial" w:hAnsi="Arial"/>
          <w:sz w:val="20"/>
          <w:lang w:val="en-US"/>
        </w:rPr>
        <w:t>collecting data on cash transactions</w:t>
      </w:r>
      <w:r w:rsidR="00FB66CE" w:rsidRPr="00610423">
        <w:rPr>
          <w:rFonts w:ascii="Arial" w:hAnsi="Arial"/>
          <w:sz w:val="20"/>
          <w:lang w:val="en-US"/>
        </w:rPr>
        <w:t>,</w:t>
      </w:r>
    </w:p>
    <w:p w14:paraId="2B4BC0FF" w14:textId="77777777" w:rsidR="00FB66CE" w:rsidRPr="00610423" w:rsidRDefault="00FB66CE" w:rsidP="00C774DE">
      <w:pPr>
        <w:rPr>
          <w:rFonts w:ascii="Arial" w:hAnsi="Arial"/>
          <w:sz w:val="20"/>
          <w:lang w:val="en-US"/>
        </w:rPr>
      </w:pPr>
    </w:p>
    <w:p w14:paraId="0B63FA06" w14:textId="581E562F" w:rsidR="00924558" w:rsidRPr="00610423" w:rsidRDefault="00FB66CE" w:rsidP="00C774DE">
      <w:pPr>
        <w:pStyle w:val="Odstavekseznama"/>
        <w:numPr>
          <w:ilvl w:val="0"/>
          <w:numId w:val="23"/>
        </w:numPr>
        <w:rPr>
          <w:rFonts w:ascii="Arial" w:hAnsi="Arial"/>
          <w:sz w:val="20"/>
          <w:lang w:val="en-US"/>
        </w:rPr>
      </w:pPr>
      <w:bookmarkStart w:id="161" w:name="_Toc45272776"/>
      <w:bookmarkStart w:id="162" w:name="_Toc113535520"/>
      <w:r w:rsidRPr="00610423">
        <w:rPr>
          <w:rFonts w:ascii="Arial" w:hAnsi="Arial"/>
          <w:sz w:val="20"/>
          <w:lang w:val="en-US"/>
        </w:rPr>
        <w:t>i</w:t>
      </w:r>
      <w:r w:rsidR="00162692" w:rsidRPr="00610423">
        <w:rPr>
          <w:rFonts w:ascii="Arial" w:hAnsi="Arial"/>
          <w:sz w:val="20"/>
          <w:lang w:val="en-US"/>
        </w:rPr>
        <w:t xml:space="preserve">ntegration of new employees into </w:t>
      </w:r>
      <w:r w:rsidR="00610423">
        <w:rPr>
          <w:rFonts w:ascii="Arial" w:hAnsi="Arial"/>
          <w:sz w:val="20"/>
          <w:lang w:val="en-US"/>
        </w:rPr>
        <w:t xml:space="preserve">the </w:t>
      </w:r>
      <w:r w:rsidR="00162692" w:rsidRPr="00610423">
        <w:rPr>
          <w:rFonts w:ascii="Arial" w:hAnsi="Arial"/>
          <w:sz w:val="20"/>
          <w:lang w:val="en-US"/>
        </w:rPr>
        <w:t>working process of the OMLP</w:t>
      </w:r>
      <w:bookmarkEnd w:id="161"/>
      <w:bookmarkEnd w:id="162"/>
      <w:r w:rsidRPr="00610423">
        <w:rPr>
          <w:rFonts w:ascii="Arial" w:hAnsi="Arial"/>
          <w:sz w:val="20"/>
          <w:lang w:val="en-US"/>
        </w:rPr>
        <w:t>,</w:t>
      </w:r>
    </w:p>
    <w:p w14:paraId="1132A6AB" w14:textId="77777777" w:rsidR="00FB66CE" w:rsidRPr="00610423" w:rsidRDefault="00FB66CE" w:rsidP="00C774DE">
      <w:pPr>
        <w:rPr>
          <w:rFonts w:ascii="Arial" w:hAnsi="Arial"/>
          <w:sz w:val="20"/>
          <w:lang w:val="en-US"/>
        </w:rPr>
      </w:pPr>
    </w:p>
    <w:p w14:paraId="535DDAF6" w14:textId="03612163" w:rsidR="00C774DE" w:rsidRPr="00C774DE" w:rsidRDefault="00162692" w:rsidP="00C774DE">
      <w:pPr>
        <w:pStyle w:val="Odstavekseznama"/>
        <w:numPr>
          <w:ilvl w:val="0"/>
          <w:numId w:val="23"/>
        </w:numPr>
        <w:rPr>
          <w:lang w:val="en-US"/>
        </w:rPr>
      </w:pPr>
      <w:r w:rsidRPr="00C774DE">
        <w:rPr>
          <w:rFonts w:ascii="Arial" w:hAnsi="Arial"/>
          <w:sz w:val="20"/>
          <w:lang w:val="en-US"/>
        </w:rPr>
        <w:t>activities of training of users</w:t>
      </w:r>
      <w:r w:rsidR="00FB66CE" w:rsidRPr="00C774DE">
        <w:rPr>
          <w:rFonts w:ascii="Arial" w:hAnsi="Arial"/>
          <w:sz w:val="20"/>
          <w:lang w:val="en-US"/>
        </w:rPr>
        <w:t>,</w:t>
      </w:r>
    </w:p>
    <w:p w14:paraId="648942E1" w14:textId="75AEF0EE" w:rsidR="00162692" w:rsidRPr="001E69CA" w:rsidRDefault="00162692" w:rsidP="00C774DE">
      <w:pPr>
        <w:pStyle w:val="Naslov3"/>
        <w:numPr>
          <w:ilvl w:val="0"/>
          <w:numId w:val="20"/>
        </w:numPr>
        <w:spacing w:line="240" w:lineRule="auto"/>
        <w:rPr>
          <w:lang w:val="en-US"/>
        </w:rPr>
      </w:pPr>
      <w:r w:rsidRPr="001E69CA">
        <w:rPr>
          <w:lang w:val="en-US"/>
        </w:rPr>
        <w:t xml:space="preserve">activities related to </w:t>
      </w:r>
      <w:r w:rsidR="00610423">
        <w:rPr>
          <w:lang w:val="en-US"/>
        </w:rPr>
        <w:t xml:space="preserve">the </w:t>
      </w:r>
      <w:r w:rsidRPr="001E69CA">
        <w:rPr>
          <w:lang w:val="en-US"/>
        </w:rPr>
        <w:t>smooth operation of IT technology during COVID-19 pandemic.</w:t>
      </w:r>
    </w:p>
    <w:p w14:paraId="6EAD65D2" w14:textId="77777777" w:rsidR="000B6A97" w:rsidRPr="006E20A2" w:rsidRDefault="000B6A97" w:rsidP="000B6A97">
      <w:pPr>
        <w:spacing w:line="276" w:lineRule="auto"/>
        <w:rPr>
          <w:rFonts w:ascii="Arial" w:hAnsi="Arial"/>
          <w:sz w:val="20"/>
          <w:highlight w:val="yellow"/>
          <w:u w:val="single"/>
          <w:lang w:val="en-US"/>
        </w:rPr>
      </w:pPr>
    </w:p>
    <w:sectPr w:rsidR="000B6A97" w:rsidRPr="006E20A2" w:rsidSect="004F5E15">
      <w:footerReference w:type="default" r:id="rId17"/>
      <w:endnotePr>
        <w:numFmt w:val="decimal"/>
      </w:endnotePr>
      <w:pgSz w:w="11908" w:h="16833" w:code="9"/>
      <w:pgMar w:top="619" w:right="1418" w:bottom="709" w:left="1440" w:header="566" w:footer="261" w:gutter="0"/>
      <w:pgNumType w:start="1"/>
      <w:cols w:space="708"/>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FF4D" w14:textId="77777777" w:rsidR="00717C8F" w:rsidRDefault="00717C8F">
      <w:r>
        <w:separator/>
      </w:r>
    </w:p>
  </w:endnote>
  <w:endnote w:type="continuationSeparator" w:id="0">
    <w:p w14:paraId="6669846F" w14:textId="77777777" w:rsidR="00717C8F" w:rsidRDefault="0071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A5BE" w14:textId="77777777" w:rsidR="00BB21A2" w:rsidRPr="004F5E15" w:rsidRDefault="00BB21A2" w:rsidP="004F5E15">
    <w:pPr>
      <w:pStyle w:val="Noga"/>
      <w:jc w:val="center"/>
      <w:rPr>
        <w:rFonts w:ascii="Arial" w:hAnsi="Arial"/>
        <w:bCs/>
      </w:rPr>
    </w:pPr>
    <w:r w:rsidRPr="004F5E15">
      <w:rPr>
        <w:rFonts w:ascii="Arial" w:hAnsi="Arial"/>
        <w:bCs/>
        <w:sz w:val="16"/>
      </w:rPr>
      <w:fldChar w:fldCharType="begin"/>
    </w:r>
    <w:r w:rsidRPr="004F5E15">
      <w:rPr>
        <w:rFonts w:ascii="Arial" w:hAnsi="Arial"/>
        <w:bCs/>
        <w:sz w:val="16"/>
      </w:rPr>
      <w:instrText xml:space="preserve"> PAGE </w:instrText>
    </w:r>
    <w:r w:rsidRPr="004F5E15">
      <w:rPr>
        <w:rFonts w:ascii="Arial" w:hAnsi="Arial"/>
        <w:bCs/>
        <w:sz w:val="16"/>
      </w:rPr>
      <w:fldChar w:fldCharType="separate"/>
    </w:r>
    <w:r>
      <w:rPr>
        <w:rFonts w:ascii="Arial" w:hAnsi="Arial"/>
        <w:bCs/>
        <w:noProof/>
        <w:sz w:val="16"/>
      </w:rPr>
      <w:t>22</w:t>
    </w:r>
    <w:r w:rsidRPr="004F5E15">
      <w:rPr>
        <w:rFonts w:ascii="Arial" w:hAnsi="Arial"/>
        <w:bCs/>
        <w:sz w:val="16"/>
      </w:rPr>
      <w:fldChar w:fldCharType="end"/>
    </w:r>
    <w:r w:rsidRPr="004F5E15">
      <w:rPr>
        <w:rFonts w:ascii="Arial" w:hAnsi="Arial"/>
        <w:bCs/>
        <w:sz w:val="16"/>
      </w:rPr>
      <w:t>/</w:t>
    </w:r>
    <w:r w:rsidRPr="004F5E15">
      <w:rPr>
        <w:rFonts w:ascii="Arial" w:hAnsi="Arial"/>
        <w:bCs/>
        <w:sz w:val="16"/>
      </w:rPr>
      <w:fldChar w:fldCharType="begin"/>
    </w:r>
    <w:r w:rsidRPr="004F5E15">
      <w:rPr>
        <w:rFonts w:ascii="Arial" w:hAnsi="Arial"/>
        <w:bCs/>
        <w:sz w:val="16"/>
      </w:rPr>
      <w:instrText xml:space="preserve"> NUMPAGES  </w:instrText>
    </w:r>
    <w:r w:rsidRPr="004F5E15">
      <w:rPr>
        <w:rFonts w:ascii="Arial" w:hAnsi="Arial"/>
        <w:bCs/>
        <w:sz w:val="16"/>
      </w:rPr>
      <w:fldChar w:fldCharType="separate"/>
    </w:r>
    <w:r>
      <w:rPr>
        <w:rFonts w:ascii="Arial" w:hAnsi="Arial"/>
        <w:bCs/>
        <w:noProof/>
        <w:sz w:val="16"/>
      </w:rPr>
      <w:t>63</w:t>
    </w:r>
    <w:r w:rsidRPr="004F5E15">
      <w:rPr>
        <w:rFonts w:ascii="Arial" w:hAnsi="Arial"/>
        <w:bCs/>
        <w:sz w:val="16"/>
      </w:rPr>
      <w:fldChar w:fldCharType="end"/>
    </w:r>
  </w:p>
  <w:p w14:paraId="73562BE2" w14:textId="77777777" w:rsidR="00BB21A2" w:rsidRDefault="00BB21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2BE3" w14:textId="77777777" w:rsidR="00717C8F" w:rsidRDefault="00717C8F">
      <w:r>
        <w:separator/>
      </w:r>
    </w:p>
  </w:footnote>
  <w:footnote w:type="continuationSeparator" w:id="0">
    <w:p w14:paraId="31E6FEAB" w14:textId="77777777" w:rsidR="00717C8F" w:rsidRDefault="00717C8F">
      <w:r>
        <w:continuationSeparator/>
      </w:r>
    </w:p>
  </w:footnote>
  <w:footnote w:id="1">
    <w:p w14:paraId="1ABE86EE" w14:textId="00D8A7B6" w:rsidR="00BB21A2" w:rsidRPr="009B1630" w:rsidRDefault="00BB21A2" w:rsidP="00570F35">
      <w:pPr>
        <w:pStyle w:val="Sprotnaopomba-besedilo"/>
        <w:ind w:firstLine="0"/>
        <w:rPr>
          <w:lang w:val="en-US"/>
        </w:rPr>
      </w:pPr>
      <w:r w:rsidRPr="009B1630">
        <w:rPr>
          <w:rStyle w:val="Sprotnaopomba-sklic"/>
          <w:sz w:val="16"/>
          <w:szCs w:val="16"/>
          <w:lang w:val="en-US"/>
        </w:rPr>
        <w:footnoteRef/>
      </w:r>
      <w:r w:rsidRPr="009B1630">
        <w:rPr>
          <w:sz w:val="16"/>
          <w:szCs w:val="16"/>
          <w:lang w:val="en-US"/>
        </w:rPr>
        <w:t xml:space="preserve"> </w:t>
      </w:r>
      <w:r w:rsidR="00F725FE" w:rsidRPr="009B1630">
        <w:rPr>
          <w:rFonts w:ascii="Arial" w:hAnsi="Arial"/>
          <w:i/>
          <w:sz w:val="16"/>
          <w:szCs w:val="16"/>
          <w:lang w:val="en-US"/>
        </w:rPr>
        <w:t>Criminal offence of money laundering was introduced into our legislation – Criminal Code in 1995, the same year as the OMLP was established and the Act on prevention of m</w:t>
      </w:r>
      <w:r w:rsidR="00C67F37" w:rsidRPr="009B1630">
        <w:rPr>
          <w:rFonts w:ascii="Arial" w:hAnsi="Arial"/>
          <w:i/>
          <w:sz w:val="16"/>
          <w:szCs w:val="16"/>
          <w:lang w:val="en-US"/>
        </w:rPr>
        <w:t>oney laundering and terrorist financing was adopted.</w:t>
      </w:r>
    </w:p>
  </w:footnote>
  <w:footnote w:id="2">
    <w:p w14:paraId="1A4B17DA" w14:textId="78DA185A" w:rsidR="00BB21A2" w:rsidRPr="009B1630" w:rsidRDefault="00BB21A2" w:rsidP="003F313D">
      <w:pPr>
        <w:tabs>
          <w:tab w:val="left" w:pos="6096"/>
        </w:tabs>
        <w:rPr>
          <w:lang w:val="en-US"/>
        </w:rPr>
      </w:pPr>
      <w:r w:rsidRPr="009B1630">
        <w:rPr>
          <w:rStyle w:val="Sprotnaopomba-sklic"/>
          <w:rFonts w:ascii="Arial" w:hAnsi="Arial" w:cs="Arial"/>
          <w:i/>
          <w:sz w:val="16"/>
          <w:szCs w:val="16"/>
          <w:lang w:val="en-US"/>
        </w:rPr>
        <w:footnoteRef/>
      </w:r>
      <w:r w:rsidRPr="009B1630">
        <w:rPr>
          <w:rFonts w:ascii="Arial" w:hAnsi="Arial"/>
          <w:i/>
          <w:sz w:val="16"/>
          <w:szCs w:val="16"/>
          <w:lang w:val="en-US"/>
        </w:rPr>
        <w:t xml:space="preserve"> </w:t>
      </w:r>
      <w:r w:rsidR="008413C0" w:rsidRPr="009B1630">
        <w:rPr>
          <w:rFonts w:ascii="Arial" w:hAnsi="Arial"/>
          <w:i/>
          <w:sz w:val="16"/>
          <w:szCs w:val="16"/>
          <w:lang w:val="en-US"/>
        </w:rPr>
        <w:t xml:space="preserve">The activities of the OMLP </w:t>
      </w:r>
      <w:proofErr w:type="gramStart"/>
      <w:r w:rsidR="008413C0" w:rsidRPr="009B1630">
        <w:rPr>
          <w:rFonts w:ascii="Arial" w:hAnsi="Arial"/>
          <w:i/>
          <w:sz w:val="16"/>
          <w:szCs w:val="16"/>
          <w:lang w:val="en-US"/>
        </w:rPr>
        <w:t>in the area of</w:t>
      </w:r>
      <w:proofErr w:type="gramEnd"/>
      <w:r w:rsidR="008413C0" w:rsidRPr="009B1630">
        <w:rPr>
          <w:rFonts w:ascii="Arial" w:hAnsi="Arial"/>
          <w:i/>
          <w:sz w:val="16"/>
          <w:szCs w:val="16"/>
          <w:lang w:val="en-US"/>
        </w:rPr>
        <w:t xml:space="preserve"> prevention of money laundering and terrorist financing are proposal of acts amendments, preparation of guidelines for obliged entities, cooperation in preparation of indicators to detect suspicious transactions, cooperation in training of obliged entities, following trend and typologies.</w:t>
      </w:r>
    </w:p>
  </w:footnote>
  <w:footnote w:id="3">
    <w:p w14:paraId="50ECCA83" w14:textId="611E6B97" w:rsidR="008413C0" w:rsidRPr="009B1630" w:rsidRDefault="008413C0" w:rsidP="008413C0">
      <w:pPr>
        <w:pStyle w:val="Sprotnaopomba-besedilo"/>
        <w:ind w:firstLine="0"/>
        <w:rPr>
          <w:rFonts w:ascii="Arial" w:hAnsi="Arial"/>
          <w:i/>
          <w:sz w:val="16"/>
          <w:szCs w:val="16"/>
          <w:lang w:val="en-US"/>
        </w:rPr>
      </w:pPr>
      <w:r w:rsidRPr="009B1630">
        <w:rPr>
          <w:rStyle w:val="Sprotnaopomba-sklic"/>
          <w:rFonts w:ascii="Arial" w:hAnsi="Arial" w:cs="Arial"/>
          <w:i/>
          <w:sz w:val="16"/>
          <w:szCs w:val="16"/>
          <w:lang w:val="en-US"/>
        </w:rPr>
        <w:footnoteRef/>
      </w:r>
      <w:r w:rsidRPr="009B1630">
        <w:rPr>
          <w:i/>
          <w:sz w:val="16"/>
          <w:szCs w:val="16"/>
          <w:lang w:val="en-US"/>
        </w:rPr>
        <w:t xml:space="preserve"> </w:t>
      </w:r>
      <w:r w:rsidRPr="009B1630">
        <w:rPr>
          <w:rFonts w:ascii="Arial" w:hAnsi="Arial"/>
          <w:i/>
          <w:sz w:val="16"/>
          <w:szCs w:val="16"/>
          <w:lang w:val="en-US"/>
        </w:rPr>
        <w:t>The obliged entities send the data on prescribed forms, one form can contain more transactions, of which the sum exceeds 15.000 EUR</w:t>
      </w:r>
      <w:r w:rsidR="009B1630">
        <w:rPr>
          <w:rFonts w:ascii="Arial" w:hAnsi="Arial"/>
          <w:i/>
          <w:sz w:val="16"/>
          <w:szCs w:val="16"/>
          <w:lang w:val="en-US"/>
        </w:rPr>
        <w:t>.</w:t>
      </w:r>
    </w:p>
  </w:footnote>
  <w:footnote w:id="4">
    <w:p w14:paraId="40A37849" w14:textId="3D9EBC0F" w:rsidR="00BB21A2" w:rsidRPr="009B1630" w:rsidRDefault="00BB21A2" w:rsidP="00714907">
      <w:pPr>
        <w:pStyle w:val="Sprotnaopomba-besedilo"/>
        <w:ind w:firstLine="0"/>
        <w:rPr>
          <w:rFonts w:ascii="Arial" w:hAnsi="Arial"/>
          <w:i/>
          <w:sz w:val="16"/>
          <w:szCs w:val="16"/>
          <w:lang w:val="en-US"/>
        </w:rPr>
      </w:pPr>
      <w:r w:rsidRPr="009B1630">
        <w:rPr>
          <w:rStyle w:val="Sprotnaopomba-sklic"/>
          <w:rFonts w:ascii="Arial" w:hAnsi="Arial" w:cs="Arial"/>
          <w:sz w:val="16"/>
          <w:szCs w:val="16"/>
          <w:lang w:val="en-US"/>
        </w:rPr>
        <w:footnoteRef/>
      </w:r>
      <w:r w:rsidR="00714907" w:rsidRPr="009B1630">
        <w:rPr>
          <w:rFonts w:ascii="Arial" w:hAnsi="Arial"/>
          <w:i/>
          <w:sz w:val="16"/>
          <w:szCs w:val="16"/>
          <w:lang w:val="en-US"/>
        </w:rPr>
        <w:t xml:space="preserve"> The number in this column is the number of written notifications or information of the OMLP to the foreign counterpart, that is smaller than the number of investigated cases, as the OMLP can investigate more subjects in one written notifications or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BC6ACBA"/>
    <w:lvl w:ilvl="0">
      <w:start w:val="1"/>
      <w:numFmt w:val="bullet"/>
      <w:pStyle w:val="Naslov8"/>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666888"/>
    <w:lvl w:ilvl="0">
      <w:start w:val="1"/>
      <w:numFmt w:val="bullet"/>
      <w:pStyle w:val="Naslov9"/>
      <w:lvlText w:val=""/>
      <w:lvlJc w:val="left"/>
      <w:pPr>
        <w:tabs>
          <w:tab w:val="num" w:pos="360"/>
        </w:tabs>
        <w:ind w:left="360" w:hanging="360"/>
      </w:pPr>
      <w:rPr>
        <w:rFonts w:ascii="Symbol" w:hAnsi="Symbol" w:hint="default"/>
      </w:rPr>
    </w:lvl>
  </w:abstractNum>
  <w:abstractNum w:abstractNumId="2" w15:restartNumberingAfterBreak="0">
    <w:nsid w:val="074521C9"/>
    <w:multiLevelType w:val="hybridMultilevel"/>
    <w:tmpl w:val="C61A53A8"/>
    <w:lvl w:ilvl="0" w:tplc="3D4E3404">
      <w:numFmt w:val="bullet"/>
      <w:lvlText w:val="–"/>
      <w:lvlJc w:val="left"/>
      <w:pPr>
        <w:ind w:left="2345" w:hanging="360"/>
      </w:pPr>
      <w:rPr>
        <w:rFonts w:ascii="Calibri" w:eastAsiaTheme="minorHAnsi" w:hAnsi="Calibri" w:cs="Calibri" w:hint="default"/>
      </w:rPr>
    </w:lvl>
    <w:lvl w:ilvl="1" w:tplc="04240003">
      <w:start w:val="1"/>
      <w:numFmt w:val="bullet"/>
      <w:lvlText w:val="o"/>
      <w:lvlJc w:val="left"/>
      <w:pPr>
        <w:ind w:left="3065" w:hanging="360"/>
      </w:pPr>
      <w:rPr>
        <w:rFonts w:ascii="Courier New" w:hAnsi="Courier New" w:cs="Courier New" w:hint="default"/>
      </w:rPr>
    </w:lvl>
    <w:lvl w:ilvl="2" w:tplc="04240005" w:tentative="1">
      <w:start w:val="1"/>
      <w:numFmt w:val="bullet"/>
      <w:lvlText w:val=""/>
      <w:lvlJc w:val="left"/>
      <w:pPr>
        <w:ind w:left="3785" w:hanging="360"/>
      </w:pPr>
      <w:rPr>
        <w:rFonts w:ascii="Wingdings" w:hAnsi="Wingdings" w:hint="default"/>
      </w:rPr>
    </w:lvl>
    <w:lvl w:ilvl="3" w:tplc="04240001" w:tentative="1">
      <w:start w:val="1"/>
      <w:numFmt w:val="bullet"/>
      <w:lvlText w:val=""/>
      <w:lvlJc w:val="left"/>
      <w:pPr>
        <w:ind w:left="4505" w:hanging="360"/>
      </w:pPr>
      <w:rPr>
        <w:rFonts w:ascii="Symbol" w:hAnsi="Symbol" w:hint="default"/>
      </w:rPr>
    </w:lvl>
    <w:lvl w:ilvl="4" w:tplc="04240003" w:tentative="1">
      <w:start w:val="1"/>
      <w:numFmt w:val="bullet"/>
      <w:lvlText w:val="o"/>
      <w:lvlJc w:val="left"/>
      <w:pPr>
        <w:ind w:left="5225" w:hanging="360"/>
      </w:pPr>
      <w:rPr>
        <w:rFonts w:ascii="Courier New" w:hAnsi="Courier New" w:cs="Courier New" w:hint="default"/>
      </w:rPr>
    </w:lvl>
    <w:lvl w:ilvl="5" w:tplc="04240005" w:tentative="1">
      <w:start w:val="1"/>
      <w:numFmt w:val="bullet"/>
      <w:lvlText w:val=""/>
      <w:lvlJc w:val="left"/>
      <w:pPr>
        <w:ind w:left="5945" w:hanging="360"/>
      </w:pPr>
      <w:rPr>
        <w:rFonts w:ascii="Wingdings" w:hAnsi="Wingdings" w:hint="default"/>
      </w:rPr>
    </w:lvl>
    <w:lvl w:ilvl="6" w:tplc="04240001" w:tentative="1">
      <w:start w:val="1"/>
      <w:numFmt w:val="bullet"/>
      <w:lvlText w:val=""/>
      <w:lvlJc w:val="left"/>
      <w:pPr>
        <w:ind w:left="6665" w:hanging="360"/>
      </w:pPr>
      <w:rPr>
        <w:rFonts w:ascii="Symbol" w:hAnsi="Symbol" w:hint="default"/>
      </w:rPr>
    </w:lvl>
    <w:lvl w:ilvl="7" w:tplc="04240003" w:tentative="1">
      <w:start w:val="1"/>
      <w:numFmt w:val="bullet"/>
      <w:lvlText w:val="o"/>
      <w:lvlJc w:val="left"/>
      <w:pPr>
        <w:ind w:left="7385" w:hanging="360"/>
      </w:pPr>
      <w:rPr>
        <w:rFonts w:ascii="Courier New" w:hAnsi="Courier New" w:cs="Courier New" w:hint="default"/>
      </w:rPr>
    </w:lvl>
    <w:lvl w:ilvl="8" w:tplc="04240005" w:tentative="1">
      <w:start w:val="1"/>
      <w:numFmt w:val="bullet"/>
      <w:lvlText w:val=""/>
      <w:lvlJc w:val="left"/>
      <w:pPr>
        <w:ind w:left="8105" w:hanging="360"/>
      </w:pPr>
      <w:rPr>
        <w:rFonts w:ascii="Wingdings" w:hAnsi="Wingdings" w:hint="default"/>
      </w:rPr>
    </w:lvl>
  </w:abstractNum>
  <w:abstractNum w:abstractNumId="3" w15:restartNumberingAfterBreak="0">
    <w:nsid w:val="0E004554"/>
    <w:multiLevelType w:val="hybridMultilevel"/>
    <w:tmpl w:val="C816B0E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337A2"/>
    <w:multiLevelType w:val="hybridMultilevel"/>
    <w:tmpl w:val="040EC77E"/>
    <w:lvl w:ilvl="0" w:tplc="5F5253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6FC4"/>
    <w:multiLevelType w:val="multilevel"/>
    <w:tmpl w:val="6B5CFEBA"/>
    <w:lvl w:ilvl="0">
      <w:start w:val="1"/>
      <w:numFmt w:val="decimal"/>
      <w:lvlText w:val="%1"/>
      <w:lvlJc w:val="left"/>
      <w:pPr>
        <w:tabs>
          <w:tab w:val="num" w:pos="432"/>
        </w:tabs>
        <w:ind w:left="432" w:hanging="432"/>
      </w:pPr>
      <w:rPr>
        <w:rFonts w:cs="Times New Roman" w:hint="default"/>
      </w:rPr>
    </w:lvl>
    <w:lvl w:ilvl="1">
      <w:start w:val="1"/>
      <w:numFmt w:val="decimal"/>
      <w:pStyle w:val="Naslov2"/>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851"/>
        </w:tabs>
        <w:ind w:left="851" w:hanging="851"/>
      </w:pPr>
      <w:rPr>
        <w:rFonts w:cs="Times New Roman" w:hint="default"/>
        <w:i/>
        <w:iCs w:val="0"/>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C907DA1"/>
    <w:multiLevelType w:val="hybridMultilevel"/>
    <w:tmpl w:val="D7742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240522"/>
    <w:multiLevelType w:val="hybridMultilevel"/>
    <w:tmpl w:val="C3A8AF22"/>
    <w:lvl w:ilvl="0" w:tplc="149E4B62">
      <w:start w:val="1"/>
      <w:numFmt w:val="bullet"/>
      <w:pStyle w:val="Oznaenseznam"/>
      <w:lvlText w:val=""/>
      <w:lvlJc w:val="left"/>
      <w:pPr>
        <w:tabs>
          <w:tab w:val="num" w:pos="360"/>
        </w:tabs>
        <w:ind w:left="360" w:hanging="360"/>
      </w:pPr>
      <w:rPr>
        <w:rFonts w:ascii="Symbol" w:hAnsi="Symbol" w:hint="default"/>
      </w:rPr>
    </w:lvl>
    <w:lvl w:ilvl="1" w:tplc="71A41108" w:tentative="1">
      <w:start w:val="1"/>
      <w:numFmt w:val="bullet"/>
      <w:lvlText w:val="o"/>
      <w:lvlJc w:val="left"/>
      <w:pPr>
        <w:tabs>
          <w:tab w:val="num" w:pos="1440"/>
        </w:tabs>
        <w:ind w:left="1440" w:hanging="360"/>
      </w:pPr>
      <w:rPr>
        <w:rFonts w:ascii="Courier New" w:hAnsi="Courier New" w:hint="default"/>
      </w:rPr>
    </w:lvl>
    <w:lvl w:ilvl="2" w:tplc="A538D34A" w:tentative="1">
      <w:start w:val="1"/>
      <w:numFmt w:val="bullet"/>
      <w:lvlText w:val=""/>
      <w:lvlJc w:val="left"/>
      <w:pPr>
        <w:tabs>
          <w:tab w:val="num" w:pos="2160"/>
        </w:tabs>
        <w:ind w:left="2160" w:hanging="360"/>
      </w:pPr>
      <w:rPr>
        <w:rFonts w:ascii="Wingdings" w:hAnsi="Wingdings" w:hint="default"/>
      </w:rPr>
    </w:lvl>
    <w:lvl w:ilvl="3" w:tplc="78FCF100" w:tentative="1">
      <w:start w:val="1"/>
      <w:numFmt w:val="bullet"/>
      <w:lvlText w:val=""/>
      <w:lvlJc w:val="left"/>
      <w:pPr>
        <w:tabs>
          <w:tab w:val="num" w:pos="2880"/>
        </w:tabs>
        <w:ind w:left="2880" w:hanging="360"/>
      </w:pPr>
      <w:rPr>
        <w:rFonts w:ascii="Symbol" w:hAnsi="Symbol" w:hint="default"/>
      </w:rPr>
    </w:lvl>
    <w:lvl w:ilvl="4" w:tplc="194CD70E" w:tentative="1">
      <w:start w:val="1"/>
      <w:numFmt w:val="bullet"/>
      <w:lvlText w:val="o"/>
      <w:lvlJc w:val="left"/>
      <w:pPr>
        <w:tabs>
          <w:tab w:val="num" w:pos="3600"/>
        </w:tabs>
        <w:ind w:left="3600" w:hanging="360"/>
      </w:pPr>
      <w:rPr>
        <w:rFonts w:ascii="Courier New" w:hAnsi="Courier New" w:hint="default"/>
      </w:rPr>
    </w:lvl>
    <w:lvl w:ilvl="5" w:tplc="E1087E32" w:tentative="1">
      <w:start w:val="1"/>
      <w:numFmt w:val="bullet"/>
      <w:lvlText w:val=""/>
      <w:lvlJc w:val="left"/>
      <w:pPr>
        <w:tabs>
          <w:tab w:val="num" w:pos="4320"/>
        </w:tabs>
        <w:ind w:left="4320" w:hanging="360"/>
      </w:pPr>
      <w:rPr>
        <w:rFonts w:ascii="Wingdings" w:hAnsi="Wingdings" w:hint="default"/>
      </w:rPr>
    </w:lvl>
    <w:lvl w:ilvl="6" w:tplc="AD24E226" w:tentative="1">
      <w:start w:val="1"/>
      <w:numFmt w:val="bullet"/>
      <w:lvlText w:val=""/>
      <w:lvlJc w:val="left"/>
      <w:pPr>
        <w:tabs>
          <w:tab w:val="num" w:pos="5040"/>
        </w:tabs>
        <w:ind w:left="5040" w:hanging="360"/>
      </w:pPr>
      <w:rPr>
        <w:rFonts w:ascii="Symbol" w:hAnsi="Symbol" w:hint="default"/>
      </w:rPr>
    </w:lvl>
    <w:lvl w:ilvl="7" w:tplc="4B5C8958" w:tentative="1">
      <w:start w:val="1"/>
      <w:numFmt w:val="bullet"/>
      <w:lvlText w:val="o"/>
      <w:lvlJc w:val="left"/>
      <w:pPr>
        <w:tabs>
          <w:tab w:val="num" w:pos="5760"/>
        </w:tabs>
        <w:ind w:left="5760" w:hanging="360"/>
      </w:pPr>
      <w:rPr>
        <w:rFonts w:ascii="Courier New" w:hAnsi="Courier New" w:hint="default"/>
      </w:rPr>
    </w:lvl>
    <w:lvl w:ilvl="8" w:tplc="94529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26DD2"/>
    <w:multiLevelType w:val="hybridMultilevel"/>
    <w:tmpl w:val="5D5CE5A4"/>
    <w:lvl w:ilvl="0" w:tplc="B658C7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3B5702"/>
    <w:multiLevelType w:val="hybridMultilevel"/>
    <w:tmpl w:val="E58A8B7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A00257"/>
    <w:multiLevelType w:val="hybridMultilevel"/>
    <w:tmpl w:val="E702C8AC"/>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032C74"/>
    <w:multiLevelType w:val="hybridMultilevel"/>
    <w:tmpl w:val="3CF8565E"/>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4E2574"/>
    <w:multiLevelType w:val="hybridMultilevel"/>
    <w:tmpl w:val="51AEF066"/>
    <w:lvl w:ilvl="0" w:tplc="3C34132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AF07894"/>
    <w:multiLevelType w:val="hybridMultilevel"/>
    <w:tmpl w:val="AE86C7A4"/>
    <w:lvl w:ilvl="0" w:tplc="00000096">
      <w:numFmt w:val="bullet"/>
      <w:lvlText w:val="–"/>
      <w:lvlJc w:val="left"/>
      <w:pPr>
        <w:tabs>
          <w:tab w:val="num" w:pos="760"/>
        </w:tabs>
        <w:ind w:left="760" w:hanging="400"/>
      </w:pPr>
      <w:rPr>
        <w:rFonts w:ascii="Times New Roman" w:hAnsi="Times New Roman" w:cs="Times New Roman" w:hint="default"/>
        <w:color w:val="000000"/>
        <w:sz w:val="20"/>
        <w:szCs w:val="20"/>
        <w:lang w:eastAsia="sl-SI"/>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C1587"/>
    <w:multiLevelType w:val="hybridMultilevel"/>
    <w:tmpl w:val="0A4EBBF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FE53B2"/>
    <w:multiLevelType w:val="hybridMultilevel"/>
    <w:tmpl w:val="64FECC5A"/>
    <w:lvl w:ilvl="0" w:tplc="57780D9E">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04313A"/>
    <w:multiLevelType w:val="hybridMultilevel"/>
    <w:tmpl w:val="9F7E26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8395C13"/>
    <w:multiLevelType w:val="hybridMultilevel"/>
    <w:tmpl w:val="302ED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3161BD"/>
    <w:multiLevelType w:val="hybridMultilevel"/>
    <w:tmpl w:val="0D5A9460"/>
    <w:lvl w:ilvl="0" w:tplc="00000096">
      <w:numFmt w:val="bullet"/>
      <w:lvlText w:val="–"/>
      <w:lvlJc w:val="left"/>
      <w:pPr>
        <w:ind w:left="751" w:hanging="360"/>
      </w:pPr>
      <w:rPr>
        <w:rFonts w:ascii="Times New Roman" w:hAnsi="Times New Roman" w:cs="Times New Roman" w:hint="default"/>
        <w:color w:val="000000"/>
        <w:sz w:val="20"/>
        <w:szCs w:val="20"/>
        <w:lang w:eastAsia="sl-SI"/>
      </w:rPr>
    </w:lvl>
    <w:lvl w:ilvl="1" w:tplc="FFFFFFFF" w:tentative="1">
      <w:start w:val="1"/>
      <w:numFmt w:val="bullet"/>
      <w:lvlText w:val="o"/>
      <w:lvlJc w:val="left"/>
      <w:pPr>
        <w:ind w:left="1471" w:hanging="360"/>
      </w:pPr>
      <w:rPr>
        <w:rFonts w:ascii="Courier New" w:hAnsi="Courier New" w:cs="Courier New" w:hint="default"/>
      </w:rPr>
    </w:lvl>
    <w:lvl w:ilvl="2" w:tplc="FFFFFFFF" w:tentative="1">
      <w:start w:val="1"/>
      <w:numFmt w:val="bullet"/>
      <w:lvlText w:val=""/>
      <w:lvlJc w:val="left"/>
      <w:pPr>
        <w:ind w:left="2191" w:hanging="360"/>
      </w:pPr>
      <w:rPr>
        <w:rFonts w:ascii="Wingdings" w:hAnsi="Wingdings" w:hint="default"/>
      </w:rPr>
    </w:lvl>
    <w:lvl w:ilvl="3" w:tplc="FFFFFFFF" w:tentative="1">
      <w:start w:val="1"/>
      <w:numFmt w:val="bullet"/>
      <w:lvlText w:val=""/>
      <w:lvlJc w:val="left"/>
      <w:pPr>
        <w:ind w:left="2911" w:hanging="360"/>
      </w:pPr>
      <w:rPr>
        <w:rFonts w:ascii="Symbol" w:hAnsi="Symbol" w:hint="default"/>
      </w:rPr>
    </w:lvl>
    <w:lvl w:ilvl="4" w:tplc="FFFFFFFF" w:tentative="1">
      <w:start w:val="1"/>
      <w:numFmt w:val="bullet"/>
      <w:lvlText w:val="o"/>
      <w:lvlJc w:val="left"/>
      <w:pPr>
        <w:ind w:left="3631" w:hanging="360"/>
      </w:pPr>
      <w:rPr>
        <w:rFonts w:ascii="Courier New" w:hAnsi="Courier New" w:cs="Courier New" w:hint="default"/>
      </w:rPr>
    </w:lvl>
    <w:lvl w:ilvl="5" w:tplc="FFFFFFFF" w:tentative="1">
      <w:start w:val="1"/>
      <w:numFmt w:val="bullet"/>
      <w:lvlText w:val=""/>
      <w:lvlJc w:val="left"/>
      <w:pPr>
        <w:ind w:left="4351" w:hanging="360"/>
      </w:pPr>
      <w:rPr>
        <w:rFonts w:ascii="Wingdings" w:hAnsi="Wingdings" w:hint="default"/>
      </w:rPr>
    </w:lvl>
    <w:lvl w:ilvl="6" w:tplc="FFFFFFFF" w:tentative="1">
      <w:start w:val="1"/>
      <w:numFmt w:val="bullet"/>
      <w:lvlText w:val=""/>
      <w:lvlJc w:val="left"/>
      <w:pPr>
        <w:ind w:left="5071" w:hanging="360"/>
      </w:pPr>
      <w:rPr>
        <w:rFonts w:ascii="Symbol" w:hAnsi="Symbol" w:hint="default"/>
      </w:rPr>
    </w:lvl>
    <w:lvl w:ilvl="7" w:tplc="FFFFFFFF" w:tentative="1">
      <w:start w:val="1"/>
      <w:numFmt w:val="bullet"/>
      <w:lvlText w:val="o"/>
      <w:lvlJc w:val="left"/>
      <w:pPr>
        <w:ind w:left="5791" w:hanging="360"/>
      </w:pPr>
      <w:rPr>
        <w:rFonts w:ascii="Courier New" w:hAnsi="Courier New" w:cs="Courier New" w:hint="default"/>
      </w:rPr>
    </w:lvl>
    <w:lvl w:ilvl="8" w:tplc="FFFFFFFF" w:tentative="1">
      <w:start w:val="1"/>
      <w:numFmt w:val="bullet"/>
      <w:lvlText w:val=""/>
      <w:lvlJc w:val="left"/>
      <w:pPr>
        <w:ind w:left="6511" w:hanging="360"/>
      </w:pPr>
      <w:rPr>
        <w:rFonts w:ascii="Wingdings" w:hAnsi="Wingdings" w:hint="default"/>
      </w:rPr>
    </w:lvl>
  </w:abstractNum>
  <w:abstractNum w:abstractNumId="19" w15:restartNumberingAfterBreak="0">
    <w:nsid w:val="68BE0973"/>
    <w:multiLevelType w:val="multilevel"/>
    <w:tmpl w:val="AA065C3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851"/>
        </w:tabs>
        <w:ind w:left="851" w:hanging="851"/>
      </w:pPr>
      <w:rPr>
        <w:rFonts w:cs="Times New Roman" w:hint="default"/>
        <w:i/>
        <w:iCs w:val="0"/>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FD643C7"/>
    <w:multiLevelType w:val="multilevel"/>
    <w:tmpl w:val="BA10A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0C429B"/>
    <w:multiLevelType w:val="hybridMultilevel"/>
    <w:tmpl w:val="3FD40720"/>
    <w:lvl w:ilvl="0" w:tplc="00000096">
      <w:numFmt w:val="bullet"/>
      <w:lvlText w:val="–"/>
      <w:lvlJc w:val="left"/>
      <w:pPr>
        <w:tabs>
          <w:tab w:val="num" w:pos="826"/>
        </w:tabs>
        <w:ind w:left="826" w:hanging="400"/>
      </w:pPr>
      <w:rPr>
        <w:rFonts w:ascii="Times New Roman" w:hAnsi="Times New Roman" w:cs="Times New Roman" w:hint="default"/>
        <w:color w:val="000000"/>
        <w:sz w:val="20"/>
        <w:szCs w:val="20"/>
        <w:lang w:eastAsia="sl-SI"/>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num w:numId="1" w16cid:durableId="354625021">
    <w:abstractNumId w:val="1"/>
  </w:num>
  <w:num w:numId="2" w16cid:durableId="1621492097">
    <w:abstractNumId w:val="1"/>
  </w:num>
  <w:num w:numId="3" w16cid:durableId="1929730672">
    <w:abstractNumId w:val="0"/>
  </w:num>
  <w:num w:numId="4" w16cid:durableId="965812588">
    <w:abstractNumId w:val="5"/>
  </w:num>
  <w:num w:numId="5" w16cid:durableId="1524249538">
    <w:abstractNumId w:val="7"/>
  </w:num>
  <w:num w:numId="6" w16cid:durableId="993681895">
    <w:abstractNumId w:val="3"/>
  </w:num>
  <w:num w:numId="7" w16cid:durableId="847600722">
    <w:abstractNumId w:val="21"/>
  </w:num>
  <w:num w:numId="8" w16cid:durableId="1386223300">
    <w:abstractNumId w:val="13"/>
  </w:num>
  <w:num w:numId="9" w16cid:durableId="1498231969">
    <w:abstractNumId w:val="4"/>
  </w:num>
  <w:num w:numId="10" w16cid:durableId="1876455470">
    <w:abstractNumId w:val="20"/>
  </w:num>
  <w:num w:numId="11" w16cid:durableId="212548798">
    <w:abstractNumId w:val="16"/>
  </w:num>
  <w:num w:numId="12" w16cid:durableId="1449422702">
    <w:abstractNumId w:val="14"/>
  </w:num>
  <w:num w:numId="13" w16cid:durableId="603197729">
    <w:abstractNumId w:val="19"/>
  </w:num>
  <w:num w:numId="14" w16cid:durableId="988753782">
    <w:abstractNumId w:val="8"/>
  </w:num>
  <w:num w:numId="15" w16cid:durableId="790899468">
    <w:abstractNumId w:val="11"/>
  </w:num>
  <w:num w:numId="16" w16cid:durableId="525675605">
    <w:abstractNumId w:val="9"/>
  </w:num>
  <w:num w:numId="17" w16cid:durableId="1773283867">
    <w:abstractNumId w:val="18"/>
  </w:num>
  <w:num w:numId="18" w16cid:durableId="41949460">
    <w:abstractNumId w:val="17"/>
  </w:num>
  <w:num w:numId="19" w16cid:durableId="13726054">
    <w:abstractNumId w:val="6"/>
  </w:num>
  <w:num w:numId="20" w16cid:durableId="2031802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2016711">
    <w:abstractNumId w:val="2"/>
  </w:num>
  <w:num w:numId="22" w16cid:durableId="527330498">
    <w:abstractNumId w:val="10"/>
  </w:num>
  <w:num w:numId="23" w16cid:durableId="7337040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58"/>
    <w:rsid w:val="000005E3"/>
    <w:rsid w:val="000009DA"/>
    <w:rsid w:val="00001B12"/>
    <w:rsid w:val="00001F86"/>
    <w:rsid w:val="0000361F"/>
    <w:rsid w:val="0000386D"/>
    <w:rsid w:val="00003DCE"/>
    <w:rsid w:val="00003DDD"/>
    <w:rsid w:val="00004027"/>
    <w:rsid w:val="0000545E"/>
    <w:rsid w:val="0000571D"/>
    <w:rsid w:val="00005CBE"/>
    <w:rsid w:val="00006F0B"/>
    <w:rsid w:val="00007DCC"/>
    <w:rsid w:val="00007DF0"/>
    <w:rsid w:val="00010B46"/>
    <w:rsid w:val="00010FC1"/>
    <w:rsid w:val="00011761"/>
    <w:rsid w:val="00011FB7"/>
    <w:rsid w:val="00012B84"/>
    <w:rsid w:val="00012C8C"/>
    <w:rsid w:val="0001328C"/>
    <w:rsid w:val="000136E0"/>
    <w:rsid w:val="0001383A"/>
    <w:rsid w:val="00013F7F"/>
    <w:rsid w:val="00014A6E"/>
    <w:rsid w:val="00014CDF"/>
    <w:rsid w:val="00015148"/>
    <w:rsid w:val="00015E04"/>
    <w:rsid w:val="00016409"/>
    <w:rsid w:val="000164C2"/>
    <w:rsid w:val="00016C35"/>
    <w:rsid w:val="00017479"/>
    <w:rsid w:val="00017DB7"/>
    <w:rsid w:val="000204E4"/>
    <w:rsid w:val="00020648"/>
    <w:rsid w:val="00020A05"/>
    <w:rsid w:val="00020C70"/>
    <w:rsid w:val="000211B4"/>
    <w:rsid w:val="000221C8"/>
    <w:rsid w:val="00022520"/>
    <w:rsid w:val="00022A38"/>
    <w:rsid w:val="0002388B"/>
    <w:rsid w:val="00023AB3"/>
    <w:rsid w:val="00023B9A"/>
    <w:rsid w:val="00024164"/>
    <w:rsid w:val="0002478D"/>
    <w:rsid w:val="000265F8"/>
    <w:rsid w:val="000268BE"/>
    <w:rsid w:val="00026906"/>
    <w:rsid w:val="00026EAE"/>
    <w:rsid w:val="000272B2"/>
    <w:rsid w:val="000273C2"/>
    <w:rsid w:val="000279DC"/>
    <w:rsid w:val="000303DB"/>
    <w:rsid w:val="000307D8"/>
    <w:rsid w:val="00030FB2"/>
    <w:rsid w:val="00031D6A"/>
    <w:rsid w:val="000324E2"/>
    <w:rsid w:val="000331EE"/>
    <w:rsid w:val="000336FA"/>
    <w:rsid w:val="00033E49"/>
    <w:rsid w:val="00033EE7"/>
    <w:rsid w:val="00034CED"/>
    <w:rsid w:val="00034E9D"/>
    <w:rsid w:val="00037932"/>
    <w:rsid w:val="00037EE8"/>
    <w:rsid w:val="000401E3"/>
    <w:rsid w:val="000404C0"/>
    <w:rsid w:val="00041722"/>
    <w:rsid w:val="000426B5"/>
    <w:rsid w:val="0004315C"/>
    <w:rsid w:val="00043FD4"/>
    <w:rsid w:val="000441D3"/>
    <w:rsid w:val="00044992"/>
    <w:rsid w:val="00045D57"/>
    <w:rsid w:val="00045E64"/>
    <w:rsid w:val="00046C71"/>
    <w:rsid w:val="0004712A"/>
    <w:rsid w:val="00047A2D"/>
    <w:rsid w:val="00050367"/>
    <w:rsid w:val="00050B0E"/>
    <w:rsid w:val="00051472"/>
    <w:rsid w:val="00051C10"/>
    <w:rsid w:val="00051F4B"/>
    <w:rsid w:val="00053387"/>
    <w:rsid w:val="00054387"/>
    <w:rsid w:val="0005483E"/>
    <w:rsid w:val="000557A2"/>
    <w:rsid w:val="000562DD"/>
    <w:rsid w:val="00056F49"/>
    <w:rsid w:val="0005761E"/>
    <w:rsid w:val="0005796F"/>
    <w:rsid w:val="00057BF8"/>
    <w:rsid w:val="00057DD9"/>
    <w:rsid w:val="00057DE3"/>
    <w:rsid w:val="00060110"/>
    <w:rsid w:val="000610A4"/>
    <w:rsid w:val="00062768"/>
    <w:rsid w:val="00062D58"/>
    <w:rsid w:val="00063BC2"/>
    <w:rsid w:val="00063D79"/>
    <w:rsid w:val="00063E2C"/>
    <w:rsid w:val="000645F3"/>
    <w:rsid w:val="0006584E"/>
    <w:rsid w:val="00065EA0"/>
    <w:rsid w:val="000662CD"/>
    <w:rsid w:val="00066C49"/>
    <w:rsid w:val="00066D2B"/>
    <w:rsid w:val="000704A0"/>
    <w:rsid w:val="000707ED"/>
    <w:rsid w:val="00071A13"/>
    <w:rsid w:val="000727CA"/>
    <w:rsid w:val="00073335"/>
    <w:rsid w:val="000743F6"/>
    <w:rsid w:val="00074A60"/>
    <w:rsid w:val="000764A4"/>
    <w:rsid w:val="00076D15"/>
    <w:rsid w:val="000771BE"/>
    <w:rsid w:val="0007791B"/>
    <w:rsid w:val="00077A80"/>
    <w:rsid w:val="0008013F"/>
    <w:rsid w:val="0008091E"/>
    <w:rsid w:val="0008223F"/>
    <w:rsid w:val="00082398"/>
    <w:rsid w:val="0008278D"/>
    <w:rsid w:val="00082E7E"/>
    <w:rsid w:val="000832EF"/>
    <w:rsid w:val="00083A81"/>
    <w:rsid w:val="00083FED"/>
    <w:rsid w:val="00084EDC"/>
    <w:rsid w:val="00084EFD"/>
    <w:rsid w:val="00084F93"/>
    <w:rsid w:val="0008508D"/>
    <w:rsid w:val="00085850"/>
    <w:rsid w:val="000858CD"/>
    <w:rsid w:val="000874CC"/>
    <w:rsid w:val="000911D9"/>
    <w:rsid w:val="000918AC"/>
    <w:rsid w:val="00091C9C"/>
    <w:rsid w:val="0009296A"/>
    <w:rsid w:val="00093AE0"/>
    <w:rsid w:val="00093FD6"/>
    <w:rsid w:val="00094103"/>
    <w:rsid w:val="0009478A"/>
    <w:rsid w:val="00095954"/>
    <w:rsid w:val="00095C26"/>
    <w:rsid w:val="00096A53"/>
    <w:rsid w:val="00096BCC"/>
    <w:rsid w:val="00096E10"/>
    <w:rsid w:val="000977FE"/>
    <w:rsid w:val="00097A81"/>
    <w:rsid w:val="00097C13"/>
    <w:rsid w:val="000A005A"/>
    <w:rsid w:val="000A01A6"/>
    <w:rsid w:val="000A0275"/>
    <w:rsid w:val="000A0556"/>
    <w:rsid w:val="000A0E8B"/>
    <w:rsid w:val="000A1C20"/>
    <w:rsid w:val="000A263D"/>
    <w:rsid w:val="000A2A6D"/>
    <w:rsid w:val="000A36A5"/>
    <w:rsid w:val="000A3D88"/>
    <w:rsid w:val="000A4184"/>
    <w:rsid w:val="000A43E5"/>
    <w:rsid w:val="000A4469"/>
    <w:rsid w:val="000A5087"/>
    <w:rsid w:val="000A5124"/>
    <w:rsid w:val="000A5BAE"/>
    <w:rsid w:val="000A626B"/>
    <w:rsid w:val="000A7FCE"/>
    <w:rsid w:val="000B0239"/>
    <w:rsid w:val="000B035F"/>
    <w:rsid w:val="000B059E"/>
    <w:rsid w:val="000B0E8F"/>
    <w:rsid w:val="000B1ED3"/>
    <w:rsid w:val="000B21A4"/>
    <w:rsid w:val="000B2536"/>
    <w:rsid w:val="000B2BB9"/>
    <w:rsid w:val="000B2C65"/>
    <w:rsid w:val="000B2F0D"/>
    <w:rsid w:val="000B31CA"/>
    <w:rsid w:val="000B52E7"/>
    <w:rsid w:val="000B5373"/>
    <w:rsid w:val="000B5639"/>
    <w:rsid w:val="000B64B8"/>
    <w:rsid w:val="000B6751"/>
    <w:rsid w:val="000B6A97"/>
    <w:rsid w:val="000B6F92"/>
    <w:rsid w:val="000B70AB"/>
    <w:rsid w:val="000B7211"/>
    <w:rsid w:val="000C00C9"/>
    <w:rsid w:val="000C080D"/>
    <w:rsid w:val="000C0926"/>
    <w:rsid w:val="000C15E5"/>
    <w:rsid w:val="000C1946"/>
    <w:rsid w:val="000C1EE9"/>
    <w:rsid w:val="000C2A7E"/>
    <w:rsid w:val="000C458E"/>
    <w:rsid w:val="000C4F75"/>
    <w:rsid w:val="000C6530"/>
    <w:rsid w:val="000C65CE"/>
    <w:rsid w:val="000C6D08"/>
    <w:rsid w:val="000C6F2E"/>
    <w:rsid w:val="000C7E7F"/>
    <w:rsid w:val="000D0254"/>
    <w:rsid w:val="000D02D7"/>
    <w:rsid w:val="000D0496"/>
    <w:rsid w:val="000D1510"/>
    <w:rsid w:val="000D25B3"/>
    <w:rsid w:val="000D2827"/>
    <w:rsid w:val="000D3004"/>
    <w:rsid w:val="000D3238"/>
    <w:rsid w:val="000D3BED"/>
    <w:rsid w:val="000D4622"/>
    <w:rsid w:val="000D4A8A"/>
    <w:rsid w:val="000D5F95"/>
    <w:rsid w:val="000D67D3"/>
    <w:rsid w:val="000D6AE0"/>
    <w:rsid w:val="000D6B7B"/>
    <w:rsid w:val="000D6F37"/>
    <w:rsid w:val="000E0460"/>
    <w:rsid w:val="000E0620"/>
    <w:rsid w:val="000E0728"/>
    <w:rsid w:val="000E09B0"/>
    <w:rsid w:val="000E1456"/>
    <w:rsid w:val="000E1E1D"/>
    <w:rsid w:val="000E2133"/>
    <w:rsid w:val="000E29F8"/>
    <w:rsid w:val="000E2B98"/>
    <w:rsid w:val="000E3058"/>
    <w:rsid w:val="000E3258"/>
    <w:rsid w:val="000E3299"/>
    <w:rsid w:val="000E4CDE"/>
    <w:rsid w:val="000E6F62"/>
    <w:rsid w:val="000E7653"/>
    <w:rsid w:val="000E7DB3"/>
    <w:rsid w:val="000F0315"/>
    <w:rsid w:val="000F0945"/>
    <w:rsid w:val="000F0DC5"/>
    <w:rsid w:val="000F0E1D"/>
    <w:rsid w:val="000F10D1"/>
    <w:rsid w:val="000F1763"/>
    <w:rsid w:val="000F1F97"/>
    <w:rsid w:val="000F21F3"/>
    <w:rsid w:val="000F305F"/>
    <w:rsid w:val="000F33C4"/>
    <w:rsid w:val="000F3EA2"/>
    <w:rsid w:val="000F4338"/>
    <w:rsid w:val="000F4D26"/>
    <w:rsid w:val="000F51AE"/>
    <w:rsid w:val="000F636D"/>
    <w:rsid w:val="000F63A2"/>
    <w:rsid w:val="000F6477"/>
    <w:rsid w:val="000F70E9"/>
    <w:rsid w:val="000F7A2C"/>
    <w:rsid w:val="000F7CB5"/>
    <w:rsid w:val="00100362"/>
    <w:rsid w:val="00100569"/>
    <w:rsid w:val="001005AB"/>
    <w:rsid w:val="00100D6C"/>
    <w:rsid w:val="00101EF3"/>
    <w:rsid w:val="00102DB5"/>
    <w:rsid w:val="00103581"/>
    <w:rsid w:val="00103818"/>
    <w:rsid w:val="00103C30"/>
    <w:rsid w:val="00103E11"/>
    <w:rsid w:val="00103E55"/>
    <w:rsid w:val="001041DA"/>
    <w:rsid w:val="00104A5F"/>
    <w:rsid w:val="00106987"/>
    <w:rsid w:val="00106CBC"/>
    <w:rsid w:val="00106D4F"/>
    <w:rsid w:val="001071BA"/>
    <w:rsid w:val="00107221"/>
    <w:rsid w:val="00107580"/>
    <w:rsid w:val="00107F11"/>
    <w:rsid w:val="0011029A"/>
    <w:rsid w:val="00110841"/>
    <w:rsid w:val="00110FFA"/>
    <w:rsid w:val="00111103"/>
    <w:rsid w:val="00111BA0"/>
    <w:rsid w:val="00111E05"/>
    <w:rsid w:val="00112012"/>
    <w:rsid w:val="0011285B"/>
    <w:rsid w:val="001133EA"/>
    <w:rsid w:val="0011371D"/>
    <w:rsid w:val="0011388B"/>
    <w:rsid w:val="00113B65"/>
    <w:rsid w:val="001141DD"/>
    <w:rsid w:val="00115D99"/>
    <w:rsid w:val="00116CD6"/>
    <w:rsid w:val="00117455"/>
    <w:rsid w:val="0012037D"/>
    <w:rsid w:val="001203FB"/>
    <w:rsid w:val="00120BEE"/>
    <w:rsid w:val="00120D5E"/>
    <w:rsid w:val="00120ECB"/>
    <w:rsid w:val="00120ED1"/>
    <w:rsid w:val="0012167C"/>
    <w:rsid w:val="00121961"/>
    <w:rsid w:val="00121FA4"/>
    <w:rsid w:val="00122BA3"/>
    <w:rsid w:val="00122CB6"/>
    <w:rsid w:val="00123727"/>
    <w:rsid w:val="00123A6A"/>
    <w:rsid w:val="00123B4D"/>
    <w:rsid w:val="001243B9"/>
    <w:rsid w:val="00124542"/>
    <w:rsid w:val="001254AC"/>
    <w:rsid w:val="00125870"/>
    <w:rsid w:val="001271F7"/>
    <w:rsid w:val="0012742D"/>
    <w:rsid w:val="00127D94"/>
    <w:rsid w:val="001300B3"/>
    <w:rsid w:val="00130900"/>
    <w:rsid w:val="00131C21"/>
    <w:rsid w:val="001336B5"/>
    <w:rsid w:val="0013381E"/>
    <w:rsid w:val="001343D2"/>
    <w:rsid w:val="00134712"/>
    <w:rsid w:val="001347CE"/>
    <w:rsid w:val="00134CAB"/>
    <w:rsid w:val="0013509E"/>
    <w:rsid w:val="00135C1C"/>
    <w:rsid w:val="00136572"/>
    <w:rsid w:val="00136B63"/>
    <w:rsid w:val="0013795E"/>
    <w:rsid w:val="00137B72"/>
    <w:rsid w:val="00140457"/>
    <w:rsid w:val="00140563"/>
    <w:rsid w:val="001406B1"/>
    <w:rsid w:val="00142568"/>
    <w:rsid w:val="0014438E"/>
    <w:rsid w:val="00145496"/>
    <w:rsid w:val="00146324"/>
    <w:rsid w:val="00147ABC"/>
    <w:rsid w:val="00147AD9"/>
    <w:rsid w:val="00147F0C"/>
    <w:rsid w:val="001509F8"/>
    <w:rsid w:val="00150D9D"/>
    <w:rsid w:val="00151209"/>
    <w:rsid w:val="00151884"/>
    <w:rsid w:val="00151C6E"/>
    <w:rsid w:val="00152CF2"/>
    <w:rsid w:val="00155020"/>
    <w:rsid w:val="0015512C"/>
    <w:rsid w:val="0015513E"/>
    <w:rsid w:val="001552E8"/>
    <w:rsid w:val="001556FA"/>
    <w:rsid w:val="00155C42"/>
    <w:rsid w:val="00155FDE"/>
    <w:rsid w:val="00157153"/>
    <w:rsid w:val="001571A4"/>
    <w:rsid w:val="001577C5"/>
    <w:rsid w:val="001606CF"/>
    <w:rsid w:val="00160DEC"/>
    <w:rsid w:val="001619BB"/>
    <w:rsid w:val="00161A2B"/>
    <w:rsid w:val="00162692"/>
    <w:rsid w:val="0016397C"/>
    <w:rsid w:val="00164C62"/>
    <w:rsid w:val="00164DBB"/>
    <w:rsid w:val="00164F64"/>
    <w:rsid w:val="001650AE"/>
    <w:rsid w:val="00166B49"/>
    <w:rsid w:val="00166E9A"/>
    <w:rsid w:val="00167820"/>
    <w:rsid w:val="001678CB"/>
    <w:rsid w:val="00167F27"/>
    <w:rsid w:val="001714E8"/>
    <w:rsid w:val="0017194A"/>
    <w:rsid w:val="00171F24"/>
    <w:rsid w:val="001731D6"/>
    <w:rsid w:val="001734B6"/>
    <w:rsid w:val="00173713"/>
    <w:rsid w:val="00173E07"/>
    <w:rsid w:val="00174142"/>
    <w:rsid w:val="0017477A"/>
    <w:rsid w:val="001748F6"/>
    <w:rsid w:val="001749D9"/>
    <w:rsid w:val="00174B80"/>
    <w:rsid w:val="00174D35"/>
    <w:rsid w:val="00174D7C"/>
    <w:rsid w:val="00175E88"/>
    <w:rsid w:val="00176112"/>
    <w:rsid w:val="0017636A"/>
    <w:rsid w:val="001771BC"/>
    <w:rsid w:val="00177455"/>
    <w:rsid w:val="00177EBD"/>
    <w:rsid w:val="001803EF"/>
    <w:rsid w:val="00182564"/>
    <w:rsid w:val="00182EBC"/>
    <w:rsid w:val="00183432"/>
    <w:rsid w:val="00183450"/>
    <w:rsid w:val="00183777"/>
    <w:rsid w:val="00183C9E"/>
    <w:rsid w:val="00183CF5"/>
    <w:rsid w:val="00183FF7"/>
    <w:rsid w:val="00184072"/>
    <w:rsid w:val="00184C43"/>
    <w:rsid w:val="00184E74"/>
    <w:rsid w:val="0018542F"/>
    <w:rsid w:val="001863BB"/>
    <w:rsid w:val="00186B8B"/>
    <w:rsid w:val="00186C86"/>
    <w:rsid w:val="00186D6C"/>
    <w:rsid w:val="001875A2"/>
    <w:rsid w:val="00187641"/>
    <w:rsid w:val="00187888"/>
    <w:rsid w:val="00190966"/>
    <w:rsid w:val="00192390"/>
    <w:rsid w:val="00192801"/>
    <w:rsid w:val="0019281D"/>
    <w:rsid w:val="00192999"/>
    <w:rsid w:val="00192AA1"/>
    <w:rsid w:val="00192E51"/>
    <w:rsid w:val="0019308A"/>
    <w:rsid w:val="00193131"/>
    <w:rsid w:val="0019331F"/>
    <w:rsid w:val="00193D76"/>
    <w:rsid w:val="00195336"/>
    <w:rsid w:val="00195856"/>
    <w:rsid w:val="00195AA4"/>
    <w:rsid w:val="00196026"/>
    <w:rsid w:val="001973AD"/>
    <w:rsid w:val="0019759E"/>
    <w:rsid w:val="00197CDF"/>
    <w:rsid w:val="00197F05"/>
    <w:rsid w:val="001A1436"/>
    <w:rsid w:val="001A15C1"/>
    <w:rsid w:val="001A247B"/>
    <w:rsid w:val="001A2959"/>
    <w:rsid w:val="001A450B"/>
    <w:rsid w:val="001A48F8"/>
    <w:rsid w:val="001A4B2F"/>
    <w:rsid w:val="001A585E"/>
    <w:rsid w:val="001A5A6C"/>
    <w:rsid w:val="001A6F37"/>
    <w:rsid w:val="001A720C"/>
    <w:rsid w:val="001A7920"/>
    <w:rsid w:val="001B09E0"/>
    <w:rsid w:val="001B0C21"/>
    <w:rsid w:val="001B27B3"/>
    <w:rsid w:val="001B399A"/>
    <w:rsid w:val="001B3E0B"/>
    <w:rsid w:val="001B41FF"/>
    <w:rsid w:val="001B53A0"/>
    <w:rsid w:val="001B641B"/>
    <w:rsid w:val="001B7B42"/>
    <w:rsid w:val="001B7C31"/>
    <w:rsid w:val="001B7ED7"/>
    <w:rsid w:val="001C114D"/>
    <w:rsid w:val="001C1196"/>
    <w:rsid w:val="001C1B74"/>
    <w:rsid w:val="001C2272"/>
    <w:rsid w:val="001C3005"/>
    <w:rsid w:val="001C3074"/>
    <w:rsid w:val="001C347C"/>
    <w:rsid w:val="001C4353"/>
    <w:rsid w:val="001C55C0"/>
    <w:rsid w:val="001C5BAF"/>
    <w:rsid w:val="001C5DCE"/>
    <w:rsid w:val="001D13D8"/>
    <w:rsid w:val="001D1B95"/>
    <w:rsid w:val="001D1ED7"/>
    <w:rsid w:val="001D2000"/>
    <w:rsid w:val="001D219C"/>
    <w:rsid w:val="001D2335"/>
    <w:rsid w:val="001D2D39"/>
    <w:rsid w:val="001D377E"/>
    <w:rsid w:val="001D4305"/>
    <w:rsid w:val="001D43C6"/>
    <w:rsid w:val="001D5173"/>
    <w:rsid w:val="001D692F"/>
    <w:rsid w:val="001D6D3D"/>
    <w:rsid w:val="001D6FA6"/>
    <w:rsid w:val="001D7A12"/>
    <w:rsid w:val="001E0E4B"/>
    <w:rsid w:val="001E1069"/>
    <w:rsid w:val="001E2A12"/>
    <w:rsid w:val="001E2BAF"/>
    <w:rsid w:val="001E2E8E"/>
    <w:rsid w:val="001E323D"/>
    <w:rsid w:val="001E3A14"/>
    <w:rsid w:val="001E3EE6"/>
    <w:rsid w:val="001E3FDE"/>
    <w:rsid w:val="001E46F6"/>
    <w:rsid w:val="001E4B6A"/>
    <w:rsid w:val="001E50CC"/>
    <w:rsid w:val="001E5555"/>
    <w:rsid w:val="001E5A7B"/>
    <w:rsid w:val="001E6227"/>
    <w:rsid w:val="001E68AC"/>
    <w:rsid w:val="001E69CA"/>
    <w:rsid w:val="001E70C3"/>
    <w:rsid w:val="001E7EFC"/>
    <w:rsid w:val="001F0295"/>
    <w:rsid w:val="001F0AFC"/>
    <w:rsid w:val="001F0C25"/>
    <w:rsid w:val="001F1418"/>
    <w:rsid w:val="001F1869"/>
    <w:rsid w:val="001F1A55"/>
    <w:rsid w:val="001F2873"/>
    <w:rsid w:val="001F2D1F"/>
    <w:rsid w:val="001F3AD9"/>
    <w:rsid w:val="001F3D75"/>
    <w:rsid w:val="001F4E58"/>
    <w:rsid w:val="001F569F"/>
    <w:rsid w:val="001F590F"/>
    <w:rsid w:val="001F59DE"/>
    <w:rsid w:val="001F5C83"/>
    <w:rsid w:val="001F6FB5"/>
    <w:rsid w:val="001F72F1"/>
    <w:rsid w:val="001F7AA7"/>
    <w:rsid w:val="001F7BE7"/>
    <w:rsid w:val="001F7CE1"/>
    <w:rsid w:val="001F7E36"/>
    <w:rsid w:val="001F7F2A"/>
    <w:rsid w:val="0020021E"/>
    <w:rsid w:val="0020025B"/>
    <w:rsid w:val="00200BD5"/>
    <w:rsid w:val="002019BE"/>
    <w:rsid w:val="00201DC2"/>
    <w:rsid w:val="00202470"/>
    <w:rsid w:val="00202C82"/>
    <w:rsid w:val="00203631"/>
    <w:rsid w:val="00203978"/>
    <w:rsid w:val="00203DB9"/>
    <w:rsid w:val="0020422C"/>
    <w:rsid w:val="00205491"/>
    <w:rsid w:val="002059D1"/>
    <w:rsid w:val="00206165"/>
    <w:rsid w:val="0020635D"/>
    <w:rsid w:val="00206C1C"/>
    <w:rsid w:val="00206EB3"/>
    <w:rsid w:val="00207B47"/>
    <w:rsid w:val="00207F8E"/>
    <w:rsid w:val="00210497"/>
    <w:rsid w:val="00210B00"/>
    <w:rsid w:val="00210C5A"/>
    <w:rsid w:val="00210C81"/>
    <w:rsid w:val="00211072"/>
    <w:rsid w:val="002110AD"/>
    <w:rsid w:val="002130CA"/>
    <w:rsid w:val="002146A9"/>
    <w:rsid w:val="0021549A"/>
    <w:rsid w:val="0021567C"/>
    <w:rsid w:val="00215719"/>
    <w:rsid w:val="00215CA2"/>
    <w:rsid w:val="00216F1E"/>
    <w:rsid w:val="0021725D"/>
    <w:rsid w:val="002175E0"/>
    <w:rsid w:val="002179D2"/>
    <w:rsid w:val="00217BAB"/>
    <w:rsid w:val="002200E1"/>
    <w:rsid w:val="0022023B"/>
    <w:rsid w:val="00220E70"/>
    <w:rsid w:val="00220F30"/>
    <w:rsid w:val="002215A7"/>
    <w:rsid w:val="00221B3D"/>
    <w:rsid w:val="00221F77"/>
    <w:rsid w:val="00222888"/>
    <w:rsid w:val="00223E23"/>
    <w:rsid w:val="0022449D"/>
    <w:rsid w:val="00224ADA"/>
    <w:rsid w:val="00224D88"/>
    <w:rsid w:val="00224F61"/>
    <w:rsid w:val="0022590D"/>
    <w:rsid w:val="00225AEA"/>
    <w:rsid w:val="0022610E"/>
    <w:rsid w:val="00226EAB"/>
    <w:rsid w:val="00227325"/>
    <w:rsid w:val="00230860"/>
    <w:rsid w:val="00230DA6"/>
    <w:rsid w:val="00230E62"/>
    <w:rsid w:val="002312E6"/>
    <w:rsid w:val="00231553"/>
    <w:rsid w:val="0023165A"/>
    <w:rsid w:val="00231F82"/>
    <w:rsid w:val="00232390"/>
    <w:rsid w:val="00232F83"/>
    <w:rsid w:val="002334A5"/>
    <w:rsid w:val="00233984"/>
    <w:rsid w:val="00233BED"/>
    <w:rsid w:val="002342A6"/>
    <w:rsid w:val="00234843"/>
    <w:rsid w:val="00234964"/>
    <w:rsid w:val="00234D0D"/>
    <w:rsid w:val="00234DEB"/>
    <w:rsid w:val="00234ED9"/>
    <w:rsid w:val="00236575"/>
    <w:rsid w:val="00236CCD"/>
    <w:rsid w:val="0023719C"/>
    <w:rsid w:val="00237DB5"/>
    <w:rsid w:val="00240D34"/>
    <w:rsid w:val="00240E49"/>
    <w:rsid w:val="00241AC4"/>
    <w:rsid w:val="0024218A"/>
    <w:rsid w:val="00242EED"/>
    <w:rsid w:val="00244C26"/>
    <w:rsid w:val="00245386"/>
    <w:rsid w:val="00245410"/>
    <w:rsid w:val="002456F9"/>
    <w:rsid w:val="00245B96"/>
    <w:rsid w:val="00246195"/>
    <w:rsid w:val="00246B7A"/>
    <w:rsid w:val="0024751A"/>
    <w:rsid w:val="002478B2"/>
    <w:rsid w:val="002479BE"/>
    <w:rsid w:val="00247D51"/>
    <w:rsid w:val="002502A4"/>
    <w:rsid w:val="00250495"/>
    <w:rsid w:val="00251712"/>
    <w:rsid w:val="00251F66"/>
    <w:rsid w:val="00252B75"/>
    <w:rsid w:val="002530C8"/>
    <w:rsid w:val="002530D5"/>
    <w:rsid w:val="00253677"/>
    <w:rsid w:val="0025443E"/>
    <w:rsid w:val="0025446E"/>
    <w:rsid w:val="00254681"/>
    <w:rsid w:val="00254C96"/>
    <w:rsid w:val="002553B8"/>
    <w:rsid w:val="002553F3"/>
    <w:rsid w:val="002555B1"/>
    <w:rsid w:val="0025572C"/>
    <w:rsid w:val="00255811"/>
    <w:rsid w:val="0025624B"/>
    <w:rsid w:val="002566E2"/>
    <w:rsid w:val="00257CCE"/>
    <w:rsid w:val="00261404"/>
    <w:rsid w:val="00261986"/>
    <w:rsid w:val="00263740"/>
    <w:rsid w:val="00263A32"/>
    <w:rsid w:val="002642E3"/>
    <w:rsid w:val="00264FCD"/>
    <w:rsid w:val="00265624"/>
    <w:rsid w:val="00265CFF"/>
    <w:rsid w:val="00265F70"/>
    <w:rsid w:val="00266843"/>
    <w:rsid w:val="0026772D"/>
    <w:rsid w:val="00267E8C"/>
    <w:rsid w:val="00270178"/>
    <w:rsid w:val="00270EF5"/>
    <w:rsid w:val="002714D4"/>
    <w:rsid w:val="00271D5D"/>
    <w:rsid w:val="00272AB0"/>
    <w:rsid w:val="00272B9C"/>
    <w:rsid w:val="00273324"/>
    <w:rsid w:val="00273662"/>
    <w:rsid w:val="00273E0A"/>
    <w:rsid w:val="0027552C"/>
    <w:rsid w:val="0027575A"/>
    <w:rsid w:val="002759EF"/>
    <w:rsid w:val="00275AF8"/>
    <w:rsid w:val="00276160"/>
    <w:rsid w:val="0027624E"/>
    <w:rsid w:val="0027639D"/>
    <w:rsid w:val="00276889"/>
    <w:rsid w:val="002771F1"/>
    <w:rsid w:val="00280149"/>
    <w:rsid w:val="00280706"/>
    <w:rsid w:val="00280791"/>
    <w:rsid w:val="00281B59"/>
    <w:rsid w:val="00281BF3"/>
    <w:rsid w:val="002831EB"/>
    <w:rsid w:val="00283370"/>
    <w:rsid w:val="002834AC"/>
    <w:rsid w:val="00283908"/>
    <w:rsid w:val="00283E26"/>
    <w:rsid w:val="00284EC8"/>
    <w:rsid w:val="002853AC"/>
    <w:rsid w:val="002854A0"/>
    <w:rsid w:val="00285E30"/>
    <w:rsid w:val="00285EE9"/>
    <w:rsid w:val="002867D6"/>
    <w:rsid w:val="00286D8B"/>
    <w:rsid w:val="00287489"/>
    <w:rsid w:val="002874F9"/>
    <w:rsid w:val="00287607"/>
    <w:rsid w:val="00287EE1"/>
    <w:rsid w:val="002900FE"/>
    <w:rsid w:val="002900FF"/>
    <w:rsid w:val="00290EF6"/>
    <w:rsid w:val="002919FF"/>
    <w:rsid w:val="00291C52"/>
    <w:rsid w:val="00291DEB"/>
    <w:rsid w:val="00291F70"/>
    <w:rsid w:val="00292A8B"/>
    <w:rsid w:val="00293D87"/>
    <w:rsid w:val="00295116"/>
    <w:rsid w:val="00296ED3"/>
    <w:rsid w:val="002970B6"/>
    <w:rsid w:val="002971C7"/>
    <w:rsid w:val="00297468"/>
    <w:rsid w:val="002976D2"/>
    <w:rsid w:val="00297C24"/>
    <w:rsid w:val="002A1019"/>
    <w:rsid w:val="002A1F32"/>
    <w:rsid w:val="002A257E"/>
    <w:rsid w:val="002A29DC"/>
    <w:rsid w:val="002A2B34"/>
    <w:rsid w:val="002A2D23"/>
    <w:rsid w:val="002A2FEC"/>
    <w:rsid w:val="002A3D77"/>
    <w:rsid w:val="002A4286"/>
    <w:rsid w:val="002A448C"/>
    <w:rsid w:val="002A449C"/>
    <w:rsid w:val="002A4789"/>
    <w:rsid w:val="002A47D0"/>
    <w:rsid w:val="002A4DCF"/>
    <w:rsid w:val="002A4F2E"/>
    <w:rsid w:val="002A5368"/>
    <w:rsid w:val="002A54F5"/>
    <w:rsid w:val="002A63BF"/>
    <w:rsid w:val="002A74B9"/>
    <w:rsid w:val="002A75CC"/>
    <w:rsid w:val="002A7732"/>
    <w:rsid w:val="002A7D53"/>
    <w:rsid w:val="002A7E33"/>
    <w:rsid w:val="002B1962"/>
    <w:rsid w:val="002B2574"/>
    <w:rsid w:val="002B35B7"/>
    <w:rsid w:val="002B3866"/>
    <w:rsid w:val="002B3B65"/>
    <w:rsid w:val="002B458B"/>
    <w:rsid w:val="002B4DCE"/>
    <w:rsid w:val="002B53B1"/>
    <w:rsid w:val="002B54C2"/>
    <w:rsid w:val="002B5EBF"/>
    <w:rsid w:val="002B60AF"/>
    <w:rsid w:val="002B6399"/>
    <w:rsid w:val="002B65CA"/>
    <w:rsid w:val="002B6755"/>
    <w:rsid w:val="002B6FB3"/>
    <w:rsid w:val="002B78E4"/>
    <w:rsid w:val="002B7AE3"/>
    <w:rsid w:val="002B7C50"/>
    <w:rsid w:val="002C04B7"/>
    <w:rsid w:val="002C0A2B"/>
    <w:rsid w:val="002C0D0E"/>
    <w:rsid w:val="002C114B"/>
    <w:rsid w:val="002C2433"/>
    <w:rsid w:val="002C2557"/>
    <w:rsid w:val="002C36C7"/>
    <w:rsid w:val="002C3814"/>
    <w:rsid w:val="002C416F"/>
    <w:rsid w:val="002C4227"/>
    <w:rsid w:val="002C4C3B"/>
    <w:rsid w:val="002C5326"/>
    <w:rsid w:val="002C5652"/>
    <w:rsid w:val="002C58C2"/>
    <w:rsid w:val="002C5A0A"/>
    <w:rsid w:val="002C5D03"/>
    <w:rsid w:val="002C6E93"/>
    <w:rsid w:val="002D012D"/>
    <w:rsid w:val="002D1710"/>
    <w:rsid w:val="002D19A0"/>
    <w:rsid w:val="002D19F4"/>
    <w:rsid w:val="002D2B42"/>
    <w:rsid w:val="002D373D"/>
    <w:rsid w:val="002D3F7F"/>
    <w:rsid w:val="002D476F"/>
    <w:rsid w:val="002D48C9"/>
    <w:rsid w:val="002D4D54"/>
    <w:rsid w:val="002D512D"/>
    <w:rsid w:val="002D650A"/>
    <w:rsid w:val="002D7513"/>
    <w:rsid w:val="002D7519"/>
    <w:rsid w:val="002E0EFD"/>
    <w:rsid w:val="002E161A"/>
    <w:rsid w:val="002E2957"/>
    <w:rsid w:val="002E2C53"/>
    <w:rsid w:val="002E3CDC"/>
    <w:rsid w:val="002E4429"/>
    <w:rsid w:val="002E4933"/>
    <w:rsid w:val="002E4A58"/>
    <w:rsid w:val="002E56F9"/>
    <w:rsid w:val="002E62E0"/>
    <w:rsid w:val="002E70F5"/>
    <w:rsid w:val="002E76FD"/>
    <w:rsid w:val="002E7875"/>
    <w:rsid w:val="002F32FF"/>
    <w:rsid w:val="002F33C8"/>
    <w:rsid w:val="002F35B9"/>
    <w:rsid w:val="002F398D"/>
    <w:rsid w:val="002F49F0"/>
    <w:rsid w:val="002F4A6D"/>
    <w:rsid w:val="002F4BAD"/>
    <w:rsid w:val="002F50A6"/>
    <w:rsid w:val="002F51E4"/>
    <w:rsid w:val="002F5E65"/>
    <w:rsid w:val="002F64F4"/>
    <w:rsid w:val="002F6F7A"/>
    <w:rsid w:val="002F70C8"/>
    <w:rsid w:val="002F7E02"/>
    <w:rsid w:val="0030098A"/>
    <w:rsid w:val="003014F4"/>
    <w:rsid w:val="00301877"/>
    <w:rsid w:val="00301A66"/>
    <w:rsid w:val="00302975"/>
    <w:rsid w:val="003034DB"/>
    <w:rsid w:val="00303B64"/>
    <w:rsid w:val="00303BC1"/>
    <w:rsid w:val="00303EE6"/>
    <w:rsid w:val="003044DB"/>
    <w:rsid w:val="003052F6"/>
    <w:rsid w:val="00305354"/>
    <w:rsid w:val="00305939"/>
    <w:rsid w:val="00305C44"/>
    <w:rsid w:val="00305EB4"/>
    <w:rsid w:val="00306DBB"/>
    <w:rsid w:val="00310433"/>
    <w:rsid w:val="003112E9"/>
    <w:rsid w:val="00312094"/>
    <w:rsid w:val="003120FE"/>
    <w:rsid w:val="003123F5"/>
    <w:rsid w:val="00314DAE"/>
    <w:rsid w:val="0031520E"/>
    <w:rsid w:val="00315973"/>
    <w:rsid w:val="0031661F"/>
    <w:rsid w:val="003167BD"/>
    <w:rsid w:val="00316ACF"/>
    <w:rsid w:val="00317474"/>
    <w:rsid w:val="003202FB"/>
    <w:rsid w:val="00320C96"/>
    <w:rsid w:val="00322079"/>
    <w:rsid w:val="00323049"/>
    <w:rsid w:val="00325283"/>
    <w:rsid w:val="00325E6E"/>
    <w:rsid w:val="003268F2"/>
    <w:rsid w:val="003269F5"/>
    <w:rsid w:val="00326CCE"/>
    <w:rsid w:val="003272D0"/>
    <w:rsid w:val="00327C42"/>
    <w:rsid w:val="00327CE5"/>
    <w:rsid w:val="00327F50"/>
    <w:rsid w:val="00327F74"/>
    <w:rsid w:val="00331BF9"/>
    <w:rsid w:val="00331C4D"/>
    <w:rsid w:val="003323A4"/>
    <w:rsid w:val="00332A84"/>
    <w:rsid w:val="003335BD"/>
    <w:rsid w:val="003340D2"/>
    <w:rsid w:val="003367F2"/>
    <w:rsid w:val="00337F56"/>
    <w:rsid w:val="0034042E"/>
    <w:rsid w:val="0034084B"/>
    <w:rsid w:val="0034121B"/>
    <w:rsid w:val="00341DBD"/>
    <w:rsid w:val="00341E14"/>
    <w:rsid w:val="00341F4C"/>
    <w:rsid w:val="00342156"/>
    <w:rsid w:val="00343493"/>
    <w:rsid w:val="00343770"/>
    <w:rsid w:val="003450D3"/>
    <w:rsid w:val="0034534B"/>
    <w:rsid w:val="003457FA"/>
    <w:rsid w:val="0034625D"/>
    <w:rsid w:val="003474B3"/>
    <w:rsid w:val="00347A31"/>
    <w:rsid w:val="0035145B"/>
    <w:rsid w:val="00351A4C"/>
    <w:rsid w:val="003522BE"/>
    <w:rsid w:val="00352E51"/>
    <w:rsid w:val="0035407C"/>
    <w:rsid w:val="00354F47"/>
    <w:rsid w:val="0035532D"/>
    <w:rsid w:val="0035570A"/>
    <w:rsid w:val="0035579A"/>
    <w:rsid w:val="00355A95"/>
    <w:rsid w:val="00355D72"/>
    <w:rsid w:val="003562DA"/>
    <w:rsid w:val="00356585"/>
    <w:rsid w:val="00357C84"/>
    <w:rsid w:val="00357DA9"/>
    <w:rsid w:val="00360694"/>
    <w:rsid w:val="00360B21"/>
    <w:rsid w:val="003612E1"/>
    <w:rsid w:val="00361AFA"/>
    <w:rsid w:val="00361F5F"/>
    <w:rsid w:val="0036203D"/>
    <w:rsid w:val="00362873"/>
    <w:rsid w:val="00362A22"/>
    <w:rsid w:val="00363611"/>
    <w:rsid w:val="00364CD2"/>
    <w:rsid w:val="00365E8E"/>
    <w:rsid w:val="00365E93"/>
    <w:rsid w:val="003661AA"/>
    <w:rsid w:val="00366FB7"/>
    <w:rsid w:val="00370978"/>
    <w:rsid w:val="00370C8F"/>
    <w:rsid w:val="003714AD"/>
    <w:rsid w:val="00371B95"/>
    <w:rsid w:val="00372616"/>
    <w:rsid w:val="00372C81"/>
    <w:rsid w:val="003739CC"/>
    <w:rsid w:val="00373B21"/>
    <w:rsid w:val="00373C9F"/>
    <w:rsid w:val="00373E64"/>
    <w:rsid w:val="003748CE"/>
    <w:rsid w:val="00374A38"/>
    <w:rsid w:val="00374E70"/>
    <w:rsid w:val="00375DCF"/>
    <w:rsid w:val="00376D55"/>
    <w:rsid w:val="00376E20"/>
    <w:rsid w:val="00377796"/>
    <w:rsid w:val="00377BF5"/>
    <w:rsid w:val="003800F6"/>
    <w:rsid w:val="00380BDC"/>
    <w:rsid w:val="003826F2"/>
    <w:rsid w:val="0038345E"/>
    <w:rsid w:val="00383511"/>
    <w:rsid w:val="0038398E"/>
    <w:rsid w:val="003845DA"/>
    <w:rsid w:val="00384A2F"/>
    <w:rsid w:val="00386782"/>
    <w:rsid w:val="00387480"/>
    <w:rsid w:val="0038785A"/>
    <w:rsid w:val="003904EE"/>
    <w:rsid w:val="00390CCC"/>
    <w:rsid w:val="003913BD"/>
    <w:rsid w:val="00392B84"/>
    <w:rsid w:val="00393579"/>
    <w:rsid w:val="00393807"/>
    <w:rsid w:val="00393B31"/>
    <w:rsid w:val="00394056"/>
    <w:rsid w:val="00394242"/>
    <w:rsid w:val="003950C8"/>
    <w:rsid w:val="00395199"/>
    <w:rsid w:val="003953F0"/>
    <w:rsid w:val="0039553E"/>
    <w:rsid w:val="00395592"/>
    <w:rsid w:val="003960B8"/>
    <w:rsid w:val="00396375"/>
    <w:rsid w:val="0039671B"/>
    <w:rsid w:val="0039673A"/>
    <w:rsid w:val="00396A5C"/>
    <w:rsid w:val="00396CA1"/>
    <w:rsid w:val="00397140"/>
    <w:rsid w:val="003A06F9"/>
    <w:rsid w:val="003A0BB4"/>
    <w:rsid w:val="003A28DC"/>
    <w:rsid w:val="003A2988"/>
    <w:rsid w:val="003A2D22"/>
    <w:rsid w:val="003A2E32"/>
    <w:rsid w:val="003A2E5D"/>
    <w:rsid w:val="003A39EE"/>
    <w:rsid w:val="003A47FA"/>
    <w:rsid w:val="003A483F"/>
    <w:rsid w:val="003A498A"/>
    <w:rsid w:val="003A4F1F"/>
    <w:rsid w:val="003A58E9"/>
    <w:rsid w:val="003A6172"/>
    <w:rsid w:val="003A648B"/>
    <w:rsid w:val="003A7BD9"/>
    <w:rsid w:val="003B01E3"/>
    <w:rsid w:val="003B0AD2"/>
    <w:rsid w:val="003B114E"/>
    <w:rsid w:val="003B143A"/>
    <w:rsid w:val="003B1535"/>
    <w:rsid w:val="003B2598"/>
    <w:rsid w:val="003B30A2"/>
    <w:rsid w:val="003B3CCC"/>
    <w:rsid w:val="003B40A3"/>
    <w:rsid w:val="003B41A5"/>
    <w:rsid w:val="003B50B9"/>
    <w:rsid w:val="003B5436"/>
    <w:rsid w:val="003B59C6"/>
    <w:rsid w:val="003B60DD"/>
    <w:rsid w:val="003B60FC"/>
    <w:rsid w:val="003B656F"/>
    <w:rsid w:val="003B675F"/>
    <w:rsid w:val="003B6CDD"/>
    <w:rsid w:val="003C06F9"/>
    <w:rsid w:val="003C0DE2"/>
    <w:rsid w:val="003C0E92"/>
    <w:rsid w:val="003C1D51"/>
    <w:rsid w:val="003C1F89"/>
    <w:rsid w:val="003C2110"/>
    <w:rsid w:val="003C2F23"/>
    <w:rsid w:val="003C3A01"/>
    <w:rsid w:val="003C3FAA"/>
    <w:rsid w:val="003C6645"/>
    <w:rsid w:val="003C6CF6"/>
    <w:rsid w:val="003C6D29"/>
    <w:rsid w:val="003D0CD2"/>
    <w:rsid w:val="003D0F6E"/>
    <w:rsid w:val="003D150C"/>
    <w:rsid w:val="003D1BC2"/>
    <w:rsid w:val="003D1EB2"/>
    <w:rsid w:val="003D203A"/>
    <w:rsid w:val="003D21D6"/>
    <w:rsid w:val="003D225D"/>
    <w:rsid w:val="003D2B5A"/>
    <w:rsid w:val="003D39F2"/>
    <w:rsid w:val="003D462A"/>
    <w:rsid w:val="003D46AC"/>
    <w:rsid w:val="003D484B"/>
    <w:rsid w:val="003D4949"/>
    <w:rsid w:val="003D5A19"/>
    <w:rsid w:val="003D5BBA"/>
    <w:rsid w:val="003D696B"/>
    <w:rsid w:val="003D76A5"/>
    <w:rsid w:val="003D781A"/>
    <w:rsid w:val="003D7B5D"/>
    <w:rsid w:val="003D7EC3"/>
    <w:rsid w:val="003E0026"/>
    <w:rsid w:val="003E095E"/>
    <w:rsid w:val="003E129C"/>
    <w:rsid w:val="003E174D"/>
    <w:rsid w:val="003E28B0"/>
    <w:rsid w:val="003E3492"/>
    <w:rsid w:val="003E3975"/>
    <w:rsid w:val="003E3F72"/>
    <w:rsid w:val="003E3FC0"/>
    <w:rsid w:val="003E4284"/>
    <w:rsid w:val="003E4413"/>
    <w:rsid w:val="003E54F3"/>
    <w:rsid w:val="003E6117"/>
    <w:rsid w:val="003E794C"/>
    <w:rsid w:val="003F05C8"/>
    <w:rsid w:val="003F094F"/>
    <w:rsid w:val="003F23A7"/>
    <w:rsid w:val="003F2502"/>
    <w:rsid w:val="003F2BD8"/>
    <w:rsid w:val="003F313D"/>
    <w:rsid w:val="003F3379"/>
    <w:rsid w:val="003F39DE"/>
    <w:rsid w:val="003F3D34"/>
    <w:rsid w:val="003F3D57"/>
    <w:rsid w:val="003F4067"/>
    <w:rsid w:val="003F4840"/>
    <w:rsid w:val="003F4B31"/>
    <w:rsid w:val="003F4CF2"/>
    <w:rsid w:val="003F5274"/>
    <w:rsid w:val="003F59C1"/>
    <w:rsid w:val="003F6BDE"/>
    <w:rsid w:val="003F6D32"/>
    <w:rsid w:val="003F766B"/>
    <w:rsid w:val="003F7FF3"/>
    <w:rsid w:val="0040080C"/>
    <w:rsid w:val="00400C3F"/>
    <w:rsid w:val="00400DB8"/>
    <w:rsid w:val="00400DC5"/>
    <w:rsid w:val="00401057"/>
    <w:rsid w:val="00401505"/>
    <w:rsid w:val="00402955"/>
    <w:rsid w:val="004036F9"/>
    <w:rsid w:val="00403773"/>
    <w:rsid w:val="00403775"/>
    <w:rsid w:val="00404434"/>
    <w:rsid w:val="00404CC8"/>
    <w:rsid w:val="0040537C"/>
    <w:rsid w:val="00406540"/>
    <w:rsid w:val="00406FD5"/>
    <w:rsid w:val="00407364"/>
    <w:rsid w:val="004076D4"/>
    <w:rsid w:val="00407A38"/>
    <w:rsid w:val="00410A16"/>
    <w:rsid w:val="00410A78"/>
    <w:rsid w:val="00410C80"/>
    <w:rsid w:val="00410DC1"/>
    <w:rsid w:val="0041145C"/>
    <w:rsid w:val="00411E2C"/>
    <w:rsid w:val="00411F5F"/>
    <w:rsid w:val="00412332"/>
    <w:rsid w:val="004131FD"/>
    <w:rsid w:val="00413697"/>
    <w:rsid w:val="00413D60"/>
    <w:rsid w:val="00413DD8"/>
    <w:rsid w:val="004149D3"/>
    <w:rsid w:val="004156F7"/>
    <w:rsid w:val="00415954"/>
    <w:rsid w:val="00416ECC"/>
    <w:rsid w:val="004173D0"/>
    <w:rsid w:val="004176BF"/>
    <w:rsid w:val="00417B6C"/>
    <w:rsid w:val="00417C68"/>
    <w:rsid w:val="00417E96"/>
    <w:rsid w:val="0042026A"/>
    <w:rsid w:val="004203C0"/>
    <w:rsid w:val="00420AC1"/>
    <w:rsid w:val="004210C2"/>
    <w:rsid w:val="00421114"/>
    <w:rsid w:val="00422179"/>
    <w:rsid w:val="00422D07"/>
    <w:rsid w:val="004238B0"/>
    <w:rsid w:val="00423D5C"/>
    <w:rsid w:val="00423FE4"/>
    <w:rsid w:val="004241B4"/>
    <w:rsid w:val="0042424C"/>
    <w:rsid w:val="00424274"/>
    <w:rsid w:val="00424A7E"/>
    <w:rsid w:val="0042502E"/>
    <w:rsid w:val="004255B0"/>
    <w:rsid w:val="0042591A"/>
    <w:rsid w:val="00425ADB"/>
    <w:rsid w:val="0042613F"/>
    <w:rsid w:val="0042770D"/>
    <w:rsid w:val="004301D0"/>
    <w:rsid w:val="004302B0"/>
    <w:rsid w:val="0043046A"/>
    <w:rsid w:val="0043115A"/>
    <w:rsid w:val="00431245"/>
    <w:rsid w:val="0043124F"/>
    <w:rsid w:val="00431B3C"/>
    <w:rsid w:val="0043252A"/>
    <w:rsid w:val="004329F8"/>
    <w:rsid w:val="00432C50"/>
    <w:rsid w:val="00433F76"/>
    <w:rsid w:val="00434905"/>
    <w:rsid w:val="004352D3"/>
    <w:rsid w:val="00435608"/>
    <w:rsid w:val="00435C84"/>
    <w:rsid w:val="0043687A"/>
    <w:rsid w:val="004368E7"/>
    <w:rsid w:val="00436A16"/>
    <w:rsid w:val="00436B75"/>
    <w:rsid w:val="00436D12"/>
    <w:rsid w:val="00436D4D"/>
    <w:rsid w:val="00437268"/>
    <w:rsid w:val="00437E89"/>
    <w:rsid w:val="00437F60"/>
    <w:rsid w:val="004401AC"/>
    <w:rsid w:val="004402B3"/>
    <w:rsid w:val="00440360"/>
    <w:rsid w:val="004408C9"/>
    <w:rsid w:val="00440EC1"/>
    <w:rsid w:val="004412D9"/>
    <w:rsid w:val="00441C3F"/>
    <w:rsid w:val="00443184"/>
    <w:rsid w:val="00444441"/>
    <w:rsid w:val="004444DB"/>
    <w:rsid w:val="004445DD"/>
    <w:rsid w:val="00444E68"/>
    <w:rsid w:val="004450A3"/>
    <w:rsid w:val="004460F2"/>
    <w:rsid w:val="004468B0"/>
    <w:rsid w:val="00446A4A"/>
    <w:rsid w:val="0044776A"/>
    <w:rsid w:val="00447E8C"/>
    <w:rsid w:val="004508D3"/>
    <w:rsid w:val="00450BB2"/>
    <w:rsid w:val="00450FE6"/>
    <w:rsid w:val="00451BA1"/>
    <w:rsid w:val="00451D7B"/>
    <w:rsid w:val="00451F4E"/>
    <w:rsid w:val="00452142"/>
    <w:rsid w:val="00452895"/>
    <w:rsid w:val="00452970"/>
    <w:rsid w:val="004540ED"/>
    <w:rsid w:val="004541CB"/>
    <w:rsid w:val="004550C3"/>
    <w:rsid w:val="0045665B"/>
    <w:rsid w:val="0045666A"/>
    <w:rsid w:val="00456876"/>
    <w:rsid w:val="0045695C"/>
    <w:rsid w:val="004570E2"/>
    <w:rsid w:val="0045773A"/>
    <w:rsid w:val="0046195D"/>
    <w:rsid w:val="00461963"/>
    <w:rsid w:val="00461A0B"/>
    <w:rsid w:val="00461CC1"/>
    <w:rsid w:val="00461DCB"/>
    <w:rsid w:val="004627F8"/>
    <w:rsid w:val="00462D07"/>
    <w:rsid w:val="00462D23"/>
    <w:rsid w:val="004630D0"/>
    <w:rsid w:val="00463DFE"/>
    <w:rsid w:val="004658EB"/>
    <w:rsid w:val="00465A5A"/>
    <w:rsid w:val="00465CA5"/>
    <w:rsid w:val="00465CB2"/>
    <w:rsid w:val="00466EE5"/>
    <w:rsid w:val="00466F4B"/>
    <w:rsid w:val="0046766B"/>
    <w:rsid w:val="00467EF2"/>
    <w:rsid w:val="00470909"/>
    <w:rsid w:val="00471AFD"/>
    <w:rsid w:val="00472295"/>
    <w:rsid w:val="004728C7"/>
    <w:rsid w:val="004728ED"/>
    <w:rsid w:val="00472BE5"/>
    <w:rsid w:val="00473124"/>
    <w:rsid w:val="00473657"/>
    <w:rsid w:val="00473AD2"/>
    <w:rsid w:val="00475AFD"/>
    <w:rsid w:val="004768B7"/>
    <w:rsid w:val="00476E96"/>
    <w:rsid w:val="00477859"/>
    <w:rsid w:val="00477C7F"/>
    <w:rsid w:val="0048073F"/>
    <w:rsid w:val="00480AE2"/>
    <w:rsid w:val="00481084"/>
    <w:rsid w:val="004812B7"/>
    <w:rsid w:val="00481BAF"/>
    <w:rsid w:val="00482F39"/>
    <w:rsid w:val="00483912"/>
    <w:rsid w:val="00483969"/>
    <w:rsid w:val="00483B6A"/>
    <w:rsid w:val="00483CFB"/>
    <w:rsid w:val="0048437D"/>
    <w:rsid w:val="004845A0"/>
    <w:rsid w:val="00484873"/>
    <w:rsid w:val="00486770"/>
    <w:rsid w:val="004867E3"/>
    <w:rsid w:val="0048681D"/>
    <w:rsid w:val="0048703B"/>
    <w:rsid w:val="00487171"/>
    <w:rsid w:val="004875EF"/>
    <w:rsid w:val="00487723"/>
    <w:rsid w:val="00487B07"/>
    <w:rsid w:val="00487C86"/>
    <w:rsid w:val="00487FE7"/>
    <w:rsid w:val="004906AB"/>
    <w:rsid w:val="00490A6D"/>
    <w:rsid w:val="004910D1"/>
    <w:rsid w:val="004927E2"/>
    <w:rsid w:val="00492A59"/>
    <w:rsid w:val="00492F5C"/>
    <w:rsid w:val="00494F05"/>
    <w:rsid w:val="00495659"/>
    <w:rsid w:val="004959F6"/>
    <w:rsid w:val="00497947"/>
    <w:rsid w:val="004979F7"/>
    <w:rsid w:val="00497FE9"/>
    <w:rsid w:val="004A0512"/>
    <w:rsid w:val="004A055C"/>
    <w:rsid w:val="004A06ED"/>
    <w:rsid w:val="004A0834"/>
    <w:rsid w:val="004A0CA5"/>
    <w:rsid w:val="004A1135"/>
    <w:rsid w:val="004A12BE"/>
    <w:rsid w:val="004A16DC"/>
    <w:rsid w:val="004A1C27"/>
    <w:rsid w:val="004A1FF3"/>
    <w:rsid w:val="004A220E"/>
    <w:rsid w:val="004A23C6"/>
    <w:rsid w:val="004A2A62"/>
    <w:rsid w:val="004A2D00"/>
    <w:rsid w:val="004A3772"/>
    <w:rsid w:val="004A3BAF"/>
    <w:rsid w:val="004A46A4"/>
    <w:rsid w:val="004A4DB6"/>
    <w:rsid w:val="004A4EE9"/>
    <w:rsid w:val="004A55D7"/>
    <w:rsid w:val="004A58FC"/>
    <w:rsid w:val="004A6B16"/>
    <w:rsid w:val="004A7E50"/>
    <w:rsid w:val="004B09D0"/>
    <w:rsid w:val="004B15A2"/>
    <w:rsid w:val="004B1762"/>
    <w:rsid w:val="004B187B"/>
    <w:rsid w:val="004B208D"/>
    <w:rsid w:val="004B27B7"/>
    <w:rsid w:val="004B2FA9"/>
    <w:rsid w:val="004B2FE9"/>
    <w:rsid w:val="004B3395"/>
    <w:rsid w:val="004B36E3"/>
    <w:rsid w:val="004B3CE8"/>
    <w:rsid w:val="004B4425"/>
    <w:rsid w:val="004B454F"/>
    <w:rsid w:val="004B4564"/>
    <w:rsid w:val="004B46BF"/>
    <w:rsid w:val="004B4EB5"/>
    <w:rsid w:val="004B5195"/>
    <w:rsid w:val="004B5536"/>
    <w:rsid w:val="004B61B3"/>
    <w:rsid w:val="004B64E4"/>
    <w:rsid w:val="004B71D3"/>
    <w:rsid w:val="004B7A30"/>
    <w:rsid w:val="004C05A4"/>
    <w:rsid w:val="004C087D"/>
    <w:rsid w:val="004C10AD"/>
    <w:rsid w:val="004C177C"/>
    <w:rsid w:val="004C2B54"/>
    <w:rsid w:val="004C2BA2"/>
    <w:rsid w:val="004C300D"/>
    <w:rsid w:val="004C31BC"/>
    <w:rsid w:val="004C33F0"/>
    <w:rsid w:val="004C4123"/>
    <w:rsid w:val="004C4348"/>
    <w:rsid w:val="004C550E"/>
    <w:rsid w:val="004C5CA2"/>
    <w:rsid w:val="004C5F74"/>
    <w:rsid w:val="004C62E8"/>
    <w:rsid w:val="004C6491"/>
    <w:rsid w:val="004C6C1B"/>
    <w:rsid w:val="004C6D82"/>
    <w:rsid w:val="004C7A9F"/>
    <w:rsid w:val="004D0D5E"/>
    <w:rsid w:val="004D36BF"/>
    <w:rsid w:val="004D38B1"/>
    <w:rsid w:val="004D3B59"/>
    <w:rsid w:val="004D3DF8"/>
    <w:rsid w:val="004D5955"/>
    <w:rsid w:val="004D6EE9"/>
    <w:rsid w:val="004D754A"/>
    <w:rsid w:val="004E014D"/>
    <w:rsid w:val="004E0A9F"/>
    <w:rsid w:val="004E188E"/>
    <w:rsid w:val="004E1C63"/>
    <w:rsid w:val="004E2467"/>
    <w:rsid w:val="004E2A1E"/>
    <w:rsid w:val="004E3462"/>
    <w:rsid w:val="004E368F"/>
    <w:rsid w:val="004E3784"/>
    <w:rsid w:val="004E3A8A"/>
    <w:rsid w:val="004E3F2A"/>
    <w:rsid w:val="004E4069"/>
    <w:rsid w:val="004E5361"/>
    <w:rsid w:val="004E5A21"/>
    <w:rsid w:val="004E6166"/>
    <w:rsid w:val="004E649C"/>
    <w:rsid w:val="004E6CEC"/>
    <w:rsid w:val="004E6D61"/>
    <w:rsid w:val="004E6FF8"/>
    <w:rsid w:val="004E70C2"/>
    <w:rsid w:val="004E7B99"/>
    <w:rsid w:val="004E7BD2"/>
    <w:rsid w:val="004F1195"/>
    <w:rsid w:val="004F1481"/>
    <w:rsid w:val="004F2269"/>
    <w:rsid w:val="004F25CB"/>
    <w:rsid w:val="004F2AD3"/>
    <w:rsid w:val="004F3080"/>
    <w:rsid w:val="004F46B2"/>
    <w:rsid w:val="004F4AE0"/>
    <w:rsid w:val="004F5164"/>
    <w:rsid w:val="004F52C6"/>
    <w:rsid w:val="004F5597"/>
    <w:rsid w:val="004F5C9A"/>
    <w:rsid w:val="004F5E15"/>
    <w:rsid w:val="004F5EC5"/>
    <w:rsid w:val="004F666B"/>
    <w:rsid w:val="004F778E"/>
    <w:rsid w:val="004F7D0A"/>
    <w:rsid w:val="005006FB"/>
    <w:rsid w:val="0050149E"/>
    <w:rsid w:val="00501647"/>
    <w:rsid w:val="00501830"/>
    <w:rsid w:val="00501D8A"/>
    <w:rsid w:val="00502C75"/>
    <w:rsid w:val="0050375E"/>
    <w:rsid w:val="0050406F"/>
    <w:rsid w:val="0050414F"/>
    <w:rsid w:val="005055EE"/>
    <w:rsid w:val="00505D23"/>
    <w:rsid w:val="005068DB"/>
    <w:rsid w:val="00506A97"/>
    <w:rsid w:val="005075C2"/>
    <w:rsid w:val="005078CD"/>
    <w:rsid w:val="0050790E"/>
    <w:rsid w:val="005100C0"/>
    <w:rsid w:val="0051031F"/>
    <w:rsid w:val="00510358"/>
    <w:rsid w:val="00510366"/>
    <w:rsid w:val="0051056D"/>
    <w:rsid w:val="00510B14"/>
    <w:rsid w:val="0051169C"/>
    <w:rsid w:val="00512194"/>
    <w:rsid w:val="005127C4"/>
    <w:rsid w:val="00512D98"/>
    <w:rsid w:val="005131D5"/>
    <w:rsid w:val="005142A5"/>
    <w:rsid w:val="00514425"/>
    <w:rsid w:val="005145AA"/>
    <w:rsid w:val="00514E19"/>
    <w:rsid w:val="0051537E"/>
    <w:rsid w:val="005154BA"/>
    <w:rsid w:val="00515A8C"/>
    <w:rsid w:val="00515BC3"/>
    <w:rsid w:val="005167D6"/>
    <w:rsid w:val="0051684F"/>
    <w:rsid w:val="00516A75"/>
    <w:rsid w:val="00516AB0"/>
    <w:rsid w:val="00516B81"/>
    <w:rsid w:val="0051767E"/>
    <w:rsid w:val="005201BE"/>
    <w:rsid w:val="00520A35"/>
    <w:rsid w:val="005217A7"/>
    <w:rsid w:val="00521D69"/>
    <w:rsid w:val="00521FFE"/>
    <w:rsid w:val="00522C7D"/>
    <w:rsid w:val="00523C44"/>
    <w:rsid w:val="00523E39"/>
    <w:rsid w:val="005253DC"/>
    <w:rsid w:val="005257AA"/>
    <w:rsid w:val="00525FED"/>
    <w:rsid w:val="00526545"/>
    <w:rsid w:val="00526881"/>
    <w:rsid w:val="005278F3"/>
    <w:rsid w:val="00527C5A"/>
    <w:rsid w:val="005305FF"/>
    <w:rsid w:val="005308F5"/>
    <w:rsid w:val="00530CBC"/>
    <w:rsid w:val="00530F32"/>
    <w:rsid w:val="005319EB"/>
    <w:rsid w:val="00531BE6"/>
    <w:rsid w:val="005325E7"/>
    <w:rsid w:val="0053270A"/>
    <w:rsid w:val="005331E4"/>
    <w:rsid w:val="00533A0B"/>
    <w:rsid w:val="00534130"/>
    <w:rsid w:val="00534E5F"/>
    <w:rsid w:val="00535EA8"/>
    <w:rsid w:val="00536288"/>
    <w:rsid w:val="005365A5"/>
    <w:rsid w:val="005371BD"/>
    <w:rsid w:val="00537BB1"/>
    <w:rsid w:val="0054041C"/>
    <w:rsid w:val="005407A8"/>
    <w:rsid w:val="00540B3D"/>
    <w:rsid w:val="00541CB4"/>
    <w:rsid w:val="00542181"/>
    <w:rsid w:val="00542515"/>
    <w:rsid w:val="00542738"/>
    <w:rsid w:val="00542777"/>
    <w:rsid w:val="00542B37"/>
    <w:rsid w:val="0054352F"/>
    <w:rsid w:val="005437EA"/>
    <w:rsid w:val="00544389"/>
    <w:rsid w:val="005453E6"/>
    <w:rsid w:val="00546001"/>
    <w:rsid w:val="00546E1D"/>
    <w:rsid w:val="005473D1"/>
    <w:rsid w:val="005474C7"/>
    <w:rsid w:val="0055008C"/>
    <w:rsid w:val="00550235"/>
    <w:rsid w:val="005509D2"/>
    <w:rsid w:val="00550FA7"/>
    <w:rsid w:val="00551A72"/>
    <w:rsid w:val="00552439"/>
    <w:rsid w:val="00552961"/>
    <w:rsid w:val="00552B89"/>
    <w:rsid w:val="005536B0"/>
    <w:rsid w:val="005537CE"/>
    <w:rsid w:val="00554F84"/>
    <w:rsid w:val="0055536E"/>
    <w:rsid w:val="00555AD0"/>
    <w:rsid w:val="00555DD0"/>
    <w:rsid w:val="0055660D"/>
    <w:rsid w:val="00556D59"/>
    <w:rsid w:val="00557E4F"/>
    <w:rsid w:val="00560046"/>
    <w:rsid w:val="00560294"/>
    <w:rsid w:val="005608C4"/>
    <w:rsid w:val="00560BF6"/>
    <w:rsid w:val="00560C0D"/>
    <w:rsid w:val="00560E56"/>
    <w:rsid w:val="00561108"/>
    <w:rsid w:val="00561211"/>
    <w:rsid w:val="005619A7"/>
    <w:rsid w:val="00561B30"/>
    <w:rsid w:val="00562809"/>
    <w:rsid w:val="00562B8C"/>
    <w:rsid w:val="00563163"/>
    <w:rsid w:val="0056326E"/>
    <w:rsid w:val="00563543"/>
    <w:rsid w:val="00563766"/>
    <w:rsid w:val="0056481D"/>
    <w:rsid w:val="005666B1"/>
    <w:rsid w:val="0056681F"/>
    <w:rsid w:val="00566FE9"/>
    <w:rsid w:val="005674C4"/>
    <w:rsid w:val="00567AF7"/>
    <w:rsid w:val="00570DE5"/>
    <w:rsid w:val="00570F35"/>
    <w:rsid w:val="00571B7A"/>
    <w:rsid w:val="00571BA4"/>
    <w:rsid w:val="00572303"/>
    <w:rsid w:val="0057452E"/>
    <w:rsid w:val="00575028"/>
    <w:rsid w:val="005754E1"/>
    <w:rsid w:val="00575706"/>
    <w:rsid w:val="00575C66"/>
    <w:rsid w:val="00576655"/>
    <w:rsid w:val="0057732C"/>
    <w:rsid w:val="00577760"/>
    <w:rsid w:val="005802F2"/>
    <w:rsid w:val="00581439"/>
    <w:rsid w:val="0058169B"/>
    <w:rsid w:val="00582146"/>
    <w:rsid w:val="005823B8"/>
    <w:rsid w:val="00583E24"/>
    <w:rsid w:val="0058413A"/>
    <w:rsid w:val="00584390"/>
    <w:rsid w:val="005847A9"/>
    <w:rsid w:val="00584CEE"/>
    <w:rsid w:val="00584EAA"/>
    <w:rsid w:val="00585076"/>
    <w:rsid w:val="005851CB"/>
    <w:rsid w:val="005857CC"/>
    <w:rsid w:val="00586485"/>
    <w:rsid w:val="00586805"/>
    <w:rsid w:val="00587105"/>
    <w:rsid w:val="0058748B"/>
    <w:rsid w:val="005879AC"/>
    <w:rsid w:val="00587A3A"/>
    <w:rsid w:val="00587FAF"/>
    <w:rsid w:val="00591753"/>
    <w:rsid w:val="00592A2C"/>
    <w:rsid w:val="00593C70"/>
    <w:rsid w:val="00593D9A"/>
    <w:rsid w:val="00594027"/>
    <w:rsid w:val="005944DD"/>
    <w:rsid w:val="00595FE8"/>
    <w:rsid w:val="005971EA"/>
    <w:rsid w:val="00597EB8"/>
    <w:rsid w:val="005A09DC"/>
    <w:rsid w:val="005A0E66"/>
    <w:rsid w:val="005A108C"/>
    <w:rsid w:val="005A1458"/>
    <w:rsid w:val="005A203D"/>
    <w:rsid w:val="005A2817"/>
    <w:rsid w:val="005A2CF0"/>
    <w:rsid w:val="005A2F32"/>
    <w:rsid w:val="005A460D"/>
    <w:rsid w:val="005A474E"/>
    <w:rsid w:val="005A4826"/>
    <w:rsid w:val="005A4A1D"/>
    <w:rsid w:val="005A55D7"/>
    <w:rsid w:val="005A59A5"/>
    <w:rsid w:val="005A6BDF"/>
    <w:rsid w:val="005A7131"/>
    <w:rsid w:val="005A740C"/>
    <w:rsid w:val="005B018B"/>
    <w:rsid w:val="005B0558"/>
    <w:rsid w:val="005B10DB"/>
    <w:rsid w:val="005B130C"/>
    <w:rsid w:val="005B14BC"/>
    <w:rsid w:val="005B15B7"/>
    <w:rsid w:val="005B1601"/>
    <w:rsid w:val="005B19B5"/>
    <w:rsid w:val="005B1B63"/>
    <w:rsid w:val="005B203A"/>
    <w:rsid w:val="005B2231"/>
    <w:rsid w:val="005B2974"/>
    <w:rsid w:val="005B37D4"/>
    <w:rsid w:val="005B4065"/>
    <w:rsid w:val="005B51FA"/>
    <w:rsid w:val="005B5ADC"/>
    <w:rsid w:val="005B5D8B"/>
    <w:rsid w:val="005B69FC"/>
    <w:rsid w:val="005B6AE0"/>
    <w:rsid w:val="005B6EEB"/>
    <w:rsid w:val="005B7E53"/>
    <w:rsid w:val="005C05B2"/>
    <w:rsid w:val="005C0931"/>
    <w:rsid w:val="005C18C9"/>
    <w:rsid w:val="005C1CD3"/>
    <w:rsid w:val="005C1DB3"/>
    <w:rsid w:val="005C2FC6"/>
    <w:rsid w:val="005C3300"/>
    <w:rsid w:val="005C3B3C"/>
    <w:rsid w:val="005C40CD"/>
    <w:rsid w:val="005C47EC"/>
    <w:rsid w:val="005C4BCD"/>
    <w:rsid w:val="005C4FC6"/>
    <w:rsid w:val="005C5BA6"/>
    <w:rsid w:val="005C5F33"/>
    <w:rsid w:val="005C7184"/>
    <w:rsid w:val="005C72EB"/>
    <w:rsid w:val="005D027B"/>
    <w:rsid w:val="005D0781"/>
    <w:rsid w:val="005D0F5C"/>
    <w:rsid w:val="005D168C"/>
    <w:rsid w:val="005D1753"/>
    <w:rsid w:val="005D1FF5"/>
    <w:rsid w:val="005D220E"/>
    <w:rsid w:val="005D2315"/>
    <w:rsid w:val="005D2BAC"/>
    <w:rsid w:val="005D43CA"/>
    <w:rsid w:val="005D47A0"/>
    <w:rsid w:val="005D48FD"/>
    <w:rsid w:val="005D5822"/>
    <w:rsid w:val="005D5C32"/>
    <w:rsid w:val="005D6088"/>
    <w:rsid w:val="005D66B0"/>
    <w:rsid w:val="005D6A53"/>
    <w:rsid w:val="005D6B11"/>
    <w:rsid w:val="005D7311"/>
    <w:rsid w:val="005D7C03"/>
    <w:rsid w:val="005E2523"/>
    <w:rsid w:val="005E2906"/>
    <w:rsid w:val="005E2B49"/>
    <w:rsid w:val="005E33CB"/>
    <w:rsid w:val="005E4C1C"/>
    <w:rsid w:val="005E53F5"/>
    <w:rsid w:val="005E55B0"/>
    <w:rsid w:val="005E5E49"/>
    <w:rsid w:val="005F0169"/>
    <w:rsid w:val="005F071D"/>
    <w:rsid w:val="005F0793"/>
    <w:rsid w:val="005F0AA1"/>
    <w:rsid w:val="005F152C"/>
    <w:rsid w:val="005F1FD3"/>
    <w:rsid w:val="005F2C1A"/>
    <w:rsid w:val="005F32DD"/>
    <w:rsid w:val="005F4176"/>
    <w:rsid w:val="005F43D7"/>
    <w:rsid w:val="005F43FE"/>
    <w:rsid w:val="005F4B21"/>
    <w:rsid w:val="005F4E6F"/>
    <w:rsid w:val="005F5B0D"/>
    <w:rsid w:val="005F5C24"/>
    <w:rsid w:val="005F5F33"/>
    <w:rsid w:val="005F6E3F"/>
    <w:rsid w:val="005F716D"/>
    <w:rsid w:val="005F753C"/>
    <w:rsid w:val="005F7CBA"/>
    <w:rsid w:val="005F7F1E"/>
    <w:rsid w:val="006001E7"/>
    <w:rsid w:val="0060078B"/>
    <w:rsid w:val="00600967"/>
    <w:rsid w:val="00600B46"/>
    <w:rsid w:val="006016C0"/>
    <w:rsid w:val="00601780"/>
    <w:rsid w:val="00601D33"/>
    <w:rsid w:val="00602437"/>
    <w:rsid w:val="006024A6"/>
    <w:rsid w:val="00602A4D"/>
    <w:rsid w:val="00603341"/>
    <w:rsid w:val="00603F86"/>
    <w:rsid w:val="0060527D"/>
    <w:rsid w:val="00605327"/>
    <w:rsid w:val="00605436"/>
    <w:rsid w:val="00606039"/>
    <w:rsid w:val="00606350"/>
    <w:rsid w:val="006063F2"/>
    <w:rsid w:val="006078B5"/>
    <w:rsid w:val="00607A18"/>
    <w:rsid w:val="006101A1"/>
    <w:rsid w:val="006102B7"/>
    <w:rsid w:val="00610423"/>
    <w:rsid w:val="00610E42"/>
    <w:rsid w:val="00611870"/>
    <w:rsid w:val="00611DBF"/>
    <w:rsid w:val="006125CC"/>
    <w:rsid w:val="006126FD"/>
    <w:rsid w:val="00613623"/>
    <w:rsid w:val="006141F2"/>
    <w:rsid w:val="0061437E"/>
    <w:rsid w:val="0061482A"/>
    <w:rsid w:val="006159FD"/>
    <w:rsid w:val="00615B22"/>
    <w:rsid w:val="00616794"/>
    <w:rsid w:val="00616856"/>
    <w:rsid w:val="00617726"/>
    <w:rsid w:val="00617DAA"/>
    <w:rsid w:val="006209A8"/>
    <w:rsid w:val="00620E25"/>
    <w:rsid w:val="0062252E"/>
    <w:rsid w:val="00622A0B"/>
    <w:rsid w:val="00622FB9"/>
    <w:rsid w:val="00623006"/>
    <w:rsid w:val="00623668"/>
    <w:rsid w:val="00623A4F"/>
    <w:rsid w:val="00623C7A"/>
    <w:rsid w:val="006242BC"/>
    <w:rsid w:val="00624653"/>
    <w:rsid w:val="006248C6"/>
    <w:rsid w:val="006267F1"/>
    <w:rsid w:val="00626E15"/>
    <w:rsid w:val="00626FAC"/>
    <w:rsid w:val="0062733F"/>
    <w:rsid w:val="006274F7"/>
    <w:rsid w:val="006279DE"/>
    <w:rsid w:val="00627AE4"/>
    <w:rsid w:val="006309F9"/>
    <w:rsid w:val="00630D4B"/>
    <w:rsid w:val="00630DAC"/>
    <w:rsid w:val="00631096"/>
    <w:rsid w:val="0063123E"/>
    <w:rsid w:val="00631F40"/>
    <w:rsid w:val="00632EAE"/>
    <w:rsid w:val="0063432F"/>
    <w:rsid w:val="00635403"/>
    <w:rsid w:val="00635DFF"/>
    <w:rsid w:val="00636585"/>
    <w:rsid w:val="00636B18"/>
    <w:rsid w:val="006371B4"/>
    <w:rsid w:val="006405A5"/>
    <w:rsid w:val="0064086D"/>
    <w:rsid w:val="006411C5"/>
    <w:rsid w:val="00641458"/>
    <w:rsid w:val="00641509"/>
    <w:rsid w:val="00641844"/>
    <w:rsid w:val="0064208C"/>
    <w:rsid w:val="006425D5"/>
    <w:rsid w:val="006433BA"/>
    <w:rsid w:val="00643586"/>
    <w:rsid w:val="00643FFB"/>
    <w:rsid w:val="006447CF"/>
    <w:rsid w:val="00644BC6"/>
    <w:rsid w:val="00646DE5"/>
    <w:rsid w:val="00646EC8"/>
    <w:rsid w:val="006478DB"/>
    <w:rsid w:val="00650032"/>
    <w:rsid w:val="00650132"/>
    <w:rsid w:val="0065034E"/>
    <w:rsid w:val="0065084B"/>
    <w:rsid w:val="00650B02"/>
    <w:rsid w:val="0065108A"/>
    <w:rsid w:val="006514B9"/>
    <w:rsid w:val="006516F3"/>
    <w:rsid w:val="00653995"/>
    <w:rsid w:val="00654118"/>
    <w:rsid w:val="00654A4D"/>
    <w:rsid w:val="00654A64"/>
    <w:rsid w:val="00654F32"/>
    <w:rsid w:val="00655009"/>
    <w:rsid w:val="006552B3"/>
    <w:rsid w:val="0065683E"/>
    <w:rsid w:val="00656D96"/>
    <w:rsid w:val="00656FBD"/>
    <w:rsid w:val="006571E6"/>
    <w:rsid w:val="006579AC"/>
    <w:rsid w:val="00657CC8"/>
    <w:rsid w:val="006607D2"/>
    <w:rsid w:val="006623BC"/>
    <w:rsid w:val="00662C39"/>
    <w:rsid w:val="00663A9F"/>
    <w:rsid w:val="00663BF3"/>
    <w:rsid w:val="00664085"/>
    <w:rsid w:val="00664A46"/>
    <w:rsid w:val="00664A85"/>
    <w:rsid w:val="00665626"/>
    <w:rsid w:val="006660C0"/>
    <w:rsid w:val="00667533"/>
    <w:rsid w:val="00667AD4"/>
    <w:rsid w:val="00670237"/>
    <w:rsid w:val="00670573"/>
    <w:rsid w:val="00670DC6"/>
    <w:rsid w:val="00670EE4"/>
    <w:rsid w:val="006718CA"/>
    <w:rsid w:val="006718E7"/>
    <w:rsid w:val="00672835"/>
    <w:rsid w:val="006729D3"/>
    <w:rsid w:val="00673BE5"/>
    <w:rsid w:val="00673D55"/>
    <w:rsid w:val="006758F2"/>
    <w:rsid w:val="00676109"/>
    <w:rsid w:val="00676201"/>
    <w:rsid w:val="0067625E"/>
    <w:rsid w:val="00676DD2"/>
    <w:rsid w:val="006822F5"/>
    <w:rsid w:val="00682E50"/>
    <w:rsid w:val="006831EB"/>
    <w:rsid w:val="00683250"/>
    <w:rsid w:val="00683366"/>
    <w:rsid w:val="006834C9"/>
    <w:rsid w:val="0068445B"/>
    <w:rsid w:val="00685F86"/>
    <w:rsid w:val="00686F35"/>
    <w:rsid w:val="00690772"/>
    <w:rsid w:val="006909A7"/>
    <w:rsid w:val="006918D1"/>
    <w:rsid w:val="006939A6"/>
    <w:rsid w:val="006944B8"/>
    <w:rsid w:val="006954EA"/>
    <w:rsid w:val="00695822"/>
    <w:rsid w:val="00695C9A"/>
    <w:rsid w:val="006961B2"/>
    <w:rsid w:val="006967CE"/>
    <w:rsid w:val="00696B5C"/>
    <w:rsid w:val="00696DFA"/>
    <w:rsid w:val="006A0238"/>
    <w:rsid w:val="006A03CE"/>
    <w:rsid w:val="006A03D4"/>
    <w:rsid w:val="006A0E1B"/>
    <w:rsid w:val="006A1020"/>
    <w:rsid w:val="006A157D"/>
    <w:rsid w:val="006A1BED"/>
    <w:rsid w:val="006A1C1E"/>
    <w:rsid w:val="006A1CAA"/>
    <w:rsid w:val="006A1DDA"/>
    <w:rsid w:val="006A2045"/>
    <w:rsid w:val="006A264F"/>
    <w:rsid w:val="006A428B"/>
    <w:rsid w:val="006A4568"/>
    <w:rsid w:val="006A503A"/>
    <w:rsid w:val="006A5125"/>
    <w:rsid w:val="006A5864"/>
    <w:rsid w:val="006A7326"/>
    <w:rsid w:val="006A74E6"/>
    <w:rsid w:val="006A7A56"/>
    <w:rsid w:val="006B051F"/>
    <w:rsid w:val="006B09D6"/>
    <w:rsid w:val="006B0B34"/>
    <w:rsid w:val="006B1041"/>
    <w:rsid w:val="006B2536"/>
    <w:rsid w:val="006B2538"/>
    <w:rsid w:val="006B25CA"/>
    <w:rsid w:val="006B26A1"/>
    <w:rsid w:val="006B2B9B"/>
    <w:rsid w:val="006B322F"/>
    <w:rsid w:val="006B339E"/>
    <w:rsid w:val="006B340B"/>
    <w:rsid w:val="006B378C"/>
    <w:rsid w:val="006B4947"/>
    <w:rsid w:val="006B52EC"/>
    <w:rsid w:val="006B59A6"/>
    <w:rsid w:val="006B5DE6"/>
    <w:rsid w:val="006B6333"/>
    <w:rsid w:val="006B6841"/>
    <w:rsid w:val="006B6922"/>
    <w:rsid w:val="006B6C9D"/>
    <w:rsid w:val="006B70AB"/>
    <w:rsid w:val="006B7426"/>
    <w:rsid w:val="006B7882"/>
    <w:rsid w:val="006C04C8"/>
    <w:rsid w:val="006C05AC"/>
    <w:rsid w:val="006C20A6"/>
    <w:rsid w:val="006C2168"/>
    <w:rsid w:val="006C2191"/>
    <w:rsid w:val="006C27BC"/>
    <w:rsid w:val="006C2C1D"/>
    <w:rsid w:val="006C3247"/>
    <w:rsid w:val="006C3B9D"/>
    <w:rsid w:val="006C52F6"/>
    <w:rsid w:val="006C582F"/>
    <w:rsid w:val="006C5863"/>
    <w:rsid w:val="006C58CF"/>
    <w:rsid w:val="006C5DA4"/>
    <w:rsid w:val="006C628C"/>
    <w:rsid w:val="006C640D"/>
    <w:rsid w:val="006C6571"/>
    <w:rsid w:val="006C65E7"/>
    <w:rsid w:val="006C799B"/>
    <w:rsid w:val="006C7C6C"/>
    <w:rsid w:val="006D0841"/>
    <w:rsid w:val="006D0D71"/>
    <w:rsid w:val="006D1CCC"/>
    <w:rsid w:val="006D20A9"/>
    <w:rsid w:val="006D2AE3"/>
    <w:rsid w:val="006D2BC8"/>
    <w:rsid w:val="006D2BE8"/>
    <w:rsid w:val="006D2D65"/>
    <w:rsid w:val="006D3093"/>
    <w:rsid w:val="006D309E"/>
    <w:rsid w:val="006D322B"/>
    <w:rsid w:val="006D3CBF"/>
    <w:rsid w:val="006D4F3C"/>
    <w:rsid w:val="006D5A5A"/>
    <w:rsid w:val="006D6437"/>
    <w:rsid w:val="006D691D"/>
    <w:rsid w:val="006D6B73"/>
    <w:rsid w:val="006D6D7D"/>
    <w:rsid w:val="006E1563"/>
    <w:rsid w:val="006E1B52"/>
    <w:rsid w:val="006E1D76"/>
    <w:rsid w:val="006E1F55"/>
    <w:rsid w:val="006E200E"/>
    <w:rsid w:val="006E20A2"/>
    <w:rsid w:val="006E359B"/>
    <w:rsid w:val="006E49B1"/>
    <w:rsid w:val="006E4BD0"/>
    <w:rsid w:val="006E4F6C"/>
    <w:rsid w:val="006E519A"/>
    <w:rsid w:val="006E545B"/>
    <w:rsid w:val="006E55FD"/>
    <w:rsid w:val="006E60D0"/>
    <w:rsid w:val="006F0507"/>
    <w:rsid w:val="006F070C"/>
    <w:rsid w:val="006F0D0F"/>
    <w:rsid w:val="006F10AA"/>
    <w:rsid w:val="006F1269"/>
    <w:rsid w:val="006F13C0"/>
    <w:rsid w:val="006F26EF"/>
    <w:rsid w:val="006F285B"/>
    <w:rsid w:val="006F37F7"/>
    <w:rsid w:val="006F3DC2"/>
    <w:rsid w:val="006F48B2"/>
    <w:rsid w:val="006F4B93"/>
    <w:rsid w:val="006F4F75"/>
    <w:rsid w:val="006F63E6"/>
    <w:rsid w:val="006F64E0"/>
    <w:rsid w:val="006F6619"/>
    <w:rsid w:val="006F66A4"/>
    <w:rsid w:val="006F7084"/>
    <w:rsid w:val="006F7F0F"/>
    <w:rsid w:val="007001D3"/>
    <w:rsid w:val="00700A95"/>
    <w:rsid w:val="00700E2A"/>
    <w:rsid w:val="00701133"/>
    <w:rsid w:val="00701398"/>
    <w:rsid w:val="0070194B"/>
    <w:rsid w:val="00701F22"/>
    <w:rsid w:val="007021FD"/>
    <w:rsid w:val="00702589"/>
    <w:rsid w:val="00702A0F"/>
    <w:rsid w:val="00702A84"/>
    <w:rsid w:val="0070327B"/>
    <w:rsid w:val="00703418"/>
    <w:rsid w:val="00705021"/>
    <w:rsid w:val="007051A7"/>
    <w:rsid w:val="00705395"/>
    <w:rsid w:val="00705BF2"/>
    <w:rsid w:val="007068F4"/>
    <w:rsid w:val="00706CB0"/>
    <w:rsid w:val="00707460"/>
    <w:rsid w:val="00707DE2"/>
    <w:rsid w:val="00710289"/>
    <w:rsid w:val="00710372"/>
    <w:rsid w:val="007104DB"/>
    <w:rsid w:val="007113FB"/>
    <w:rsid w:val="00712BF7"/>
    <w:rsid w:val="0071318E"/>
    <w:rsid w:val="0071395E"/>
    <w:rsid w:val="00713F38"/>
    <w:rsid w:val="00714907"/>
    <w:rsid w:val="007161BF"/>
    <w:rsid w:val="007176A4"/>
    <w:rsid w:val="007176DF"/>
    <w:rsid w:val="00717C8F"/>
    <w:rsid w:val="00720435"/>
    <w:rsid w:val="00720CFF"/>
    <w:rsid w:val="00720F17"/>
    <w:rsid w:val="00720FF0"/>
    <w:rsid w:val="0072178B"/>
    <w:rsid w:val="00722BF2"/>
    <w:rsid w:val="00722D84"/>
    <w:rsid w:val="00722DBA"/>
    <w:rsid w:val="00722F93"/>
    <w:rsid w:val="00722FFE"/>
    <w:rsid w:val="00723281"/>
    <w:rsid w:val="0072341B"/>
    <w:rsid w:val="007236F1"/>
    <w:rsid w:val="0072370E"/>
    <w:rsid w:val="00723C7D"/>
    <w:rsid w:val="0072433C"/>
    <w:rsid w:val="00727EFF"/>
    <w:rsid w:val="0073058A"/>
    <w:rsid w:val="00730D49"/>
    <w:rsid w:val="007315E6"/>
    <w:rsid w:val="00731DA1"/>
    <w:rsid w:val="00734670"/>
    <w:rsid w:val="00734A47"/>
    <w:rsid w:val="00734CFC"/>
    <w:rsid w:val="00734E50"/>
    <w:rsid w:val="00735A47"/>
    <w:rsid w:val="00735A9D"/>
    <w:rsid w:val="00736857"/>
    <w:rsid w:val="00736F4F"/>
    <w:rsid w:val="00737271"/>
    <w:rsid w:val="007377F8"/>
    <w:rsid w:val="0073785C"/>
    <w:rsid w:val="00737FEB"/>
    <w:rsid w:val="00741901"/>
    <w:rsid w:val="0074252F"/>
    <w:rsid w:val="0074276D"/>
    <w:rsid w:val="00742B18"/>
    <w:rsid w:val="00742CD8"/>
    <w:rsid w:val="007431AC"/>
    <w:rsid w:val="0074322F"/>
    <w:rsid w:val="00743A51"/>
    <w:rsid w:val="00743BC5"/>
    <w:rsid w:val="00743F6E"/>
    <w:rsid w:val="007444AA"/>
    <w:rsid w:val="0074487C"/>
    <w:rsid w:val="0074501A"/>
    <w:rsid w:val="007456C6"/>
    <w:rsid w:val="0074611F"/>
    <w:rsid w:val="007469A3"/>
    <w:rsid w:val="00747996"/>
    <w:rsid w:val="00747D2C"/>
    <w:rsid w:val="00750DDF"/>
    <w:rsid w:val="00750EDB"/>
    <w:rsid w:val="0075125F"/>
    <w:rsid w:val="00752EAA"/>
    <w:rsid w:val="00753365"/>
    <w:rsid w:val="007533F6"/>
    <w:rsid w:val="00753ECC"/>
    <w:rsid w:val="00754050"/>
    <w:rsid w:val="007540DA"/>
    <w:rsid w:val="00754B06"/>
    <w:rsid w:val="0075536B"/>
    <w:rsid w:val="00755AB8"/>
    <w:rsid w:val="007563A0"/>
    <w:rsid w:val="00757D9F"/>
    <w:rsid w:val="0076009A"/>
    <w:rsid w:val="00760178"/>
    <w:rsid w:val="0076024B"/>
    <w:rsid w:val="00760F69"/>
    <w:rsid w:val="00761937"/>
    <w:rsid w:val="00761991"/>
    <w:rsid w:val="0076222E"/>
    <w:rsid w:val="00762545"/>
    <w:rsid w:val="007636CD"/>
    <w:rsid w:val="00763F40"/>
    <w:rsid w:val="00764754"/>
    <w:rsid w:val="00764FC4"/>
    <w:rsid w:val="00765274"/>
    <w:rsid w:val="00765F6D"/>
    <w:rsid w:val="00766D14"/>
    <w:rsid w:val="00767146"/>
    <w:rsid w:val="0077000B"/>
    <w:rsid w:val="00770915"/>
    <w:rsid w:val="0077123D"/>
    <w:rsid w:val="007713FB"/>
    <w:rsid w:val="00771596"/>
    <w:rsid w:val="00771C6B"/>
    <w:rsid w:val="00771DB4"/>
    <w:rsid w:val="00771E2A"/>
    <w:rsid w:val="00772EB8"/>
    <w:rsid w:val="007732A7"/>
    <w:rsid w:val="007732C2"/>
    <w:rsid w:val="0077390C"/>
    <w:rsid w:val="0077403D"/>
    <w:rsid w:val="00774D05"/>
    <w:rsid w:val="00775C7A"/>
    <w:rsid w:val="00775DB6"/>
    <w:rsid w:val="00775FA9"/>
    <w:rsid w:val="00776532"/>
    <w:rsid w:val="00776F73"/>
    <w:rsid w:val="007779E9"/>
    <w:rsid w:val="00777B62"/>
    <w:rsid w:val="00777B9D"/>
    <w:rsid w:val="00777EE3"/>
    <w:rsid w:val="00780409"/>
    <w:rsid w:val="007806DE"/>
    <w:rsid w:val="00780822"/>
    <w:rsid w:val="00780C07"/>
    <w:rsid w:val="00781022"/>
    <w:rsid w:val="007811EA"/>
    <w:rsid w:val="00781533"/>
    <w:rsid w:val="00781658"/>
    <w:rsid w:val="00782D23"/>
    <w:rsid w:val="00783186"/>
    <w:rsid w:val="007832D6"/>
    <w:rsid w:val="00783B57"/>
    <w:rsid w:val="00783EE7"/>
    <w:rsid w:val="007850BA"/>
    <w:rsid w:val="00785742"/>
    <w:rsid w:val="00785844"/>
    <w:rsid w:val="00785F67"/>
    <w:rsid w:val="00786293"/>
    <w:rsid w:val="0079049C"/>
    <w:rsid w:val="007908B3"/>
    <w:rsid w:val="00791547"/>
    <w:rsid w:val="00791788"/>
    <w:rsid w:val="00791970"/>
    <w:rsid w:val="00791BE2"/>
    <w:rsid w:val="007921E4"/>
    <w:rsid w:val="00793C09"/>
    <w:rsid w:val="0079471E"/>
    <w:rsid w:val="00794EA6"/>
    <w:rsid w:val="0079636E"/>
    <w:rsid w:val="00797969"/>
    <w:rsid w:val="00797E6F"/>
    <w:rsid w:val="007A0B25"/>
    <w:rsid w:val="007A0C3C"/>
    <w:rsid w:val="007A0C6A"/>
    <w:rsid w:val="007A10C9"/>
    <w:rsid w:val="007A1A54"/>
    <w:rsid w:val="007A29A5"/>
    <w:rsid w:val="007A37D9"/>
    <w:rsid w:val="007A4609"/>
    <w:rsid w:val="007A4A08"/>
    <w:rsid w:val="007A54A7"/>
    <w:rsid w:val="007A609C"/>
    <w:rsid w:val="007A61B8"/>
    <w:rsid w:val="007A6E03"/>
    <w:rsid w:val="007A73C9"/>
    <w:rsid w:val="007A767B"/>
    <w:rsid w:val="007A7DEB"/>
    <w:rsid w:val="007A7E57"/>
    <w:rsid w:val="007B2373"/>
    <w:rsid w:val="007B24A9"/>
    <w:rsid w:val="007B2AEB"/>
    <w:rsid w:val="007B2B37"/>
    <w:rsid w:val="007B3286"/>
    <w:rsid w:val="007B3324"/>
    <w:rsid w:val="007B351B"/>
    <w:rsid w:val="007B45F5"/>
    <w:rsid w:val="007B4CA7"/>
    <w:rsid w:val="007B5074"/>
    <w:rsid w:val="007B5E7B"/>
    <w:rsid w:val="007B6EAA"/>
    <w:rsid w:val="007B6ED8"/>
    <w:rsid w:val="007C041F"/>
    <w:rsid w:val="007C0612"/>
    <w:rsid w:val="007C0EFB"/>
    <w:rsid w:val="007C179E"/>
    <w:rsid w:val="007C1832"/>
    <w:rsid w:val="007C1BD7"/>
    <w:rsid w:val="007C29E0"/>
    <w:rsid w:val="007C45B8"/>
    <w:rsid w:val="007C4BCA"/>
    <w:rsid w:val="007C539A"/>
    <w:rsid w:val="007C650B"/>
    <w:rsid w:val="007C687A"/>
    <w:rsid w:val="007C6BBD"/>
    <w:rsid w:val="007C6BC0"/>
    <w:rsid w:val="007C7038"/>
    <w:rsid w:val="007C7F81"/>
    <w:rsid w:val="007D079E"/>
    <w:rsid w:val="007D144B"/>
    <w:rsid w:val="007D1D91"/>
    <w:rsid w:val="007D3979"/>
    <w:rsid w:val="007D3D71"/>
    <w:rsid w:val="007D3FC6"/>
    <w:rsid w:val="007D5069"/>
    <w:rsid w:val="007D621A"/>
    <w:rsid w:val="007D64BE"/>
    <w:rsid w:val="007D66D9"/>
    <w:rsid w:val="007D6E50"/>
    <w:rsid w:val="007D72C5"/>
    <w:rsid w:val="007D79AB"/>
    <w:rsid w:val="007D7B88"/>
    <w:rsid w:val="007E0541"/>
    <w:rsid w:val="007E0543"/>
    <w:rsid w:val="007E0AF3"/>
    <w:rsid w:val="007E28BB"/>
    <w:rsid w:val="007E2E2E"/>
    <w:rsid w:val="007E2ECE"/>
    <w:rsid w:val="007E38C1"/>
    <w:rsid w:val="007E38F7"/>
    <w:rsid w:val="007E3943"/>
    <w:rsid w:val="007E3A38"/>
    <w:rsid w:val="007E3F8C"/>
    <w:rsid w:val="007E445A"/>
    <w:rsid w:val="007E49AE"/>
    <w:rsid w:val="007E5E11"/>
    <w:rsid w:val="007E5F52"/>
    <w:rsid w:val="007E5FEC"/>
    <w:rsid w:val="007E646D"/>
    <w:rsid w:val="007E68EE"/>
    <w:rsid w:val="007E6ED1"/>
    <w:rsid w:val="007E78C8"/>
    <w:rsid w:val="007F0132"/>
    <w:rsid w:val="007F09B8"/>
    <w:rsid w:val="007F0AAD"/>
    <w:rsid w:val="007F1045"/>
    <w:rsid w:val="007F183B"/>
    <w:rsid w:val="007F1E44"/>
    <w:rsid w:val="007F41A3"/>
    <w:rsid w:val="007F4A63"/>
    <w:rsid w:val="007F4B16"/>
    <w:rsid w:val="007F52EB"/>
    <w:rsid w:val="007F60B7"/>
    <w:rsid w:val="007F6A98"/>
    <w:rsid w:val="007F6D82"/>
    <w:rsid w:val="007F72EC"/>
    <w:rsid w:val="007F7D71"/>
    <w:rsid w:val="0080049D"/>
    <w:rsid w:val="008004EA"/>
    <w:rsid w:val="0080058B"/>
    <w:rsid w:val="00800715"/>
    <w:rsid w:val="0080097C"/>
    <w:rsid w:val="00801085"/>
    <w:rsid w:val="00801382"/>
    <w:rsid w:val="00801432"/>
    <w:rsid w:val="00801481"/>
    <w:rsid w:val="008024A9"/>
    <w:rsid w:val="0080273A"/>
    <w:rsid w:val="0080296A"/>
    <w:rsid w:val="008029D8"/>
    <w:rsid w:val="00802E15"/>
    <w:rsid w:val="0080323C"/>
    <w:rsid w:val="0080329E"/>
    <w:rsid w:val="00803354"/>
    <w:rsid w:val="00803F27"/>
    <w:rsid w:val="00804DB3"/>
    <w:rsid w:val="008052AC"/>
    <w:rsid w:val="008053E2"/>
    <w:rsid w:val="00805A71"/>
    <w:rsid w:val="00805C29"/>
    <w:rsid w:val="008061FA"/>
    <w:rsid w:val="00807122"/>
    <w:rsid w:val="00807353"/>
    <w:rsid w:val="0080768A"/>
    <w:rsid w:val="00807BCC"/>
    <w:rsid w:val="00810DA8"/>
    <w:rsid w:val="008113EF"/>
    <w:rsid w:val="00811499"/>
    <w:rsid w:val="00811C7E"/>
    <w:rsid w:val="008126B7"/>
    <w:rsid w:val="0081273E"/>
    <w:rsid w:val="0081297A"/>
    <w:rsid w:val="008129D5"/>
    <w:rsid w:val="00813030"/>
    <w:rsid w:val="00813BB9"/>
    <w:rsid w:val="00813D96"/>
    <w:rsid w:val="0081458D"/>
    <w:rsid w:val="00814A21"/>
    <w:rsid w:val="00814C46"/>
    <w:rsid w:val="0081544C"/>
    <w:rsid w:val="008158E5"/>
    <w:rsid w:val="008158FD"/>
    <w:rsid w:val="00815C41"/>
    <w:rsid w:val="00815D98"/>
    <w:rsid w:val="008161B6"/>
    <w:rsid w:val="008171BF"/>
    <w:rsid w:val="00817B94"/>
    <w:rsid w:val="00820B79"/>
    <w:rsid w:val="00821648"/>
    <w:rsid w:val="00821C5C"/>
    <w:rsid w:val="00822603"/>
    <w:rsid w:val="00822727"/>
    <w:rsid w:val="008227D6"/>
    <w:rsid w:val="00822FBB"/>
    <w:rsid w:val="008231A8"/>
    <w:rsid w:val="00823B78"/>
    <w:rsid w:val="00823C56"/>
    <w:rsid w:val="0082400D"/>
    <w:rsid w:val="008257F3"/>
    <w:rsid w:val="00826E79"/>
    <w:rsid w:val="00826F1D"/>
    <w:rsid w:val="00826FCB"/>
    <w:rsid w:val="00827FB7"/>
    <w:rsid w:val="0083056E"/>
    <w:rsid w:val="00830BC1"/>
    <w:rsid w:val="00831232"/>
    <w:rsid w:val="0083174E"/>
    <w:rsid w:val="00831884"/>
    <w:rsid w:val="00832831"/>
    <w:rsid w:val="008329E7"/>
    <w:rsid w:val="00832CC2"/>
    <w:rsid w:val="00833015"/>
    <w:rsid w:val="00833289"/>
    <w:rsid w:val="008333C1"/>
    <w:rsid w:val="00833C2D"/>
    <w:rsid w:val="008345A8"/>
    <w:rsid w:val="00834E61"/>
    <w:rsid w:val="00834EFF"/>
    <w:rsid w:val="00835005"/>
    <w:rsid w:val="00835478"/>
    <w:rsid w:val="00836038"/>
    <w:rsid w:val="0083605E"/>
    <w:rsid w:val="00836189"/>
    <w:rsid w:val="008361C7"/>
    <w:rsid w:val="00836283"/>
    <w:rsid w:val="00836367"/>
    <w:rsid w:val="00836598"/>
    <w:rsid w:val="00836968"/>
    <w:rsid w:val="00836BD5"/>
    <w:rsid w:val="00836E52"/>
    <w:rsid w:val="0083738C"/>
    <w:rsid w:val="00837743"/>
    <w:rsid w:val="008378B3"/>
    <w:rsid w:val="00837924"/>
    <w:rsid w:val="00837E8B"/>
    <w:rsid w:val="00840966"/>
    <w:rsid w:val="00840B37"/>
    <w:rsid w:val="00840C54"/>
    <w:rsid w:val="00840FE6"/>
    <w:rsid w:val="008413C0"/>
    <w:rsid w:val="008427B3"/>
    <w:rsid w:val="008436B7"/>
    <w:rsid w:val="00843C79"/>
    <w:rsid w:val="00844AD8"/>
    <w:rsid w:val="00845346"/>
    <w:rsid w:val="0084581A"/>
    <w:rsid w:val="0084591B"/>
    <w:rsid w:val="008460F9"/>
    <w:rsid w:val="00846D2D"/>
    <w:rsid w:val="00847332"/>
    <w:rsid w:val="00847CC6"/>
    <w:rsid w:val="00850016"/>
    <w:rsid w:val="00850496"/>
    <w:rsid w:val="008514B5"/>
    <w:rsid w:val="00851C49"/>
    <w:rsid w:val="00852045"/>
    <w:rsid w:val="008520C1"/>
    <w:rsid w:val="0085239B"/>
    <w:rsid w:val="0085263A"/>
    <w:rsid w:val="008526B5"/>
    <w:rsid w:val="00852E54"/>
    <w:rsid w:val="0085323D"/>
    <w:rsid w:val="008535B8"/>
    <w:rsid w:val="00853955"/>
    <w:rsid w:val="00853EDB"/>
    <w:rsid w:val="008548FA"/>
    <w:rsid w:val="00854CF3"/>
    <w:rsid w:val="008558E0"/>
    <w:rsid w:val="00856067"/>
    <w:rsid w:val="00856A5D"/>
    <w:rsid w:val="00856B2D"/>
    <w:rsid w:val="00856DE7"/>
    <w:rsid w:val="008572B3"/>
    <w:rsid w:val="0085778E"/>
    <w:rsid w:val="008610EF"/>
    <w:rsid w:val="00862439"/>
    <w:rsid w:val="0086294D"/>
    <w:rsid w:val="0086355E"/>
    <w:rsid w:val="008637AE"/>
    <w:rsid w:val="00863DA9"/>
    <w:rsid w:val="00865DEA"/>
    <w:rsid w:val="008663CF"/>
    <w:rsid w:val="00866E1A"/>
    <w:rsid w:val="00867324"/>
    <w:rsid w:val="0086756A"/>
    <w:rsid w:val="00867A51"/>
    <w:rsid w:val="00867D16"/>
    <w:rsid w:val="00870053"/>
    <w:rsid w:val="00870427"/>
    <w:rsid w:val="008707B1"/>
    <w:rsid w:val="0087088B"/>
    <w:rsid w:val="0087126E"/>
    <w:rsid w:val="00871541"/>
    <w:rsid w:val="0087202A"/>
    <w:rsid w:val="00872375"/>
    <w:rsid w:val="00872E59"/>
    <w:rsid w:val="0087397D"/>
    <w:rsid w:val="00873AC7"/>
    <w:rsid w:val="00874D75"/>
    <w:rsid w:val="0087536E"/>
    <w:rsid w:val="008757A2"/>
    <w:rsid w:val="00875B3F"/>
    <w:rsid w:val="00876266"/>
    <w:rsid w:val="008801FA"/>
    <w:rsid w:val="008805D8"/>
    <w:rsid w:val="00880B4D"/>
    <w:rsid w:val="00880C15"/>
    <w:rsid w:val="008815EA"/>
    <w:rsid w:val="0088179F"/>
    <w:rsid w:val="00881B82"/>
    <w:rsid w:val="0088241E"/>
    <w:rsid w:val="00883207"/>
    <w:rsid w:val="008833B4"/>
    <w:rsid w:val="0088429B"/>
    <w:rsid w:val="0088437B"/>
    <w:rsid w:val="008843C7"/>
    <w:rsid w:val="00884FF9"/>
    <w:rsid w:val="008853C4"/>
    <w:rsid w:val="00886934"/>
    <w:rsid w:val="00886C8F"/>
    <w:rsid w:val="008870ED"/>
    <w:rsid w:val="00887792"/>
    <w:rsid w:val="00887B3C"/>
    <w:rsid w:val="00890018"/>
    <w:rsid w:val="00890953"/>
    <w:rsid w:val="008910C4"/>
    <w:rsid w:val="0089137A"/>
    <w:rsid w:val="008919CC"/>
    <w:rsid w:val="00892392"/>
    <w:rsid w:val="0089264D"/>
    <w:rsid w:val="008929EB"/>
    <w:rsid w:val="00892E18"/>
    <w:rsid w:val="0089313C"/>
    <w:rsid w:val="0089459A"/>
    <w:rsid w:val="00894976"/>
    <w:rsid w:val="00894B57"/>
    <w:rsid w:val="00894E7B"/>
    <w:rsid w:val="00895807"/>
    <w:rsid w:val="0089593E"/>
    <w:rsid w:val="00895EFC"/>
    <w:rsid w:val="00896443"/>
    <w:rsid w:val="008A0266"/>
    <w:rsid w:val="008A0819"/>
    <w:rsid w:val="008A12CB"/>
    <w:rsid w:val="008A1626"/>
    <w:rsid w:val="008A1D34"/>
    <w:rsid w:val="008A22F9"/>
    <w:rsid w:val="008A2889"/>
    <w:rsid w:val="008A3B12"/>
    <w:rsid w:val="008A4148"/>
    <w:rsid w:val="008A4E21"/>
    <w:rsid w:val="008A52A1"/>
    <w:rsid w:val="008A64E2"/>
    <w:rsid w:val="008A6A7E"/>
    <w:rsid w:val="008A73A9"/>
    <w:rsid w:val="008B024C"/>
    <w:rsid w:val="008B3130"/>
    <w:rsid w:val="008B3DBF"/>
    <w:rsid w:val="008B45DF"/>
    <w:rsid w:val="008B5740"/>
    <w:rsid w:val="008B5DD4"/>
    <w:rsid w:val="008B5F80"/>
    <w:rsid w:val="008B767C"/>
    <w:rsid w:val="008B7984"/>
    <w:rsid w:val="008B7B09"/>
    <w:rsid w:val="008C0127"/>
    <w:rsid w:val="008C1245"/>
    <w:rsid w:val="008C1E1C"/>
    <w:rsid w:val="008C2061"/>
    <w:rsid w:val="008C25F6"/>
    <w:rsid w:val="008C3165"/>
    <w:rsid w:val="008C34BD"/>
    <w:rsid w:val="008C3DCA"/>
    <w:rsid w:val="008C4D44"/>
    <w:rsid w:val="008C50FC"/>
    <w:rsid w:val="008C52E6"/>
    <w:rsid w:val="008C5A3A"/>
    <w:rsid w:val="008C5D4B"/>
    <w:rsid w:val="008C5E91"/>
    <w:rsid w:val="008C6213"/>
    <w:rsid w:val="008C62E5"/>
    <w:rsid w:val="008C7795"/>
    <w:rsid w:val="008C7D08"/>
    <w:rsid w:val="008D04BE"/>
    <w:rsid w:val="008D055D"/>
    <w:rsid w:val="008D1544"/>
    <w:rsid w:val="008D2145"/>
    <w:rsid w:val="008D29D0"/>
    <w:rsid w:val="008D321A"/>
    <w:rsid w:val="008D4497"/>
    <w:rsid w:val="008D5CB8"/>
    <w:rsid w:val="008D6295"/>
    <w:rsid w:val="008D74CA"/>
    <w:rsid w:val="008D77F0"/>
    <w:rsid w:val="008D7D48"/>
    <w:rsid w:val="008E0029"/>
    <w:rsid w:val="008E0478"/>
    <w:rsid w:val="008E0AE1"/>
    <w:rsid w:val="008E0B77"/>
    <w:rsid w:val="008E1B23"/>
    <w:rsid w:val="008E1F0D"/>
    <w:rsid w:val="008E2387"/>
    <w:rsid w:val="008E3498"/>
    <w:rsid w:val="008E3AE4"/>
    <w:rsid w:val="008E441E"/>
    <w:rsid w:val="008E4891"/>
    <w:rsid w:val="008E4F78"/>
    <w:rsid w:val="008E56D5"/>
    <w:rsid w:val="008E59D1"/>
    <w:rsid w:val="008E63C1"/>
    <w:rsid w:val="008E705C"/>
    <w:rsid w:val="008E77BF"/>
    <w:rsid w:val="008F002C"/>
    <w:rsid w:val="008F0214"/>
    <w:rsid w:val="008F0335"/>
    <w:rsid w:val="008F0EC0"/>
    <w:rsid w:val="008F1BA3"/>
    <w:rsid w:val="008F1E87"/>
    <w:rsid w:val="008F3DCC"/>
    <w:rsid w:val="008F3F85"/>
    <w:rsid w:val="008F408A"/>
    <w:rsid w:val="008F43AC"/>
    <w:rsid w:val="008F4C4E"/>
    <w:rsid w:val="008F55D0"/>
    <w:rsid w:val="008F6703"/>
    <w:rsid w:val="008F698D"/>
    <w:rsid w:val="00901229"/>
    <w:rsid w:val="009015C0"/>
    <w:rsid w:val="0090168F"/>
    <w:rsid w:val="00901B88"/>
    <w:rsid w:val="00901D10"/>
    <w:rsid w:val="009028D9"/>
    <w:rsid w:val="0090379B"/>
    <w:rsid w:val="00903C3B"/>
    <w:rsid w:val="00904532"/>
    <w:rsid w:val="00904971"/>
    <w:rsid w:val="00905081"/>
    <w:rsid w:val="009053DC"/>
    <w:rsid w:val="00905425"/>
    <w:rsid w:val="009077BF"/>
    <w:rsid w:val="0091050C"/>
    <w:rsid w:val="00911B9A"/>
    <w:rsid w:val="00911DAC"/>
    <w:rsid w:val="009121FA"/>
    <w:rsid w:val="00912E70"/>
    <w:rsid w:val="00914124"/>
    <w:rsid w:val="009151B8"/>
    <w:rsid w:val="00915711"/>
    <w:rsid w:val="00915D84"/>
    <w:rsid w:val="00915DFE"/>
    <w:rsid w:val="00915FE1"/>
    <w:rsid w:val="009161E2"/>
    <w:rsid w:val="0091639C"/>
    <w:rsid w:val="0091692A"/>
    <w:rsid w:val="0091694B"/>
    <w:rsid w:val="00916EFB"/>
    <w:rsid w:val="00917725"/>
    <w:rsid w:val="00917A58"/>
    <w:rsid w:val="00917FB5"/>
    <w:rsid w:val="0092002D"/>
    <w:rsid w:val="0092071E"/>
    <w:rsid w:val="00920770"/>
    <w:rsid w:val="00920D80"/>
    <w:rsid w:val="009211B8"/>
    <w:rsid w:val="00921A0F"/>
    <w:rsid w:val="0092265A"/>
    <w:rsid w:val="00923347"/>
    <w:rsid w:val="009238EC"/>
    <w:rsid w:val="00923E78"/>
    <w:rsid w:val="00924156"/>
    <w:rsid w:val="00924558"/>
    <w:rsid w:val="009245B4"/>
    <w:rsid w:val="00924AEF"/>
    <w:rsid w:val="00924D8D"/>
    <w:rsid w:val="00924FE6"/>
    <w:rsid w:val="00925190"/>
    <w:rsid w:val="009251E7"/>
    <w:rsid w:val="009255F3"/>
    <w:rsid w:val="00925B1E"/>
    <w:rsid w:val="0092674A"/>
    <w:rsid w:val="00926F22"/>
    <w:rsid w:val="00927272"/>
    <w:rsid w:val="00930D94"/>
    <w:rsid w:val="00931043"/>
    <w:rsid w:val="009310D5"/>
    <w:rsid w:val="00931931"/>
    <w:rsid w:val="00931B2F"/>
    <w:rsid w:val="00931C1B"/>
    <w:rsid w:val="009320D3"/>
    <w:rsid w:val="009330EB"/>
    <w:rsid w:val="00934253"/>
    <w:rsid w:val="00934674"/>
    <w:rsid w:val="009360D0"/>
    <w:rsid w:val="009361C7"/>
    <w:rsid w:val="00936A69"/>
    <w:rsid w:val="00936B6D"/>
    <w:rsid w:val="00937C64"/>
    <w:rsid w:val="009400B7"/>
    <w:rsid w:val="009413D6"/>
    <w:rsid w:val="0094170E"/>
    <w:rsid w:val="0094176A"/>
    <w:rsid w:val="009417BE"/>
    <w:rsid w:val="009426E5"/>
    <w:rsid w:val="009427FE"/>
    <w:rsid w:val="00942992"/>
    <w:rsid w:val="009430CA"/>
    <w:rsid w:val="00943824"/>
    <w:rsid w:val="009442FA"/>
    <w:rsid w:val="009449BC"/>
    <w:rsid w:val="009451B2"/>
    <w:rsid w:val="00945256"/>
    <w:rsid w:val="009454CA"/>
    <w:rsid w:val="0094699F"/>
    <w:rsid w:val="009478D6"/>
    <w:rsid w:val="009478DD"/>
    <w:rsid w:val="00950455"/>
    <w:rsid w:val="009508CB"/>
    <w:rsid w:val="00951A8D"/>
    <w:rsid w:val="00951AD1"/>
    <w:rsid w:val="0095240A"/>
    <w:rsid w:val="0095304E"/>
    <w:rsid w:val="0095394E"/>
    <w:rsid w:val="00954673"/>
    <w:rsid w:val="00954BF9"/>
    <w:rsid w:val="00954F3E"/>
    <w:rsid w:val="009551A8"/>
    <w:rsid w:val="00955C3E"/>
    <w:rsid w:val="00956A70"/>
    <w:rsid w:val="00956B7C"/>
    <w:rsid w:val="00956CF3"/>
    <w:rsid w:val="0095745B"/>
    <w:rsid w:val="00957ED6"/>
    <w:rsid w:val="0096025D"/>
    <w:rsid w:val="00960BAE"/>
    <w:rsid w:val="0096107B"/>
    <w:rsid w:val="00961AAC"/>
    <w:rsid w:val="00961C72"/>
    <w:rsid w:val="00961F9C"/>
    <w:rsid w:val="009625C5"/>
    <w:rsid w:val="00962A92"/>
    <w:rsid w:val="009630D2"/>
    <w:rsid w:val="00963262"/>
    <w:rsid w:val="009634D7"/>
    <w:rsid w:val="0096470F"/>
    <w:rsid w:val="00964CFC"/>
    <w:rsid w:val="00964F4D"/>
    <w:rsid w:val="009654A2"/>
    <w:rsid w:val="00965598"/>
    <w:rsid w:val="00966101"/>
    <w:rsid w:val="009668E0"/>
    <w:rsid w:val="0097015C"/>
    <w:rsid w:val="0097119A"/>
    <w:rsid w:val="009714E2"/>
    <w:rsid w:val="0097189F"/>
    <w:rsid w:val="00971E43"/>
    <w:rsid w:val="00971FBD"/>
    <w:rsid w:val="0097217A"/>
    <w:rsid w:val="00972BAE"/>
    <w:rsid w:val="00972FF3"/>
    <w:rsid w:val="009730B9"/>
    <w:rsid w:val="00973825"/>
    <w:rsid w:val="00973DC9"/>
    <w:rsid w:val="00973F5C"/>
    <w:rsid w:val="00974169"/>
    <w:rsid w:val="0097436B"/>
    <w:rsid w:val="00974F8B"/>
    <w:rsid w:val="00975469"/>
    <w:rsid w:val="009759DE"/>
    <w:rsid w:val="00976D0F"/>
    <w:rsid w:val="009773CE"/>
    <w:rsid w:val="0097796B"/>
    <w:rsid w:val="00977A26"/>
    <w:rsid w:val="00977ADF"/>
    <w:rsid w:val="00977FE7"/>
    <w:rsid w:val="009807E9"/>
    <w:rsid w:val="00980D1F"/>
    <w:rsid w:val="00981B0A"/>
    <w:rsid w:val="00982904"/>
    <w:rsid w:val="00982DEB"/>
    <w:rsid w:val="009838F2"/>
    <w:rsid w:val="00983D81"/>
    <w:rsid w:val="00984925"/>
    <w:rsid w:val="00984938"/>
    <w:rsid w:val="00985010"/>
    <w:rsid w:val="00985214"/>
    <w:rsid w:val="00985737"/>
    <w:rsid w:val="00985A02"/>
    <w:rsid w:val="00986D43"/>
    <w:rsid w:val="00986DA6"/>
    <w:rsid w:val="00987A61"/>
    <w:rsid w:val="0099044D"/>
    <w:rsid w:val="00990CA9"/>
    <w:rsid w:val="00992081"/>
    <w:rsid w:val="009921EE"/>
    <w:rsid w:val="0099290B"/>
    <w:rsid w:val="0099362A"/>
    <w:rsid w:val="009936E7"/>
    <w:rsid w:val="00994BFB"/>
    <w:rsid w:val="009952D9"/>
    <w:rsid w:val="00996054"/>
    <w:rsid w:val="009961F4"/>
    <w:rsid w:val="00996B1A"/>
    <w:rsid w:val="00996ECE"/>
    <w:rsid w:val="009974CA"/>
    <w:rsid w:val="009A037B"/>
    <w:rsid w:val="009A043F"/>
    <w:rsid w:val="009A0B5B"/>
    <w:rsid w:val="009A1C27"/>
    <w:rsid w:val="009A24E4"/>
    <w:rsid w:val="009A29D8"/>
    <w:rsid w:val="009A54B4"/>
    <w:rsid w:val="009A5AEB"/>
    <w:rsid w:val="009A6823"/>
    <w:rsid w:val="009A6E45"/>
    <w:rsid w:val="009A78ED"/>
    <w:rsid w:val="009A7A35"/>
    <w:rsid w:val="009A7D46"/>
    <w:rsid w:val="009B0BF6"/>
    <w:rsid w:val="009B1630"/>
    <w:rsid w:val="009B1F31"/>
    <w:rsid w:val="009B2551"/>
    <w:rsid w:val="009B2D09"/>
    <w:rsid w:val="009B2F99"/>
    <w:rsid w:val="009B36D4"/>
    <w:rsid w:val="009B3A1C"/>
    <w:rsid w:val="009B47EA"/>
    <w:rsid w:val="009B52A3"/>
    <w:rsid w:val="009B58D8"/>
    <w:rsid w:val="009B5F30"/>
    <w:rsid w:val="009B6659"/>
    <w:rsid w:val="009B6875"/>
    <w:rsid w:val="009B75FF"/>
    <w:rsid w:val="009B766E"/>
    <w:rsid w:val="009C019B"/>
    <w:rsid w:val="009C0241"/>
    <w:rsid w:val="009C043A"/>
    <w:rsid w:val="009C0BEB"/>
    <w:rsid w:val="009C0C71"/>
    <w:rsid w:val="009C1C0F"/>
    <w:rsid w:val="009C2C33"/>
    <w:rsid w:val="009C2CCE"/>
    <w:rsid w:val="009C481B"/>
    <w:rsid w:val="009C4A8C"/>
    <w:rsid w:val="009C4D7C"/>
    <w:rsid w:val="009C4E9C"/>
    <w:rsid w:val="009C5814"/>
    <w:rsid w:val="009C6E4A"/>
    <w:rsid w:val="009C6FFE"/>
    <w:rsid w:val="009C78FE"/>
    <w:rsid w:val="009C7BF9"/>
    <w:rsid w:val="009D0343"/>
    <w:rsid w:val="009D0B48"/>
    <w:rsid w:val="009D1B6F"/>
    <w:rsid w:val="009D298F"/>
    <w:rsid w:val="009D2DF3"/>
    <w:rsid w:val="009D4C77"/>
    <w:rsid w:val="009D628E"/>
    <w:rsid w:val="009D63FC"/>
    <w:rsid w:val="009D7394"/>
    <w:rsid w:val="009D73D5"/>
    <w:rsid w:val="009D7A6E"/>
    <w:rsid w:val="009D7FC5"/>
    <w:rsid w:val="009E011D"/>
    <w:rsid w:val="009E03E7"/>
    <w:rsid w:val="009E03EB"/>
    <w:rsid w:val="009E181B"/>
    <w:rsid w:val="009E22E2"/>
    <w:rsid w:val="009E2500"/>
    <w:rsid w:val="009E524C"/>
    <w:rsid w:val="009E5664"/>
    <w:rsid w:val="009E6046"/>
    <w:rsid w:val="009E676F"/>
    <w:rsid w:val="009E6F5D"/>
    <w:rsid w:val="009F03E6"/>
    <w:rsid w:val="009F2494"/>
    <w:rsid w:val="009F2D1B"/>
    <w:rsid w:val="009F3CAE"/>
    <w:rsid w:val="009F3E11"/>
    <w:rsid w:val="009F3E7B"/>
    <w:rsid w:val="009F4020"/>
    <w:rsid w:val="009F4021"/>
    <w:rsid w:val="009F5153"/>
    <w:rsid w:val="009F623C"/>
    <w:rsid w:val="009F6E35"/>
    <w:rsid w:val="00A00640"/>
    <w:rsid w:val="00A0170B"/>
    <w:rsid w:val="00A01911"/>
    <w:rsid w:val="00A01CAD"/>
    <w:rsid w:val="00A032FC"/>
    <w:rsid w:val="00A036BF"/>
    <w:rsid w:val="00A047A0"/>
    <w:rsid w:val="00A0541B"/>
    <w:rsid w:val="00A0588B"/>
    <w:rsid w:val="00A06782"/>
    <w:rsid w:val="00A0709D"/>
    <w:rsid w:val="00A071D9"/>
    <w:rsid w:val="00A10515"/>
    <w:rsid w:val="00A1097E"/>
    <w:rsid w:val="00A113BF"/>
    <w:rsid w:val="00A14159"/>
    <w:rsid w:val="00A143CE"/>
    <w:rsid w:val="00A149F6"/>
    <w:rsid w:val="00A14A8E"/>
    <w:rsid w:val="00A157C8"/>
    <w:rsid w:val="00A15A96"/>
    <w:rsid w:val="00A15F9E"/>
    <w:rsid w:val="00A16303"/>
    <w:rsid w:val="00A16DFC"/>
    <w:rsid w:val="00A17221"/>
    <w:rsid w:val="00A17F92"/>
    <w:rsid w:val="00A21998"/>
    <w:rsid w:val="00A21E6F"/>
    <w:rsid w:val="00A22228"/>
    <w:rsid w:val="00A22C9F"/>
    <w:rsid w:val="00A22D7F"/>
    <w:rsid w:val="00A236CE"/>
    <w:rsid w:val="00A23A20"/>
    <w:rsid w:val="00A23AEB"/>
    <w:rsid w:val="00A2404C"/>
    <w:rsid w:val="00A2443D"/>
    <w:rsid w:val="00A24938"/>
    <w:rsid w:val="00A25490"/>
    <w:rsid w:val="00A2573A"/>
    <w:rsid w:val="00A25F47"/>
    <w:rsid w:val="00A2690B"/>
    <w:rsid w:val="00A274B8"/>
    <w:rsid w:val="00A27C53"/>
    <w:rsid w:val="00A27D39"/>
    <w:rsid w:val="00A30161"/>
    <w:rsid w:val="00A31044"/>
    <w:rsid w:val="00A32453"/>
    <w:rsid w:val="00A32F9C"/>
    <w:rsid w:val="00A335F7"/>
    <w:rsid w:val="00A33601"/>
    <w:rsid w:val="00A3530B"/>
    <w:rsid w:val="00A35319"/>
    <w:rsid w:val="00A35807"/>
    <w:rsid w:val="00A35A38"/>
    <w:rsid w:val="00A36D81"/>
    <w:rsid w:val="00A36F8E"/>
    <w:rsid w:val="00A37048"/>
    <w:rsid w:val="00A37AA5"/>
    <w:rsid w:val="00A41960"/>
    <w:rsid w:val="00A4196C"/>
    <w:rsid w:val="00A41F06"/>
    <w:rsid w:val="00A4266C"/>
    <w:rsid w:val="00A4295E"/>
    <w:rsid w:val="00A42E65"/>
    <w:rsid w:val="00A43AEF"/>
    <w:rsid w:val="00A44372"/>
    <w:rsid w:val="00A4441C"/>
    <w:rsid w:val="00A448DF"/>
    <w:rsid w:val="00A454EF"/>
    <w:rsid w:val="00A459C1"/>
    <w:rsid w:val="00A46414"/>
    <w:rsid w:val="00A4683D"/>
    <w:rsid w:val="00A470F0"/>
    <w:rsid w:val="00A47157"/>
    <w:rsid w:val="00A47FBE"/>
    <w:rsid w:val="00A51E78"/>
    <w:rsid w:val="00A523A0"/>
    <w:rsid w:val="00A524E5"/>
    <w:rsid w:val="00A5287B"/>
    <w:rsid w:val="00A52953"/>
    <w:rsid w:val="00A52ADA"/>
    <w:rsid w:val="00A5323C"/>
    <w:rsid w:val="00A534C7"/>
    <w:rsid w:val="00A547C0"/>
    <w:rsid w:val="00A54C46"/>
    <w:rsid w:val="00A554AF"/>
    <w:rsid w:val="00A55500"/>
    <w:rsid w:val="00A55D89"/>
    <w:rsid w:val="00A564C4"/>
    <w:rsid w:val="00A56C03"/>
    <w:rsid w:val="00A57080"/>
    <w:rsid w:val="00A572E8"/>
    <w:rsid w:val="00A57673"/>
    <w:rsid w:val="00A576F4"/>
    <w:rsid w:val="00A60717"/>
    <w:rsid w:val="00A60C66"/>
    <w:rsid w:val="00A60ED7"/>
    <w:rsid w:val="00A613EF"/>
    <w:rsid w:val="00A61492"/>
    <w:rsid w:val="00A6153E"/>
    <w:rsid w:val="00A61839"/>
    <w:rsid w:val="00A622AA"/>
    <w:rsid w:val="00A62388"/>
    <w:rsid w:val="00A63AA3"/>
    <w:rsid w:val="00A646D7"/>
    <w:rsid w:val="00A64B14"/>
    <w:rsid w:val="00A64B65"/>
    <w:rsid w:val="00A64DA8"/>
    <w:rsid w:val="00A650CE"/>
    <w:rsid w:val="00A65231"/>
    <w:rsid w:val="00A65915"/>
    <w:rsid w:val="00A66320"/>
    <w:rsid w:val="00A66617"/>
    <w:rsid w:val="00A66D43"/>
    <w:rsid w:val="00A67763"/>
    <w:rsid w:val="00A67768"/>
    <w:rsid w:val="00A67874"/>
    <w:rsid w:val="00A67B3E"/>
    <w:rsid w:val="00A67C4F"/>
    <w:rsid w:val="00A70830"/>
    <w:rsid w:val="00A70D3F"/>
    <w:rsid w:val="00A70FC3"/>
    <w:rsid w:val="00A7234A"/>
    <w:rsid w:val="00A72571"/>
    <w:rsid w:val="00A72665"/>
    <w:rsid w:val="00A72750"/>
    <w:rsid w:val="00A72785"/>
    <w:rsid w:val="00A7304C"/>
    <w:rsid w:val="00A74681"/>
    <w:rsid w:val="00A74689"/>
    <w:rsid w:val="00A749D5"/>
    <w:rsid w:val="00A74B79"/>
    <w:rsid w:val="00A7543C"/>
    <w:rsid w:val="00A75469"/>
    <w:rsid w:val="00A754CD"/>
    <w:rsid w:val="00A7792B"/>
    <w:rsid w:val="00A77FCD"/>
    <w:rsid w:val="00A80032"/>
    <w:rsid w:val="00A808E6"/>
    <w:rsid w:val="00A81501"/>
    <w:rsid w:val="00A81EC8"/>
    <w:rsid w:val="00A825D4"/>
    <w:rsid w:val="00A83623"/>
    <w:rsid w:val="00A83878"/>
    <w:rsid w:val="00A84943"/>
    <w:rsid w:val="00A84EA1"/>
    <w:rsid w:val="00A852F0"/>
    <w:rsid w:val="00A854CD"/>
    <w:rsid w:val="00A8652F"/>
    <w:rsid w:val="00A870B3"/>
    <w:rsid w:val="00A91E17"/>
    <w:rsid w:val="00A91F1B"/>
    <w:rsid w:val="00A92016"/>
    <w:rsid w:val="00A9228D"/>
    <w:rsid w:val="00A93197"/>
    <w:rsid w:val="00A943EF"/>
    <w:rsid w:val="00A9450B"/>
    <w:rsid w:val="00A94640"/>
    <w:rsid w:val="00A94B23"/>
    <w:rsid w:val="00A95ECA"/>
    <w:rsid w:val="00A9615B"/>
    <w:rsid w:val="00A964D4"/>
    <w:rsid w:val="00A96F02"/>
    <w:rsid w:val="00A9752C"/>
    <w:rsid w:val="00A9790B"/>
    <w:rsid w:val="00A97994"/>
    <w:rsid w:val="00AA00DC"/>
    <w:rsid w:val="00AA0198"/>
    <w:rsid w:val="00AA11F9"/>
    <w:rsid w:val="00AA2094"/>
    <w:rsid w:val="00AA39C7"/>
    <w:rsid w:val="00AA3EE5"/>
    <w:rsid w:val="00AA4109"/>
    <w:rsid w:val="00AA45A5"/>
    <w:rsid w:val="00AA4666"/>
    <w:rsid w:val="00AA5663"/>
    <w:rsid w:val="00AA5711"/>
    <w:rsid w:val="00AA6C26"/>
    <w:rsid w:val="00AA6C97"/>
    <w:rsid w:val="00AA7ECF"/>
    <w:rsid w:val="00AB044F"/>
    <w:rsid w:val="00AB10C0"/>
    <w:rsid w:val="00AB154E"/>
    <w:rsid w:val="00AB1D2C"/>
    <w:rsid w:val="00AB1E94"/>
    <w:rsid w:val="00AB201B"/>
    <w:rsid w:val="00AB421E"/>
    <w:rsid w:val="00AB4625"/>
    <w:rsid w:val="00AB4C30"/>
    <w:rsid w:val="00AB4F6A"/>
    <w:rsid w:val="00AB5B07"/>
    <w:rsid w:val="00AB5DAD"/>
    <w:rsid w:val="00AB5F1A"/>
    <w:rsid w:val="00AB5FDE"/>
    <w:rsid w:val="00AB6D23"/>
    <w:rsid w:val="00AB70A2"/>
    <w:rsid w:val="00AB7A9A"/>
    <w:rsid w:val="00AC02C1"/>
    <w:rsid w:val="00AC0A5F"/>
    <w:rsid w:val="00AC0AEE"/>
    <w:rsid w:val="00AC0B27"/>
    <w:rsid w:val="00AC0B92"/>
    <w:rsid w:val="00AC0BCB"/>
    <w:rsid w:val="00AC11E8"/>
    <w:rsid w:val="00AC1415"/>
    <w:rsid w:val="00AC170B"/>
    <w:rsid w:val="00AC1999"/>
    <w:rsid w:val="00AC20B5"/>
    <w:rsid w:val="00AC267E"/>
    <w:rsid w:val="00AC2924"/>
    <w:rsid w:val="00AC32E4"/>
    <w:rsid w:val="00AC3A38"/>
    <w:rsid w:val="00AC3D9B"/>
    <w:rsid w:val="00AC530B"/>
    <w:rsid w:val="00AC5402"/>
    <w:rsid w:val="00AC5CA0"/>
    <w:rsid w:val="00AC5CE6"/>
    <w:rsid w:val="00AC61E9"/>
    <w:rsid w:val="00AC6E5C"/>
    <w:rsid w:val="00AC79C8"/>
    <w:rsid w:val="00AC7A10"/>
    <w:rsid w:val="00AC7C31"/>
    <w:rsid w:val="00AC7CA9"/>
    <w:rsid w:val="00AD0B5F"/>
    <w:rsid w:val="00AD0D1C"/>
    <w:rsid w:val="00AD0F4C"/>
    <w:rsid w:val="00AD2008"/>
    <w:rsid w:val="00AD24CE"/>
    <w:rsid w:val="00AD2AE3"/>
    <w:rsid w:val="00AD3357"/>
    <w:rsid w:val="00AD3807"/>
    <w:rsid w:val="00AD4275"/>
    <w:rsid w:val="00AD4DE2"/>
    <w:rsid w:val="00AD4DE7"/>
    <w:rsid w:val="00AD4EC8"/>
    <w:rsid w:val="00AD58F7"/>
    <w:rsid w:val="00AD6694"/>
    <w:rsid w:val="00AD7CEA"/>
    <w:rsid w:val="00AD7E52"/>
    <w:rsid w:val="00AD7F46"/>
    <w:rsid w:val="00AE0743"/>
    <w:rsid w:val="00AE0EDD"/>
    <w:rsid w:val="00AE0F81"/>
    <w:rsid w:val="00AE1879"/>
    <w:rsid w:val="00AE241F"/>
    <w:rsid w:val="00AE289E"/>
    <w:rsid w:val="00AE2F4B"/>
    <w:rsid w:val="00AE3033"/>
    <w:rsid w:val="00AE34EF"/>
    <w:rsid w:val="00AE3E61"/>
    <w:rsid w:val="00AE45A8"/>
    <w:rsid w:val="00AE52F6"/>
    <w:rsid w:val="00AE5F5F"/>
    <w:rsid w:val="00AE61EA"/>
    <w:rsid w:val="00AE6653"/>
    <w:rsid w:val="00AE7198"/>
    <w:rsid w:val="00AE7278"/>
    <w:rsid w:val="00AE75B2"/>
    <w:rsid w:val="00AF06A0"/>
    <w:rsid w:val="00AF0A34"/>
    <w:rsid w:val="00AF20F5"/>
    <w:rsid w:val="00AF330D"/>
    <w:rsid w:val="00AF40AA"/>
    <w:rsid w:val="00AF46CC"/>
    <w:rsid w:val="00AF595D"/>
    <w:rsid w:val="00AF59E6"/>
    <w:rsid w:val="00AF5E9B"/>
    <w:rsid w:val="00AF6322"/>
    <w:rsid w:val="00AF6B7B"/>
    <w:rsid w:val="00AF72AA"/>
    <w:rsid w:val="00B00025"/>
    <w:rsid w:val="00B001B7"/>
    <w:rsid w:val="00B009F8"/>
    <w:rsid w:val="00B00C9D"/>
    <w:rsid w:val="00B0135D"/>
    <w:rsid w:val="00B01C36"/>
    <w:rsid w:val="00B0220B"/>
    <w:rsid w:val="00B0326F"/>
    <w:rsid w:val="00B033EC"/>
    <w:rsid w:val="00B03A7F"/>
    <w:rsid w:val="00B0453B"/>
    <w:rsid w:val="00B04A4B"/>
    <w:rsid w:val="00B04A5C"/>
    <w:rsid w:val="00B05370"/>
    <w:rsid w:val="00B07241"/>
    <w:rsid w:val="00B07B10"/>
    <w:rsid w:val="00B07DAD"/>
    <w:rsid w:val="00B10268"/>
    <w:rsid w:val="00B10A1E"/>
    <w:rsid w:val="00B11571"/>
    <w:rsid w:val="00B117E5"/>
    <w:rsid w:val="00B11CA9"/>
    <w:rsid w:val="00B121C2"/>
    <w:rsid w:val="00B12F72"/>
    <w:rsid w:val="00B15F74"/>
    <w:rsid w:val="00B16C81"/>
    <w:rsid w:val="00B17421"/>
    <w:rsid w:val="00B176FB"/>
    <w:rsid w:val="00B17A75"/>
    <w:rsid w:val="00B17AB4"/>
    <w:rsid w:val="00B17B39"/>
    <w:rsid w:val="00B204FE"/>
    <w:rsid w:val="00B2059D"/>
    <w:rsid w:val="00B218A9"/>
    <w:rsid w:val="00B2216E"/>
    <w:rsid w:val="00B2223A"/>
    <w:rsid w:val="00B2294C"/>
    <w:rsid w:val="00B22D39"/>
    <w:rsid w:val="00B23C0F"/>
    <w:rsid w:val="00B246CE"/>
    <w:rsid w:val="00B25F25"/>
    <w:rsid w:val="00B26A96"/>
    <w:rsid w:val="00B26AB7"/>
    <w:rsid w:val="00B273F8"/>
    <w:rsid w:val="00B27A1C"/>
    <w:rsid w:val="00B27B02"/>
    <w:rsid w:val="00B304B4"/>
    <w:rsid w:val="00B30A72"/>
    <w:rsid w:val="00B30E88"/>
    <w:rsid w:val="00B32AFA"/>
    <w:rsid w:val="00B3302B"/>
    <w:rsid w:val="00B338B8"/>
    <w:rsid w:val="00B33FB3"/>
    <w:rsid w:val="00B34133"/>
    <w:rsid w:val="00B345CE"/>
    <w:rsid w:val="00B36306"/>
    <w:rsid w:val="00B370AD"/>
    <w:rsid w:val="00B3720B"/>
    <w:rsid w:val="00B37574"/>
    <w:rsid w:val="00B42697"/>
    <w:rsid w:val="00B426F6"/>
    <w:rsid w:val="00B42D1D"/>
    <w:rsid w:val="00B42F43"/>
    <w:rsid w:val="00B4424E"/>
    <w:rsid w:val="00B44E06"/>
    <w:rsid w:val="00B44E5D"/>
    <w:rsid w:val="00B45E8D"/>
    <w:rsid w:val="00B46708"/>
    <w:rsid w:val="00B46B25"/>
    <w:rsid w:val="00B4770F"/>
    <w:rsid w:val="00B478C2"/>
    <w:rsid w:val="00B50525"/>
    <w:rsid w:val="00B50FD3"/>
    <w:rsid w:val="00B517C4"/>
    <w:rsid w:val="00B51B47"/>
    <w:rsid w:val="00B51F1F"/>
    <w:rsid w:val="00B51FBD"/>
    <w:rsid w:val="00B52264"/>
    <w:rsid w:val="00B5298A"/>
    <w:rsid w:val="00B5366E"/>
    <w:rsid w:val="00B53FD7"/>
    <w:rsid w:val="00B54224"/>
    <w:rsid w:val="00B54398"/>
    <w:rsid w:val="00B54523"/>
    <w:rsid w:val="00B5565E"/>
    <w:rsid w:val="00B55875"/>
    <w:rsid w:val="00B55CEF"/>
    <w:rsid w:val="00B56EA8"/>
    <w:rsid w:val="00B5704C"/>
    <w:rsid w:val="00B57EA6"/>
    <w:rsid w:val="00B6076C"/>
    <w:rsid w:val="00B6091C"/>
    <w:rsid w:val="00B60B4D"/>
    <w:rsid w:val="00B626B7"/>
    <w:rsid w:val="00B627AE"/>
    <w:rsid w:val="00B631FF"/>
    <w:rsid w:val="00B63313"/>
    <w:rsid w:val="00B639E8"/>
    <w:rsid w:val="00B63C9E"/>
    <w:rsid w:val="00B642B1"/>
    <w:rsid w:val="00B646C7"/>
    <w:rsid w:val="00B66736"/>
    <w:rsid w:val="00B6702E"/>
    <w:rsid w:val="00B6778E"/>
    <w:rsid w:val="00B677C0"/>
    <w:rsid w:val="00B67D1D"/>
    <w:rsid w:val="00B7088F"/>
    <w:rsid w:val="00B7126C"/>
    <w:rsid w:val="00B71BA8"/>
    <w:rsid w:val="00B71C5A"/>
    <w:rsid w:val="00B72099"/>
    <w:rsid w:val="00B723AF"/>
    <w:rsid w:val="00B726E5"/>
    <w:rsid w:val="00B74BE1"/>
    <w:rsid w:val="00B750B0"/>
    <w:rsid w:val="00B7582D"/>
    <w:rsid w:val="00B760BB"/>
    <w:rsid w:val="00B76583"/>
    <w:rsid w:val="00B76963"/>
    <w:rsid w:val="00B76FEE"/>
    <w:rsid w:val="00B7748D"/>
    <w:rsid w:val="00B77648"/>
    <w:rsid w:val="00B777B9"/>
    <w:rsid w:val="00B77C40"/>
    <w:rsid w:val="00B77FAD"/>
    <w:rsid w:val="00B803E2"/>
    <w:rsid w:val="00B805B8"/>
    <w:rsid w:val="00B805F8"/>
    <w:rsid w:val="00B80653"/>
    <w:rsid w:val="00B80B8A"/>
    <w:rsid w:val="00B80DDB"/>
    <w:rsid w:val="00B8133B"/>
    <w:rsid w:val="00B815D7"/>
    <w:rsid w:val="00B81828"/>
    <w:rsid w:val="00B81B1F"/>
    <w:rsid w:val="00B81E89"/>
    <w:rsid w:val="00B824B1"/>
    <w:rsid w:val="00B8271D"/>
    <w:rsid w:val="00B8292F"/>
    <w:rsid w:val="00B82E9B"/>
    <w:rsid w:val="00B86472"/>
    <w:rsid w:val="00B8665A"/>
    <w:rsid w:val="00B86990"/>
    <w:rsid w:val="00B87299"/>
    <w:rsid w:val="00B9049A"/>
    <w:rsid w:val="00B918AF"/>
    <w:rsid w:val="00B923F6"/>
    <w:rsid w:val="00B92703"/>
    <w:rsid w:val="00B930BE"/>
    <w:rsid w:val="00B9368E"/>
    <w:rsid w:val="00B937A1"/>
    <w:rsid w:val="00B93DF8"/>
    <w:rsid w:val="00B944AE"/>
    <w:rsid w:val="00B9499C"/>
    <w:rsid w:val="00B94B4A"/>
    <w:rsid w:val="00B94FFE"/>
    <w:rsid w:val="00B950CF"/>
    <w:rsid w:val="00B9606D"/>
    <w:rsid w:val="00B961ED"/>
    <w:rsid w:val="00B962D5"/>
    <w:rsid w:val="00B96310"/>
    <w:rsid w:val="00B974B3"/>
    <w:rsid w:val="00BA0CAF"/>
    <w:rsid w:val="00BA0F06"/>
    <w:rsid w:val="00BA1474"/>
    <w:rsid w:val="00BA24AE"/>
    <w:rsid w:val="00BA25CE"/>
    <w:rsid w:val="00BA51C6"/>
    <w:rsid w:val="00BA5243"/>
    <w:rsid w:val="00BA56FE"/>
    <w:rsid w:val="00BA5BC9"/>
    <w:rsid w:val="00BA5F88"/>
    <w:rsid w:val="00BA626E"/>
    <w:rsid w:val="00BA6B8D"/>
    <w:rsid w:val="00BA703A"/>
    <w:rsid w:val="00BA715C"/>
    <w:rsid w:val="00BA7833"/>
    <w:rsid w:val="00BA7C3E"/>
    <w:rsid w:val="00BB03DD"/>
    <w:rsid w:val="00BB04AE"/>
    <w:rsid w:val="00BB0F0C"/>
    <w:rsid w:val="00BB11ED"/>
    <w:rsid w:val="00BB124C"/>
    <w:rsid w:val="00BB1BF4"/>
    <w:rsid w:val="00BB21A2"/>
    <w:rsid w:val="00BB3A30"/>
    <w:rsid w:val="00BB3CB2"/>
    <w:rsid w:val="00BB4969"/>
    <w:rsid w:val="00BB579F"/>
    <w:rsid w:val="00BB6969"/>
    <w:rsid w:val="00BB6B1D"/>
    <w:rsid w:val="00BB7E2B"/>
    <w:rsid w:val="00BB7F8E"/>
    <w:rsid w:val="00BC14AC"/>
    <w:rsid w:val="00BC17DE"/>
    <w:rsid w:val="00BC18BA"/>
    <w:rsid w:val="00BC3DC8"/>
    <w:rsid w:val="00BC406C"/>
    <w:rsid w:val="00BC4DC5"/>
    <w:rsid w:val="00BC6364"/>
    <w:rsid w:val="00BC6CE4"/>
    <w:rsid w:val="00BC6F88"/>
    <w:rsid w:val="00BC7252"/>
    <w:rsid w:val="00BC77F1"/>
    <w:rsid w:val="00BC786A"/>
    <w:rsid w:val="00BC7A40"/>
    <w:rsid w:val="00BC7F2F"/>
    <w:rsid w:val="00BD01C0"/>
    <w:rsid w:val="00BD0953"/>
    <w:rsid w:val="00BD09F0"/>
    <w:rsid w:val="00BD156D"/>
    <w:rsid w:val="00BD25E4"/>
    <w:rsid w:val="00BD27F4"/>
    <w:rsid w:val="00BD327D"/>
    <w:rsid w:val="00BD479F"/>
    <w:rsid w:val="00BD51E4"/>
    <w:rsid w:val="00BD729D"/>
    <w:rsid w:val="00BE03EC"/>
    <w:rsid w:val="00BE1B81"/>
    <w:rsid w:val="00BE21D2"/>
    <w:rsid w:val="00BE2339"/>
    <w:rsid w:val="00BE2B78"/>
    <w:rsid w:val="00BE3A3A"/>
    <w:rsid w:val="00BE42BD"/>
    <w:rsid w:val="00BE439D"/>
    <w:rsid w:val="00BE43D8"/>
    <w:rsid w:val="00BE5215"/>
    <w:rsid w:val="00BE5913"/>
    <w:rsid w:val="00BE7948"/>
    <w:rsid w:val="00BE7B80"/>
    <w:rsid w:val="00BE7FD2"/>
    <w:rsid w:val="00BF0B67"/>
    <w:rsid w:val="00BF1C96"/>
    <w:rsid w:val="00BF3343"/>
    <w:rsid w:val="00BF3C9A"/>
    <w:rsid w:val="00BF3F4B"/>
    <w:rsid w:val="00BF40D0"/>
    <w:rsid w:val="00BF57CC"/>
    <w:rsid w:val="00BF5E3D"/>
    <w:rsid w:val="00BF6A5C"/>
    <w:rsid w:val="00BF73C6"/>
    <w:rsid w:val="00BF7D37"/>
    <w:rsid w:val="00C00555"/>
    <w:rsid w:val="00C02014"/>
    <w:rsid w:val="00C0204A"/>
    <w:rsid w:val="00C023E5"/>
    <w:rsid w:val="00C02B4C"/>
    <w:rsid w:val="00C03019"/>
    <w:rsid w:val="00C0316E"/>
    <w:rsid w:val="00C0335C"/>
    <w:rsid w:val="00C03842"/>
    <w:rsid w:val="00C04467"/>
    <w:rsid w:val="00C04C66"/>
    <w:rsid w:val="00C050A9"/>
    <w:rsid w:val="00C051BB"/>
    <w:rsid w:val="00C059A2"/>
    <w:rsid w:val="00C0641A"/>
    <w:rsid w:val="00C06A7F"/>
    <w:rsid w:val="00C0758B"/>
    <w:rsid w:val="00C07716"/>
    <w:rsid w:val="00C07CB6"/>
    <w:rsid w:val="00C1036E"/>
    <w:rsid w:val="00C114B8"/>
    <w:rsid w:val="00C11598"/>
    <w:rsid w:val="00C11B28"/>
    <w:rsid w:val="00C13299"/>
    <w:rsid w:val="00C13D15"/>
    <w:rsid w:val="00C14553"/>
    <w:rsid w:val="00C14892"/>
    <w:rsid w:val="00C14A4A"/>
    <w:rsid w:val="00C14B67"/>
    <w:rsid w:val="00C14D09"/>
    <w:rsid w:val="00C157E6"/>
    <w:rsid w:val="00C167AC"/>
    <w:rsid w:val="00C16D05"/>
    <w:rsid w:val="00C17541"/>
    <w:rsid w:val="00C203FA"/>
    <w:rsid w:val="00C21CD2"/>
    <w:rsid w:val="00C21DDC"/>
    <w:rsid w:val="00C21F02"/>
    <w:rsid w:val="00C222E4"/>
    <w:rsid w:val="00C2259B"/>
    <w:rsid w:val="00C22C51"/>
    <w:rsid w:val="00C231A0"/>
    <w:rsid w:val="00C24042"/>
    <w:rsid w:val="00C241BE"/>
    <w:rsid w:val="00C2427F"/>
    <w:rsid w:val="00C2484E"/>
    <w:rsid w:val="00C258D4"/>
    <w:rsid w:val="00C25C01"/>
    <w:rsid w:val="00C25CD2"/>
    <w:rsid w:val="00C25EFF"/>
    <w:rsid w:val="00C2622A"/>
    <w:rsid w:val="00C26A41"/>
    <w:rsid w:val="00C26C1B"/>
    <w:rsid w:val="00C26C98"/>
    <w:rsid w:val="00C26CAB"/>
    <w:rsid w:val="00C26F64"/>
    <w:rsid w:val="00C272D7"/>
    <w:rsid w:val="00C27BC8"/>
    <w:rsid w:val="00C27E0B"/>
    <w:rsid w:val="00C27F53"/>
    <w:rsid w:val="00C3045C"/>
    <w:rsid w:val="00C30681"/>
    <w:rsid w:val="00C30D2A"/>
    <w:rsid w:val="00C30DFE"/>
    <w:rsid w:val="00C31029"/>
    <w:rsid w:val="00C32DB6"/>
    <w:rsid w:val="00C33352"/>
    <w:rsid w:val="00C336FC"/>
    <w:rsid w:val="00C33BCE"/>
    <w:rsid w:val="00C33FFA"/>
    <w:rsid w:val="00C34013"/>
    <w:rsid w:val="00C340F5"/>
    <w:rsid w:val="00C34A90"/>
    <w:rsid w:val="00C35840"/>
    <w:rsid w:val="00C35C95"/>
    <w:rsid w:val="00C3638B"/>
    <w:rsid w:val="00C3668B"/>
    <w:rsid w:val="00C36A21"/>
    <w:rsid w:val="00C36BC9"/>
    <w:rsid w:val="00C37FA7"/>
    <w:rsid w:val="00C40BDE"/>
    <w:rsid w:val="00C41181"/>
    <w:rsid w:val="00C41881"/>
    <w:rsid w:val="00C42CAF"/>
    <w:rsid w:val="00C452A0"/>
    <w:rsid w:val="00C45612"/>
    <w:rsid w:val="00C45AA3"/>
    <w:rsid w:val="00C45C7D"/>
    <w:rsid w:val="00C4669B"/>
    <w:rsid w:val="00C505A4"/>
    <w:rsid w:val="00C50776"/>
    <w:rsid w:val="00C51077"/>
    <w:rsid w:val="00C519FF"/>
    <w:rsid w:val="00C5241E"/>
    <w:rsid w:val="00C53292"/>
    <w:rsid w:val="00C535AB"/>
    <w:rsid w:val="00C535F6"/>
    <w:rsid w:val="00C537E1"/>
    <w:rsid w:val="00C53F83"/>
    <w:rsid w:val="00C548FC"/>
    <w:rsid w:val="00C54B1D"/>
    <w:rsid w:val="00C55525"/>
    <w:rsid w:val="00C555AA"/>
    <w:rsid w:val="00C55707"/>
    <w:rsid w:val="00C55A50"/>
    <w:rsid w:val="00C561C7"/>
    <w:rsid w:val="00C56485"/>
    <w:rsid w:val="00C56CF3"/>
    <w:rsid w:val="00C56DAC"/>
    <w:rsid w:val="00C57760"/>
    <w:rsid w:val="00C57FE0"/>
    <w:rsid w:val="00C6127B"/>
    <w:rsid w:val="00C62337"/>
    <w:rsid w:val="00C62DE6"/>
    <w:rsid w:val="00C63307"/>
    <w:rsid w:val="00C6388F"/>
    <w:rsid w:val="00C64384"/>
    <w:rsid w:val="00C64389"/>
    <w:rsid w:val="00C64F56"/>
    <w:rsid w:val="00C65396"/>
    <w:rsid w:val="00C6574A"/>
    <w:rsid w:val="00C65E2A"/>
    <w:rsid w:val="00C6632E"/>
    <w:rsid w:val="00C66404"/>
    <w:rsid w:val="00C67A40"/>
    <w:rsid w:val="00C67DF1"/>
    <w:rsid w:val="00C67F37"/>
    <w:rsid w:val="00C71961"/>
    <w:rsid w:val="00C71ACB"/>
    <w:rsid w:val="00C726B9"/>
    <w:rsid w:val="00C72A0F"/>
    <w:rsid w:val="00C72CEF"/>
    <w:rsid w:val="00C744E1"/>
    <w:rsid w:val="00C748D6"/>
    <w:rsid w:val="00C74B70"/>
    <w:rsid w:val="00C75DAC"/>
    <w:rsid w:val="00C76153"/>
    <w:rsid w:val="00C76E23"/>
    <w:rsid w:val="00C7713E"/>
    <w:rsid w:val="00C774DE"/>
    <w:rsid w:val="00C77E0E"/>
    <w:rsid w:val="00C80049"/>
    <w:rsid w:val="00C8041B"/>
    <w:rsid w:val="00C80DA5"/>
    <w:rsid w:val="00C8106A"/>
    <w:rsid w:val="00C822C6"/>
    <w:rsid w:val="00C82993"/>
    <w:rsid w:val="00C82FCE"/>
    <w:rsid w:val="00C83552"/>
    <w:rsid w:val="00C835B1"/>
    <w:rsid w:val="00C83888"/>
    <w:rsid w:val="00C83F30"/>
    <w:rsid w:val="00C83FBC"/>
    <w:rsid w:val="00C844E4"/>
    <w:rsid w:val="00C848C1"/>
    <w:rsid w:val="00C8546C"/>
    <w:rsid w:val="00C85F26"/>
    <w:rsid w:val="00C86E2D"/>
    <w:rsid w:val="00C8751F"/>
    <w:rsid w:val="00C87DE8"/>
    <w:rsid w:val="00C90072"/>
    <w:rsid w:val="00C9030C"/>
    <w:rsid w:val="00C905B6"/>
    <w:rsid w:val="00C908AA"/>
    <w:rsid w:val="00C90B1A"/>
    <w:rsid w:val="00C90E3E"/>
    <w:rsid w:val="00C90E61"/>
    <w:rsid w:val="00C90F3B"/>
    <w:rsid w:val="00C91C68"/>
    <w:rsid w:val="00C922EB"/>
    <w:rsid w:val="00C92734"/>
    <w:rsid w:val="00C9421A"/>
    <w:rsid w:val="00C94D7D"/>
    <w:rsid w:val="00C952E5"/>
    <w:rsid w:val="00C95485"/>
    <w:rsid w:val="00C955EA"/>
    <w:rsid w:val="00C95715"/>
    <w:rsid w:val="00C960AD"/>
    <w:rsid w:val="00C9681D"/>
    <w:rsid w:val="00C96A88"/>
    <w:rsid w:val="00C9723C"/>
    <w:rsid w:val="00C97D36"/>
    <w:rsid w:val="00CA029C"/>
    <w:rsid w:val="00CA0756"/>
    <w:rsid w:val="00CA1E2F"/>
    <w:rsid w:val="00CA1EB0"/>
    <w:rsid w:val="00CA23B2"/>
    <w:rsid w:val="00CA2A29"/>
    <w:rsid w:val="00CA3B9C"/>
    <w:rsid w:val="00CA3C58"/>
    <w:rsid w:val="00CA3D7C"/>
    <w:rsid w:val="00CA3DF6"/>
    <w:rsid w:val="00CA48CB"/>
    <w:rsid w:val="00CA5AC6"/>
    <w:rsid w:val="00CA609A"/>
    <w:rsid w:val="00CA698E"/>
    <w:rsid w:val="00CA6EF0"/>
    <w:rsid w:val="00CA770D"/>
    <w:rsid w:val="00CB0C6D"/>
    <w:rsid w:val="00CB0DC3"/>
    <w:rsid w:val="00CB10C4"/>
    <w:rsid w:val="00CB2080"/>
    <w:rsid w:val="00CB269B"/>
    <w:rsid w:val="00CB2904"/>
    <w:rsid w:val="00CB32EE"/>
    <w:rsid w:val="00CB39A1"/>
    <w:rsid w:val="00CB4049"/>
    <w:rsid w:val="00CB5C7B"/>
    <w:rsid w:val="00CB5CF5"/>
    <w:rsid w:val="00CB6211"/>
    <w:rsid w:val="00CB78A5"/>
    <w:rsid w:val="00CB7CD8"/>
    <w:rsid w:val="00CC152E"/>
    <w:rsid w:val="00CC1688"/>
    <w:rsid w:val="00CC1726"/>
    <w:rsid w:val="00CC1E89"/>
    <w:rsid w:val="00CC1F59"/>
    <w:rsid w:val="00CC2CB9"/>
    <w:rsid w:val="00CC334B"/>
    <w:rsid w:val="00CC344B"/>
    <w:rsid w:val="00CC52C4"/>
    <w:rsid w:val="00CC564C"/>
    <w:rsid w:val="00CC5ADC"/>
    <w:rsid w:val="00CC5BD0"/>
    <w:rsid w:val="00CC6FB5"/>
    <w:rsid w:val="00CC7223"/>
    <w:rsid w:val="00CC73C5"/>
    <w:rsid w:val="00CC7B72"/>
    <w:rsid w:val="00CC7DB4"/>
    <w:rsid w:val="00CD0399"/>
    <w:rsid w:val="00CD0E60"/>
    <w:rsid w:val="00CD15C2"/>
    <w:rsid w:val="00CD2681"/>
    <w:rsid w:val="00CD2CCF"/>
    <w:rsid w:val="00CD2D8E"/>
    <w:rsid w:val="00CD33CF"/>
    <w:rsid w:val="00CD35BA"/>
    <w:rsid w:val="00CD39B7"/>
    <w:rsid w:val="00CD40E9"/>
    <w:rsid w:val="00CD4315"/>
    <w:rsid w:val="00CD51E4"/>
    <w:rsid w:val="00CD5234"/>
    <w:rsid w:val="00CD5720"/>
    <w:rsid w:val="00CD676B"/>
    <w:rsid w:val="00CD6CA7"/>
    <w:rsid w:val="00CD7631"/>
    <w:rsid w:val="00CD78B6"/>
    <w:rsid w:val="00CE033F"/>
    <w:rsid w:val="00CE07C4"/>
    <w:rsid w:val="00CE11A3"/>
    <w:rsid w:val="00CE122F"/>
    <w:rsid w:val="00CE15C5"/>
    <w:rsid w:val="00CE18C0"/>
    <w:rsid w:val="00CE25BD"/>
    <w:rsid w:val="00CE29F2"/>
    <w:rsid w:val="00CE2BAD"/>
    <w:rsid w:val="00CE33C3"/>
    <w:rsid w:val="00CE3AE5"/>
    <w:rsid w:val="00CE3F57"/>
    <w:rsid w:val="00CE43A5"/>
    <w:rsid w:val="00CE4728"/>
    <w:rsid w:val="00CE55AF"/>
    <w:rsid w:val="00CE673B"/>
    <w:rsid w:val="00CE674A"/>
    <w:rsid w:val="00CE6E6B"/>
    <w:rsid w:val="00CE6EAD"/>
    <w:rsid w:val="00CE7D5B"/>
    <w:rsid w:val="00CE7F4F"/>
    <w:rsid w:val="00CF0326"/>
    <w:rsid w:val="00CF0C1A"/>
    <w:rsid w:val="00CF0F99"/>
    <w:rsid w:val="00CF1D8D"/>
    <w:rsid w:val="00CF222E"/>
    <w:rsid w:val="00CF225F"/>
    <w:rsid w:val="00CF24BC"/>
    <w:rsid w:val="00CF278C"/>
    <w:rsid w:val="00CF3078"/>
    <w:rsid w:val="00CF329A"/>
    <w:rsid w:val="00CF3DCB"/>
    <w:rsid w:val="00CF4516"/>
    <w:rsid w:val="00CF4765"/>
    <w:rsid w:val="00CF4C04"/>
    <w:rsid w:val="00CF4E64"/>
    <w:rsid w:val="00CF6338"/>
    <w:rsid w:val="00CF63F8"/>
    <w:rsid w:val="00CF6689"/>
    <w:rsid w:val="00CF79A8"/>
    <w:rsid w:val="00CF7AAB"/>
    <w:rsid w:val="00D0029E"/>
    <w:rsid w:val="00D00DD8"/>
    <w:rsid w:val="00D013E6"/>
    <w:rsid w:val="00D019F9"/>
    <w:rsid w:val="00D01DE1"/>
    <w:rsid w:val="00D020F0"/>
    <w:rsid w:val="00D02B25"/>
    <w:rsid w:val="00D0399E"/>
    <w:rsid w:val="00D03B2F"/>
    <w:rsid w:val="00D053FF"/>
    <w:rsid w:val="00D07081"/>
    <w:rsid w:val="00D07342"/>
    <w:rsid w:val="00D0734E"/>
    <w:rsid w:val="00D07861"/>
    <w:rsid w:val="00D10EA0"/>
    <w:rsid w:val="00D11361"/>
    <w:rsid w:val="00D11DE5"/>
    <w:rsid w:val="00D125F0"/>
    <w:rsid w:val="00D152EA"/>
    <w:rsid w:val="00D16549"/>
    <w:rsid w:val="00D16A77"/>
    <w:rsid w:val="00D16FB3"/>
    <w:rsid w:val="00D1763B"/>
    <w:rsid w:val="00D17B4A"/>
    <w:rsid w:val="00D21181"/>
    <w:rsid w:val="00D21B89"/>
    <w:rsid w:val="00D21F86"/>
    <w:rsid w:val="00D220F7"/>
    <w:rsid w:val="00D22317"/>
    <w:rsid w:val="00D22EF9"/>
    <w:rsid w:val="00D22F9B"/>
    <w:rsid w:val="00D23008"/>
    <w:rsid w:val="00D2323B"/>
    <w:rsid w:val="00D2377B"/>
    <w:rsid w:val="00D24B05"/>
    <w:rsid w:val="00D24DC3"/>
    <w:rsid w:val="00D24FBE"/>
    <w:rsid w:val="00D25599"/>
    <w:rsid w:val="00D257D2"/>
    <w:rsid w:val="00D25B81"/>
    <w:rsid w:val="00D25BAD"/>
    <w:rsid w:val="00D25BAE"/>
    <w:rsid w:val="00D262B3"/>
    <w:rsid w:val="00D263FF"/>
    <w:rsid w:val="00D2648F"/>
    <w:rsid w:val="00D266DE"/>
    <w:rsid w:val="00D268B7"/>
    <w:rsid w:val="00D2711D"/>
    <w:rsid w:val="00D3083D"/>
    <w:rsid w:val="00D31B85"/>
    <w:rsid w:val="00D327DD"/>
    <w:rsid w:val="00D32D35"/>
    <w:rsid w:val="00D32E99"/>
    <w:rsid w:val="00D335A2"/>
    <w:rsid w:val="00D33CFE"/>
    <w:rsid w:val="00D346BB"/>
    <w:rsid w:val="00D34878"/>
    <w:rsid w:val="00D349AA"/>
    <w:rsid w:val="00D34FD6"/>
    <w:rsid w:val="00D3510C"/>
    <w:rsid w:val="00D3547E"/>
    <w:rsid w:val="00D3698C"/>
    <w:rsid w:val="00D36BAD"/>
    <w:rsid w:val="00D37790"/>
    <w:rsid w:val="00D37F8E"/>
    <w:rsid w:val="00D4011D"/>
    <w:rsid w:val="00D40413"/>
    <w:rsid w:val="00D415B5"/>
    <w:rsid w:val="00D41A0B"/>
    <w:rsid w:val="00D41B6E"/>
    <w:rsid w:val="00D426C8"/>
    <w:rsid w:val="00D46575"/>
    <w:rsid w:val="00D476C6"/>
    <w:rsid w:val="00D47A11"/>
    <w:rsid w:val="00D47CD0"/>
    <w:rsid w:val="00D47D50"/>
    <w:rsid w:val="00D508A9"/>
    <w:rsid w:val="00D50AF2"/>
    <w:rsid w:val="00D50CD5"/>
    <w:rsid w:val="00D519CF"/>
    <w:rsid w:val="00D539BC"/>
    <w:rsid w:val="00D540BB"/>
    <w:rsid w:val="00D541AB"/>
    <w:rsid w:val="00D55095"/>
    <w:rsid w:val="00D56A22"/>
    <w:rsid w:val="00D56AF4"/>
    <w:rsid w:val="00D5703F"/>
    <w:rsid w:val="00D57467"/>
    <w:rsid w:val="00D57558"/>
    <w:rsid w:val="00D57742"/>
    <w:rsid w:val="00D60AF0"/>
    <w:rsid w:val="00D60B33"/>
    <w:rsid w:val="00D62987"/>
    <w:rsid w:val="00D629B1"/>
    <w:rsid w:val="00D62C41"/>
    <w:rsid w:val="00D63149"/>
    <w:rsid w:val="00D63220"/>
    <w:rsid w:val="00D63AFE"/>
    <w:rsid w:val="00D6653D"/>
    <w:rsid w:val="00D66BCF"/>
    <w:rsid w:val="00D67521"/>
    <w:rsid w:val="00D6770E"/>
    <w:rsid w:val="00D709F2"/>
    <w:rsid w:val="00D70D56"/>
    <w:rsid w:val="00D70FCC"/>
    <w:rsid w:val="00D7191C"/>
    <w:rsid w:val="00D71EC3"/>
    <w:rsid w:val="00D71F35"/>
    <w:rsid w:val="00D730F9"/>
    <w:rsid w:val="00D74189"/>
    <w:rsid w:val="00D748B8"/>
    <w:rsid w:val="00D74B12"/>
    <w:rsid w:val="00D7539D"/>
    <w:rsid w:val="00D75CED"/>
    <w:rsid w:val="00D75D76"/>
    <w:rsid w:val="00D764D9"/>
    <w:rsid w:val="00D765ED"/>
    <w:rsid w:val="00D767AE"/>
    <w:rsid w:val="00D777A1"/>
    <w:rsid w:val="00D81B1F"/>
    <w:rsid w:val="00D8281B"/>
    <w:rsid w:val="00D82B2D"/>
    <w:rsid w:val="00D830CA"/>
    <w:rsid w:val="00D834C0"/>
    <w:rsid w:val="00D83886"/>
    <w:rsid w:val="00D84A0B"/>
    <w:rsid w:val="00D84E05"/>
    <w:rsid w:val="00D84FE6"/>
    <w:rsid w:val="00D85512"/>
    <w:rsid w:val="00D85DB6"/>
    <w:rsid w:val="00D863A6"/>
    <w:rsid w:val="00D86C87"/>
    <w:rsid w:val="00D8730A"/>
    <w:rsid w:val="00D906A8"/>
    <w:rsid w:val="00D90EEA"/>
    <w:rsid w:val="00D9184D"/>
    <w:rsid w:val="00D91D67"/>
    <w:rsid w:val="00D91F59"/>
    <w:rsid w:val="00D930C9"/>
    <w:rsid w:val="00D93606"/>
    <w:rsid w:val="00D93687"/>
    <w:rsid w:val="00D937A2"/>
    <w:rsid w:val="00D937D5"/>
    <w:rsid w:val="00D9414D"/>
    <w:rsid w:val="00D945DA"/>
    <w:rsid w:val="00D94758"/>
    <w:rsid w:val="00D94A4B"/>
    <w:rsid w:val="00D94D5D"/>
    <w:rsid w:val="00D9500E"/>
    <w:rsid w:val="00D95868"/>
    <w:rsid w:val="00D95E93"/>
    <w:rsid w:val="00D96206"/>
    <w:rsid w:val="00D96685"/>
    <w:rsid w:val="00D968CB"/>
    <w:rsid w:val="00DA03FD"/>
    <w:rsid w:val="00DA05E6"/>
    <w:rsid w:val="00DA1DFC"/>
    <w:rsid w:val="00DA2304"/>
    <w:rsid w:val="00DA257E"/>
    <w:rsid w:val="00DA3234"/>
    <w:rsid w:val="00DA327E"/>
    <w:rsid w:val="00DA33BC"/>
    <w:rsid w:val="00DA3C45"/>
    <w:rsid w:val="00DA4AE8"/>
    <w:rsid w:val="00DA4E8B"/>
    <w:rsid w:val="00DA5665"/>
    <w:rsid w:val="00DA5B77"/>
    <w:rsid w:val="00DA65A9"/>
    <w:rsid w:val="00DA7370"/>
    <w:rsid w:val="00DA78DD"/>
    <w:rsid w:val="00DA7E98"/>
    <w:rsid w:val="00DA7F86"/>
    <w:rsid w:val="00DB0449"/>
    <w:rsid w:val="00DB04B5"/>
    <w:rsid w:val="00DB129F"/>
    <w:rsid w:val="00DB22A2"/>
    <w:rsid w:val="00DB299F"/>
    <w:rsid w:val="00DB3510"/>
    <w:rsid w:val="00DB368F"/>
    <w:rsid w:val="00DB3A12"/>
    <w:rsid w:val="00DB48E6"/>
    <w:rsid w:val="00DB50BE"/>
    <w:rsid w:val="00DB5C7E"/>
    <w:rsid w:val="00DB60D9"/>
    <w:rsid w:val="00DB700C"/>
    <w:rsid w:val="00DB7A4A"/>
    <w:rsid w:val="00DC116E"/>
    <w:rsid w:val="00DC1B8F"/>
    <w:rsid w:val="00DC1CBB"/>
    <w:rsid w:val="00DC26CE"/>
    <w:rsid w:val="00DC292C"/>
    <w:rsid w:val="00DC299A"/>
    <w:rsid w:val="00DC2F3C"/>
    <w:rsid w:val="00DC3057"/>
    <w:rsid w:val="00DC314D"/>
    <w:rsid w:val="00DC3796"/>
    <w:rsid w:val="00DC3A3F"/>
    <w:rsid w:val="00DC4607"/>
    <w:rsid w:val="00DC4F4C"/>
    <w:rsid w:val="00DC5761"/>
    <w:rsid w:val="00DC7315"/>
    <w:rsid w:val="00DC78D1"/>
    <w:rsid w:val="00DD0DD4"/>
    <w:rsid w:val="00DD129E"/>
    <w:rsid w:val="00DD1BB8"/>
    <w:rsid w:val="00DD2B38"/>
    <w:rsid w:val="00DD2D57"/>
    <w:rsid w:val="00DD34ED"/>
    <w:rsid w:val="00DD3F8A"/>
    <w:rsid w:val="00DD48D7"/>
    <w:rsid w:val="00DD4F46"/>
    <w:rsid w:val="00DD5425"/>
    <w:rsid w:val="00DD5970"/>
    <w:rsid w:val="00DD59B4"/>
    <w:rsid w:val="00DD5D3E"/>
    <w:rsid w:val="00DD600A"/>
    <w:rsid w:val="00DD61C7"/>
    <w:rsid w:val="00DD6789"/>
    <w:rsid w:val="00DD6FF0"/>
    <w:rsid w:val="00DD755A"/>
    <w:rsid w:val="00DD77B9"/>
    <w:rsid w:val="00DD7F8B"/>
    <w:rsid w:val="00DE038B"/>
    <w:rsid w:val="00DE0DF0"/>
    <w:rsid w:val="00DE0EEA"/>
    <w:rsid w:val="00DE0F96"/>
    <w:rsid w:val="00DE386E"/>
    <w:rsid w:val="00DE4343"/>
    <w:rsid w:val="00DE4914"/>
    <w:rsid w:val="00DE709D"/>
    <w:rsid w:val="00DE73B3"/>
    <w:rsid w:val="00DE7CF0"/>
    <w:rsid w:val="00DF008A"/>
    <w:rsid w:val="00DF05D8"/>
    <w:rsid w:val="00DF0A14"/>
    <w:rsid w:val="00DF0B15"/>
    <w:rsid w:val="00DF130F"/>
    <w:rsid w:val="00DF234D"/>
    <w:rsid w:val="00DF4A92"/>
    <w:rsid w:val="00DF4EC2"/>
    <w:rsid w:val="00DF5B53"/>
    <w:rsid w:val="00DF5EAD"/>
    <w:rsid w:val="00DF64F4"/>
    <w:rsid w:val="00DF65F9"/>
    <w:rsid w:val="00DF7824"/>
    <w:rsid w:val="00E002D6"/>
    <w:rsid w:val="00E00638"/>
    <w:rsid w:val="00E0080D"/>
    <w:rsid w:val="00E00D16"/>
    <w:rsid w:val="00E01A47"/>
    <w:rsid w:val="00E01AD6"/>
    <w:rsid w:val="00E02401"/>
    <w:rsid w:val="00E03BD1"/>
    <w:rsid w:val="00E04B8C"/>
    <w:rsid w:val="00E05AE9"/>
    <w:rsid w:val="00E06B16"/>
    <w:rsid w:val="00E06EB1"/>
    <w:rsid w:val="00E074EA"/>
    <w:rsid w:val="00E10482"/>
    <w:rsid w:val="00E108B9"/>
    <w:rsid w:val="00E1091B"/>
    <w:rsid w:val="00E11754"/>
    <w:rsid w:val="00E11825"/>
    <w:rsid w:val="00E11E02"/>
    <w:rsid w:val="00E1293E"/>
    <w:rsid w:val="00E12EED"/>
    <w:rsid w:val="00E13B23"/>
    <w:rsid w:val="00E13E1A"/>
    <w:rsid w:val="00E14662"/>
    <w:rsid w:val="00E14B07"/>
    <w:rsid w:val="00E14F70"/>
    <w:rsid w:val="00E15077"/>
    <w:rsid w:val="00E15629"/>
    <w:rsid w:val="00E159D4"/>
    <w:rsid w:val="00E15B37"/>
    <w:rsid w:val="00E1625D"/>
    <w:rsid w:val="00E16994"/>
    <w:rsid w:val="00E170D6"/>
    <w:rsid w:val="00E1735A"/>
    <w:rsid w:val="00E1798B"/>
    <w:rsid w:val="00E17A3C"/>
    <w:rsid w:val="00E203BD"/>
    <w:rsid w:val="00E209C0"/>
    <w:rsid w:val="00E2161F"/>
    <w:rsid w:val="00E22BEB"/>
    <w:rsid w:val="00E2366C"/>
    <w:rsid w:val="00E23A64"/>
    <w:rsid w:val="00E23EF0"/>
    <w:rsid w:val="00E245A0"/>
    <w:rsid w:val="00E25170"/>
    <w:rsid w:val="00E25794"/>
    <w:rsid w:val="00E260AF"/>
    <w:rsid w:val="00E27979"/>
    <w:rsid w:val="00E30A60"/>
    <w:rsid w:val="00E31D36"/>
    <w:rsid w:val="00E3203D"/>
    <w:rsid w:val="00E3206B"/>
    <w:rsid w:val="00E32C40"/>
    <w:rsid w:val="00E330B4"/>
    <w:rsid w:val="00E33677"/>
    <w:rsid w:val="00E33A42"/>
    <w:rsid w:val="00E33B1B"/>
    <w:rsid w:val="00E33ED5"/>
    <w:rsid w:val="00E3446A"/>
    <w:rsid w:val="00E352FC"/>
    <w:rsid w:val="00E359CE"/>
    <w:rsid w:val="00E35F76"/>
    <w:rsid w:val="00E36035"/>
    <w:rsid w:val="00E36380"/>
    <w:rsid w:val="00E40CA1"/>
    <w:rsid w:val="00E40D80"/>
    <w:rsid w:val="00E41F93"/>
    <w:rsid w:val="00E429AB"/>
    <w:rsid w:val="00E42A0E"/>
    <w:rsid w:val="00E43626"/>
    <w:rsid w:val="00E436A0"/>
    <w:rsid w:val="00E43B80"/>
    <w:rsid w:val="00E43E04"/>
    <w:rsid w:val="00E4563E"/>
    <w:rsid w:val="00E45C26"/>
    <w:rsid w:val="00E45E70"/>
    <w:rsid w:val="00E46247"/>
    <w:rsid w:val="00E471FF"/>
    <w:rsid w:val="00E50325"/>
    <w:rsid w:val="00E503A5"/>
    <w:rsid w:val="00E50A5F"/>
    <w:rsid w:val="00E50DF3"/>
    <w:rsid w:val="00E51011"/>
    <w:rsid w:val="00E51087"/>
    <w:rsid w:val="00E525A3"/>
    <w:rsid w:val="00E52722"/>
    <w:rsid w:val="00E5308D"/>
    <w:rsid w:val="00E53949"/>
    <w:rsid w:val="00E540B4"/>
    <w:rsid w:val="00E543E8"/>
    <w:rsid w:val="00E544D8"/>
    <w:rsid w:val="00E54B5C"/>
    <w:rsid w:val="00E54E2D"/>
    <w:rsid w:val="00E55D9A"/>
    <w:rsid w:val="00E55F9C"/>
    <w:rsid w:val="00E565AE"/>
    <w:rsid w:val="00E57213"/>
    <w:rsid w:val="00E6016E"/>
    <w:rsid w:val="00E6031C"/>
    <w:rsid w:val="00E61618"/>
    <w:rsid w:val="00E62DFC"/>
    <w:rsid w:val="00E63671"/>
    <w:rsid w:val="00E63FFB"/>
    <w:rsid w:val="00E64B8C"/>
    <w:rsid w:val="00E66D2F"/>
    <w:rsid w:val="00E66FBB"/>
    <w:rsid w:val="00E671E6"/>
    <w:rsid w:val="00E6726A"/>
    <w:rsid w:val="00E673F3"/>
    <w:rsid w:val="00E67E8E"/>
    <w:rsid w:val="00E70569"/>
    <w:rsid w:val="00E706D8"/>
    <w:rsid w:val="00E71741"/>
    <w:rsid w:val="00E718F9"/>
    <w:rsid w:val="00E71CAD"/>
    <w:rsid w:val="00E71F8A"/>
    <w:rsid w:val="00E72552"/>
    <w:rsid w:val="00E72CC2"/>
    <w:rsid w:val="00E749C6"/>
    <w:rsid w:val="00E74A0D"/>
    <w:rsid w:val="00E74B4A"/>
    <w:rsid w:val="00E7575A"/>
    <w:rsid w:val="00E75B66"/>
    <w:rsid w:val="00E761A2"/>
    <w:rsid w:val="00E763ED"/>
    <w:rsid w:val="00E76D33"/>
    <w:rsid w:val="00E77136"/>
    <w:rsid w:val="00E80236"/>
    <w:rsid w:val="00E8092D"/>
    <w:rsid w:val="00E80EE7"/>
    <w:rsid w:val="00E81063"/>
    <w:rsid w:val="00E81749"/>
    <w:rsid w:val="00E8199E"/>
    <w:rsid w:val="00E81B81"/>
    <w:rsid w:val="00E81F12"/>
    <w:rsid w:val="00E82BC2"/>
    <w:rsid w:val="00E82BE6"/>
    <w:rsid w:val="00E84F54"/>
    <w:rsid w:val="00E85294"/>
    <w:rsid w:val="00E85AB7"/>
    <w:rsid w:val="00E85C81"/>
    <w:rsid w:val="00E86041"/>
    <w:rsid w:val="00E873E8"/>
    <w:rsid w:val="00E8781F"/>
    <w:rsid w:val="00E87C22"/>
    <w:rsid w:val="00E87E99"/>
    <w:rsid w:val="00E91121"/>
    <w:rsid w:val="00E91BAB"/>
    <w:rsid w:val="00E92042"/>
    <w:rsid w:val="00E92D15"/>
    <w:rsid w:val="00E92D6E"/>
    <w:rsid w:val="00E92FA9"/>
    <w:rsid w:val="00E936D9"/>
    <w:rsid w:val="00E93F5F"/>
    <w:rsid w:val="00E94DB2"/>
    <w:rsid w:val="00E94E1E"/>
    <w:rsid w:val="00E955EA"/>
    <w:rsid w:val="00E959BF"/>
    <w:rsid w:val="00E96602"/>
    <w:rsid w:val="00E97E0E"/>
    <w:rsid w:val="00EA0A3F"/>
    <w:rsid w:val="00EA124A"/>
    <w:rsid w:val="00EA2B5F"/>
    <w:rsid w:val="00EA2CA4"/>
    <w:rsid w:val="00EA3049"/>
    <w:rsid w:val="00EA335B"/>
    <w:rsid w:val="00EA378C"/>
    <w:rsid w:val="00EA4437"/>
    <w:rsid w:val="00EA47C5"/>
    <w:rsid w:val="00EA7082"/>
    <w:rsid w:val="00EB0245"/>
    <w:rsid w:val="00EB17B6"/>
    <w:rsid w:val="00EB1FC1"/>
    <w:rsid w:val="00EB2800"/>
    <w:rsid w:val="00EB2CE0"/>
    <w:rsid w:val="00EB3542"/>
    <w:rsid w:val="00EB3BC1"/>
    <w:rsid w:val="00EB4416"/>
    <w:rsid w:val="00EB5154"/>
    <w:rsid w:val="00EB5975"/>
    <w:rsid w:val="00EB61F5"/>
    <w:rsid w:val="00EB6272"/>
    <w:rsid w:val="00EB6478"/>
    <w:rsid w:val="00EB6FD6"/>
    <w:rsid w:val="00EB7E70"/>
    <w:rsid w:val="00EC0248"/>
    <w:rsid w:val="00EC0320"/>
    <w:rsid w:val="00EC082C"/>
    <w:rsid w:val="00EC0CF2"/>
    <w:rsid w:val="00EC109E"/>
    <w:rsid w:val="00EC241E"/>
    <w:rsid w:val="00EC2941"/>
    <w:rsid w:val="00EC2B31"/>
    <w:rsid w:val="00EC32DB"/>
    <w:rsid w:val="00EC3744"/>
    <w:rsid w:val="00EC39FE"/>
    <w:rsid w:val="00EC3A04"/>
    <w:rsid w:val="00EC3D96"/>
    <w:rsid w:val="00EC45EE"/>
    <w:rsid w:val="00EC50BA"/>
    <w:rsid w:val="00EC5C09"/>
    <w:rsid w:val="00EC5CF1"/>
    <w:rsid w:val="00EC6476"/>
    <w:rsid w:val="00EC6A37"/>
    <w:rsid w:val="00EC6A8D"/>
    <w:rsid w:val="00EC6D0D"/>
    <w:rsid w:val="00EC7F56"/>
    <w:rsid w:val="00EC7FA0"/>
    <w:rsid w:val="00ED000F"/>
    <w:rsid w:val="00ED03C6"/>
    <w:rsid w:val="00ED07DC"/>
    <w:rsid w:val="00ED0F7E"/>
    <w:rsid w:val="00ED107D"/>
    <w:rsid w:val="00ED179D"/>
    <w:rsid w:val="00ED1913"/>
    <w:rsid w:val="00ED1CA0"/>
    <w:rsid w:val="00ED29BF"/>
    <w:rsid w:val="00ED38CA"/>
    <w:rsid w:val="00ED398A"/>
    <w:rsid w:val="00ED40FB"/>
    <w:rsid w:val="00ED4355"/>
    <w:rsid w:val="00ED5132"/>
    <w:rsid w:val="00ED5DA8"/>
    <w:rsid w:val="00ED6A2F"/>
    <w:rsid w:val="00ED73C6"/>
    <w:rsid w:val="00ED7473"/>
    <w:rsid w:val="00ED7DA9"/>
    <w:rsid w:val="00EE0F26"/>
    <w:rsid w:val="00EE13DC"/>
    <w:rsid w:val="00EE162A"/>
    <w:rsid w:val="00EE1789"/>
    <w:rsid w:val="00EE1A90"/>
    <w:rsid w:val="00EE1AC4"/>
    <w:rsid w:val="00EE210D"/>
    <w:rsid w:val="00EE2D53"/>
    <w:rsid w:val="00EE2FEB"/>
    <w:rsid w:val="00EE3503"/>
    <w:rsid w:val="00EE3574"/>
    <w:rsid w:val="00EE366F"/>
    <w:rsid w:val="00EE3ADD"/>
    <w:rsid w:val="00EE3C0C"/>
    <w:rsid w:val="00EE42B6"/>
    <w:rsid w:val="00EE46AD"/>
    <w:rsid w:val="00EE4922"/>
    <w:rsid w:val="00EE5E7B"/>
    <w:rsid w:val="00EE6331"/>
    <w:rsid w:val="00EE7275"/>
    <w:rsid w:val="00EE7CEB"/>
    <w:rsid w:val="00EF04CD"/>
    <w:rsid w:val="00EF0878"/>
    <w:rsid w:val="00EF0B12"/>
    <w:rsid w:val="00EF0B3D"/>
    <w:rsid w:val="00EF1725"/>
    <w:rsid w:val="00EF1889"/>
    <w:rsid w:val="00EF190B"/>
    <w:rsid w:val="00EF2058"/>
    <w:rsid w:val="00EF2CDC"/>
    <w:rsid w:val="00EF2EA0"/>
    <w:rsid w:val="00EF2F9C"/>
    <w:rsid w:val="00EF408D"/>
    <w:rsid w:val="00EF415E"/>
    <w:rsid w:val="00EF449A"/>
    <w:rsid w:val="00EF4777"/>
    <w:rsid w:val="00EF4B81"/>
    <w:rsid w:val="00EF4DB4"/>
    <w:rsid w:val="00EF7B46"/>
    <w:rsid w:val="00F00285"/>
    <w:rsid w:val="00F0046C"/>
    <w:rsid w:val="00F00829"/>
    <w:rsid w:val="00F00D3D"/>
    <w:rsid w:val="00F01EA2"/>
    <w:rsid w:val="00F01F21"/>
    <w:rsid w:val="00F028C5"/>
    <w:rsid w:val="00F03879"/>
    <w:rsid w:val="00F03E35"/>
    <w:rsid w:val="00F041AF"/>
    <w:rsid w:val="00F052AB"/>
    <w:rsid w:val="00F05655"/>
    <w:rsid w:val="00F0687E"/>
    <w:rsid w:val="00F06CD9"/>
    <w:rsid w:val="00F06D8C"/>
    <w:rsid w:val="00F07AD8"/>
    <w:rsid w:val="00F10308"/>
    <w:rsid w:val="00F10490"/>
    <w:rsid w:val="00F10979"/>
    <w:rsid w:val="00F12459"/>
    <w:rsid w:val="00F12BD6"/>
    <w:rsid w:val="00F13876"/>
    <w:rsid w:val="00F13A0A"/>
    <w:rsid w:val="00F14082"/>
    <w:rsid w:val="00F14AD1"/>
    <w:rsid w:val="00F14B7B"/>
    <w:rsid w:val="00F14F50"/>
    <w:rsid w:val="00F14F89"/>
    <w:rsid w:val="00F15357"/>
    <w:rsid w:val="00F15748"/>
    <w:rsid w:val="00F157A2"/>
    <w:rsid w:val="00F163BB"/>
    <w:rsid w:val="00F17485"/>
    <w:rsid w:val="00F177BC"/>
    <w:rsid w:val="00F17D54"/>
    <w:rsid w:val="00F17F9F"/>
    <w:rsid w:val="00F215D1"/>
    <w:rsid w:val="00F2168F"/>
    <w:rsid w:val="00F21F24"/>
    <w:rsid w:val="00F221DE"/>
    <w:rsid w:val="00F22E05"/>
    <w:rsid w:val="00F2375C"/>
    <w:rsid w:val="00F23796"/>
    <w:rsid w:val="00F238C0"/>
    <w:rsid w:val="00F23AD0"/>
    <w:rsid w:val="00F24C69"/>
    <w:rsid w:val="00F25BD4"/>
    <w:rsid w:val="00F27259"/>
    <w:rsid w:val="00F273B6"/>
    <w:rsid w:val="00F2760A"/>
    <w:rsid w:val="00F30BFD"/>
    <w:rsid w:val="00F316A2"/>
    <w:rsid w:val="00F31F94"/>
    <w:rsid w:val="00F32132"/>
    <w:rsid w:val="00F33483"/>
    <w:rsid w:val="00F335D0"/>
    <w:rsid w:val="00F34C50"/>
    <w:rsid w:val="00F36A5F"/>
    <w:rsid w:val="00F36D56"/>
    <w:rsid w:val="00F36D7F"/>
    <w:rsid w:val="00F36ECF"/>
    <w:rsid w:val="00F3773D"/>
    <w:rsid w:val="00F37EC7"/>
    <w:rsid w:val="00F404FD"/>
    <w:rsid w:val="00F40933"/>
    <w:rsid w:val="00F40967"/>
    <w:rsid w:val="00F40AA6"/>
    <w:rsid w:val="00F40C5C"/>
    <w:rsid w:val="00F41100"/>
    <w:rsid w:val="00F4157F"/>
    <w:rsid w:val="00F41731"/>
    <w:rsid w:val="00F41787"/>
    <w:rsid w:val="00F41BEB"/>
    <w:rsid w:val="00F41F28"/>
    <w:rsid w:val="00F4375C"/>
    <w:rsid w:val="00F44F64"/>
    <w:rsid w:val="00F45B71"/>
    <w:rsid w:val="00F45C72"/>
    <w:rsid w:val="00F46105"/>
    <w:rsid w:val="00F46BFD"/>
    <w:rsid w:val="00F471D9"/>
    <w:rsid w:val="00F472E6"/>
    <w:rsid w:val="00F47514"/>
    <w:rsid w:val="00F47EE4"/>
    <w:rsid w:val="00F50016"/>
    <w:rsid w:val="00F505C5"/>
    <w:rsid w:val="00F50796"/>
    <w:rsid w:val="00F5095B"/>
    <w:rsid w:val="00F51AE6"/>
    <w:rsid w:val="00F51E62"/>
    <w:rsid w:val="00F52904"/>
    <w:rsid w:val="00F52FEA"/>
    <w:rsid w:val="00F52FF5"/>
    <w:rsid w:val="00F530AE"/>
    <w:rsid w:val="00F5331C"/>
    <w:rsid w:val="00F53D22"/>
    <w:rsid w:val="00F54DC0"/>
    <w:rsid w:val="00F54E54"/>
    <w:rsid w:val="00F5577E"/>
    <w:rsid w:val="00F55FA9"/>
    <w:rsid w:val="00F56059"/>
    <w:rsid w:val="00F563DF"/>
    <w:rsid w:val="00F564D1"/>
    <w:rsid w:val="00F56C80"/>
    <w:rsid w:val="00F56D27"/>
    <w:rsid w:val="00F571FF"/>
    <w:rsid w:val="00F576B6"/>
    <w:rsid w:val="00F60572"/>
    <w:rsid w:val="00F612DD"/>
    <w:rsid w:val="00F62B61"/>
    <w:rsid w:val="00F64B19"/>
    <w:rsid w:val="00F65728"/>
    <w:rsid w:val="00F674B6"/>
    <w:rsid w:val="00F67ACE"/>
    <w:rsid w:val="00F67D5E"/>
    <w:rsid w:val="00F67DE1"/>
    <w:rsid w:val="00F70ED9"/>
    <w:rsid w:val="00F7209B"/>
    <w:rsid w:val="00F723C4"/>
    <w:rsid w:val="00F725FE"/>
    <w:rsid w:val="00F73794"/>
    <w:rsid w:val="00F73C18"/>
    <w:rsid w:val="00F73C98"/>
    <w:rsid w:val="00F73CF2"/>
    <w:rsid w:val="00F74366"/>
    <w:rsid w:val="00F74666"/>
    <w:rsid w:val="00F759A5"/>
    <w:rsid w:val="00F76058"/>
    <w:rsid w:val="00F7665C"/>
    <w:rsid w:val="00F76715"/>
    <w:rsid w:val="00F76902"/>
    <w:rsid w:val="00F76AC8"/>
    <w:rsid w:val="00F77750"/>
    <w:rsid w:val="00F808E5"/>
    <w:rsid w:val="00F811BA"/>
    <w:rsid w:val="00F81782"/>
    <w:rsid w:val="00F81A62"/>
    <w:rsid w:val="00F82313"/>
    <w:rsid w:val="00F82C33"/>
    <w:rsid w:val="00F83646"/>
    <w:rsid w:val="00F840A6"/>
    <w:rsid w:val="00F845A4"/>
    <w:rsid w:val="00F850CC"/>
    <w:rsid w:val="00F85113"/>
    <w:rsid w:val="00F85E52"/>
    <w:rsid w:val="00F8761E"/>
    <w:rsid w:val="00F87817"/>
    <w:rsid w:val="00F91C95"/>
    <w:rsid w:val="00F92DEC"/>
    <w:rsid w:val="00F93AE6"/>
    <w:rsid w:val="00F94469"/>
    <w:rsid w:val="00F944D1"/>
    <w:rsid w:val="00F9461F"/>
    <w:rsid w:val="00F95B54"/>
    <w:rsid w:val="00F96B42"/>
    <w:rsid w:val="00F96D3E"/>
    <w:rsid w:val="00F979BB"/>
    <w:rsid w:val="00F97DB4"/>
    <w:rsid w:val="00F97F65"/>
    <w:rsid w:val="00FA0091"/>
    <w:rsid w:val="00FA135D"/>
    <w:rsid w:val="00FA1A1F"/>
    <w:rsid w:val="00FA210C"/>
    <w:rsid w:val="00FA26E4"/>
    <w:rsid w:val="00FA2834"/>
    <w:rsid w:val="00FA2F9E"/>
    <w:rsid w:val="00FA363E"/>
    <w:rsid w:val="00FA3AC7"/>
    <w:rsid w:val="00FA3C11"/>
    <w:rsid w:val="00FA3ED8"/>
    <w:rsid w:val="00FA5AAE"/>
    <w:rsid w:val="00FA631E"/>
    <w:rsid w:val="00FA7399"/>
    <w:rsid w:val="00FA752D"/>
    <w:rsid w:val="00FA7725"/>
    <w:rsid w:val="00FB0058"/>
    <w:rsid w:val="00FB0C98"/>
    <w:rsid w:val="00FB1D37"/>
    <w:rsid w:val="00FB281E"/>
    <w:rsid w:val="00FB31A8"/>
    <w:rsid w:val="00FB4FB8"/>
    <w:rsid w:val="00FB52E2"/>
    <w:rsid w:val="00FB55E1"/>
    <w:rsid w:val="00FB5837"/>
    <w:rsid w:val="00FB5A46"/>
    <w:rsid w:val="00FB5E41"/>
    <w:rsid w:val="00FB61DE"/>
    <w:rsid w:val="00FB66CE"/>
    <w:rsid w:val="00FB6B41"/>
    <w:rsid w:val="00FB6B77"/>
    <w:rsid w:val="00FB6BB5"/>
    <w:rsid w:val="00FB7A3F"/>
    <w:rsid w:val="00FB7FF2"/>
    <w:rsid w:val="00FC0087"/>
    <w:rsid w:val="00FC1570"/>
    <w:rsid w:val="00FC1C93"/>
    <w:rsid w:val="00FC2B30"/>
    <w:rsid w:val="00FC2CE0"/>
    <w:rsid w:val="00FC2F30"/>
    <w:rsid w:val="00FC3536"/>
    <w:rsid w:val="00FC3668"/>
    <w:rsid w:val="00FC374B"/>
    <w:rsid w:val="00FC4497"/>
    <w:rsid w:val="00FC4662"/>
    <w:rsid w:val="00FC4673"/>
    <w:rsid w:val="00FC5148"/>
    <w:rsid w:val="00FC600D"/>
    <w:rsid w:val="00FC6262"/>
    <w:rsid w:val="00FC78B5"/>
    <w:rsid w:val="00FD045E"/>
    <w:rsid w:val="00FD05AD"/>
    <w:rsid w:val="00FD0DF6"/>
    <w:rsid w:val="00FD164D"/>
    <w:rsid w:val="00FD16E1"/>
    <w:rsid w:val="00FD1708"/>
    <w:rsid w:val="00FD233B"/>
    <w:rsid w:val="00FD278E"/>
    <w:rsid w:val="00FD2D1E"/>
    <w:rsid w:val="00FD2D20"/>
    <w:rsid w:val="00FD312F"/>
    <w:rsid w:val="00FD3601"/>
    <w:rsid w:val="00FD442B"/>
    <w:rsid w:val="00FD458F"/>
    <w:rsid w:val="00FD529A"/>
    <w:rsid w:val="00FD5940"/>
    <w:rsid w:val="00FD5CAE"/>
    <w:rsid w:val="00FD6001"/>
    <w:rsid w:val="00FD6447"/>
    <w:rsid w:val="00FD6AB9"/>
    <w:rsid w:val="00FD702A"/>
    <w:rsid w:val="00FD7217"/>
    <w:rsid w:val="00FD7A1D"/>
    <w:rsid w:val="00FE0360"/>
    <w:rsid w:val="00FE040A"/>
    <w:rsid w:val="00FE08EB"/>
    <w:rsid w:val="00FE0C3F"/>
    <w:rsid w:val="00FE0E3B"/>
    <w:rsid w:val="00FE1058"/>
    <w:rsid w:val="00FE140A"/>
    <w:rsid w:val="00FE21B3"/>
    <w:rsid w:val="00FE22DD"/>
    <w:rsid w:val="00FE265E"/>
    <w:rsid w:val="00FE32F0"/>
    <w:rsid w:val="00FE34CB"/>
    <w:rsid w:val="00FE392C"/>
    <w:rsid w:val="00FE3CA6"/>
    <w:rsid w:val="00FE4A09"/>
    <w:rsid w:val="00FE4A14"/>
    <w:rsid w:val="00FE4EA2"/>
    <w:rsid w:val="00FE584C"/>
    <w:rsid w:val="00FE59F3"/>
    <w:rsid w:val="00FE635D"/>
    <w:rsid w:val="00FE7CA8"/>
    <w:rsid w:val="00FF02E3"/>
    <w:rsid w:val="00FF057A"/>
    <w:rsid w:val="00FF0662"/>
    <w:rsid w:val="00FF07C8"/>
    <w:rsid w:val="00FF1FD0"/>
    <w:rsid w:val="00FF21D9"/>
    <w:rsid w:val="00FF277B"/>
    <w:rsid w:val="00FF28E3"/>
    <w:rsid w:val="00FF29FD"/>
    <w:rsid w:val="00FF2CB5"/>
    <w:rsid w:val="00FF3DE6"/>
    <w:rsid w:val="00FF42EF"/>
    <w:rsid w:val="00FF4A19"/>
    <w:rsid w:val="00FF4D20"/>
    <w:rsid w:val="00FF5257"/>
    <w:rsid w:val="00FF52E2"/>
    <w:rsid w:val="00FF57E7"/>
    <w:rsid w:val="00FF6792"/>
    <w:rsid w:val="00FF6B28"/>
    <w:rsid w:val="00FF6EC5"/>
    <w:rsid w:val="00FF777E"/>
    <w:rsid w:val="00FF78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F5260"/>
  <w15:docId w15:val="{57C0AA71-4D66-4279-9C17-DA26B20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1145C"/>
    <w:pPr>
      <w:widowControl w:val="0"/>
      <w:jc w:val="both"/>
    </w:pPr>
    <w:rPr>
      <w:sz w:val="24"/>
      <w:lang w:eastAsia="en-US"/>
    </w:rPr>
  </w:style>
  <w:style w:type="paragraph" w:styleId="Naslov1">
    <w:name w:val="heading 1"/>
    <w:basedOn w:val="Navaden"/>
    <w:next w:val="Navaden"/>
    <w:link w:val="Naslov1Znak"/>
    <w:uiPriority w:val="99"/>
    <w:qFormat/>
    <w:rsid w:val="00653995"/>
    <w:pPr>
      <w:keepNext/>
      <w:pBdr>
        <w:top w:val="single" w:sz="4" w:space="1" w:color="auto"/>
        <w:bottom w:val="single" w:sz="4" w:space="1" w:color="auto"/>
      </w:pBdr>
      <w:shd w:val="pct20" w:color="auto" w:fill="FFFFFF"/>
      <w:tabs>
        <w:tab w:val="num" w:pos="432"/>
      </w:tabs>
      <w:spacing w:before="240" w:after="60"/>
      <w:ind w:left="432" w:hanging="432"/>
      <w:outlineLvl w:val="0"/>
    </w:pPr>
    <w:rPr>
      <w:b/>
      <w:kern w:val="28"/>
      <w:sz w:val="28"/>
    </w:rPr>
  </w:style>
  <w:style w:type="paragraph" w:styleId="Naslov2">
    <w:name w:val="heading 2"/>
    <w:basedOn w:val="Navaden"/>
    <w:next w:val="Navaden"/>
    <w:link w:val="Naslov2Znak"/>
    <w:autoRedefine/>
    <w:uiPriority w:val="99"/>
    <w:qFormat/>
    <w:rsid w:val="004E7BD2"/>
    <w:pPr>
      <w:keepNext/>
      <w:numPr>
        <w:ilvl w:val="1"/>
        <w:numId w:val="4"/>
      </w:numPr>
      <w:pBdr>
        <w:top w:val="single" w:sz="4" w:space="1" w:color="auto"/>
        <w:bottom w:val="single" w:sz="4" w:space="1" w:color="auto"/>
      </w:pBdr>
      <w:tabs>
        <w:tab w:val="left" w:pos="720"/>
      </w:tabs>
      <w:spacing w:line="276" w:lineRule="auto"/>
      <w:outlineLvl w:val="1"/>
    </w:pPr>
    <w:rPr>
      <w:rFonts w:ascii="Arial" w:hAnsi="Arial"/>
      <w:bCs/>
      <w:iCs/>
      <w:sz w:val="20"/>
    </w:rPr>
  </w:style>
  <w:style w:type="paragraph" w:styleId="Naslov3">
    <w:name w:val="heading 3"/>
    <w:basedOn w:val="Navaden"/>
    <w:next w:val="Navaden"/>
    <w:link w:val="Naslov3Znak"/>
    <w:autoRedefine/>
    <w:qFormat/>
    <w:rsid w:val="00BA5BC9"/>
    <w:pPr>
      <w:keepNext/>
      <w:spacing w:before="240" w:after="60" w:line="276" w:lineRule="auto"/>
      <w:ind w:left="720" w:hanging="360"/>
      <w:outlineLvl w:val="2"/>
    </w:pPr>
    <w:rPr>
      <w:rFonts w:ascii="Arial" w:hAnsi="Arial"/>
      <w:i/>
      <w:iCs/>
      <w:sz w:val="20"/>
    </w:rPr>
  </w:style>
  <w:style w:type="paragraph" w:styleId="Naslov4">
    <w:name w:val="heading 4"/>
    <w:basedOn w:val="Navaden"/>
    <w:next w:val="Navaden"/>
    <w:link w:val="Naslov4Znak"/>
    <w:autoRedefine/>
    <w:uiPriority w:val="99"/>
    <w:qFormat/>
    <w:rsid w:val="004C05A4"/>
    <w:pPr>
      <w:keepNext/>
      <w:ind w:right="-23"/>
      <w:outlineLvl w:val="3"/>
    </w:pPr>
    <w:rPr>
      <w:rFonts w:ascii="Arial" w:hAnsi="Arial"/>
      <w:i/>
      <w:sz w:val="20"/>
    </w:rPr>
  </w:style>
  <w:style w:type="paragraph" w:styleId="Naslov5">
    <w:name w:val="heading 5"/>
    <w:basedOn w:val="Navaden"/>
    <w:next w:val="Navaden"/>
    <w:link w:val="Naslov5Znak"/>
    <w:uiPriority w:val="99"/>
    <w:qFormat/>
    <w:rsid w:val="00653995"/>
    <w:pPr>
      <w:numPr>
        <w:ilvl w:val="4"/>
        <w:numId w:val="1"/>
      </w:numPr>
      <w:tabs>
        <w:tab w:val="clear" w:pos="360"/>
        <w:tab w:val="num" w:pos="1008"/>
      </w:tabs>
      <w:spacing w:before="240" w:after="60"/>
      <w:ind w:left="1008" w:hanging="1008"/>
      <w:outlineLvl w:val="4"/>
    </w:pPr>
    <w:rPr>
      <w:sz w:val="22"/>
    </w:rPr>
  </w:style>
  <w:style w:type="paragraph" w:styleId="Naslov6">
    <w:name w:val="heading 6"/>
    <w:basedOn w:val="Navaden"/>
    <w:next w:val="Navaden"/>
    <w:link w:val="Naslov6Znak"/>
    <w:qFormat/>
    <w:rsid w:val="00653995"/>
    <w:pPr>
      <w:numPr>
        <w:ilvl w:val="5"/>
        <w:numId w:val="1"/>
      </w:numPr>
      <w:tabs>
        <w:tab w:val="clear" w:pos="360"/>
        <w:tab w:val="num" w:pos="1152"/>
      </w:tabs>
      <w:spacing w:before="240" w:after="60"/>
      <w:ind w:left="1152" w:hanging="1152"/>
      <w:outlineLvl w:val="5"/>
    </w:pPr>
    <w:rPr>
      <w:i/>
      <w:sz w:val="22"/>
    </w:rPr>
  </w:style>
  <w:style w:type="paragraph" w:styleId="Naslov7">
    <w:name w:val="heading 7"/>
    <w:basedOn w:val="Navaden"/>
    <w:next w:val="Navaden"/>
    <w:link w:val="Naslov7Znak"/>
    <w:qFormat/>
    <w:rsid w:val="00653995"/>
    <w:pPr>
      <w:numPr>
        <w:ilvl w:val="6"/>
        <w:numId w:val="1"/>
      </w:numPr>
      <w:tabs>
        <w:tab w:val="clear" w:pos="360"/>
        <w:tab w:val="num" w:pos="1296"/>
      </w:tabs>
      <w:spacing w:before="240" w:after="60"/>
      <w:ind w:left="1296" w:hanging="1296"/>
      <w:outlineLvl w:val="6"/>
    </w:pPr>
    <w:rPr>
      <w:rFonts w:ascii="Arial" w:hAnsi="Arial"/>
      <w:sz w:val="20"/>
    </w:rPr>
  </w:style>
  <w:style w:type="paragraph" w:styleId="Naslov8">
    <w:name w:val="heading 8"/>
    <w:basedOn w:val="Navaden"/>
    <w:next w:val="Navaden"/>
    <w:link w:val="Naslov8Znak"/>
    <w:qFormat/>
    <w:rsid w:val="00653995"/>
    <w:pPr>
      <w:numPr>
        <w:ilvl w:val="7"/>
        <w:numId w:val="3"/>
      </w:numPr>
      <w:tabs>
        <w:tab w:val="clear" w:pos="643"/>
        <w:tab w:val="num" w:pos="1440"/>
      </w:tabs>
      <w:spacing w:before="240" w:after="60"/>
      <w:ind w:left="1440" w:hanging="1440"/>
      <w:outlineLvl w:val="7"/>
    </w:pPr>
    <w:rPr>
      <w:rFonts w:ascii="Arial" w:hAnsi="Arial"/>
      <w:i/>
      <w:sz w:val="20"/>
    </w:rPr>
  </w:style>
  <w:style w:type="paragraph" w:styleId="Naslov9">
    <w:name w:val="heading 9"/>
    <w:basedOn w:val="Navaden"/>
    <w:next w:val="Navaden"/>
    <w:link w:val="Naslov9Znak"/>
    <w:qFormat/>
    <w:rsid w:val="00653995"/>
    <w:pPr>
      <w:numPr>
        <w:ilvl w:val="8"/>
        <w:numId w:val="2"/>
      </w:numPr>
      <w:tabs>
        <w:tab w:val="clear" w:pos="360"/>
        <w:tab w:val="num" w:pos="1584"/>
      </w:tabs>
      <w:spacing w:before="240" w:after="60"/>
      <w:ind w:left="1584" w:hanging="1584"/>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E66FBB"/>
    <w:rPr>
      <w:rFonts w:cs="Times New Roman"/>
      <w:b/>
      <w:kern w:val="28"/>
      <w:sz w:val="20"/>
      <w:szCs w:val="20"/>
      <w:shd w:val="pct20" w:color="auto" w:fill="FFFFFF"/>
      <w:lang w:val="en-US" w:eastAsia="en-US"/>
    </w:rPr>
  </w:style>
  <w:style w:type="character" w:customStyle="1" w:styleId="Naslov2Znak">
    <w:name w:val="Naslov 2 Znak"/>
    <w:basedOn w:val="Privzetapisavaodstavka"/>
    <w:link w:val="Naslov2"/>
    <w:uiPriority w:val="99"/>
    <w:locked/>
    <w:rsid w:val="004E7BD2"/>
    <w:rPr>
      <w:rFonts w:ascii="Arial" w:hAnsi="Arial"/>
      <w:bCs/>
      <w:iCs/>
      <w:lang w:eastAsia="en-US"/>
    </w:rPr>
  </w:style>
  <w:style w:type="character" w:customStyle="1" w:styleId="Naslov3Znak">
    <w:name w:val="Naslov 3 Znak"/>
    <w:basedOn w:val="Privzetapisavaodstavka"/>
    <w:link w:val="Naslov3"/>
    <w:locked/>
    <w:rsid w:val="00BA5BC9"/>
    <w:rPr>
      <w:rFonts w:ascii="Arial" w:hAnsi="Arial"/>
      <w:i/>
      <w:iCs/>
      <w:lang w:eastAsia="en-US"/>
    </w:rPr>
  </w:style>
  <w:style w:type="character" w:customStyle="1" w:styleId="Naslov4Znak">
    <w:name w:val="Naslov 4 Znak"/>
    <w:basedOn w:val="Privzetapisavaodstavka"/>
    <w:link w:val="Naslov4"/>
    <w:uiPriority w:val="99"/>
    <w:locked/>
    <w:rsid w:val="004C05A4"/>
    <w:rPr>
      <w:rFonts w:ascii="Arial" w:hAnsi="Arial" w:cs="Times New Roman"/>
      <w:i/>
      <w:sz w:val="20"/>
      <w:szCs w:val="20"/>
      <w:lang w:eastAsia="en-US"/>
    </w:rPr>
  </w:style>
  <w:style w:type="character" w:customStyle="1" w:styleId="Naslov5Znak">
    <w:name w:val="Naslov 5 Znak"/>
    <w:basedOn w:val="Privzetapisavaodstavka"/>
    <w:link w:val="Naslov5"/>
    <w:uiPriority w:val="99"/>
    <w:locked/>
    <w:rsid w:val="00E66FBB"/>
    <w:rPr>
      <w:sz w:val="22"/>
      <w:lang w:eastAsia="en-US"/>
    </w:rPr>
  </w:style>
  <w:style w:type="character" w:customStyle="1" w:styleId="Naslov6Znak">
    <w:name w:val="Naslov 6 Znak"/>
    <w:basedOn w:val="Privzetapisavaodstavka"/>
    <w:link w:val="Naslov6"/>
    <w:locked/>
    <w:rsid w:val="00E66FBB"/>
    <w:rPr>
      <w:i/>
      <w:sz w:val="22"/>
      <w:lang w:eastAsia="en-US"/>
    </w:rPr>
  </w:style>
  <w:style w:type="character" w:customStyle="1" w:styleId="Naslov7Znak">
    <w:name w:val="Naslov 7 Znak"/>
    <w:basedOn w:val="Privzetapisavaodstavka"/>
    <w:link w:val="Naslov7"/>
    <w:locked/>
    <w:rsid w:val="00E66FBB"/>
    <w:rPr>
      <w:rFonts w:ascii="Arial" w:hAnsi="Arial"/>
      <w:lang w:eastAsia="en-US"/>
    </w:rPr>
  </w:style>
  <w:style w:type="character" w:customStyle="1" w:styleId="Naslov8Znak">
    <w:name w:val="Naslov 8 Znak"/>
    <w:basedOn w:val="Privzetapisavaodstavka"/>
    <w:link w:val="Naslov8"/>
    <w:locked/>
    <w:rsid w:val="00E66FBB"/>
    <w:rPr>
      <w:rFonts w:ascii="Arial" w:hAnsi="Arial"/>
      <w:i/>
      <w:lang w:eastAsia="en-US"/>
    </w:rPr>
  </w:style>
  <w:style w:type="character" w:customStyle="1" w:styleId="Naslov9Znak">
    <w:name w:val="Naslov 9 Znak"/>
    <w:basedOn w:val="Privzetapisavaodstavka"/>
    <w:link w:val="Naslov9"/>
    <w:locked/>
    <w:rsid w:val="00E66FBB"/>
    <w:rPr>
      <w:rFonts w:ascii="Arial" w:hAnsi="Arial"/>
      <w:b/>
      <w:i/>
      <w:sz w:val="18"/>
      <w:lang w:eastAsia="en-US"/>
    </w:rPr>
  </w:style>
  <w:style w:type="paragraph" w:styleId="Besedilooblaka">
    <w:name w:val="Balloon Text"/>
    <w:basedOn w:val="Navaden"/>
    <w:link w:val="BesedilooblakaZnak"/>
    <w:uiPriority w:val="99"/>
    <w:rsid w:val="00653995"/>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E66FBB"/>
    <w:rPr>
      <w:rFonts w:cs="Times New Roman"/>
      <w:sz w:val="2"/>
      <w:lang w:val="en-US" w:eastAsia="en-US"/>
    </w:rPr>
  </w:style>
  <w:style w:type="character" w:styleId="Sprotnaopomba-sklic">
    <w:name w:val="footnote reference"/>
    <w:basedOn w:val="Privzetapisavaodstavka"/>
    <w:semiHidden/>
    <w:rsid w:val="00653995"/>
    <w:rPr>
      <w:rFonts w:cs="Times New Roman"/>
      <w:vertAlign w:val="superscript"/>
    </w:rPr>
  </w:style>
  <w:style w:type="paragraph" w:styleId="Glava">
    <w:name w:val="header"/>
    <w:basedOn w:val="Navaden"/>
    <w:link w:val="GlavaZnak"/>
    <w:rsid w:val="00653995"/>
    <w:pPr>
      <w:tabs>
        <w:tab w:val="center" w:pos="4153"/>
        <w:tab w:val="right" w:pos="8306"/>
      </w:tabs>
    </w:pPr>
  </w:style>
  <w:style w:type="character" w:customStyle="1" w:styleId="GlavaZnak">
    <w:name w:val="Glava Znak"/>
    <w:basedOn w:val="Privzetapisavaodstavka"/>
    <w:link w:val="Glava"/>
    <w:uiPriority w:val="99"/>
    <w:locked/>
    <w:rsid w:val="00001F86"/>
    <w:rPr>
      <w:rFonts w:cs="Times New Roman"/>
      <w:sz w:val="24"/>
      <w:lang w:val="en-US" w:eastAsia="en-US"/>
    </w:rPr>
  </w:style>
  <w:style w:type="paragraph" w:styleId="Noga">
    <w:name w:val="footer"/>
    <w:basedOn w:val="Navaden"/>
    <w:link w:val="NogaZnak"/>
    <w:uiPriority w:val="99"/>
    <w:rsid w:val="00653995"/>
    <w:pPr>
      <w:tabs>
        <w:tab w:val="center" w:pos="4153"/>
        <w:tab w:val="right" w:pos="8306"/>
      </w:tabs>
      <w:ind w:firstLine="851"/>
    </w:pPr>
    <w:rPr>
      <w:sz w:val="20"/>
    </w:rPr>
  </w:style>
  <w:style w:type="character" w:customStyle="1" w:styleId="NogaZnak">
    <w:name w:val="Noga Znak"/>
    <w:basedOn w:val="Privzetapisavaodstavka"/>
    <w:link w:val="Noga"/>
    <w:uiPriority w:val="99"/>
    <w:locked/>
    <w:rsid w:val="00E66FBB"/>
    <w:rPr>
      <w:rFonts w:cs="Times New Roman"/>
      <w:sz w:val="20"/>
      <w:szCs w:val="20"/>
      <w:lang w:val="en-US" w:eastAsia="en-US"/>
    </w:rPr>
  </w:style>
  <w:style w:type="paragraph" w:styleId="Kazalovsebine1">
    <w:name w:val="toc 1"/>
    <w:basedOn w:val="Navaden"/>
    <w:next w:val="Navaden"/>
    <w:autoRedefine/>
    <w:uiPriority w:val="39"/>
    <w:rsid w:val="004F1481"/>
    <w:pPr>
      <w:tabs>
        <w:tab w:val="left" w:pos="510"/>
        <w:tab w:val="right" w:leader="dot" w:pos="9040"/>
      </w:tabs>
      <w:spacing w:before="120" w:after="120"/>
      <w:ind w:left="510" w:hanging="510"/>
      <w:jc w:val="left"/>
    </w:pPr>
    <w:rPr>
      <w:rFonts w:ascii="Arial" w:hAnsi="Arial"/>
      <w:b/>
      <w:bCs/>
      <w:caps/>
      <w:noProof/>
      <w:szCs w:val="24"/>
    </w:rPr>
  </w:style>
  <w:style w:type="paragraph" w:styleId="Kazalovsebine2">
    <w:name w:val="toc 2"/>
    <w:basedOn w:val="Navaden"/>
    <w:next w:val="Navaden"/>
    <w:autoRedefine/>
    <w:uiPriority w:val="39"/>
    <w:rsid w:val="00D83886"/>
    <w:pPr>
      <w:tabs>
        <w:tab w:val="left" w:pos="1417"/>
        <w:tab w:val="right" w:leader="dot" w:pos="9040"/>
      </w:tabs>
      <w:ind w:left="1429" w:hanging="1191"/>
      <w:jc w:val="left"/>
    </w:pPr>
    <w:rPr>
      <w:smallCaps/>
      <w:szCs w:val="24"/>
    </w:rPr>
  </w:style>
  <w:style w:type="paragraph" w:styleId="Kazalovsebine3">
    <w:name w:val="toc 3"/>
    <w:basedOn w:val="Navaden"/>
    <w:next w:val="Navaden"/>
    <w:autoRedefine/>
    <w:uiPriority w:val="39"/>
    <w:rsid w:val="004728ED"/>
    <w:pPr>
      <w:tabs>
        <w:tab w:val="right" w:leader="dot" w:pos="9040"/>
      </w:tabs>
      <w:ind w:left="567"/>
      <w:jc w:val="left"/>
    </w:pPr>
    <w:rPr>
      <w:i/>
      <w:iCs/>
      <w:szCs w:val="24"/>
    </w:rPr>
  </w:style>
  <w:style w:type="paragraph" w:styleId="Kazalovsebine4">
    <w:name w:val="toc 4"/>
    <w:basedOn w:val="Navaden"/>
    <w:next w:val="Navaden"/>
    <w:autoRedefine/>
    <w:uiPriority w:val="39"/>
    <w:rsid w:val="00653995"/>
    <w:pPr>
      <w:tabs>
        <w:tab w:val="left" w:pos="1680"/>
        <w:tab w:val="right" w:leader="dot" w:pos="9040"/>
      </w:tabs>
      <w:ind w:left="1684" w:hanging="964"/>
      <w:jc w:val="left"/>
    </w:pPr>
    <w:rPr>
      <w:szCs w:val="21"/>
    </w:rPr>
  </w:style>
  <w:style w:type="paragraph" w:styleId="Kazalovsebine5">
    <w:name w:val="toc 5"/>
    <w:basedOn w:val="Navaden"/>
    <w:next w:val="Navaden"/>
    <w:autoRedefine/>
    <w:uiPriority w:val="39"/>
    <w:rsid w:val="00653995"/>
    <w:pPr>
      <w:ind w:left="960"/>
      <w:jc w:val="left"/>
    </w:pPr>
    <w:rPr>
      <w:szCs w:val="21"/>
    </w:rPr>
  </w:style>
  <w:style w:type="paragraph" w:styleId="Kazalovsebine6">
    <w:name w:val="toc 6"/>
    <w:basedOn w:val="Navaden"/>
    <w:next w:val="Navaden"/>
    <w:autoRedefine/>
    <w:uiPriority w:val="39"/>
    <w:rsid w:val="00653995"/>
    <w:pPr>
      <w:ind w:left="1200"/>
      <w:jc w:val="left"/>
    </w:pPr>
    <w:rPr>
      <w:szCs w:val="21"/>
    </w:rPr>
  </w:style>
  <w:style w:type="paragraph" w:styleId="Kazalovsebine7">
    <w:name w:val="toc 7"/>
    <w:basedOn w:val="Navaden"/>
    <w:next w:val="Navaden"/>
    <w:autoRedefine/>
    <w:uiPriority w:val="39"/>
    <w:rsid w:val="00653995"/>
    <w:pPr>
      <w:ind w:left="1440"/>
      <w:jc w:val="left"/>
    </w:pPr>
    <w:rPr>
      <w:szCs w:val="21"/>
    </w:rPr>
  </w:style>
  <w:style w:type="paragraph" w:styleId="Kazalovsebine8">
    <w:name w:val="toc 8"/>
    <w:basedOn w:val="Navaden"/>
    <w:next w:val="Navaden"/>
    <w:autoRedefine/>
    <w:uiPriority w:val="39"/>
    <w:rsid w:val="00653995"/>
    <w:pPr>
      <w:ind w:left="1680"/>
      <w:jc w:val="left"/>
    </w:pPr>
    <w:rPr>
      <w:szCs w:val="21"/>
    </w:rPr>
  </w:style>
  <w:style w:type="paragraph" w:styleId="Kazalovsebine9">
    <w:name w:val="toc 9"/>
    <w:basedOn w:val="Navaden"/>
    <w:next w:val="Navaden"/>
    <w:autoRedefine/>
    <w:uiPriority w:val="39"/>
    <w:rsid w:val="00653995"/>
    <w:pPr>
      <w:ind w:left="1920"/>
      <w:jc w:val="left"/>
    </w:pPr>
    <w:rPr>
      <w:szCs w:val="21"/>
    </w:rPr>
  </w:style>
  <w:style w:type="character" w:styleId="tevilkastrani">
    <w:name w:val="page number"/>
    <w:basedOn w:val="Privzetapisavaodstavka"/>
    <w:uiPriority w:val="99"/>
    <w:rsid w:val="00653995"/>
    <w:rPr>
      <w:rFonts w:cs="Times New Roman"/>
    </w:rPr>
  </w:style>
  <w:style w:type="paragraph" w:styleId="Napis">
    <w:name w:val="caption"/>
    <w:basedOn w:val="Navaden"/>
    <w:next w:val="Navaden"/>
    <w:uiPriority w:val="99"/>
    <w:qFormat/>
    <w:rsid w:val="00653995"/>
    <w:pPr>
      <w:spacing w:before="60" w:after="120"/>
    </w:pPr>
    <w:rPr>
      <w:b/>
      <w:i/>
    </w:rPr>
  </w:style>
  <w:style w:type="paragraph" w:styleId="Kazaloslik">
    <w:name w:val="table of figures"/>
    <w:basedOn w:val="Navaden"/>
    <w:next w:val="Navaden"/>
    <w:uiPriority w:val="99"/>
    <w:semiHidden/>
    <w:rsid w:val="00653995"/>
    <w:pPr>
      <w:tabs>
        <w:tab w:val="right" w:leader="dot" w:pos="9006"/>
      </w:tabs>
    </w:pPr>
    <w:rPr>
      <w:b/>
      <w:i/>
      <w:noProof/>
      <w:szCs w:val="24"/>
    </w:rPr>
  </w:style>
  <w:style w:type="paragraph" w:styleId="Sprotnaopomba-besedilo">
    <w:name w:val="footnote text"/>
    <w:basedOn w:val="Navaden"/>
    <w:link w:val="Sprotnaopomba-besediloZnak"/>
    <w:rsid w:val="00653995"/>
    <w:pPr>
      <w:ind w:firstLine="720"/>
    </w:pPr>
    <w:rPr>
      <w:sz w:val="20"/>
    </w:rPr>
  </w:style>
  <w:style w:type="character" w:customStyle="1" w:styleId="Sprotnaopomba-besediloZnak">
    <w:name w:val="Sprotna opomba - besedilo Znak"/>
    <w:basedOn w:val="Privzetapisavaodstavka"/>
    <w:link w:val="Sprotnaopomba-besedilo"/>
    <w:locked/>
    <w:rsid w:val="00D268B7"/>
    <w:rPr>
      <w:rFonts w:cs="Times New Roman"/>
      <w:sz w:val="20"/>
      <w:lang w:val="en-US" w:eastAsia="en-US"/>
    </w:rPr>
  </w:style>
  <w:style w:type="paragraph" w:styleId="Telobesedila">
    <w:name w:val="Body Text"/>
    <w:basedOn w:val="Navaden"/>
    <w:link w:val="TelobesedilaZnak"/>
    <w:uiPriority w:val="99"/>
    <w:rsid w:val="00653995"/>
    <w:pPr>
      <w:widowControl/>
      <w:ind w:right="-766"/>
    </w:pPr>
  </w:style>
  <w:style w:type="character" w:customStyle="1" w:styleId="TelobesedilaZnak">
    <w:name w:val="Telo besedila Znak"/>
    <w:basedOn w:val="Privzetapisavaodstavka"/>
    <w:link w:val="Telobesedila"/>
    <w:uiPriority w:val="99"/>
    <w:locked/>
    <w:rsid w:val="00E66FBB"/>
    <w:rPr>
      <w:rFonts w:cs="Times New Roman"/>
      <w:sz w:val="20"/>
      <w:szCs w:val="20"/>
      <w:lang w:val="en-US" w:eastAsia="en-US"/>
    </w:rPr>
  </w:style>
  <w:style w:type="paragraph" w:styleId="Telobesedila2">
    <w:name w:val="Body Text 2"/>
    <w:basedOn w:val="Navaden"/>
    <w:link w:val="Telobesedila2Znak"/>
    <w:uiPriority w:val="99"/>
    <w:rsid w:val="00653995"/>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 w:val="left" w:pos="9391"/>
        <w:tab w:val="left" w:pos="10111"/>
        <w:tab w:val="left" w:pos="10831"/>
        <w:tab w:val="left" w:pos="11551"/>
      </w:tabs>
    </w:pPr>
  </w:style>
  <w:style w:type="character" w:customStyle="1" w:styleId="Telobesedila2Znak">
    <w:name w:val="Telo besedila 2 Znak"/>
    <w:basedOn w:val="Privzetapisavaodstavka"/>
    <w:link w:val="Telobesedila2"/>
    <w:uiPriority w:val="99"/>
    <w:locked/>
    <w:rsid w:val="00E66FBB"/>
    <w:rPr>
      <w:rFonts w:cs="Times New Roman"/>
      <w:sz w:val="20"/>
      <w:szCs w:val="20"/>
      <w:lang w:val="en-US" w:eastAsia="en-US"/>
    </w:rPr>
  </w:style>
  <w:style w:type="paragraph" w:styleId="Telobesedila3">
    <w:name w:val="Body Text 3"/>
    <w:basedOn w:val="Navaden"/>
    <w:link w:val="Telobesedila3Znak"/>
    <w:uiPriority w:val="99"/>
    <w:rsid w:val="00653995"/>
    <w:pPr>
      <w:ind w:right="-765"/>
    </w:pPr>
  </w:style>
  <w:style w:type="character" w:customStyle="1" w:styleId="Telobesedila3Znak">
    <w:name w:val="Telo besedila 3 Znak"/>
    <w:basedOn w:val="Privzetapisavaodstavka"/>
    <w:link w:val="Telobesedila3"/>
    <w:uiPriority w:val="99"/>
    <w:semiHidden/>
    <w:locked/>
    <w:rsid w:val="00E66FBB"/>
    <w:rPr>
      <w:rFonts w:cs="Times New Roman"/>
      <w:sz w:val="16"/>
      <w:szCs w:val="16"/>
      <w:lang w:val="en-US" w:eastAsia="en-US"/>
    </w:rPr>
  </w:style>
  <w:style w:type="paragraph" w:styleId="Telobesedila-zamik">
    <w:name w:val="Body Text Indent"/>
    <w:basedOn w:val="Navaden"/>
    <w:link w:val="Telobesedila-zamikZnak"/>
    <w:uiPriority w:val="99"/>
    <w:rsid w:val="00653995"/>
    <w:pPr>
      <w:tabs>
        <w:tab w:val="left" w:pos="-1057"/>
        <w:tab w:val="left" w:pos="-787"/>
        <w:tab w:val="left" w:pos="142"/>
        <w:tab w:val="left" w:pos="720"/>
        <w:tab w:val="left" w:pos="1440"/>
        <w:tab w:val="left" w:pos="2160"/>
        <w:tab w:val="left" w:pos="2880"/>
        <w:tab w:val="left" w:pos="3600"/>
        <w:tab w:val="left" w:pos="4320"/>
        <w:tab w:val="left" w:pos="4500"/>
      </w:tabs>
      <w:ind w:left="-142"/>
    </w:pPr>
  </w:style>
  <w:style w:type="character" w:customStyle="1" w:styleId="Telobesedila-zamikZnak">
    <w:name w:val="Telo besedila - zamik Znak"/>
    <w:basedOn w:val="Privzetapisavaodstavka"/>
    <w:link w:val="Telobesedila-zamik"/>
    <w:uiPriority w:val="99"/>
    <w:semiHidden/>
    <w:locked/>
    <w:rsid w:val="00E66FBB"/>
    <w:rPr>
      <w:rFonts w:cs="Times New Roman"/>
      <w:sz w:val="20"/>
      <w:szCs w:val="20"/>
      <w:lang w:val="en-US" w:eastAsia="en-US"/>
    </w:rPr>
  </w:style>
  <w:style w:type="paragraph" w:styleId="Telobesedila-zamik2">
    <w:name w:val="Body Text Indent 2"/>
    <w:basedOn w:val="Navaden"/>
    <w:link w:val="Telobesedila-zamik2Znak"/>
    <w:uiPriority w:val="99"/>
    <w:rsid w:val="00653995"/>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31"/>
    </w:pPr>
  </w:style>
  <w:style w:type="character" w:customStyle="1" w:styleId="Telobesedila-zamik2Znak">
    <w:name w:val="Telo besedila - zamik 2 Znak"/>
    <w:basedOn w:val="Privzetapisavaodstavka"/>
    <w:link w:val="Telobesedila-zamik2"/>
    <w:uiPriority w:val="99"/>
    <w:locked/>
    <w:rsid w:val="00E66FBB"/>
    <w:rPr>
      <w:rFonts w:cs="Times New Roman"/>
      <w:sz w:val="20"/>
      <w:szCs w:val="20"/>
      <w:lang w:val="en-US" w:eastAsia="en-US"/>
    </w:rPr>
  </w:style>
  <w:style w:type="character" w:styleId="Hiperpovezava">
    <w:name w:val="Hyperlink"/>
    <w:basedOn w:val="Privzetapisavaodstavka"/>
    <w:uiPriority w:val="99"/>
    <w:rsid w:val="00653995"/>
    <w:rPr>
      <w:rFonts w:cs="Times New Roman"/>
      <w:color w:val="0000FF"/>
      <w:u w:val="single"/>
    </w:rPr>
  </w:style>
  <w:style w:type="paragraph" w:styleId="Telobesedila-zamik3">
    <w:name w:val="Body Text Indent 3"/>
    <w:basedOn w:val="Navaden"/>
    <w:link w:val="Telobesedila-zamik3Znak"/>
    <w:uiPriority w:val="99"/>
    <w:rsid w:val="00653995"/>
    <w:pPr>
      <w:tabs>
        <w:tab w:val="left" w:pos="-1049"/>
        <w:tab w:val="left" w:pos="-689"/>
        <w:tab w:val="left" w:pos="709"/>
        <w:tab w:val="left" w:pos="1471"/>
        <w:tab w:val="left" w:pos="2191"/>
        <w:tab w:val="left" w:pos="2911"/>
        <w:tab w:val="left" w:pos="3631"/>
        <w:tab w:val="left" w:pos="4351"/>
        <w:tab w:val="left" w:pos="4531"/>
        <w:tab w:val="left" w:pos="5071"/>
        <w:tab w:val="left" w:pos="5791"/>
        <w:tab w:val="left" w:pos="6511"/>
        <w:tab w:val="left" w:pos="7231"/>
        <w:tab w:val="left" w:pos="7951"/>
        <w:tab w:val="left" w:pos="8671"/>
      </w:tabs>
      <w:ind w:left="709"/>
    </w:pPr>
  </w:style>
  <w:style w:type="character" w:customStyle="1" w:styleId="Telobesedila-zamik3Znak">
    <w:name w:val="Telo besedila - zamik 3 Znak"/>
    <w:basedOn w:val="Privzetapisavaodstavka"/>
    <w:link w:val="Telobesedila-zamik3"/>
    <w:uiPriority w:val="99"/>
    <w:semiHidden/>
    <w:locked/>
    <w:rsid w:val="00E66FBB"/>
    <w:rPr>
      <w:rFonts w:cs="Times New Roman"/>
      <w:sz w:val="16"/>
      <w:szCs w:val="16"/>
      <w:lang w:val="en-US" w:eastAsia="en-US"/>
    </w:rPr>
  </w:style>
  <w:style w:type="character" w:styleId="SledenaHiperpovezava">
    <w:name w:val="FollowedHyperlink"/>
    <w:basedOn w:val="Privzetapisavaodstavka"/>
    <w:uiPriority w:val="99"/>
    <w:rsid w:val="00653995"/>
    <w:rPr>
      <w:rFonts w:cs="Times New Roman"/>
      <w:color w:val="800080"/>
      <w:u w:val="single"/>
    </w:rPr>
  </w:style>
  <w:style w:type="paragraph" w:styleId="Blokbesedila">
    <w:name w:val="Block Text"/>
    <w:basedOn w:val="Navaden"/>
    <w:uiPriority w:val="99"/>
    <w:rsid w:val="00653995"/>
    <w:pPr>
      <w:tabs>
        <w:tab w:val="left" w:pos="-1049"/>
        <w:tab w:val="left" w:pos="-689"/>
        <w:tab w:val="left" w:pos="31"/>
        <w:tab w:val="left" w:pos="751"/>
        <w:tab w:val="left" w:pos="1471"/>
        <w:tab w:val="left" w:pos="2191"/>
        <w:tab w:val="left" w:pos="2911"/>
        <w:tab w:val="left" w:pos="3631"/>
        <w:tab w:val="left" w:pos="4351"/>
        <w:tab w:val="left" w:pos="4531"/>
        <w:tab w:val="left" w:pos="5071"/>
        <w:tab w:val="left" w:pos="5791"/>
        <w:tab w:val="left" w:pos="6511"/>
        <w:tab w:val="left" w:pos="7231"/>
        <w:tab w:val="left" w:pos="7951"/>
        <w:tab w:val="left" w:pos="9072"/>
      </w:tabs>
      <w:ind w:left="31" w:right="-283"/>
    </w:pPr>
    <w:rPr>
      <w:i/>
      <w:iCs/>
      <w:noProof/>
    </w:rPr>
  </w:style>
  <w:style w:type="paragraph" w:styleId="Golobesedilo">
    <w:name w:val="Plain Text"/>
    <w:basedOn w:val="Navaden"/>
    <w:link w:val="GolobesediloZnak"/>
    <w:uiPriority w:val="99"/>
    <w:rsid w:val="00653995"/>
    <w:pPr>
      <w:widowControl/>
    </w:pPr>
    <w:rPr>
      <w:rFonts w:ascii="Courier New" w:hAnsi="Courier New"/>
      <w:sz w:val="20"/>
      <w:lang w:val="en-AU"/>
    </w:rPr>
  </w:style>
  <w:style w:type="character" w:customStyle="1" w:styleId="GolobesediloZnak">
    <w:name w:val="Golo besedilo Znak"/>
    <w:basedOn w:val="Privzetapisavaodstavka"/>
    <w:link w:val="Golobesedilo"/>
    <w:uiPriority w:val="99"/>
    <w:semiHidden/>
    <w:locked/>
    <w:rsid w:val="00E66FBB"/>
    <w:rPr>
      <w:rFonts w:ascii="Courier New" w:hAnsi="Courier New" w:cs="Courier New"/>
      <w:sz w:val="20"/>
      <w:szCs w:val="20"/>
      <w:lang w:val="en-US" w:eastAsia="en-US"/>
    </w:rPr>
  </w:style>
  <w:style w:type="paragraph" w:styleId="Naslov">
    <w:name w:val="Title"/>
    <w:basedOn w:val="Navaden"/>
    <w:link w:val="NaslovZnak"/>
    <w:uiPriority w:val="99"/>
    <w:qFormat/>
    <w:rsid w:val="00653995"/>
    <w:pPr>
      <w:widowControl/>
      <w:jc w:val="center"/>
    </w:pPr>
    <w:rPr>
      <w:b/>
      <w:bCs/>
      <w:sz w:val="28"/>
      <w:lang w:val="en-GB"/>
    </w:rPr>
  </w:style>
  <w:style w:type="character" w:customStyle="1" w:styleId="NaslovZnak">
    <w:name w:val="Naslov Znak"/>
    <w:basedOn w:val="Privzetapisavaodstavka"/>
    <w:link w:val="Naslov"/>
    <w:uiPriority w:val="99"/>
    <w:locked/>
    <w:rsid w:val="00E66FBB"/>
    <w:rPr>
      <w:rFonts w:ascii="Cambria" w:hAnsi="Cambria" w:cs="Times New Roman"/>
      <w:b/>
      <w:bCs/>
      <w:kern w:val="28"/>
      <w:sz w:val="32"/>
      <w:szCs w:val="32"/>
      <w:lang w:val="en-US" w:eastAsia="en-US"/>
    </w:rPr>
  </w:style>
  <w:style w:type="paragraph" w:customStyle="1" w:styleId="ParagraphNumbering">
    <w:name w:val="Paragraph Numbering"/>
    <w:basedOn w:val="Navaden"/>
    <w:rsid w:val="00653995"/>
    <w:pPr>
      <w:widowControl/>
      <w:tabs>
        <w:tab w:val="left" w:pos="851"/>
      </w:tabs>
      <w:spacing w:after="240"/>
    </w:pPr>
    <w:rPr>
      <w:sz w:val="22"/>
    </w:rPr>
  </w:style>
  <w:style w:type="paragraph" w:styleId="Oznaenseznam">
    <w:name w:val="List Bullet"/>
    <w:basedOn w:val="Navaden"/>
    <w:autoRedefine/>
    <w:uiPriority w:val="99"/>
    <w:rsid w:val="00653995"/>
    <w:pPr>
      <w:numPr>
        <w:numId w:val="5"/>
      </w:numPr>
    </w:pPr>
  </w:style>
  <w:style w:type="paragraph" w:styleId="Navadensplet">
    <w:name w:val="Normal (Web)"/>
    <w:basedOn w:val="Navaden"/>
    <w:uiPriority w:val="99"/>
    <w:rsid w:val="00653995"/>
    <w:pPr>
      <w:widowControl/>
      <w:spacing w:before="100" w:beforeAutospacing="1" w:after="100" w:afterAutospacing="1"/>
      <w:jc w:val="left"/>
    </w:pPr>
    <w:rPr>
      <w:szCs w:val="24"/>
      <w:lang w:eastAsia="sl-SI"/>
    </w:rPr>
  </w:style>
  <w:style w:type="character" w:styleId="Poudarek">
    <w:name w:val="Emphasis"/>
    <w:basedOn w:val="Privzetapisavaodstavka"/>
    <w:uiPriority w:val="99"/>
    <w:qFormat/>
    <w:rsid w:val="00653995"/>
    <w:rPr>
      <w:rFonts w:cs="Times New Roman"/>
      <w:i/>
      <w:iCs/>
    </w:rPr>
  </w:style>
  <w:style w:type="paragraph" w:styleId="Seznam">
    <w:name w:val="List"/>
    <w:basedOn w:val="Navaden"/>
    <w:uiPriority w:val="99"/>
    <w:rsid w:val="00653995"/>
    <w:pPr>
      <w:ind w:left="283" w:hanging="283"/>
    </w:pPr>
  </w:style>
  <w:style w:type="paragraph" w:styleId="Seznam2">
    <w:name w:val="List 2"/>
    <w:basedOn w:val="Navaden"/>
    <w:uiPriority w:val="99"/>
    <w:rsid w:val="00653995"/>
    <w:pPr>
      <w:ind w:left="566" w:hanging="283"/>
    </w:pPr>
  </w:style>
  <w:style w:type="paragraph" w:styleId="Seznam3">
    <w:name w:val="List 3"/>
    <w:basedOn w:val="Navaden"/>
    <w:uiPriority w:val="99"/>
    <w:rsid w:val="00653995"/>
    <w:pPr>
      <w:ind w:left="849" w:hanging="283"/>
    </w:pPr>
  </w:style>
  <w:style w:type="paragraph" w:styleId="Uvodnipozdrav">
    <w:name w:val="Salutation"/>
    <w:basedOn w:val="Navaden"/>
    <w:next w:val="Navaden"/>
    <w:link w:val="UvodnipozdravZnak"/>
    <w:uiPriority w:val="99"/>
    <w:rsid w:val="00653995"/>
  </w:style>
  <w:style w:type="character" w:customStyle="1" w:styleId="UvodnipozdravZnak">
    <w:name w:val="Uvodni pozdrav Znak"/>
    <w:basedOn w:val="Privzetapisavaodstavka"/>
    <w:link w:val="Uvodnipozdrav"/>
    <w:uiPriority w:val="99"/>
    <w:semiHidden/>
    <w:locked/>
    <w:rsid w:val="00E66FBB"/>
    <w:rPr>
      <w:rFonts w:cs="Times New Roman"/>
      <w:sz w:val="20"/>
      <w:szCs w:val="20"/>
      <w:lang w:val="en-US" w:eastAsia="en-US"/>
    </w:rPr>
  </w:style>
  <w:style w:type="paragraph" w:styleId="Oznaenseznam2">
    <w:name w:val="List Bullet 2"/>
    <w:basedOn w:val="Navaden"/>
    <w:autoRedefine/>
    <w:uiPriority w:val="99"/>
    <w:rsid w:val="00D63149"/>
    <w:pPr>
      <w:spacing w:line="276" w:lineRule="auto"/>
      <w:ind w:right="-22"/>
    </w:pPr>
    <w:rPr>
      <w:rFonts w:ascii="Arial" w:hAnsi="Arial"/>
      <w:iCs/>
      <w:sz w:val="20"/>
    </w:rPr>
  </w:style>
  <w:style w:type="paragraph" w:styleId="Seznam-nadaljevanje">
    <w:name w:val="List Continue"/>
    <w:basedOn w:val="Navaden"/>
    <w:uiPriority w:val="99"/>
    <w:rsid w:val="00653995"/>
    <w:pPr>
      <w:spacing w:after="120"/>
      <w:ind w:left="283"/>
    </w:pPr>
  </w:style>
  <w:style w:type="paragraph" w:styleId="Seznam-nadaljevanje2">
    <w:name w:val="List Continue 2"/>
    <w:basedOn w:val="Navaden"/>
    <w:uiPriority w:val="99"/>
    <w:rsid w:val="00653995"/>
    <w:pPr>
      <w:spacing w:after="120"/>
      <w:ind w:left="566"/>
    </w:pPr>
  </w:style>
  <w:style w:type="character" w:customStyle="1" w:styleId="CharChar">
    <w:name w:val="Char Char"/>
    <w:basedOn w:val="Privzetapisavaodstavka"/>
    <w:uiPriority w:val="99"/>
    <w:rsid w:val="00653995"/>
    <w:rPr>
      <w:rFonts w:cs="Times New Roman"/>
      <w:bCs/>
      <w:i/>
      <w:iCs/>
      <w:snapToGrid w:val="0"/>
      <w:sz w:val="24"/>
      <w:lang w:val="sl-SI" w:eastAsia="en-US" w:bidi="ar-SA"/>
    </w:rPr>
  </w:style>
  <w:style w:type="character" w:styleId="Krepko">
    <w:name w:val="Strong"/>
    <w:basedOn w:val="Privzetapisavaodstavka"/>
    <w:uiPriority w:val="99"/>
    <w:qFormat/>
    <w:rsid w:val="00653995"/>
    <w:rPr>
      <w:rFonts w:cs="Times New Roman"/>
      <w:b/>
      <w:bCs/>
    </w:rPr>
  </w:style>
  <w:style w:type="table" w:styleId="Tabelamrea">
    <w:name w:val="Table Grid"/>
    <w:basedOn w:val="Navadnatabela"/>
    <w:uiPriority w:val="99"/>
    <w:rsid w:val="007A4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rsid w:val="007A4A08"/>
    <w:rPr>
      <w:sz w:val="20"/>
    </w:rPr>
  </w:style>
  <w:style w:type="character" w:customStyle="1" w:styleId="Konnaopomba-besediloZnak">
    <w:name w:val="Končna opomba - besedilo Znak"/>
    <w:basedOn w:val="Privzetapisavaodstavka"/>
    <w:link w:val="Konnaopomba-besedilo"/>
    <w:uiPriority w:val="99"/>
    <w:semiHidden/>
    <w:locked/>
    <w:rsid w:val="00E66FBB"/>
    <w:rPr>
      <w:rFonts w:cs="Times New Roman"/>
      <w:sz w:val="20"/>
      <w:szCs w:val="20"/>
      <w:lang w:val="en-US" w:eastAsia="en-US"/>
    </w:rPr>
  </w:style>
  <w:style w:type="paragraph" w:styleId="Odstavekseznama">
    <w:name w:val="List Paragraph"/>
    <w:basedOn w:val="Navaden"/>
    <w:link w:val="OdstavekseznamaZnak"/>
    <w:uiPriority w:val="34"/>
    <w:qFormat/>
    <w:rsid w:val="00001F86"/>
    <w:pPr>
      <w:widowControl/>
      <w:ind w:left="720"/>
      <w:contextualSpacing/>
      <w:jc w:val="left"/>
    </w:pPr>
    <w:rPr>
      <w:rFonts w:cs="Times New Roman"/>
      <w:szCs w:val="24"/>
      <w:lang w:val="en-GB"/>
    </w:rPr>
  </w:style>
  <w:style w:type="character" w:styleId="Konnaopomba-sklic">
    <w:name w:val="endnote reference"/>
    <w:basedOn w:val="Privzetapisavaodstavka"/>
    <w:uiPriority w:val="99"/>
    <w:semiHidden/>
    <w:rsid w:val="008061FA"/>
    <w:rPr>
      <w:rFonts w:cs="Times New Roman"/>
      <w:vertAlign w:val="superscript"/>
    </w:rPr>
  </w:style>
  <w:style w:type="paragraph" w:customStyle="1" w:styleId="xl65">
    <w:name w:val="xl65"/>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6"/>
      <w:szCs w:val="16"/>
      <w:lang w:eastAsia="sl-SI"/>
    </w:rPr>
  </w:style>
  <w:style w:type="paragraph" w:customStyle="1" w:styleId="xl66">
    <w:name w:val="xl66"/>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6"/>
      <w:szCs w:val="16"/>
      <w:lang w:eastAsia="sl-SI"/>
    </w:rPr>
  </w:style>
  <w:style w:type="paragraph" w:customStyle="1" w:styleId="xl67">
    <w:name w:val="xl67"/>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lang w:eastAsia="sl-SI"/>
    </w:rPr>
  </w:style>
  <w:style w:type="paragraph" w:customStyle="1" w:styleId="xl68">
    <w:name w:val="xl68"/>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6"/>
      <w:szCs w:val="16"/>
      <w:lang w:eastAsia="sl-SI"/>
    </w:rPr>
  </w:style>
  <w:style w:type="paragraph" w:customStyle="1" w:styleId="xl69">
    <w:name w:val="xl69"/>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lang w:eastAsia="sl-SI"/>
    </w:rPr>
  </w:style>
  <w:style w:type="paragraph" w:customStyle="1" w:styleId="xl70">
    <w:name w:val="xl70"/>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sz w:val="16"/>
      <w:szCs w:val="16"/>
      <w:lang w:eastAsia="sl-SI"/>
    </w:rPr>
  </w:style>
  <w:style w:type="paragraph" w:customStyle="1" w:styleId="xl71">
    <w:name w:val="xl71"/>
    <w:basedOn w:val="Navaden"/>
    <w:rsid w:val="0088241E"/>
    <w:pPr>
      <w:widowControl/>
      <w:spacing w:before="100" w:beforeAutospacing="1" w:after="100" w:afterAutospacing="1"/>
      <w:jc w:val="left"/>
    </w:pPr>
    <w:rPr>
      <w:rFonts w:ascii="Arial" w:hAnsi="Arial"/>
      <w:b/>
      <w:bCs/>
      <w:sz w:val="16"/>
      <w:szCs w:val="16"/>
      <w:lang w:eastAsia="sl-SI"/>
    </w:rPr>
  </w:style>
  <w:style w:type="paragraph" w:customStyle="1" w:styleId="xl72">
    <w:name w:val="xl72"/>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lang w:eastAsia="sl-SI"/>
    </w:rPr>
  </w:style>
  <w:style w:type="paragraph" w:customStyle="1" w:styleId="xl73">
    <w:name w:val="xl73"/>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lang w:eastAsia="sl-SI"/>
    </w:rPr>
  </w:style>
  <w:style w:type="paragraph" w:customStyle="1" w:styleId="xl74">
    <w:name w:val="xl74"/>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lang w:eastAsia="sl-SI"/>
    </w:rPr>
  </w:style>
  <w:style w:type="paragraph" w:customStyle="1" w:styleId="xl75">
    <w:name w:val="xl75"/>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6"/>
      <w:szCs w:val="16"/>
      <w:lang w:eastAsia="sl-SI"/>
    </w:rPr>
  </w:style>
  <w:style w:type="paragraph" w:customStyle="1" w:styleId="xl76">
    <w:name w:val="xl76"/>
    <w:basedOn w:val="Navaden"/>
    <w:rsid w:val="008824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sz w:val="16"/>
      <w:szCs w:val="16"/>
      <w:lang w:eastAsia="sl-SI"/>
    </w:rPr>
  </w:style>
  <w:style w:type="paragraph" w:customStyle="1" w:styleId="xl77">
    <w:name w:val="xl77"/>
    <w:basedOn w:val="Navaden"/>
    <w:rsid w:val="0088241E"/>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Arial" w:hAnsi="Arial"/>
      <w:sz w:val="16"/>
      <w:szCs w:val="16"/>
      <w:lang w:eastAsia="sl-SI"/>
    </w:rPr>
  </w:style>
  <w:style w:type="paragraph" w:customStyle="1" w:styleId="xl78">
    <w:name w:val="xl78"/>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6"/>
      <w:szCs w:val="16"/>
      <w:lang w:eastAsia="sl-SI"/>
    </w:rPr>
  </w:style>
  <w:style w:type="paragraph" w:customStyle="1" w:styleId="xl79">
    <w:name w:val="xl79"/>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6"/>
      <w:szCs w:val="16"/>
      <w:lang w:eastAsia="sl-SI"/>
    </w:rPr>
  </w:style>
  <w:style w:type="paragraph" w:customStyle="1" w:styleId="xl80">
    <w:name w:val="xl80"/>
    <w:basedOn w:val="Navaden"/>
    <w:rsid w:val="008824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b/>
      <w:bCs/>
      <w:sz w:val="20"/>
      <w:lang w:eastAsia="sl-SI"/>
    </w:rPr>
  </w:style>
  <w:style w:type="paragraph" w:customStyle="1" w:styleId="xl81">
    <w:name w:val="xl81"/>
    <w:basedOn w:val="Navaden"/>
    <w:rsid w:val="0088241E"/>
    <w:pPr>
      <w:widowControl/>
      <w:spacing w:before="100" w:beforeAutospacing="1" w:after="100" w:afterAutospacing="1"/>
      <w:jc w:val="left"/>
    </w:pPr>
    <w:rPr>
      <w:rFonts w:cs="Times New Roman"/>
      <w:szCs w:val="24"/>
      <w:lang w:eastAsia="sl-SI"/>
    </w:rPr>
  </w:style>
  <w:style w:type="paragraph" w:customStyle="1" w:styleId="xl82">
    <w:name w:val="xl82"/>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sz w:val="20"/>
      <w:lang w:eastAsia="sl-SI"/>
    </w:rPr>
  </w:style>
  <w:style w:type="paragraph" w:customStyle="1" w:styleId="xl83">
    <w:name w:val="xl83"/>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Times New Roman"/>
      <w:b/>
      <w:bCs/>
      <w:sz w:val="20"/>
      <w:lang w:eastAsia="sl-SI"/>
    </w:rPr>
  </w:style>
  <w:style w:type="paragraph" w:customStyle="1" w:styleId="xl84">
    <w:name w:val="xl84"/>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sz w:val="20"/>
      <w:lang w:eastAsia="sl-SI"/>
    </w:rPr>
  </w:style>
  <w:style w:type="paragraph" w:customStyle="1" w:styleId="xl85">
    <w:name w:val="xl85"/>
    <w:basedOn w:val="Navaden"/>
    <w:rsid w:val="008824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sz w:val="20"/>
      <w:lang w:eastAsia="sl-SI"/>
    </w:rPr>
  </w:style>
  <w:style w:type="paragraph" w:customStyle="1" w:styleId="xl64">
    <w:name w:val="xl64"/>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6"/>
      <w:szCs w:val="16"/>
      <w:lang w:eastAsia="sl-SI"/>
    </w:rPr>
  </w:style>
  <w:style w:type="paragraph" w:customStyle="1" w:styleId="xl86">
    <w:name w:val="xl86"/>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8"/>
      <w:szCs w:val="18"/>
      <w:lang w:eastAsia="sl-SI"/>
    </w:rPr>
  </w:style>
  <w:style w:type="paragraph" w:customStyle="1" w:styleId="xl87">
    <w:name w:val="xl87"/>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8"/>
      <w:szCs w:val="18"/>
      <w:lang w:eastAsia="sl-SI"/>
    </w:rPr>
  </w:style>
  <w:style w:type="paragraph" w:customStyle="1" w:styleId="xl88">
    <w:name w:val="xl88"/>
    <w:basedOn w:val="Navaden"/>
    <w:rsid w:val="00060110"/>
    <w:pPr>
      <w:widowControl/>
      <w:spacing w:before="100" w:beforeAutospacing="1" w:after="100" w:afterAutospacing="1"/>
      <w:jc w:val="left"/>
    </w:pPr>
    <w:rPr>
      <w:rFonts w:ascii="Arial" w:hAnsi="Arial"/>
      <w:color w:val="FF0000"/>
      <w:sz w:val="16"/>
      <w:szCs w:val="16"/>
      <w:lang w:eastAsia="sl-SI"/>
    </w:rPr>
  </w:style>
  <w:style w:type="paragraph" w:customStyle="1" w:styleId="xl89">
    <w:name w:val="xl89"/>
    <w:basedOn w:val="Navaden"/>
    <w:rsid w:val="00060110"/>
    <w:pPr>
      <w:widowControl/>
      <w:spacing w:before="100" w:beforeAutospacing="1" w:after="100" w:afterAutospacing="1"/>
      <w:jc w:val="left"/>
    </w:pPr>
    <w:rPr>
      <w:rFonts w:ascii="Arial" w:hAnsi="Arial"/>
      <w:color w:val="800080"/>
      <w:sz w:val="16"/>
      <w:szCs w:val="16"/>
      <w:lang w:eastAsia="sl-SI"/>
    </w:rPr>
  </w:style>
  <w:style w:type="paragraph" w:customStyle="1" w:styleId="xl90">
    <w:name w:val="xl90"/>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8"/>
      <w:szCs w:val="18"/>
      <w:lang w:eastAsia="sl-SI"/>
    </w:rPr>
  </w:style>
  <w:style w:type="paragraph" w:customStyle="1" w:styleId="xl91">
    <w:name w:val="xl91"/>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8"/>
      <w:szCs w:val="18"/>
      <w:lang w:eastAsia="sl-SI"/>
    </w:rPr>
  </w:style>
  <w:style w:type="paragraph" w:customStyle="1" w:styleId="xl92">
    <w:name w:val="xl92"/>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8"/>
      <w:szCs w:val="18"/>
      <w:lang w:eastAsia="sl-SI"/>
    </w:rPr>
  </w:style>
  <w:style w:type="paragraph" w:customStyle="1" w:styleId="xl93">
    <w:name w:val="xl93"/>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8"/>
      <w:szCs w:val="18"/>
      <w:lang w:eastAsia="sl-SI"/>
    </w:rPr>
  </w:style>
  <w:style w:type="paragraph" w:customStyle="1" w:styleId="xl94">
    <w:name w:val="xl94"/>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8"/>
      <w:szCs w:val="18"/>
      <w:lang w:eastAsia="sl-SI"/>
    </w:rPr>
  </w:style>
  <w:style w:type="paragraph" w:customStyle="1" w:styleId="xl95">
    <w:name w:val="xl95"/>
    <w:basedOn w:val="Navaden"/>
    <w:rsid w:val="00060110"/>
    <w:pPr>
      <w:widowControl/>
      <w:spacing w:before="100" w:beforeAutospacing="1" w:after="100" w:afterAutospacing="1"/>
      <w:jc w:val="right"/>
    </w:pPr>
    <w:rPr>
      <w:rFonts w:cs="Times New Roman"/>
      <w:szCs w:val="24"/>
      <w:lang w:eastAsia="sl-SI"/>
    </w:rPr>
  </w:style>
  <w:style w:type="paragraph" w:customStyle="1" w:styleId="xl96">
    <w:name w:val="xl96"/>
    <w:basedOn w:val="Navaden"/>
    <w:rsid w:val="00060110"/>
    <w:pPr>
      <w:widowControl/>
      <w:spacing w:before="100" w:beforeAutospacing="1" w:after="100" w:afterAutospacing="1"/>
      <w:jc w:val="left"/>
    </w:pPr>
    <w:rPr>
      <w:rFonts w:ascii="Arial" w:hAnsi="Arial"/>
      <w:sz w:val="16"/>
      <w:szCs w:val="16"/>
      <w:lang w:eastAsia="sl-SI"/>
    </w:rPr>
  </w:style>
  <w:style w:type="paragraph" w:customStyle="1" w:styleId="xl97">
    <w:name w:val="xl97"/>
    <w:basedOn w:val="Navaden"/>
    <w:rsid w:val="00060110"/>
    <w:pPr>
      <w:widowControl/>
      <w:spacing w:before="100" w:beforeAutospacing="1" w:after="100" w:afterAutospacing="1"/>
      <w:jc w:val="left"/>
    </w:pPr>
    <w:rPr>
      <w:rFonts w:ascii="Arial CE" w:hAnsi="Arial CE" w:cs="Times New Roman"/>
      <w:sz w:val="16"/>
      <w:szCs w:val="16"/>
      <w:lang w:eastAsia="sl-SI"/>
    </w:rPr>
  </w:style>
  <w:style w:type="paragraph" w:customStyle="1" w:styleId="xl98">
    <w:name w:val="xl98"/>
    <w:basedOn w:val="Navaden"/>
    <w:rsid w:val="00060110"/>
    <w:pPr>
      <w:widowControl/>
      <w:spacing w:before="100" w:beforeAutospacing="1" w:after="100" w:afterAutospacing="1"/>
      <w:jc w:val="left"/>
    </w:pPr>
    <w:rPr>
      <w:rFonts w:ascii="Arial" w:hAnsi="Arial"/>
      <w:sz w:val="16"/>
      <w:szCs w:val="16"/>
      <w:lang w:eastAsia="sl-SI"/>
    </w:rPr>
  </w:style>
  <w:style w:type="paragraph" w:customStyle="1" w:styleId="xl99">
    <w:name w:val="xl99"/>
    <w:basedOn w:val="Navaden"/>
    <w:rsid w:val="00060110"/>
    <w:pPr>
      <w:widowControl/>
      <w:spacing w:before="100" w:beforeAutospacing="1" w:after="100" w:afterAutospacing="1"/>
      <w:jc w:val="center"/>
    </w:pPr>
    <w:rPr>
      <w:rFonts w:ascii="Arial" w:hAnsi="Arial"/>
      <w:sz w:val="16"/>
      <w:szCs w:val="16"/>
      <w:lang w:eastAsia="sl-SI"/>
    </w:rPr>
  </w:style>
  <w:style w:type="paragraph" w:customStyle="1" w:styleId="xl100">
    <w:name w:val="xl100"/>
    <w:basedOn w:val="Navaden"/>
    <w:rsid w:val="00060110"/>
    <w:pPr>
      <w:widowControl/>
      <w:spacing w:before="100" w:beforeAutospacing="1" w:after="100" w:afterAutospacing="1"/>
      <w:jc w:val="left"/>
    </w:pPr>
    <w:rPr>
      <w:rFonts w:ascii="Arial" w:hAnsi="Arial"/>
      <w:sz w:val="16"/>
      <w:szCs w:val="16"/>
      <w:lang w:eastAsia="sl-SI"/>
    </w:rPr>
  </w:style>
  <w:style w:type="paragraph" w:customStyle="1" w:styleId="xl101">
    <w:name w:val="xl101"/>
    <w:basedOn w:val="Navaden"/>
    <w:rsid w:val="00060110"/>
    <w:pPr>
      <w:widowControl/>
      <w:spacing w:before="100" w:beforeAutospacing="1" w:after="100" w:afterAutospacing="1"/>
      <w:jc w:val="left"/>
    </w:pPr>
    <w:rPr>
      <w:rFonts w:ascii="Arial" w:hAnsi="Arial"/>
      <w:sz w:val="16"/>
      <w:szCs w:val="16"/>
      <w:lang w:eastAsia="sl-SI"/>
    </w:rPr>
  </w:style>
  <w:style w:type="paragraph" w:customStyle="1" w:styleId="xl102">
    <w:name w:val="xl102"/>
    <w:basedOn w:val="Navaden"/>
    <w:rsid w:val="00060110"/>
    <w:pPr>
      <w:widowControl/>
      <w:spacing w:before="100" w:beforeAutospacing="1" w:after="100" w:afterAutospacing="1"/>
      <w:jc w:val="left"/>
    </w:pPr>
    <w:rPr>
      <w:rFonts w:ascii="Arial" w:hAnsi="Arial"/>
      <w:sz w:val="18"/>
      <w:szCs w:val="18"/>
      <w:lang w:eastAsia="sl-SI"/>
    </w:rPr>
  </w:style>
  <w:style w:type="paragraph" w:customStyle="1" w:styleId="xl103">
    <w:name w:val="xl103"/>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lang w:eastAsia="sl-SI"/>
    </w:rPr>
  </w:style>
  <w:style w:type="paragraph" w:customStyle="1" w:styleId="xl104">
    <w:name w:val="xl104"/>
    <w:basedOn w:val="Navaden"/>
    <w:rsid w:val="00060110"/>
    <w:pPr>
      <w:widowControl/>
      <w:spacing w:before="100" w:beforeAutospacing="1" w:after="100" w:afterAutospacing="1"/>
      <w:jc w:val="center"/>
    </w:pPr>
    <w:rPr>
      <w:rFonts w:ascii="Arial" w:hAnsi="Arial"/>
      <w:b/>
      <w:bCs/>
      <w:sz w:val="16"/>
      <w:szCs w:val="16"/>
      <w:lang w:eastAsia="sl-SI"/>
    </w:rPr>
  </w:style>
  <w:style w:type="paragraph" w:customStyle="1" w:styleId="xl105">
    <w:name w:val="xl105"/>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cs="Times New Roman"/>
      <w:b/>
      <w:bCs/>
      <w:sz w:val="16"/>
      <w:szCs w:val="16"/>
      <w:lang w:eastAsia="sl-SI"/>
    </w:rPr>
  </w:style>
  <w:style w:type="paragraph" w:customStyle="1" w:styleId="xl106">
    <w:name w:val="xl106"/>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E" w:hAnsi="Arial CE" w:cs="Times New Roman"/>
      <w:b/>
      <w:bCs/>
      <w:sz w:val="16"/>
      <w:szCs w:val="16"/>
      <w:lang w:eastAsia="sl-SI"/>
    </w:rPr>
  </w:style>
  <w:style w:type="paragraph" w:customStyle="1" w:styleId="xl107">
    <w:name w:val="xl107"/>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lang w:eastAsia="sl-SI"/>
    </w:rPr>
  </w:style>
  <w:style w:type="paragraph" w:customStyle="1" w:styleId="xl108">
    <w:name w:val="xl108"/>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lang w:eastAsia="sl-SI"/>
    </w:rPr>
  </w:style>
  <w:style w:type="paragraph" w:customStyle="1" w:styleId="xl109">
    <w:name w:val="xl109"/>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cs="Times New Roman"/>
      <w:b/>
      <w:bCs/>
      <w:sz w:val="16"/>
      <w:szCs w:val="16"/>
      <w:lang w:eastAsia="sl-SI"/>
    </w:rPr>
  </w:style>
  <w:style w:type="paragraph" w:customStyle="1" w:styleId="xl110">
    <w:name w:val="xl110"/>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lang w:eastAsia="sl-SI"/>
    </w:rPr>
  </w:style>
  <w:style w:type="paragraph" w:customStyle="1" w:styleId="xl111">
    <w:name w:val="xl111"/>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lang w:eastAsia="sl-SI"/>
    </w:rPr>
  </w:style>
  <w:style w:type="paragraph" w:customStyle="1" w:styleId="xl112">
    <w:name w:val="xl112"/>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lang w:eastAsia="sl-SI"/>
    </w:rPr>
  </w:style>
  <w:style w:type="paragraph" w:customStyle="1" w:styleId="xl113">
    <w:name w:val="xl113"/>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lang w:eastAsia="sl-SI"/>
    </w:rPr>
  </w:style>
  <w:style w:type="paragraph" w:customStyle="1" w:styleId="xl114">
    <w:name w:val="xl114"/>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b/>
      <w:bCs/>
      <w:sz w:val="18"/>
      <w:szCs w:val="18"/>
      <w:lang w:eastAsia="sl-SI"/>
    </w:rPr>
  </w:style>
  <w:style w:type="paragraph" w:customStyle="1" w:styleId="xl115">
    <w:name w:val="xl115"/>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b/>
      <w:bCs/>
      <w:sz w:val="18"/>
      <w:szCs w:val="18"/>
      <w:lang w:eastAsia="sl-SI"/>
    </w:rPr>
  </w:style>
  <w:style w:type="paragraph" w:customStyle="1" w:styleId="xl116">
    <w:name w:val="xl116"/>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b/>
      <w:bCs/>
      <w:sz w:val="18"/>
      <w:szCs w:val="18"/>
      <w:lang w:eastAsia="sl-SI"/>
    </w:rPr>
  </w:style>
  <w:style w:type="paragraph" w:customStyle="1" w:styleId="xl117">
    <w:name w:val="xl117"/>
    <w:basedOn w:val="Navaden"/>
    <w:rsid w:val="000601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lang w:eastAsia="sl-SI"/>
    </w:rPr>
  </w:style>
  <w:style w:type="paragraph" w:customStyle="1" w:styleId="space">
    <w:name w:val="space"/>
    <w:basedOn w:val="Navaden"/>
    <w:rsid w:val="006E1563"/>
    <w:pPr>
      <w:widowControl/>
      <w:spacing w:after="210"/>
      <w:jc w:val="left"/>
    </w:pPr>
    <w:rPr>
      <w:rFonts w:cs="Times New Roman"/>
      <w:color w:val="333333"/>
      <w:sz w:val="18"/>
      <w:szCs w:val="18"/>
      <w:lang w:eastAsia="sl-SI"/>
    </w:rPr>
  </w:style>
  <w:style w:type="paragraph" w:customStyle="1" w:styleId="Naslovnadlenom">
    <w:name w:val="Naslov nad členom"/>
    <w:basedOn w:val="Navaden"/>
    <w:link w:val="NaslovnadlenomZnak"/>
    <w:qFormat/>
    <w:rsid w:val="00E92FA9"/>
    <w:pPr>
      <w:widowControl/>
      <w:tabs>
        <w:tab w:val="left" w:pos="540"/>
        <w:tab w:val="left" w:pos="900"/>
      </w:tabs>
      <w:overflowPunct w:val="0"/>
      <w:autoSpaceDE w:val="0"/>
      <w:autoSpaceDN w:val="0"/>
      <w:adjustRightInd w:val="0"/>
      <w:spacing w:before="480"/>
      <w:jc w:val="center"/>
      <w:textAlignment w:val="baseline"/>
    </w:pPr>
    <w:rPr>
      <w:rFonts w:ascii="Arial" w:hAnsi="Arial" w:cs="Times New Roman"/>
      <w:b/>
      <w:sz w:val="22"/>
      <w:szCs w:val="22"/>
    </w:rPr>
  </w:style>
  <w:style w:type="character" w:customStyle="1" w:styleId="NaslovnadlenomZnak">
    <w:name w:val="Naslov nad členom Znak"/>
    <w:link w:val="Naslovnadlenom"/>
    <w:rsid w:val="00E92FA9"/>
    <w:rPr>
      <w:rFonts w:ascii="Arial" w:hAnsi="Arial" w:cs="Times New Roman"/>
      <w:b/>
      <w:sz w:val="22"/>
      <w:szCs w:val="22"/>
    </w:rPr>
  </w:style>
  <w:style w:type="paragraph" w:customStyle="1" w:styleId="eventsback">
    <w:name w:val="events_back"/>
    <w:basedOn w:val="Navaden"/>
    <w:rsid w:val="009B5F30"/>
    <w:pPr>
      <w:widowControl/>
      <w:spacing w:after="210"/>
      <w:jc w:val="left"/>
    </w:pPr>
    <w:rPr>
      <w:rFonts w:ascii="Arial" w:hAnsi="Arial"/>
      <w:color w:val="333333"/>
      <w:sz w:val="29"/>
      <w:szCs w:val="29"/>
      <w:lang w:eastAsia="sl-SI"/>
    </w:rPr>
  </w:style>
  <w:style w:type="character" w:styleId="Pripombasklic">
    <w:name w:val="annotation reference"/>
    <w:basedOn w:val="Privzetapisavaodstavka"/>
    <w:uiPriority w:val="99"/>
    <w:semiHidden/>
    <w:unhideWhenUsed/>
    <w:locked/>
    <w:rsid w:val="003D2B5A"/>
    <w:rPr>
      <w:sz w:val="16"/>
      <w:szCs w:val="16"/>
    </w:rPr>
  </w:style>
  <w:style w:type="paragraph" w:styleId="Pripombabesedilo">
    <w:name w:val="annotation text"/>
    <w:basedOn w:val="Navaden"/>
    <w:link w:val="PripombabesediloZnak"/>
    <w:uiPriority w:val="99"/>
    <w:unhideWhenUsed/>
    <w:locked/>
    <w:rsid w:val="003D2B5A"/>
    <w:rPr>
      <w:sz w:val="20"/>
    </w:rPr>
  </w:style>
  <w:style w:type="character" w:customStyle="1" w:styleId="PripombabesediloZnak">
    <w:name w:val="Pripomba – besedilo Znak"/>
    <w:basedOn w:val="Privzetapisavaodstavka"/>
    <w:link w:val="Pripombabesedilo"/>
    <w:uiPriority w:val="99"/>
    <w:rsid w:val="003D2B5A"/>
    <w:rPr>
      <w:lang w:val="en-US" w:eastAsia="en-US"/>
    </w:rPr>
  </w:style>
  <w:style w:type="paragraph" w:styleId="Zadevapripombe">
    <w:name w:val="annotation subject"/>
    <w:basedOn w:val="Pripombabesedilo"/>
    <w:next w:val="Pripombabesedilo"/>
    <w:link w:val="ZadevapripombeZnak"/>
    <w:uiPriority w:val="99"/>
    <w:semiHidden/>
    <w:unhideWhenUsed/>
    <w:locked/>
    <w:rsid w:val="003D2B5A"/>
    <w:rPr>
      <w:b/>
      <w:bCs/>
    </w:rPr>
  </w:style>
  <w:style w:type="character" w:customStyle="1" w:styleId="ZadevapripombeZnak">
    <w:name w:val="Zadeva pripombe Znak"/>
    <w:basedOn w:val="PripombabesediloZnak"/>
    <w:link w:val="Zadevapripombe"/>
    <w:uiPriority w:val="99"/>
    <w:semiHidden/>
    <w:rsid w:val="003D2B5A"/>
    <w:rPr>
      <w:b/>
      <w:bCs/>
      <w:lang w:val="en-US" w:eastAsia="en-US"/>
    </w:rPr>
  </w:style>
  <w:style w:type="character" w:customStyle="1" w:styleId="Nerazreenaomemba1">
    <w:name w:val="Nerazrešena omemba1"/>
    <w:basedOn w:val="Privzetapisavaodstavka"/>
    <w:uiPriority w:val="99"/>
    <w:semiHidden/>
    <w:unhideWhenUsed/>
    <w:rsid w:val="00D262B3"/>
    <w:rPr>
      <w:color w:val="605E5C"/>
      <w:shd w:val="clear" w:color="auto" w:fill="E1DFDD"/>
    </w:rPr>
  </w:style>
  <w:style w:type="paragraph" w:styleId="Revizija">
    <w:name w:val="Revision"/>
    <w:hidden/>
    <w:uiPriority w:val="99"/>
    <w:semiHidden/>
    <w:rsid w:val="00873AC7"/>
    <w:rPr>
      <w:sz w:val="24"/>
      <w:lang w:eastAsia="en-US"/>
    </w:rPr>
  </w:style>
  <w:style w:type="character" w:styleId="Nerazreenaomemba">
    <w:name w:val="Unresolved Mention"/>
    <w:basedOn w:val="Privzetapisavaodstavka"/>
    <w:uiPriority w:val="99"/>
    <w:semiHidden/>
    <w:unhideWhenUsed/>
    <w:rsid w:val="00EF2058"/>
    <w:rPr>
      <w:color w:val="605E5C"/>
      <w:shd w:val="clear" w:color="auto" w:fill="E1DFDD"/>
    </w:rPr>
  </w:style>
  <w:style w:type="character" w:customStyle="1" w:styleId="OdstavekseznamaZnak">
    <w:name w:val="Odstavek seznama Znak"/>
    <w:link w:val="Odstavekseznama"/>
    <w:uiPriority w:val="34"/>
    <w:locked/>
    <w:rsid w:val="00C561C7"/>
    <w:rPr>
      <w:rFonts w:cs="Times New Roman"/>
      <w:sz w:val="24"/>
      <w:szCs w:val="24"/>
      <w:lang w:val="en-GB" w:eastAsia="en-US"/>
    </w:rPr>
  </w:style>
  <w:style w:type="paragraph" w:customStyle="1" w:styleId="oj-doc-ti">
    <w:name w:val="oj-doc-ti"/>
    <w:basedOn w:val="Navaden"/>
    <w:rsid w:val="000704A0"/>
    <w:pPr>
      <w:widowControl/>
      <w:spacing w:before="100" w:beforeAutospacing="1" w:after="100" w:afterAutospacing="1"/>
      <w:jc w:val="left"/>
    </w:pPr>
    <w:rPr>
      <w:rFonts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8">
      <w:bodyDiv w:val="1"/>
      <w:marLeft w:val="0"/>
      <w:marRight w:val="0"/>
      <w:marTop w:val="0"/>
      <w:marBottom w:val="0"/>
      <w:divBdr>
        <w:top w:val="none" w:sz="0" w:space="0" w:color="auto"/>
        <w:left w:val="none" w:sz="0" w:space="0" w:color="auto"/>
        <w:bottom w:val="none" w:sz="0" w:space="0" w:color="auto"/>
        <w:right w:val="none" w:sz="0" w:space="0" w:color="auto"/>
      </w:divBdr>
    </w:div>
    <w:div w:id="1664652">
      <w:bodyDiv w:val="1"/>
      <w:marLeft w:val="0"/>
      <w:marRight w:val="0"/>
      <w:marTop w:val="0"/>
      <w:marBottom w:val="0"/>
      <w:divBdr>
        <w:top w:val="none" w:sz="0" w:space="0" w:color="auto"/>
        <w:left w:val="none" w:sz="0" w:space="0" w:color="auto"/>
        <w:bottom w:val="none" w:sz="0" w:space="0" w:color="auto"/>
        <w:right w:val="none" w:sz="0" w:space="0" w:color="auto"/>
      </w:divBdr>
    </w:div>
    <w:div w:id="8989667">
      <w:bodyDiv w:val="1"/>
      <w:marLeft w:val="0"/>
      <w:marRight w:val="0"/>
      <w:marTop w:val="0"/>
      <w:marBottom w:val="0"/>
      <w:divBdr>
        <w:top w:val="none" w:sz="0" w:space="0" w:color="auto"/>
        <w:left w:val="none" w:sz="0" w:space="0" w:color="auto"/>
        <w:bottom w:val="none" w:sz="0" w:space="0" w:color="auto"/>
        <w:right w:val="none" w:sz="0" w:space="0" w:color="auto"/>
      </w:divBdr>
    </w:div>
    <w:div w:id="13265673">
      <w:marLeft w:val="0"/>
      <w:marRight w:val="0"/>
      <w:marTop w:val="0"/>
      <w:marBottom w:val="0"/>
      <w:divBdr>
        <w:top w:val="none" w:sz="0" w:space="0" w:color="auto"/>
        <w:left w:val="none" w:sz="0" w:space="0" w:color="auto"/>
        <w:bottom w:val="none" w:sz="0" w:space="0" w:color="auto"/>
        <w:right w:val="none" w:sz="0" w:space="0" w:color="auto"/>
      </w:divBdr>
    </w:div>
    <w:div w:id="13265674">
      <w:marLeft w:val="0"/>
      <w:marRight w:val="0"/>
      <w:marTop w:val="0"/>
      <w:marBottom w:val="0"/>
      <w:divBdr>
        <w:top w:val="none" w:sz="0" w:space="0" w:color="auto"/>
        <w:left w:val="none" w:sz="0" w:space="0" w:color="auto"/>
        <w:bottom w:val="none" w:sz="0" w:space="0" w:color="auto"/>
        <w:right w:val="none" w:sz="0" w:space="0" w:color="auto"/>
      </w:divBdr>
    </w:div>
    <w:div w:id="13265675">
      <w:marLeft w:val="0"/>
      <w:marRight w:val="0"/>
      <w:marTop w:val="0"/>
      <w:marBottom w:val="0"/>
      <w:divBdr>
        <w:top w:val="none" w:sz="0" w:space="0" w:color="auto"/>
        <w:left w:val="none" w:sz="0" w:space="0" w:color="auto"/>
        <w:bottom w:val="none" w:sz="0" w:space="0" w:color="auto"/>
        <w:right w:val="none" w:sz="0" w:space="0" w:color="auto"/>
      </w:divBdr>
    </w:div>
    <w:div w:id="13265676">
      <w:marLeft w:val="0"/>
      <w:marRight w:val="0"/>
      <w:marTop w:val="0"/>
      <w:marBottom w:val="0"/>
      <w:divBdr>
        <w:top w:val="none" w:sz="0" w:space="0" w:color="auto"/>
        <w:left w:val="none" w:sz="0" w:space="0" w:color="auto"/>
        <w:bottom w:val="none" w:sz="0" w:space="0" w:color="auto"/>
        <w:right w:val="none" w:sz="0" w:space="0" w:color="auto"/>
      </w:divBdr>
    </w:div>
    <w:div w:id="13265677">
      <w:marLeft w:val="0"/>
      <w:marRight w:val="0"/>
      <w:marTop w:val="0"/>
      <w:marBottom w:val="0"/>
      <w:divBdr>
        <w:top w:val="none" w:sz="0" w:space="0" w:color="auto"/>
        <w:left w:val="none" w:sz="0" w:space="0" w:color="auto"/>
        <w:bottom w:val="none" w:sz="0" w:space="0" w:color="auto"/>
        <w:right w:val="none" w:sz="0" w:space="0" w:color="auto"/>
      </w:divBdr>
    </w:div>
    <w:div w:id="13265678">
      <w:marLeft w:val="0"/>
      <w:marRight w:val="0"/>
      <w:marTop w:val="0"/>
      <w:marBottom w:val="0"/>
      <w:divBdr>
        <w:top w:val="none" w:sz="0" w:space="0" w:color="auto"/>
        <w:left w:val="none" w:sz="0" w:space="0" w:color="auto"/>
        <w:bottom w:val="none" w:sz="0" w:space="0" w:color="auto"/>
        <w:right w:val="none" w:sz="0" w:space="0" w:color="auto"/>
      </w:divBdr>
    </w:div>
    <w:div w:id="13265679">
      <w:marLeft w:val="0"/>
      <w:marRight w:val="0"/>
      <w:marTop w:val="0"/>
      <w:marBottom w:val="0"/>
      <w:divBdr>
        <w:top w:val="none" w:sz="0" w:space="0" w:color="auto"/>
        <w:left w:val="none" w:sz="0" w:space="0" w:color="auto"/>
        <w:bottom w:val="none" w:sz="0" w:space="0" w:color="auto"/>
        <w:right w:val="none" w:sz="0" w:space="0" w:color="auto"/>
      </w:divBdr>
    </w:div>
    <w:div w:id="13265680">
      <w:marLeft w:val="0"/>
      <w:marRight w:val="0"/>
      <w:marTop w:val="0"/>
      <w:marBottom w:val="0"/>
      <w:divBdr>
        <w:top w:val="none" w:sz="0" w:space="0" w:color="auto"/>
        <w:left w:val="none" w:sz="0" w:space="0" w:color="auto"/>
        <w:bottom w:val="none" w:sz="0" w:space="0" w:color="auto"/>
        <w:right w:val="none" w:sz="0" w:space="0" w:color="auto"/>
      </w:divBdr>
    </w:div>
    <w:div w:id="13265681">
      <w:marLeft w:val="0"/>
      <w:marRight w:val="0"/>
      <w:marTop w:val="0"/>
      <w:marBottom w:val="0"/>
      <w:divBdr>
        <w:top w:val="none" w:sz="0" w:space="0" w:color="auto"/>
        <w:left w:val="none" w:sz="0" w:space="0" w:color="auto"/>
        <w:bottom w:val="none" w:sz="0" w:space="0" w:color="auto"/>
        <w:right w:val="none" w:sz="0" w:space="0" w:color="auto"/>
      </w:divBdr>
    </w:div>
    <w:div w:id="13265682">
      <w:marLeft w:val="0"/>
      <w:marRight w:val="0"/>
      <w:marTop w:val="0"/>
      <w:marBottom w:val="0"/>
      <w:divBdr>
        <w:top w:val="none" w:sz="0" w:space="0" w:color="auto"/>
        <w:left w:val="none" w:sz="0" w:space="0" w:color="auto"/>
        <w:bottom w:val="none" w:sz="0" w:space="0" w:color="auto"/>
        <w:right w:val="none" w:sz="0" w:space="0" w:color="auto"/>
      </w:divBdr>
    </w:div>
    <w:div w:id="13265683">
      <w:marLeft w:val="0"/>
      <w:marRight w:val="0"/>
      <w:marTop w:val="0"/>
      <w:marBottom w:val="0"/>
      <w:divBdr>
        <w:top w:val="none" w:sz="0" w:space="0" w:color="auto"/>
        <w:left w:val="none" w:sz="0" w:space="0" w:color="auto"/>
        <w:bottom w:val="none" w:sz="0" w:space="0" w:color="auto"/>
        <w:right w:val="none" w:sz="0" w:space="0" w:color="auto"/>
      </w:divBdr>
    </w:div>
    <w:div w:id="13265684">
      <w:marLeft w:val="0"/>
      <w:marRight w:val="0"/>
      <w:marTop w:val="0"/>
      <w:marBottom w:val="0"/>
      <w:divBdr>
        <w:top w:val="none" w:sz="0" w:space="0" w:color="auto"/>
        <w:left w:val="none" w:sz="0" w:space="0" w:color="auto"/>
        <w:bottom w:val="none" w:sz="0" w:space="0" w:color="auto"/>
        <w:right w:val="none" w:sz="0" w:space="0" w:color="auto"/>
      </w:divBdr>
    </w:div>
    <w:div w:id="13265685">
      <w:marLeft w:val="0"/>
      <w:marRight w:val="0"/>
      <w:marTop w:val="0"/>
      <w:marBottom w:val="0"/>
      <w:divBdr>
        <w:top w:val="none" w:sz="0" w:space="0" w:color="auto"/>
        <w:left w:val="none" w:sz="0" w:space="0" w:color="auto"/>
        <w:bottom w:val="none" w:sz="0" w:space="0" w:color="auto"/>
        <w:right w:val="none" w:sz="0" w:space="0" w:color="auto"/>
      </w:divBdr>
    </w:div>
    <w:div w:id="13265686">
      <w:marLeft w:val="0"/>
      <w:marRight w:val="0"/>
      <w:marTop w:val="0"/>
      <w:marBottom w:val="0"/>
      <w:divBdr>
        <w:top w:val="none" w:sz="0" w:space="0" w:color="auto"/>
        <w:left w:val="none" w:sz="0" w:space="0" w:color="auto"/>
        <w:bottom w:val="none" w:sz="0" w:space="0" w:color="auto"/>
        <w:right w:val="none" w:sz="0" w:space="0" w:color="auto"/>
      </w:divBdr>
    </w:div>
    <w:div w:id="13265687">
      <w:marLeft w:val="0"/>
      <w:marRight w:val="0"/>
      <w:marTop w:val="0"/>
      <w:marBottom w:val="0"/>
      <w:divBdr>
        <w:top w:val="none" w:sz="0" w:space="0" w:color="auto"/>
        <w:left w:val="none" w:sz="0" w:space="0" w:color="auto"/>
        <w:bottom w:val="none" w:sz="0" w:space="0" w:color="auto"/>
        <w:right w:val="none" w:sz="0" w:space="0" w:color="auto"/>
      </w:divBdr>
    </w:div>
    <w:div w:id="13265688">
      <w:marLeft w:val="0"/>
      <w:marRight w:val="0"/>
      <w:marTop w:val="0"/>
      <w:marBottom w:val="0"/>
      <w:divBdr>
        <w:top w:val="none" w:sz="0" w:space="0" w:color="auto"/>
        <w:left w:val="none" w:sz="0" w:space="0" w:color="auto"/>
        <w:bottom w:val="none" w:sz="0" w:space="0" w:color="auto"/>
        <w:right w:val="none" w:sz="0" w:space="0" w:color="auto"/>
      </w:divBdr>
    </w:div>
    <w:div w:id="13265689">
      <w:marLeft w:val="0"/>
      <w:marRight w:val="0"/>
      <w:marTop w:val="0"/>
      <w:marBottom w:val="0"/>
      <w:divBdr>
        <w:top w:val="none" w:sz="0" w:space="0" w:color="auto"/>
        <w:left w:val="none" w:sz="0" w:space="0" w:color="auto"/>
        <w:bottom w:val="none" w:sz="0" w:space="0" w:color="auto"/>
        <w:right w:val="none" w:sz="0" w:space="0" w:color="auto"/>
      </w:divBdr>
    </w:div>
    <w:div w:id="13265690">
      <w:marLeft w:val="0"/>
      <w:marRight w:val="0"/>
      <w:marTop w:val="0"/>
      <w:marBottom w:val="0"/>
      <w:divBdr>
        <w:top w:val="none" w:sz="0" w:space="0" w:color="auto"/>
        <w:left w:val="none" w:sz="0" w:space="0" w:color="auto"/>
        <w:bottom w:val="none" w:sz="0" w:space="0" w:color="auto"/>
        <w:right w:val="none" w:sz="0" w:space="0" w:color="auto"/>
      </w:divBdr>
    </w:div>
    <w:div w:id="13265691">
      <w:marLeft w:val="0"/>
      <w:marRight w:val="0"/>
      <w:marTop w:val="0"/>
      <w:marBottom w:val="0"/>
      <w:divBdr>
        <w:top w:val="none" w:sz="0" w:space="0" w:color="auto"/>
        <w:left w:val="none" w:sz="0" w:space="0" w:color="auto"/>
        <w:bottom w:val="none" w:sz="0" w:space="0" w:color="auto"/>
        <w:right w:val="none" w:sz="0" w:space="0" w:color="auto"/>
      </w:divBdr>
    </w:div>
    <w:div w:id="13265692">
      <w:marLeft w:val="0"/>
      <w:marRight w:val="0"/>
      <w:marTop w:val="0"/>
      <w:marBottom w:val="0"/>
      <w:divBdr>
        <w:top w:val="none" w:sz="0" w:space="0" w:color="auto"/>
        <w:left w:val="none" w:sz="0" w:space="0" w:color="auto"/>
        <w:bottom w:val="none" w:sz="0" w:space="0" w:color="auto"/>
        <w:right w:val="none" w:sz="0" w:space="0" w:color="auto"/>
      </w:divBdr>
    </w:div>
    <w:div w:id="13265693">
      <w:marLeft w:val="0"/>
      <w:marRight w:val="0"/>
      <w:marTop w:val="0"/>
      <w:marBottom w:val="0"/>
      <w:divBdr>
        <w:top w:val="none" w:sz="0" w:space="0" w:color="auto"/>
        <w:left w:val="none" w:sz="0" w:space="0" w:color="auto"/>
        <w:bottom w:val="none" w:sz="0" w:space="0" w:color="auto"/>
        <w:right w:val="none" w:sz="0" w:space="0" w:color="auto"/>
      </w:divBdr>
    </w:div>
    <w:div w:id="13265694">
      <w:marLeft w:val="0"/>
      <w:marRight w:val="0"/>
      <w:marTop w:val="0"/>
      <w:marBottom w:val="0"/>
      <w:divBdr>
        <w:top w:val="none" w:sz="0" w:space="0" w:color="auto"/>
        <w:left w:val="none" w:sz="0" w:space="0" w:color="auto"/>
        <w:bottom w:val="none" w:sz="0" w:space="0" w:color="auto"/>
        <w:right w:val="none" w:sz="0" w:space="0" w:color="auto"/>
      </w:divBdr>
    </w:div>
    <w:div w:id="13265695">
      <w:marLeft w:val="0"/>
      <w:marRight w:val="0"/>
      <w:marTop w:val="0"/>
      <w:marBottom w:val="0"/>
      <w:divBdr>
        <w:top w:val="none" w:sz="0" w:space="0" w:color="auto"/>
        <w:left w:val="none" w:sz="0" w:space="0" w:color="auto"/>
        <w:bottom w:val="none" w:sz="0" w:space="0" w:color="auto"/>
        <w:right w:val="none" w:sz="0" w:space="0" w:color="auto"/>
      </w:divBdr>
    </w:div>
    <w:div w:id="13265696">
      <w:marLeft w:val="0"/>
      <w:marRight w:val="0"/>
      <w:marTop w:val="0"/>
      <w:marBottom w:val="0"/>
      <w:divBdr>
        <w:top w:val="none" w:sz="0" w:space="0" w:color="auto"/>
        <w:left w:val="none" w:sz="0" w:space="0" w:color="auto"/>
        <w:bottom w:val="none" w:sz="0" w:space="0" w:color="auto"/>
        <w:right w:val="none" w:sz="0" w:space="0" w:color="auto"/>
      </w:divBdr>
    </w:div>
    <w:div w:id="13265697">
      <w:marLeft w:val="0"/>
      <w:marRight w:val="0"/>
      <w:marTop w:val="0"/>
      <w:marBottom w:val="0"/>
      <w:divBdr>
        <w:top w:val="none" w:sz="0" w:space="0" w:color="auto"/>
        <w:left w:val="none" w:sz="0" w:space="0" w:color="auto"/>
        <w:bottom w:val="none" w:sz="0" w:space="0" w:color="auto"/>
        <w:right w:val="none" w:sz="0" w:space="0" w:color="auto"/>
      </w:divBdr>
    </w:div>
    <w:div w:id="13265698">
      <w:marLeft w:val="0"/>
      <w:marRight w:val="0"/>
      <w:marTop w:val="0"/>
      <w:marBottom w:val="0"/>
      <w:divBdr>
        <w:top w:val="none" w:sz="0" w:space="0" w:color="auto"/>
        <w:left w:val="none" w:sz="0" w:space="0" w:color="auto"/>
        <w:bottom w:val="none" w:sz="0" w:space="0" w:color="auto"/>
        <w:right w:val="none" w:sz="0" w:space="0" w:color="auto"/>
      </w:divBdr>
    </w:div>
    <w:div w:id="13265699">
      <w:marLeft w:val="0"/>
      <w:marRight w:val="0"/>
      <w:marTop w:val="0"/>
      <w:marBottom w:val="0"/>
      <w:divBdr>
        <w:top w:val="none" w:sz="0" w:space="0" w:color="auto"/>
        <w:left w:val="none" w:sz="0" w:space="0" w:color="auto"/>
        <w:bottom w:val="none" w:sz="0" w:space="0" w:color="auto"/>
        <w:right w:val="none" w:sz="0" w:space="0" w:color="auto"/>
      </w:divBdr>
    </w:div>
    <w:div w:id="13265700">
      <w:marLeft w:val="0"/>
      <w:marRight w:val="0"/>
      <w:marTop w:val="0"/>
      <w:marBottom w:val="0"/>
      <w:divBdr>
        <w:top w:val="none" w:sz="0" w:space="0" w:color="auto"/>
        <w:left w:val="none" w:sz="0" w:space="0" w:color="auto"/>
        <w:bottom w:val="none" w:sz="0" w:space="0" w:color="auto"/>
        <w:right w:val="none" w:sz="0" w:space="0" w:color="auto"/>
      </w:divBdr>
    </w:div>
    <w:div w:id="13265701">
      <w:marLeft w:val="0"/>
      <w:marRight w:val="0"/>
      <w:marTop w:val="0"/>
      <w:marBottom w:val="0"/>
      <w:divBdr>
        <w:top w:val="none" w:sz="0" w:space="0" w:color="auto"/>
        <w:left w:val="none" w:sz="0" w:space="0" w:color="auto"/>
        <w:bottom w:val="none" w:sz="0" w:space="0" w:color="auto"/>
        <w:right w:val="none" w:sz="0" w:space="0" w:color="auto"/>
      </w:divBdr>
    </w:div>
    <w:div w:id="13265702">
      <w:marLeft w:val="0"/>
      <w:marRight w:val="0"/>
      <w:marTop w:val="0"/>
      <w:marBottom w:val="0"/>
      <w:divBdr>
        <w:top w:val="none" w:sz="0" w:space="0" w:color="auto"/>
        <w:left w:val="none" w:sz="0" w:space="0" w:color="auto"/>
        <w:bottom w:val="none" w:sz="0" w:space="0" w:color="auto"/>
        <w:right w:val="none" w:sz="0" w:space="0" w:color="auto"/>
      </w:divBdr>
    </w:div>
    <w:div w:id="13265703">
      <w:marLeft w:val="0"/>
      <w:marRight w:val="0"/>
      <w:marTop w:val="0"/>
      <w:marBottom w:val="0"/>
      <w:divBdr>
        <w:top w:val="none" w:sz="0" w:space="0" w:color="auto"/>
        <w:left w:val="none" w:sz="0" w:space="0" w:color="auto"/>
        <w:bottom w:val="none" w:sz="0" w:space="0" w:color="auto"/>
        <w:right w:val="none" w:sz="0" w:space="0" w:color="auto"/>
      </w:divBdr>
    </w:div>
    <w:div w:id="13265704">
      <w:marLeft w:val="0"/>
      <w:marRight w:val="0"/>
      <w:marTop w:val="0"/>
      <w:marBottom w:val="0"/>
      <w:divBdr>
        <w:top w:val="none" w:sz="0" w:space="0" w:color="auto"/>
        <w:left w:val="none" w:sz="0" w:space="0" w:color="auto"/>
        <w:bottom w:val="none" w:sz="0" w:space="0" w:color="auto"/>
        <w:right w:val="none" w:sz="0" w:space="0" w:color="auto"/>
      </w:divBdr>
    </w:div>
    <w:div w:id="13265705">
      <w:marLeft w:val="0"/>
      <w:marRight w:val="0"/>
      <w:marTop w:val="0"/>
      <w:marBottom w:val="0"/>
      <w:divBdr>
        <w:top w:val="none" w:sz="0" w:space="0" w:color="auto"/>
        <w:left w:val="none" w:sz="0" w:space="0" w:color="auto"/>
        <w:bottom w:val="none" w:sz="0" w:space="0" w:color="auto"/>
        <w:right w:val="none" w:sz="0" w:space="0" w:color="auto"/>
      </w:divBdr>
    </w:div>
    <w:div w:id="13265706">
      <w:marLeft w:val="0"/>
      <w:marRight w:val="0"/>
      <w:marTop w:val="0"/>
      <w:marBottom w:val="0"/>
      <w:divBdr>
        <w:top w:val="none" w:sz="0" w:space="0" w:color="auto"/>
        <w:left w:val="none" w:sz="0" w:space="0" w:color="auto"/>
        <w:bottom w:val="none" w:sz="0" w:space="0" w:color="auto"/>
        <w:right w:val="none" w:sz="0" w:space="0" w:color="auto"/>
      </w:divBdr>
    </w:div>
    <w:div w:id="13265707">
      <w:marLeft w:val="0"/>
      <w:marRight w:val="0"/>
      <w:marTop w:val="0"/>
      <w:marBottom w:val="0"/>
      <w:divBdr>
        <w:top w:val="none" w:sz="0" w:space="0" w:color="auto"/>
        <w:left w:val="none" w:sz="0" w:space="0" w:color="auto"/>
        <w:bottom w:val="none" w:sz="0" w:space="0" w:color="auto"/>
        <w:right w:val="none" w:sz="0" w:space="0" w:color="auto"/>
      </w:divBdr>
    </w:div>
    <w:div w:id="13265708">
      <w:marLeft w:val="0"/>
      <w:marRight w:val="0"/>
      <w:marTop w:val="0"/>
      <w:marBottom w:val="0"/>
      <w:divBdr>
        <w:top w:val="none" w:sz="0" w:space="0" w:color="auto"/>
        <w:left w:val="none" w:sz="0" w:space="0" w:color="auto"/>
        <w:bottom w:val="none" w:sz="0" w:space="0" w:color="auto"/>
        <w:right w:val="none" w:sz="0" w:space="0" w:color="auto"/>
      </w:divBdr>
    </w:div>
    <w:div w:id="13265709">
      <w:marLeft w:val="0"/>
      <w:marRight w:val="0"/>
      <w:marTop w:val="0"/>
      <w:marBottom w:val="0"/>
      <w:divBdr>
        <w:top w:val="none" w:sz="0" w:space="0" w:color="auto"/>
        <w:left w:val="none" w:sz="0" w:space="0" w:color="auto"/>
        <w:bottom w:val="none" w:sz="0" w:space="0" w:color="auto"/>
        <w:right w:val="none" w:sz="0" w:space="0" w:color="auto"/>
      </w:divBdr>
    </w:div>
    <w:div w:id="13265710">
      <w:marLeft w:val="0"/>
      <w:marRight w:val="0"/>
      <w:marTop w:val="0"/>
      <w:marBottom w:val="0"/>
      <w:divBdr>
        <w:top w:val="none" w:sz="0" w:space="0" w:color="auto"/>
        <w:left w:val="none" w:sz="0" w:space="0" w:color="auto"/>
        <w:bottom w:val="none" w:sz="0" w:space="0" w:color="auto"/>
        <w:right w:val="none" w:sz="0" w:space="0" w:color="auto"/>
      </w:divBdr>
    </w:div>
    <w:div w:id="13265711">
      <w:marLeft w:val="0"/>
      <w:marRight w:val="0"/>
      <w:marTop w:val="0"/>
      <w:marBottom w:val="0"/>
      <w:divBdr>
        <w:top w:val="none" w:sz="0" w:space="0" w:color="auto"/>
        <w:left w:val="none" w:sz="0" w:space="0" w:color="auto"/>
        <w:bottom w:val="none" w:sz="0" w:space="0" w:color="auto"/>
        <w:right w:val="none" w:sz="0" w:space="0" w:color="auto"/>
      </w:divBdr>
    </w:div>
    <w:div w:id="13265712">
      <w:marLeft w:val="0"/>
      <w:marRight w:val="0"/>
      <w:marTop w:val="0"/>
      <w:marBottom w:val="0"/>
      <w:divBdr>
        <w:top w:val="none" w:sz="0" w:space="0" w:color="auto"/>
        <w:left w:val="none" w:sz="0" w:space="0" w:color="auto"/>
        <w:bottom w:val="none" w:sz="0" w:space="0" w:color="auto"/>
        <w:right w:val="none" w:sz="0" w:space="0" w:color="auto"/>
      </w:divBdr>
    </w:div>
    <w:div w:id="13265713">
      <w:marLeft w:val="0"/>
      <w:marRight w:val="0"/>
      <w:marTop w:val="0"/>
      <w:marBottom w:val="0"/>
      <w:divBdr>
        <w:top w:val="none" w:sz="0" w:space="0" w:color="auto"/>
        <w:left w:val="none" w:sz="0" w:space="0" w:color="auto"/>
        <w:bottom w:val="none" w:sz="0" w:space="0" w:color="auto"/>
        <w:right w:val="none" w:sz="0" w:space="0" w:color="auto"/>
      </w:divBdr>
    </w:div>
    <w:div w:id="13265714">
      <w:marLeft w:val="0"/>
      <w:marRight w:val="0"/>
      <w:marTop w:val="0"/>
      <w:marBottom w:val="0"/>
      <w:divBdr>
        <w:top w:val="none" w:sz="0" w:space="0" w:color="auto"/>
        <w:left w:val="none" w:sz="0" w:space="0" w:color="auto"/>
        <w:bottom w:val="none" w:sz="0" w:space="0" w:color="auto"/>
        <w:right w:val="none" w:sz="0" w:space="0" w:color="auto"/>
      </w:divBdr>
    </w:div>
    <w:div w:id="13265715">
      <w:marLeft w:val="0"/>
      <w:marRight w:val="0"/>
      <w:marTop w:val="0"/>
      <w:marBottom w:val="0"/>
      <w:divBdr>
        <w:top w:val="none" w:sz="0" w:space="0" w:color="auto"/>
        <w:left w:val="none" w:sz="0" w:space="0" w:color="auto"/>
        <w:bottom w:val="none" w:sz="0" w:space="0" w:color="auto"/>
        <w:right w:val="none" w:sz="0" w:space="0" w:color="auto"/>
      </w:divBdr>
    </w:div>
    <w:div w:id="13265716">
      <w:marLeft w:val="0"/>
      <w:marRight w:val="0"/>
      <w:marTop w:val="0"/>
      <w:marBottom w:val="0"/>
      <w:divBdr>
        <w:top w:val="none" w:sz="0" w:space="0" w:color="auto"/>
        <w:left w:val="none" w:sz="0" w:space="0" w:color="auto"/>
        <w:bottom w:val="none" w:sz="0" w:space="0" w:color="auto"/>
        <w:right w:val="none" w:sz="0" w:space="0" w:color="auto"/>
      </w:divBdr>
    </w:div>
    <w:div w:id="13265717">
      <w:marLeft w:val="0"/>
      <w:marRight w:val="0"/>
      <w:marTop w:val="0"/>
      <w:marBottom w:val="0"/>
      <w:divBdr>
        <w:top w:val="none" w:sz="0" w:space="0" w:color="auto"/>
        <w:left w:val="none" w:sz="0" w:space="0" w:color="auto"/>
        <w:bottom w:val="none" w:sz="0" w:space="0" w:color="auto"/>
        <w:right w:val="none" w:sz="0" w:space="0" w:color="auto"/>
      </w:divBdr>
    </w:div>
    <w:div w:id="13265718">
      <w:marLeft w:val="0"/>
      <w:marRight w:val="0"/>
      <w:marTop w:val="0"/>
      <w:marBottom w:val="0"/>
      <w:divBdr>
        <w:top w:val="none" w:sz="0" w:space="0" w:color="auto"/>
        <w:left w:val="none" w:sz="0" w:space="0" w:color="auto"/>
        <w:bottom w:val="none" w:sz="0" w:space="0" w:color="auto"/>
        <w:right w:val="none" w:sz="0" w:space="0" w:color="auto"/>
      </w:divBdr>
    </w:div>
    <w:div w:id="13265719">
      <w:marLeft w:val="0"/>
      <w:marRight w:val="0"/>
      <w:marTop w:val="0"/>
      <w:marBottom w:val="0"/>
      <w:divBdr>
        <w:top w:val="none" w:sz="0" w:space="0" w:color="auto"/>
        <w:left w:val="none" w:sz="0" w:space="0" w:color="auto"/>
        <w:bottom w:val="none" w:sz="0" w:space="0" w:color="auto"/>
        <w:right w:val="none" w:sz="0" w:space="0" w:color="auto"/>
      </w:divBdr>
    </w:div>
    <w:div w:id="13265720">
      <w:marLeft w:val="0"/>
      <w:marRight w:val="0"/>
      <w:marTop w:val="0"/>
      <w:marBottom w:val="0"/>
      <w:divBdr>
        <w:top w:val="none" w:sz="0" w:space="0" w:color="auto"/>
        <w:left w:val="none" w:sz="0" w:space="0" w:color="auto"/>
        <w:bottom w:val="none" w:sz="0" w:space="0" w:color="auto"/>
        <w:right w:val="none" w:sz="0" w:space="0" w:color="auto"/>
      </w:divBdr>
    </w:div>
    <w:div w:id="13265721">
      <w:marLeft w:val="0"/>
      <w:marRight w:val="0"/>
      <w:marTop w:val="0"/>
      <w:marBottom w:val="0"/>
      <w:divBdr>
        <w:top w:val="none" w:sz="0" w:space="0" w:color="auto"/>
        <w:left w:val="none" w:sz="0" w:space="0" w:color="auto"/>
        <w:bottom w:val="none" w:sz="0" w:space="0" w:color="auto"/>
        <w:right w:val="none" w:sz="0" w:space="0" w:color="auto"/>
      </w:divBdr>
    </w:div>
    <w:div w:id="13265722">
      <w:marLeft w:val="0"/>
      <w:marRight w:val="0"/>
      <w:marTop w:val="0"/>
      <w:marBottom w:val="0"/>
      <w:divBdr>
        <w:top w:val="none" w:sz="0" w:space="0" w:color="auto"/>
        <w:left w:val="none" w:sz="0" w:space="0" w:color="auto"/>
        <w:bottom w:val="none" w:sz="0" w:space="0" w:color="auto"/>
        <w:right w:val="none" w:sz="0" w:space="0" w:color="auto"/>
      </w:divBdr>
    </w:div>
    <w:div w:id="13265723">
      <w:marLeft w:val="0"/>
      <w:marRight w:val="0"/>
      <w:marTop w:val="0"/>
      <w:marBottom w:val="0"/>
      <w:divBdr>
        <w:top w:val="none" w:sz="0" w:space="0" w:color="auto"/>
        <w:left w:val="none" w:sz="0" w:space="0" w:color="auto"/>
        <w:bottom w:val="none" w:sz="0" w:space="0" w:color="auto"/>
        <w:right w:val="none" w:sz="0" w:space="0" w:color="auto"/>
      </w:divBdr>
    </w:div>
    <w:div w:id="13265724">
      <w:marLeft w:val="0"/>
      <w:marRight w:val="0"/>
      <w:marTop w:val="0"/>
      <w:marBottom w:val="0"/>
      <w:divBdr>
        <w:top w:val="none" w:sz="0" w:space="0" w:color="auto"/>
        <w:left w:val="none" w:sz="0" w:space="0" w:color="auto"/>
        <w:bottom w:val="none" w:sz="0" w:space="0" w:color="auto"/>
        <w:right w:val="none" w:sz="0" w:space="0" w:color="auto"/>
      </w:divBdr>
    </w:div>
    <w:div w:id="13265725">
      <w:marLeft w:val="0"/>
      <w:marRight w:val="0"/>
      <w:marTop w:val="0"/>
      <w:marBottom w:val="0"/>
      <w:divBdr>
        <w:top w:val="none" w:sz="0" w:space="0" w:color="auto"/>
        <w:left w:val="none" w:sz="0" w:space="0" w:color="auto"/>
        <w:bottom w:val="none" w:sz="0" w:space="0" w:color="auto"/>
        <w:right w:val="none" w:sz="0" w:space="0" w:color="auto"/>
      </w:divBdr>
    </w:div>
    <w:div w:id="13265726">
      <w:marLeft w:val="0"/>
      <w:marRight w:val="0"/>
      <w:marTop w:val="0"/>
      <w:marBottom w:val="0"/>
      <w:divBdr>
        <w:top w:val="none" w:sz="0" w:space="0" w:color="auto"/>
        <w:left w:val="none" w:sz="0" w:space="0" w:color="auto"/>
        <w:bottom w:val="none" w:sz="0" w:space="0" w:color="auto"/>
        <w:right w:val="none" w:sz="0" w:space="0" w:color="auto"/>
      </w:divBdr>
    </w:div>
    <w:div w:id="13265727">
      <w:marLeft w:val="0"/>
      <w:marRight w:val="0"/>
      <w:marTop w:val="0"/>
      <w:marBottom w:val="0"/>
      <w:divBdr>
        <w:top w:val="none" w:sz="0" w:space="0" w:color="auto"/>
        <w:left w:val="none" w:sz="0" w:space="0" w:color="auto"/>
        <w:bottom w:val="none" w:sz="0" w:space="0" w:color="auto"/>
        <w:right w:val="none" w:sz="0" w:space="0" w:color="auto"/>
      </w:divBdr>
    </w:div>
    <w:div w:id="13265728">
      <w:marLeft w:val="0"/>
      <w:marRight w:val="0"/>
      <w:marTop w:val="0"/>
      <w:marBottom w:val="0"/>
      <w:divBdr>
        <w:top w:val="none" w:sz="0" w:space="0" w:color="auto"/>
        <w:left w:val="none" w:sz="0" w:space="0" w:color="auto"/>
        <w:bottom w:val="none" w:sz="0" w:space="0" w:color="auto"/>
        <w:right w:val="none" w:sz="0" w:space="0" w:color="auto"/>
      </w:divBdr>
    </w:div>
    <w:div w:id="13265729">
      <w:marLeft w:val="0"/>
      <w:marRight w:val="0"/>
      <w:marTop w:val="0"/>
      <w:marBottom w:val="0"/>
      <w:divBdr>
        <w:top w:val="none" w:sz="0" w:space="0" w:color="auto"/>
        <w:left w:val="none" w:sz="0" w:space="0" w:color="auto"/>
        <w:bottom w:val="none" w:sz="0" w:space="0" w:color="auto"/>
        <w:right w:val="none" w:sz="0" w:space="0" w:color="auto"/>
      </w:divBdr>
    </w:div>
    <w:div w:id="13265730">
      <w:marLeft w:val="0"/>
      <w:marRight w:val="0"/>
      <w:marTop w:val="0"/>
      <w:marBottom w:val="0"/>
      <w:divBdr>
        <w:top w:val="none" w:sz="0" w:space="0" w:color="auto"/>
        <w:left w:val="none" w:sz="0" w:space="0" w:color="auto"/>
        <w:bottom w:val="none" w:sz="0" w:space="0" w:color="auto"/>
        <w:right w:val="none" w:sz="0" w:space="0" w:color="auto"/>
      </w:divBdr>
    </w:div>
    <w:div w:id="13265731">
      <w:marLeft w:val="0"/>
      <w:marRight w:val="0"/>
      <w:marTop w:val="0"/>
      <w:marBottom w:val="0"/>
      <w:divBdr>
        <w:top w:val="none" w:sz="0" w:space="0" w:color="auto"/>
        <w:left w:val="none" w:sz="0" w:space="0" w:color="auto"/>
        <w:bottom w:val="none" w:sz="0" w:space="0" w:color="auto"/>
        <w:right w:val="none" w:sz="0" w:space="0" w:color="auto"/>
      </w:divBdr>
    </w:div>
    <w:div w:id="13265732">
      <w:marLeft w:val="0"/>
      <w:marRight w:val="0"/>
      <w:marTop w:val="0"/>
      <w:marBottom w:val="0"/>
      <w:divBdr>
        <w:top w:val="none" w:sz="0" w:space="0" w:color="auto"/>
        <w:left w:val="none" w:sz="0" w:space="0" w:color="auto"/>
        <w:bottom w:val="none" w:sz="0" w:space="0" w:color="auto"/>
        <w:right w:val="none" w:sz="0" w:space="0" w:color="auto"/>
      </w:divBdr>
    </w:div>
    <w:div w:id="13265733">
      <w:marLeft w:val="0"/>
      <w:marRight w:val="0"/>
      <w:marTop w:val="0"/>
      <w:marBottom w:val="0"/>
      <w:divBdr>
        <w:top w:val="none" w:sz="0" w:space="0" w:color="auto"/>
        <w:left w:val="none" w:sz="0" w:space="0" w:color="auto"/>
        <w:bottom w:val="none" w:sz="0" w:space="0" w:color="auto"/>
        <w:right w:val="none" w:sz="0" w:space="0" w:color="auto"/>
      </w:divBdr>
    </w:div>
    <w:div w:id="13265734">
      <w:marLeft w:val="0"/>
      <w:marRight w:val="0"/>
      <w:marTop w:val="0"/>
      <w:marBottom w:val="0"/>
      <w:divBdr>
        <w:top w:val="none" w:sz="0" w:space="0" w:color="auto"/>
        <w:left w:val="none" w:sz="0" w:space="0" w:color="auto"/>
        <w:bottom w:val="none" w:sz="0" w:space="0" w:color="auto"/>
        <w:right w:val="none" w:sz="0" w:space="0" w:color="auto"/>
      </w:divBdr>
    </w:div>
    <w:div w:id="13265735">
      <w:marLeft w:val="0"/>
      <w:marRight w:val="0"/>
      <w:marTop w:val="0"/>
      <w:marBottom w:val="0"/>
      <w:divBdr>
        <w:top w:val="none" w:sz="0" w:space="0" w:color="auto"/>
        <w:left w:val="none" w:sz="0" w:space="0" w:color="auto"/>
        <w:bottom w:val="none" w:sz="0" w:space="0" w:color="auto"/>
        <w:right w:val="none" w:sz="0" w:space="0" w:color="auto"/>
      </w:divBdr>
    </w:div>
    <w:div w:id="13265736">
      <w:marLeft w:val="0"/>
      <w:marRight w:val="0"/>
      <w:marTop w:val="0"/>
      <w:marBottom w:val="0"/>
      <w:divBdr>
        <w:top w:val="none" w:sz="0" w:space="0" w:color="auto"/>
        <w:left w:val="none" w:sz="0" w:space="0" w:color="auto"/>
        <w:bottom w:val="none" w:sz="0" w:space="0" w:color="auto"/>
        <w:right w:val="none" w:sz="0" w:space="0" w:color="auto"/>
      </w:divBdr>
    </w:div>
    <w:div w:id="13265737">
      <w:marLeft w:val="0"/>
      <w:marRight w:val="0"/>
      <w:marTop w:val="0"/>
      <w:marBottom w:val="0"/>
      <w:divBdr>
        <w:top w:val="none" w:sz="0" w:space="0" w:color="auto"/>
        <w:left w:val="none" w:sz="0" w:space="0" w:color="auto"/>
        <w:bottom w:val="none" w:sz="0" w:space="0" w:color="auto"/>
        <w:right w:val="none" w:sz="0" w:space="0" w:color="auto"/>
      </w:divBdr>
    </w:div>
    <w:div w:id="13265738">
      <w:marLeft w:val="0"/>
      <w:marRight w:val="0"/>
      <w:marTop w:val="0"/>
      <w:marBottom w:val="0"/>
      <w:divBdr>
        <w:top w:val="none" w:sz="0" w:space="0" w:color="auto"/>
        <w:left w:val="none" w:sz="0" w:space="0" w:color="auto"/>
        <w:bottom w:val="none" w:sz="0" w:space="0" w:color="auto"/>
        <w:right w:val="none" w:sz="0" w:space="0" w:color="auto"/>
      </w:divBdr>
    </w:div>
    <w:div w:id="13265739">
      <w:marLeft w:val="0"/>
      <w:marRight w:val="0"/>
      <w:marTop w:val="0"/>
      <w:marBottom w:val="0"/>
      <w:divBdr>
        <w:top w:val="none" w:sz="0" w:space="0" w:color="auto"/>
        <w:left w:val="none" w:sz="0" w:space="0" w:color="auto"/>
        <w:bottom w:val="none" w:sz="0" w:space="0" w:color="auto"/>
        <w:right w:val="none" w:sz="0" w:space="0" w:color="auto"/>
      </w:divBdr>
    </w:div>
    <w:div w:id="13265740">
      <w:marLeft w:val="0"/>
      <w:marRight w:val="0"/>
      <w:marTop w:val="0"/>
      <w:marBottom w:val="0"/>
      <w:divBdr>
        <w:top w:val="none" w:sz="0" w:space="0" w:color="auto"/>
        <w:left w:val="none" w:sz="0" w:space="0" w:color="auto"/>
        <w:bottom w:val="none" w:sz="0" w:space="0" w:color="auto"/>
        <w:right w:val="none" w:sz="0" w:space="0" w:color="auto"/>
      </w:divBdr>
    </w:div>
    <w:div w:id="13265741">
      <w:marLeft w:val="0"/>
      <w:marRight w:val="0"/>
      <w:marTop w:val="0"/>
      <w:marBottom w:val="0"/>
      <w:divBdr>
        <w:top w:val="none" w:sz="0" w:space="0" w:color="auto"/>
        <w:left w:val="none" w:sz="0" w:space="0" w:color="auto"/>
        <w:bottom w:val="none" w:sz="0" w:space="0" w:color="auto"/>
        <w:right w:val="none" w:sz="0" w:space="0" w:color="auto"/>
      </w:divBdr>
    </w:div>
    <w:div w:id="13265742">
      <w:marLeft w:val="0"/>
      <w:marRight w:val="0"/>
      <w:marTop w:val="0"/>
      <w:marBottom w:val="0"/>
      <w:divBdr>
        <w:top w:val="none" w:sz="0" w:space="0" w:color="auto"/>
        <w:left w:val="none" w:sz="0" w:space="0" w:color="auto"/>
        <w:bottom w:val="none" w:sz="0" w:space="0" w:color="auto"/>
        <w:right w:val="none" w:sz="0" w:space="0" w:color="auto"/>
      </w:divBdr>
    </w:div>
    <w:div w:id="13265743">
      <w:marLeft w:val="0"/>
      <w:marRight w:val="0"/>
      <w:marTop w:val="0"/>
      <w:marBottom w:val="0"/>
      <w:divBdr>
        <w:top w:val="none" w:sz="0" w:space="0" w:color="auto"/>
        <w:left w:val="none" w:sz="0" w:space="0" w:color="auto"/>
        <w:bottom w:val="none" w:sz="0" w:space="0" w:color="auto"/>
        <w:right w:val="none" w:sz="0" w:space="0" w:color="auto"/>
      </w:divBdr>
    </w:div>
    <w:div w:id="13265744">
      <w:marLeft w:val="0"/>
      <w:marRight w:val="0"/>
      <w:marTop w:val="0"/>
      <w:marBottom w:val="0"/>
      <w:divBdr>
        <w:top w:val="none" w:sz="0" w:space="0" w:color="auto"/>
        <w:left w:val="none" w:sz="0" w:space="0" w:color="auto"/>
        <w:bottom w:val="none" w:sz="0" w:space="0" w:color="auto"/>
        <w:right w:val="none" w:sz="0" w:space="0" w:color="auto"/>
      </w:divBdr>
    </w:div>
    <w:div w:id="13265745">
      <w:marLeft w:val="0"/>
      <w:marRight w:val="0"/>
      <w:marTop w:val="0"/>
      <w:marBottom w:val="0"/>
      <w:divBdr>
        <w:top w:val="none" w:sz="0" w:space="0" w:color="auto"/>
        <w:left w:val="none" w:sz="0" w:space="0" w:color="auto"/>
        <w:bottom w:val="none" w:sz="0" w:space="0" w:color="auto"/>
        <w:right w:val="none" w:sz="0" w:space="0" w:color="auto"/>
      </w:divBdr>
    </w:div>
    <w:div w:id="13265746">
      <w:marLeft w:val="0"/>
      <w:marRight w:val="0"/>
      <w:marTop w:val="0"/>
      <w:marBottom w:val="0"/>
      <w:divBdr>
        <w:top w:val="none" w:sz="0" w:space="0" w:color="auto"/>
        <w:left w:val="none" w:sz="0" w:space="0" w:color="auto"/>
        <w:bottom w:val="none" w:sz="0" w:space="0" w:color="auto"/>
        <w:right w:val="none" w:sz="0" w:space="0" w:color="auto"/>
      </w:divBdr>
    </w:div>
    <w:div w:id="13265747">
      <w:marLeft w:val="0"/>
      <w:marRight w:val="0"/>
      <w:marTop w:val="0"/>
      <w:marBottom w:val="0"/>
      <w:divBdr>
        <w:top w:val="none" w:sz="0" w:space="0" w:color="auto"/>
        <w:left w:val="none" w:sz="0" w:space="0" w:color="auto"/>
        <w:bottom w:val="none" w:sz="0" w:space="0" w:color="auto"/>
        <w:right w:val="none" w:sz="0" w:space="0" w:color="auto"/>
      </w:divBdr>
    </w:div>
    <w:div w:id="13265748">
      <w:marLeft w:val="0"/>
      <w:marRight w:val="0"/>
      <w:marTop w:val="0"/>
      <w:marBottom w:val="0"/>
      <w:divBdr>
        <w:top w:val="none" w:sz="0" w:space="0" w:color="auto"/>
        <w:left w:val="none" w:sz="0" w:space="0" w:color="auto"/>
        <w:bottom w:val="none" w:sz="0" w:space="0" w:color="auto"/>
        <w:right w:val="none" w:sz="0" w:space="0" w:color="auto"/>
      </w:divBdr>
    </w:div>
    <w:div w:id="13265749">
      <w:marLeft w:val="0"/>
      <w:marRight w:val="0"/>
      <w:marTop w:val="0"/>
      <w:marBottom w:val="0"/>
      <w:divBdr>
        <w:top w:val="none" w:sz="0" w:space="0" w:color="auto"/>
        <w:left w:val="none" w:sz="0" w:space="0" w:color="auto"/>
        <w:bottom w:val="none" w:sz="0" w:space="0" w:color="auto"/>
        <w:right w:val="none" w:sz="0" w:space="0" w:color="auto"/>
      </w:divBdr>
    </w:div>
    <w:div w:id="13265750">
      <w:marLeft w:val="0"/>
      <w:marRight w:val="0"/>
      <w:marTop w:val="0"/>
      <w:marBottom w:val="0"/>
      <w:divBdr>
        <w:top w:val="none" w:sz="0" w:space="0" w:color="auto"/>
        <w:left w:val="none" w:sz="0" w:space="0" w:color="auto"/>
        <w:bottom w:val="none" w:sz="0" w:space="0" w:color="auto"/>
        <w:right w:val="none" w:sz="0" w:space="0" w:color="auto"/>
      </w:divBdr>
    </w:div>
    <w:div w:id="13265751">
      <w:marLeft w:val="0"/>
      <w:marRight w:val="0"/>
      <w:marTop w:val="0"/>
      <w:marBottom w:val="0"/>
      <w:divBdr>
        <w:top w:val="none" w:sz="0" w:space="0" w:color="auto"/>
        <w:left w:val="none" w:sz="0" w:space="0" w:color="auto"/>
        <w:bottom w:val="none" w:sz="0" w:space="0" w:color="auto"/>
        <w:right w:val="none" w:sz="0" w:space="0" w:color="auto"/>
      </w:divBdr>
    </w:div>
    <w:div w:id="13265752">
      <w:marLeft w:val="0"/>
      <w:marRight w:val="0"/>
      <w:marTop w:val="0"/>
      <w:marBottom w:val="0"/>
      <w:divBdr>
        <w:top w:val="none" w:sz="0" w:space="0" w:color="auto"/>
        <w:left w:val="none" w:sz="0" w:space="0" w:color="auto"/>
        <w:bottom w:val="none" w:sz="0" w:space="0" w:color="auto"/>
        <w:right w:val="none" w:sz="0" w:space="0" w:color="auto"/>
      </w:divBdr>
    </w:div>
    <w:div w:id="13265753">
      <w:marLeft w:val="0"/>
      <w:marRight w:val="0"/>
      <w:marTop w:val="0"/>
      <w:marBottom w:val="0"/>
      <w:divBdr>
        <w:top w:val="none" w:sz="0" w:space="0" w:color="auto"/>
        <w:left w:val="none" w:sz="0" w:space="0" w:color="auto"/>
        <w:bottom w:val="none" w:sz="0" w:space="0" w:color="auto"/>
        <w:right w:val="none" w:sz="0" w:space="0" w:color="auto"/>
      </w:divBdr>
    </w:div>
    <w:div w:id="13265754">
      <w:marLeft w:val="0"/>
      <w:marRight w:val="0"/>
      <w:marTop w:val="0"/>
      <w:marBottom w:val="0"/>
      <w:divBdr>
        <w:top w:val="none" w:sz="0" w:space="0" w:color="auto"/>
        <w:left w:val="none" w:sz="0" w:space="0" w:color="auto"/>
        <w:bottom w:val="none" w:sz="0" w:space="0" w:color="auto"/>
        <w:right w:val="none" w:sz="0" w:space="0" w:color="auto"/>
      </w:divBdr>
    </w:div>
    <w:div w:id="13265755">
      <w:marLeft w:val="0"/>
      <w:marRight w:val="0"/>
      <w:marTop w:val="0"/>
      <w:marBottom w:val="0"/>
      <w:divBdr>
        <w:top w:val="none" w:sz="0" w:space="0" w:color="auto"/>
        <w:left w:val="none" w:sz="0" w:space="0" w:color="auto"/>
        <w:bottom w:val="none" w:sz="0" w:space="0" w:color="auto"/>
        <w:right w:val="none" w:sz="0" w:space="0" w:color="auto"/>
      </w:divBdr>
    </w:div>
    <w:div w:id="13265756">
      <w:marLeft w:val="0"/>
      <w:marRight w:val="0"/>
      <w:marTop w:val="0"/>
      <w:marBottom w:val="0"/>
      <w:divBdr>
        <w:top w:val="none" w:sz="0" w:space="0" w:color="auto"/>
        <w:left w:val="none" w:sz="0" w:space="0" w:color="auto"/>
        <w:bottom w:val="none" w:sz="0" w:space="0" w:color="auto"/>
        <w:right w:val="none" w:sz="0" w:space="0" w:color="auto"/>
      </w:divBdr>
    </w:div>
    <w:div w:id="13265757">
      <w:marLeft w:val="0"/>
      <w:marRight w:val="0"/>
      <w:marTop w:val="0"/>
      <w:marBottom w:val="0"/>
      <w:divBdr>
        <w:top w:val="none" w:sz="0" w:space="0" w:color="auto"/>
        <w:left w:val="none" w:sz="0" w:space="0" w:color="auto"/>
        <w:bottom w:val="none" w:sz="0" w:space="0" w:color="auto"/>
        <w:right w:val="none" w:sz="0" w:space="0" w:color="auto"/>
      </w:divBdr>
    </w:div>
    <w:div w:id="13265758">
      <w:marLeft w:val="0"/>
      <w:marRight w:val="0"/>
      <w:marTop w:val="0"/>
      <w:marBottom w:val="0"/>
      <w:divBdr>
        <w:top w:val="none" w:sz="0" w:space="0" w:color="auto"/>
        <w:left w:val="none" w:sz="0" w:space="0" w:color="auto"/>
        <w:bottom w:val="none" w:sz="0" w:space="0" w:color="auto"/>
        <w:right w:val="none" w:sz="0" w:space="0" w:color="auto"/>
      </w:divBdr>
    </w:div>
    <w:div w:id="13265759">
      <w:marLeft w:val="0"/>
      <w:marRight w:val="0"/>
      <w:marTop w:val="0"/>
      <w:marBottom w:val="0"/>
      <w:divBdr>
        <w:top w:val="none" w:sz="0" w:space="0" w:color="auto"/>
        <w:left w:val="none" w:sz="0" w:space="0" w:color="auto"/>
        <w:bottom w:val="none" w:sz="0" w:space="0" w:color="auto"/>
        <w:right w:val="none" w:sz="0" w:space="0" w:color="auto"/>
      </w:divBdr>
    </w:div>
    <w:div w:id="13265760">
      <w:marLeft w:val="0"/>
      <w:marRight w:val="0"/>
      <w:marTop w:val="0"/>
      <w:marBottom w:val="0"/>
      <w:divBdr>
        <w:top w:val="none" w:sz="0" w:space="0" w:color="auto"/>
        <w:left w:val="none" w:sz="0" w:space="0" w:color="auto"/>
        <w:bottom w:val="none" w:sz="0" w:space="0" w:color="auto"/>
        <w:right w:val="none" w:sz="0" w:space="0" w:color="auto"/>
      </w:divBdr>
    </w:div>
    <w:div w:id="13265761">
      <w:marLeft w:val="0"/>
      <w:marRight w:val="0"/>
      <w:marTop w:val="0"/>
      <w:marBottom w:val="0"/>
      <w:divBdr>
        <w:top w:val="none" w:sz="0" w:space="0" w:color="auto"/>
        <w:left w:val="none" w:sz="0" w:space="0" w:color="auto"/>
        <w:bottom w:val="none" w:sz="0" w:space="0" w:color="auto"/>
        <w:right w:val="none" w:sz="0" w:space="0" w:color="auto"/>
      </w:divBdr>
    </w:div>
    <w:div w:id="13265762">
      <w:marLeft w:val="0"/>
      <w:marRight w:val="0"/>
      <w:marTop w:val="0"/>
      <w:marBottom w:val="0"/>
      <w:divBdr>
        <w:top w:val="none" w:sz="0" w:space="0" w:color="auto"/>
        <w:left w:val="none" w:sz="0" w:space="0" w:color="auto"/>
        <w:bottom w:val="none" w:sz="0" w:space="0" w:color="auto"/>
        <w:right w:val="none" w:sz="0" w:space="0" w:color="auto"/>
      </w:divBdr>
    </w:div>
    <w:div w:id="13265763">
      <w:marLeft w:val="0"/>
      <w:marRight w:val="0"/>
      <w:marTop w:val="0"/>
      <w:marBottom w:val="0"/>
      <w:divBdr>
        <w:top w:val="none" w:sz="0" w:space="0" w:color="auto"/>
        <w:left w:val="none" w:sz="0" w:space="0" w:color="auto"/>
        <w:bottom w:val="none" w:sz="0" w:space="0" w:color="auto"/>
        <w:right w:val="none" w:sz="0" w:space="0" w:color="auto"/>
      </w:divBdr>
    </w:div>
    <w:div w:id="13265764">
      <w:marLeft w:val="0"/>
      <w:marRight w:val="0"/>
      <w:marTop w:val="0"/>
      <w:marBottom w:val="0"/>
      <w:divBdr>
        <w:top w:val="none" w:sz="0" w:space="0" w:color="auto"/>
        <w:left w:val="none" w:sz="0" w:space="0" w:color="auto"/>
        <w:bottom w:val="none" w:sz="0" w:space="0" w:color="auto"/>
        <w:right w:val="none" w:sz="0" w:space="0" w:color="auto"/>
      </w:divBdr>
    </w:div>
    <w:div w:id="13265765">
      <w:marLeft w:val="0"/>
      <w:marRight w:val="0"/>
      <w:marTop w:val="0"/>
      <w:marBottom w:val="0"/>
      <w:divBdr>
        <w:top w:val="none" w:sz="0" w:space="0" w:color="auto"/>
        <w:left w:val="none" w:sz="0" w:space="0" w:color="auto"/>
        <w:bottom w:val="none" w:sz="0" w:space="0" w:color="auto"/>
        <w:right w:val="none" w:sz="0" w:space="0" w:color="auto"/>
      </w:divBdr>
    </w:div>
    <w:div w:id="13265766">
      <w:marLeft w:val="0"/>
      <w:marRight w:val="0"/>
      <w:marTop w:val="0"/>
      <w:marBottom w:val="0"/>
      <w:divBdr>
        <w:top w:val="none" w:sz="0" w:space="0" w:color="auto"/>
        <w:left w:val="none" w:sz="0" w:space="0" w:color="auto"/>
        <w:bottom w:val="none" w:sz="0" w:space="0" w:color="auto"/>
        <w:right w:val="none" w:sz="0" w:space="0" w:color="auto"/>
      </w:divBdr>
    </w:div>
    <w:div w:id="13265767">
      <w:marLeft w:val="0"/>
      <w:marRight w:val="0"/>
      <w:marTop w:val="0"/>
      <w:marBottom w:val="0"/>
      <w:divBdr>
        <w:top w:val="none" w:sz="0" w:space="0" w:color="auto"/>
        <w:left w:val="none" w:sz="0" w:space="0" w:color="auto"/>
        <w:bottom w:val="none" w:sz="0" w:space="0" w:color="auto"/>
        <w:right w:val="none" w:sz="0" w:space="0" w:color="auto"/>
      </w:divBdr>
    </w:div>
    <w:div w:id="13265768">
      <w:marLeft w:val="0"/>
      <w:marRight w:val="0"/>
      <w:marTop w:val="0"/>
      <w:marBottom w:val="0"/>
      <w:divBdr>
        <w:top w:val="none" w:sz="0" w:space="0" w:color="auto"/>
        <w:left w:val="none" w:sz="0" w:space="0" w:color="auto"/>
        <w:bottom w:val="none" w:sz="0" w:space="0" w:color="auto"/>
        <w:right w:val="none" w:sz="0" w:space="0" w:color="auto"/>
      </w:divBdr>
    </w:div>
    <w:div w:id="13265769">
      <w:marLeft w:val="0"/>
      <w:marRight w:val="0"/>
      <w:marTop w:val="0"/>
      <w:marBottom w:val="0"/>
      <w:divBdr>
        <w:top w:val="none" w:sz="0" w:space="0" w:color="auto"/>
        <w:left w:val="none" w:sz="0" w:space="0" w:color="auto"/>
        <w:bottom w:val="none" w:sz="0" w:space="0" w:color="auto"/>
        <w:right w:val="none" w:sz="0" w:space="0" w:color="auto"/>
      </w:divBdr>
    </w:div>
    <w:div w:id="13265770">
      <w:marLeft w:val="0"/>
      <w:marRight w:val="0"/>
      <w:marTop w:val="0"/>
      <w:marBottom w:val="0"/>
      <w:divBdr>
        <w:top w:val="none" w:sz="0" w:space="0" w:color="auto"/>
        <w:left w:val="none" w:sz="0" w:space="0" w:color="auto"/>
        <w:bottom w:val="none" w:sz="0" w:space="0" w:color="auto"/>
        <w:right w:val="none" w:sz="0" w:space="0" w:color="auto"/>
      </w:divBdr>
    </w:div>
    <w:div w:id="13265771">
      <w:marLeft w:val="0"/>
      <w:marRight w:val="0"/>
      <w:marTop w:val="0"/>
      <w:marBottom w:val="0"/>
      <w:divBdr>
        <w:top w:val="none" w:sz="0" w:space="0" w:color="auto"/>
        <w:left w:val="none" w:sz="0" w:space="0" w:color="auto"/>
        <w:bottom w:val="none" w:sz="0" w:space="0" w:color="auto"/>
        <w:right w:val="none" w:sz="0" w:space="0" w:color="auto"/>
      </w:divBdr>
    </w:div>
    <w:div w:id="13265772">
      <w:marLeft w:val="0"/>
      <w:marRight w:val="0"/>
      <w:marTop w:val="0"/>
      <w:marBottom w:val="0"/>
      <w:divBdr>
        <w:top w:val="none" w:sz="0" w:space="0" w:color="auto"/>
        <w:left w:val="none" w:sz="0" w:space="0" w:color="auto"/>
        <w:bottom w:val="none" w:sz="0" w:space="0" w:color="auto"/>
        <w:right w:val="none" w:sz="0" w:space="0" w:color="auto"/>
      </w:divBdr>
    </w:div>
    <w:div w:id="13265773">
      <w:marLeft w:val="0"/>
      <w:marRight w:val="0"/>
      <w:marTop w:val="0"/>
      <w:marBottom w:val="0"/>
      <w:divBdr>
        <w:top w:val="none" w:sz="0" w:space="0" w:color="auto"/>
        <w:left w:val="none" w:sz="0" w:space="0" w:color="auto"/>
        <w:bottom w:val="none" w:sz="0" w:space="0" w:color="auto"/>
        <w:right w:val="none" w:sz="0" w:space="0" w:color="auto"/>
      </w:divBdr>
    </w:div>
    <w:div w:id="13265774">
      <w:marLeft w:val="0"/>
      <w:marRight w:val="0"/>
      <w:marTop w:val="0"/>
      <w:marBottom w:val="0"/>
      <w:divBdr>
        <w:top w:val="none" w:sz="0" w:space="0" w:color="auto"/>
        <w:left w:val="none" w:sz="0" w:space="0" w:color="auto"/>
        <w:bottom w:val="none" w:sz="0" w:space="0" w:color="auto"/>
        <w:right w:val="none" w:sz="0" w:space="0" w:color="auto"/>
      </w:divBdr>
    </w:div>
    <w:div w:id="13265775">
      <w:marLeft w:val="0"/>
      <w:marRight w:val="0"/>
      <w:marTop w:val="0"/>
      <w:marBottom w:val="0"/>
      <w:divBdr>
        <w:top w:val="none" w:sz="0" w:space="0" w:color="auto"/>
        <w:left w:val="none" w:sz="0" w:space="0" w:color="auto"/>
        <w:bottom w:val="none" w:sz="0" w:space="0" w:color="auto"/>
        <w:right w:val="none" w:sz="0" w:space="0" w:color="auto"/>
      </w:divBdr>
    </w:div>
    <w:div w:id="13265776">
      <w:marLeft w:val="0"/>
      <w:marRight w:val="0"/>
      <w:marTop w:val="0"/>
      <w:marBottom w:val="0"/>
      <w:divBdr>
        <w:top w:val="none" w:sz="0" w:space="0" w:color="auto"/>
        <w:left w:val="none" w:sz="0" w:space="0" w:color="auto"/>
        <w:bottom w:val="none" w:sz="0" w:space="0" w:color="auto"/>
        <w:right w:val="none" w:sz="0" w:space="0" w:color="auto"/>
      </w:divBdr>
    </w:div>
    <w:div w:id="13265777">
      <w:marLeft w:val="0"/>
      <w:marRight w:val="0"/>
      <w:marTop w:val="0"/>
      <w:marBottom w:val="0"/>
      <w:divBdr>
        <w:top w:val="none" w:sz="0" w:space="0" w:color="auto"/>
        <w:left w:val="none" w:sz="0" w:space="0" w:color="auto"/>
        <w:bottom w:val="none" w:sz="0" w:space="0" w:color="auto"/>
        <w:right w:val="none" w:sz="0" w:space="0" w:color="auto"/>
      </w:divBdr>
    </w:div>
    <w:div w:id="13265778">
      <w:marLeft w:val="0"/>
      <w:marRight w:val="0"/>
      <w:marTop w:val="0"/>
      <w:marBottom w:val="0"/>
      <w:divBdr>
        <w:top w:val="none" w:sz="0" w:space="0" w:color="auto"/>
        <w:left w:val="none" w:sz="0" w:space="0" w:color="auto"/>
        <w:bottom w:val="none" w:sz="0" w:space="0" w:color="auto"/>
        <w:right w:val="none" w:sz="0" w:space="0" w:color="auto"/>
      </w:divBdr>
    </w:div>
    <w:div w:id="13265779">
      <w:marLeft w:val="0"/>
      <w:marRight w:val="0"/>
      <w:marTop w:val="0"/>
      <w:marBottom w:val="0"/>
      <w:divBdr>
        <w:top w:val="none" w:sz="0" w:space="0" w:color="auto"/>
        <w:left w:val="none" w:sz="0" w:space="0" w:color="auto"/>
        <w:bottom w:val="none" w:sz="0" w:space="0" w:color="auto"/>
        <w:right w:val="none" w:sz="0" w:space="0" w:color="auto"/>
      </w:divBdr>
    </w:div>
    <w:div w:id="13265780">
      <w:marLeft w:val="0"/>
      <w:marRight w:val="0"/>
      <w:marTop w:val="0"/>
      <w:marBottom w:val="0"/>
      <w:divBdr>
        <w:top w:val="none" w:sz="0" w:space="0" w:color="auto"/>
        <w:left w:val="none" w:sz="0" w:space="0" w:color="auto"/>
        <w:bottom w:val="none" w:sz="0" w:space="0" w:color="auto"/>
        <w:right w:val="none" w:sz="0" w:space="0" w:color="auto"/>
      </w:divBdr>
    </w:div>
    <w:div w:id="13265781">
      <w:marLeft w:val="0"/>
      <w:marRight w:val="0"/>
      <w:marTop w:val="0"/>
      <w:marBottom w:val="0"/>
      <w:divBdr>
        <w:top w:val="none" w:sz="0" w:space="0" w:color="auto"/>
        <w:left w:val="none" w:sz="0" w:space="0" w:color="auto"/>
        <w:bottom w:val="none" w:sz="0" w:space="0" w:color="auto"/>
        <w:right w:val="none" w:sz="0" w:space="0" w:color="auto"/>
      </w:divBdr>
    </w:div>
    <w:div w:id="13265782">
      <w:marLeft w:val="0"/>
      <w:marRight w:val="0"/>
      <w:marTop w:val="0"/>
      <w:marBottom w:val="0"/>
      <w:divBdr>
        <w:top w:val="none" w:sz="0" w:space="0" w:color="auto"/>
        <w:left w:val="none" w:sz="0" w:space="0" w:color="auto"/>
        <w:bottom w:val="none" w:sz="0" w:space="0" w:color="auto"/>
        <w:right w:val="none" w:sz="0" w:space="0" w:color="auto"/>
      </w:divBdr>
    </w:div>
    <w:div w:id="13265783">
      <w:marLeft w:val="0"/>
      <w:marRight w:val="0"/>
      <w:marTop w:val="0"/>
      <w:marBottom w:val="0"/>
      <w:divBdr>
        <w:top w:val="none" w:sz="0" w:space="0" w:color="auto"/>
        <w:left w:val="none" w:sz="0" w:space="0" w:color="auto"/>
        <w:bottom w:val="none" w:sz="0" w:space="0" w:color="auto"/>
        <w:right w:val="none" w:sz="0" w:space="0" w:color="auto"/>
      </w:divBdr>
    </w:div>
    <w:div w:id="13265784">
      <w:marLeft w:val="0"/>
      <w:marRight w:val="0"/>
      <w:marTop w:val="0"/>
      <w:marBottom w:val="0"/>
      <w:divBdr>
        <w:top w:val="none" w:sz="0" w:space="0" w:color="auto"/>
        <w:left w:val="none" w:sz="0" w:space="0" w:color="auto"/>
        <w:bottom w:val="none" w:sz="0" w:space="0" w:color="auto"/>
        <w:right w:val="none" w:sz="0" w:space="0" w:color="auto"/>
      </w:divBdr>
    </w:div>
    <w:div w:id="13265785">
      <w:marLeft w:val="0"/>
      <w:marRight w:val="0"/>
      <w:marTop w:val="0"/>
      <w:marBottom w:val="0"/>
      <w:divBdr>
        <w:top w:val="none" w:sz="0" w:space="0" w:color="auto"/>
        <w:left w:val="none" w:sz="0" w:space="0" w:color="auto"/>
        <w:bottom w:val="none" w:sz="0" w:space="0" w:color="auto"/>
        <w:right w:val="none" w:sz="0" w:space="0" w:color="auto"/>
      </w:divBdr>
    </w:div>
    <w:div w:id="13265786">
      <w:marLeft w:val="0"/>
      <w:marRight w:val="0"/>
      <w:marTop w:val="0"/>
      <w:marBottom w:val="0"/>
      <w:divBdr>
        <w:top w:val="none" w:sz="0" w:space="0" w:color="auto"/>
        <w:left w:val="none" w:sz="0" w:space="0" w:color="auto"/>
        <w:bottom w:val="none" w:sz="0" w:space="0" w:color="auto"/>
        <w:right w:val="none" w:sz="0" w:space="0" w:color="auto"/>
      </w:divBdr>
    </w:div>
    <w:div w:id="13265787">
      <w:marLeft w:val="0"/>
      <w:marRight w:val="0"/>
      <w:marTop w:val="0"/>
      <w:marBottom w:val="0"/>
      <w:divBdr>
        <w:top w:val="none" w:sz="0" w:space="0" w:color="auto"/>
        <w:left w:val="none" w:sz="0" w:space="0" w:color="auto"/>
        <w:bottom w:val="none" w:sz="0" w:space="0" w:color="auto"/>
        <w:right w:val="none" w:sz="0" w:space="0" w:color="auto"/>
      </w:divBdr>
    </w:div>
    <w:div w:id="13265788">
      <w:marLeft w:val="0"/>
      <w:marRight w:val="0"/>
      <w:marTop w:val="0"/>
      <w:marBottom w:val="0"/>
      <w:divBdr>
        <w:top w:val="none" w:sz="0" w:space="0" w:color="auto"/>
        <w:left w:val="none" w:sz="0" w:space="0" w:color="auto"/>
        <w:bottom w:val="none" w:sz="0" w:space="0" w:color="auto"/>
        <w:right w:val="none" w:sz="0" w:space="0" w:color="auto"/>
      </w:divBdr>
    </w:div>
    <w:div w:id="13265789">
      <w:marLeft w:val="0"/>
      <w:marRight w:val="0"/>
      <w:marTop w:val="0"/>
      <w:marBottom w:val="0"/>
      <w:divBdr>
        <w:top w:val="none" w:sz="0" w:space="0" w:color="auto"/>
        <w:left w:val="none" w:sz="0" w:space="0" w:color="auto"/>
        <w:bottom w:val="none" w:sz="0" w:space="0" w:color="auto"/>
        <w:right w:val="none" w:sz="0" w:space="0" w:color="auto"/>
      </w:divBdr>
    </w:div>
    <w:div w:id="13265790">
      <w:marLeft w:val="0"/>
      <w:marRight w:val="0"/>
      <w:marTop w:val="0"/>
      <w:marBottom w:val="0"/>
      <w:divBdr>
        <w:top w:val="none" w:sz="0" w:space="0" w:color="auto"/>
        <w:left w:val="none" w:sz="0" w:space="0" w:color="auto"/>
        <w:bottom w:val="none" w:sz="0" w:space="0" w:color="auto"/>
        <w:right w:val="none" w:sz="0" w:space="0" w:color="auto"/>
      </w:divBdr>
    </w:div>
    <w:div w:id="13265791">
      <w:marLeft w:val="0"/>
      <w:marRight w:val="0"/>
      <w:marTop w:val="0"/>
      <w:marBottom w:val="0"/>
      <w:divBdr>
        <w:top w:val="none" w:sz="0" w:space="0" w:color="auto"/>
        <w:left w:val="none" w:sz="0" w:space="0" w:color="auto"/>
        <w:bottom w:val="none" w:sz="0" w:space="0" w:color="auto"/>
        <w:right w:val="none" w:sz="0" w:space="0" w:color="auto"/>
      </w:divBdr>
    </w:div>
    <w:div w:id="13265792">
      <w:marLeft w:val="0"/>
      <w:marRight w:val="0"/>
      <w:marTop w:val="0"/>
      <w:marBottom w:val="0"/>
      <w:divBdr>
        <w:top w:val="none" w:sz="0" w:space="0" w:color="auto"/>
        <w:left w:val="none" w:sz="0" w:space="0" w:color="auto"/>
        <w:bottom w:val="none" w:sz="0" w:space="0" w:color="auto"/>
        <w:right w:val="none" w:sz="0" w:space="0" w:color="auto"/>
      </w:divBdr>
    </w:div>
    <w:div w:id="13265793">
      <w:marLeft w:val="0"/>
      <w:marRight w:val="0"/>
      <w:marTop w:val="0"/>
      <w:marBottom w:val="0"/>
      <w:divBdr>
        <w:top w:val="none" w:sz="0" w:space="0" w:color="auto"/>
        <w:left w:val="none" w:sz="0" w:space="0" w:color="auto"/>
        <w:bottom w:val="none" w:sz="0" w:space="0" w:color="auto"/>
        <w:right w:val="none" w:sz="0" w:space="0" w:color="auto"/>
      </w:divBdr>
    </w:div>
    <w:div w:id="13265794">
      <w:marLeft w:val="0"/>
      <w:marRight w:val="0"/>
      <w:marTop w:val="0"/>
      <w:marBottom w:val="0"/>
      <w:divBdr>
        <w:top w:val="none" w:sz="0" w:space="0" w:color="auto"/>
        <w:left w:val="none" w:sz="0" w:space="0" w:color="auto"/>
        <w:bottom w:val="none" w:sz="0" w:space="0" w:color="auto"/>
        <w:right w:val="none" w:sz="0" w:space="0" w:color="auto"/>
      </w:divBdr>
    </w:div>
    <w:div w:id="13265795">
      <w:marLeft w:val="0"/>
      <w:marRight w:val="0"/>
      <w:marTop w:val="0"/>
      <w:marBottom w:val="0"/>
      <w:divBdr>
        <w:top w:val="none" w:sz="0" w:space="0" w:color="auto"/>
        <w:left w:val="none" w:sz="0" w:space="0" w:color="auto"/>
        <w:bottom w:val="none" w:sz="0" w:space="0" w:color="auto"/>
        <w:right w:val="none" w:sz="0" w:space="0" w:color="auto"/>
      </w:divBdr>
    </w:div>
    <w:div w:id="13265796">
      <w:marLeft w:val="0"/>
      <w:marRight w:val="0"/>
      <w:marTop w:val="0"/>
      <w:marBottom w:val="0"/>
      <w:divBdr>
        <w:top w:val="none" w:sz="0" w:space="0" w:color="auto"/>
        <w:left w:val="none" w:sz="0" w:space="0" w:color="auto"/>
        <w:bottom w:val="none" w:sz="0" w:space="0" w:color="auto"/>
        <w:right w:val="none" w:sz="0" w:space="0" w:color="auto"/>
      </w:divBdr>
    </w:div>
    <w:div w:id="13265797">
      <w:marLeft w:val="0"/>
      <w:marRight w:val="0"/>
      <w:marTop w:val="0"/>
      <w:marBottom w:val="0"/>
      <w:divBdr>
        <w:top w:val="none" w:sz="0" w:space="0" w:color="auto"/>
        <w:left w:val="none" w:sz="0" w:space="0" w:color="auto"/>
        <w:bottom w:val="none" w:sz="0" w:space="0" w:color="auto"/>
        <w:right w:val="none" w:sz="0" w:space="0" w:color="auto"/>
      </w:divBdr>
    </w:div>
    <w:div w:id="13265798">
      <w:marLeft w:val="0"/>
      <w:marRight w:val="0"/>
      <w:marTop w:val="0"/>
      <w:marBottom w:val="0"/>
      <w:divBdr>
        <w:top w:val="none" w:sz="0" w:space="0" w:color="auto"/>
        <w:left w:val="none" w:sz="0" w:space="0" w:color="auto"/>
        <w:bottom w:val="none" w:sz="0" w:space="0" w:color="auto"/>
        <w:right w:val="none" w:sz="0" w:space="0" w:color="auto"/>
      </w:divBdr>
    </w:div>
    <w:div w:id="44069954">
      <w:bodyDiv w:val="1"/>
      <w:marLeft w:val="0"/>
      <w:marRight w:val="0"/>
      <w:marTop w:val="0"/>
      <w:marBottom w:val="0"/>
      <w:divBdr>
        <w:top w:val="none" w:sz="0" w:space="0" w:color="auto"/>
        <w:left w:val="none" w:sz="0" w:space="0" w:color="auto"/>
        <w:bottom w:val="none" w:sz="0" w:space="0" w:color="auto"/>
        <w:right w:val="none" w:sz="0" w:space="0" w:color="auto"/>
      </w:divBdr>
    </w:div>
    <w:div w:id="47801947">
      <w:bodyDiv w:val="1"/>
      <w:marLeft w:val="0"/>
      <w:marRight w:val="0"/>
      <w:marTop w:val="0"/>
      <w:marBottom w:val="0"/>
      <w:divBdr>
        <w:top w:val="none" w:sz="0" w:space="0" w:color="auto"/>
        <w:left w:val="none" w:sz="0" w:space="0" w:color="auto"/>
        <w:bottom w:val="none" w:sz="0" w:space="0" w:color="auto"/>
        <w:right w:val="none" w:sz="0" w:space="0" w:color="auto"/>
      </w:divBdr>
    </w:div>
    <w:div w:id="50734849">
      <w:bodyDiv w:val="1"/>
      <w:marLeft w:val="0"/>
      <w:marRight w:val="0"/>
      <w:marTop w:val="0"/>
      <w:marBottom w:val="0"/>
      <w:divBdr>
        <w:top w:val="none" w:sz="0" w:space="0" w:color="auto"/>
        <w:left w:val="none" w:sz="0" w:space="0" w:color="auto"/>
        <w:bottom w:val="none" w:sz="0" w:space="0" w:color="auto"/>
        <w:right w:val="none" w:sz="0" w:space="0" w:color="auto"/>
      </w:divBdr>
    </w:div>
    <w:div w:id="66268756">
      <w:bodyDiv w:val="1"/>
      <w:marLeft w:val="0"/>
      <w:marRight w:val="0"/>
      <w:marTop w:val="0"/>
      <w:marBottom w:val="0"/>
      <w:divBdr>
        <w:top w:val="none" w:sz="0" w:space="0" w:color="auto"/>
        <w:left w:val="none" w:sz="0" w:space="0" w:color="auto"/>
        <w:bottom w:val="none" w:sz="0" w:space="0" w:color="auto"/>
        <w:right w:val="none" w:sz="0" w:space="0" w:color="auto"/>
      </w:divBdr>
    </w:div>
    <w:div w:id="99030383">
      <w:bodyDiv w:val="1"/>
      <w:marLeft w:val="0"/>
      <w:marRight w:val="0"/>
      <w:marTop w:val="0"/>
      <w:marBottom w:val="0"/>
      <w:divBdr>
        <w:top w:val="none" w:sz="0" w:space="0" w:color="auto"/>
        <w:left w:val="none" w:sz="0" w:space="0" w:color="auto"/>
        <w:bottom w:val="none" w:sz="0" w:space="0" w:color="auto"/>
        <w:right w:val="none" w:sz="0" w:space="0" w:color="auto"/>
      </w:divBdr>
    </w:div>
    <w:div w:id="100536372">
      <w:bodyDiv w:val="1"/>
      <w:marLeft w:val="0"/>
      <w:marRight w:val="0"/>
      <w:marTop w:val="0"/>
      <w:marBottom w:val="0"/>
      <w:divBdr>
        <w:top w:val="none" w:sz="0" w:space="0" w:color="auto"/>
        <w:left w:val="none" w:sz="0" w:space="0" w:color="auto"/>
        <w:bottom w:val="none" w:sz="0" w:space="0" w:color="auto"/>
        <w:right w:val="none" w:sz="0" w:space="0" w:color="auto"/>
      </w:divBdr>
    </w:div>
    <w:div w:id="105931856">
      <w:bodyDiv w:val="1"/>
      <w:marLeft w:val="0"/>
      <w:marRight w:val="0"/>
      <w:marTop w:val="0"/>
      <w:marBottom w:val="0"/>
      <w:divBdr>
        <w:top w:val="none" w:sz="0" w:space="0" w:color="auto"/>
        <w:left w:val="none" w:sz="0" w:space="0" w:color="auto"/>
        <w:bottom w:val="none" w:sz="0" w:space="0" w:color="auto"/>
        <w:right w:val="none" w:sz="0" w:space="0" w:color="auto"/>
      </w:divBdr>
    </w:div>
    <w:div w:id="111439194">
      <w:bodyDiv w:val="1"/>
      <w:marLeft w:val="0"/>
      <w:marRight w:val="0"/>
      <w:marTop w:val="0"/>
      <w:marBottom w:val="0"/>
      <w:divBdr>
        <w:top w:val="none" w:sz="0" w:space="0" w:color="auto"/>
        <w:left w:val="none" w:sz="0" w:space="0" w:color="auto"/>
        <w:bottom w:val="none" w:sz="0" w:space="0" w:color="auto"/>
        <w:right w:val="none" w:sz="0" w:space="0" w:color="auto"/>
      </w:divBdr>
    </w:div>
    <w:div w:id="126752245">
      <w:bodyDiv w:val="1"/>
      <w:marLeft w:val="0"/>
      <w:marRight w:val="0"/>
      <w:marTop w:val="0"/>
      <w:marBottom w:val="0"/>
      <w:divBdr>
        <w:top w:val="none" w:sz="0" w:space="0" w:color="auto"/>
        <w:left w:val="none" w:sz="0" w:space="0" w:color="auto"/>
        <w:bottom w:val="none" w:sz="0" w:space="0" w:color="auto"/>
        <w:right w:val="none" w:sz="0" w:space="0" w:color="auto"/>
      </w:divBdr>
    </w:div>
    <w:div w:id="127016254">
      <w:bodyDiv w:val="1"/>
      <w:marLeft w:val="0"/>
      <w:marRight w:val="0"/>
      <w:marTop w:val="0"/>
      <w:marBottom w:val="0"/>
      <w:divBdr>
        <w:top w:val="none" w:sz="0" w:space="0" w:color="auto"/>
        <w:left w:val="none" w:sz="0" w:space="0" w:color="auto"/>
        <w:bottom w:val="none" w:sz="0" w:space="0" w:color="auto"/>
        <w:right w:val="none" w:sz="0" w:space="0" w:color="auto"/>
      </w:divBdr>
    </w:div>
    <w:div w:id="132674478">
      <w:bodyDiv w:val="1"/>
      <w:marLeft w:val="0"/>
      <w:marRight w:val="0"/>
      <w:marTop w:val="0"/>
      <w:marBottom w:val="0"/>
      <w:divBdr>
        <w:top w:val="none" w:sz="0" w:space="0" w:color="auto"/>
        <w:left w:val="none" w:sz="0" w:space="0" w:color="auto"/>
        <w:bottom w:val="none" w:sz="0" w:space="0" w:color="auto"/>
        <w:right w:val="none" w:sz="0" w:space="0" w:color="auto"/>
      </w:divBdr>
    </w:div>
    <w:div w:id="137040630">
      <w:bodyDiv w:val="1"/>
      <w:marLeft w:val="0"/>
      <w:marRight w:val="0"/>
      <w:marTop w:val="0"/>
      <w:marBottom w:val="0"/>
      <w:divBdr>
        <w:top w:val="none" w:sz="0" w:space="0" w:color="auto"/>
        <w:left w:val="none" w:sz="0" w:space="0" w:color="auto"/>
        <w:bottom w:val="none" w:sz="0" w:space="0" w:color="auto"/>
        <w:right w:val="none" w:sz="0" w:space="0" w:color="auto"/>
      </w:divBdr>
    </w:div>
    <w:div w:id="162864899">
      <w:bodyDiv w:val="1"/>
      <w:marLeft w:val="0"/>
      <w:marRight w:val="0"/>
      <w:marTop w:val="0"/>
      <w:marBottom w:val="0"/>
      <w:divBdr>
        <w:top w:val="none" w:sz="0" w:space="0" w:color="auto"/>
        <w:left w:val="none" w:sz="0" w:space="0" w:color="auto"/>
        <w:bottom w:val="none" w:sz="0" w:space="0" w:color="auto"/>
        <w:right w:val="none" w:sz="0" w:space="0" w:color="auto"/>
      </w:divBdr>
    </w:div>
    <w:div w:id="171454269">
      <w:bodyDiv w:val="1"/>
      <w:marLeft w:val="0"/>
      <w:marRight w:val="0"/>
      <w:marTop w:val="0"/>
      <w:marBottom w:val="0"/>
      <w:divBdr>
        <w:top w:val="none" w:sz="0" w:space="0" w:color="auto"/>
        <w:left w:val="none" w:sz="0" w:space="0" w:color="auto"/>
        <w:bottom w:val="none" w:sz="0" w:space="0" w:color="auto"/>
        <w:right w:val="none" w:sz="0" w:space="0" w:color="auto"/>
      </w:divBdr>
    </w:div>
    <w:div w:id="180123361">
      <w:bodyDiv w:val="1"/>
      <w:marLeft w:val="0"/>
      <w:marRight w:val="0"/>
      <w:marTop w:val="0"/>
      <w:marBottom w:val="0"/>
      <w:divBdr>
        <w:top w:val="none" w:sz="0" w:space="0" w:color="auto"/>
        <w:left w:val="none" w:sz="0" w:space="0" w:color="auto"/>
        <w:bottom w:val="none" w:sz="0" w:space="0" w:color="auto"/>
        <w:right w:val="none" w:sz="0" w:space="0" w:color="auto"/>
      </w:divBdr>
    </w:div>
    <w:div w:id="186795608">
      <w:bodyDiv w:val="1"/>
      <w:marLeft w:val="0"/>
      <w:marRight w:val="0"/>
      <w:marTop w:val="0"/>
      <w:marBottom w:val="0"/>
      <w:divBdr>
        <w:top w:val="none" w:sz="0" w:space="0" w:color="auto"/>
        <w:left w:val="none" w:sz="0" w:space="0" w:color="auto"/>
        <w:bottom w:val="none" w:sz="0" w:space="0" w:color="auto"/>
        <w:right w:val="none" w:sz="0" w:space="0" w:color="auto"/>
      </w:divBdr>
    </w:div>
    <w:div w:id="186990874">
      <w:bodyDiv w:val="1"/>
      <w:marLeft w:val="0"/>
      <w:marRight w:val="0"/>
      <w:marTop w:val="0"/>
      <w:marBottom w:val="0"/>
      <w:divBdr>
        <w:top w:val="none" w:sz="0" w:space="0" w:color="auto"/>
        <w:left w:val="none" w:sz="0" w:space="0" w:color="auto"/>
        <w:bottom w:val="none" w:sz="0" w:space="0" w:color="auto"/>
        <w:right w:val="none" w:sz="0" w:space="0" w:color="auto"/>
      </w:divBdr>
    </w:div>
    <w:div w:id="201985354">
      <w:bodyDiv w:val="1"/>
      <w:marLeft w:val="0"/>
      <w:marRight w:val="0"/>
      <w:marTop w:val="0"/>
      <w:marBottom w:val="0"/>
      <w:divBdr>
        <w:top w:val="none" w:sz="0" w:space="0" w:color="auto"/>
        <w:left w:val="none" w:sz="0" w:space="0" w:color="auto"/>
        <w:bottom w:val="none" w:sz="0" w:space="0" w:color="auto"/>
        <w:right w:val="none" w:sz="0" w:space="0" w:color="auto"/>
      </w:divBdr>
    </w:div>
    <w:div w:id="216203278">
      <w:bodyDiv w:val="1"/>
      <w:marLeft w:val="0"/>
      <w:marRight w:val="0"/>
      <w:marTop w:val="0"/>
      <w:marBottom w:val="0"/>
      <w:divBdr>
        <w:top w:val="none" w:sz="0" w:space="0" w:color="auto"/>
        <w:left w:val="none" w:sz="0" w:space="0" w:color="auto"/>
        <w:bottom w:val="none" w:sz="0" w:space="0" w:color="auto"/>
        <w:right w:val="none" w:sz="0" w:space="0" w:color="auto"/>
      </w:divBdr>
    </w:div>
    <w:div w:id="235290373">
      <w:bodyDiv w:val="1"/>
      <w:marLeft w:val="0"/>
      <w:marRight w:val="0"/>
      <w:marTop w:val="0"/>
      <w:marBottom w:val="0"/>
      <w:divBdr>
        <w:top w:val="none" w:sz="0" w:space="0" w:color="auto"/>
        <w:left w:val="none" w:sz="0" w:space="0" w:color="auto"/>
        <w:bottom w:val="none" w:sz="0" w:space="0" w:color="auto"/>
        <w:right w:val="none" w:sz="0" w:space="0" w:color="auto"/>
      </w:divBdr>
    </w:div>
    <w:div w:id="241305039">
      <w:bodyDiv w:val="1"/>
      <w:marLeft w:val="0"/>
      <w:marRight w:val="0"/>
      <w:marTop w:val="0"/>
      <w:marBottom w:val="0"/>
      <w:divBdr>
        <w:top w:val="none" w:sz="0" w:space="0" w:color="auto"/>
        <w:left w:val="none" w:sz="0" w:space="0" w:color="auto"/>
        <w:bottom w:val="none" w:sz="0" w:space="0" w:color="auto"/>
        <w:right w:val="none" w:sz="0" w:space="0" w:color="auto"/>
      </w:divBdr>
    </w:div>
    <w:div w:id="271254698">
      <w:bodyDiv w:val="1"/>
      <w:marLeft w:val="0"/>
      <w:marRight w:val="0"/>
      <w:marTop w:val="0"/>
      <w:marBottom w:val="0"/>
      <w:divBdr>
        <w:top w:val="none" w:sz="0" w:space="0" w:color="auto"/>
        <w:left w:val="none" w:sz="0" w:space="0" w:color="auto"/>
        <w:bottom w:val="none" w:sz="0" w:space="0" w:color="auto"/>
        <w:right w:val="none" w:sz="0" w:space="0" w:color="auto"/>
      </w:divBdr>
    </w:div>
    <w:div w:id="281960289">
      <w:bodyDiv w:val="1"/>
      <w:marLeft w:val="0"/>
      <w:marRight w:val="0"/>
      <w:marTop w:val="0"/>
      <w:marBottom w:val="0"/>
      <w:divBdr>
        <w:top w:val="none" w:sz="0" w:space="0" w:color="auto"/>
        <w:left w:val="none" w:sz="0" w:space="0" w:color="auto"/>
        <w:bottom w:val="none" w:sz="0" w:space="0" w:color="auto"/>
        <w:right w:val="none" w:sz="0" w:space="0" w:color="auto"/>
      </w:divBdr>
    </w:div>
    <w:div w:id="292954458">
      <w:bodyDiv w:val="1"/>
      <w:marLeft w:val="0"/>
      <w:marRight w:val="0"/>
      <w:marTop w:val="0"/>
      <w:marBottom w:val="0"/>
      <w:divBdr>
        <w:top w:val="none" w:sz="0" w:space="0" w:color="auto"/>
        <w:left w:val="none" w:sz="0" w:space="0" w:color="auto"/>
        <w:bottom w:val="none" w:sz="0" w:space="0" w:color="auto"/>
        <w:right w:val="none" w:sz="0" w:space="0" w:color="auto"/>
      </w:divBdr>
    </w:div>
    <w:div w:id="293827568">
      <w:bodyDiv w:val="1"/>
      <w:marLeft w:val="0"/>
      <w:marRight w:val="0"/>
      <w:marTop w:val="0"/>
      <w:marBottom w:val="0"/>
      <w:divBdr>
        <w:top w:val="none" w:sz="0" w:space="0" w:color="auto"/>
        <w:left w:val="none" w:sz="0" w:space="0" w:color="auto"/>
        <w:bottom w:val="none" w:sz="0" w:space="0" w:color="auto"/>
        <w:right w:val="none" w:sz="0" w:space="0" w:color="auto"/>
      </w:divBdr>
    </w:div>
    <w:div w:id="297761837">
      <w:bodyDiv w:val="1"/>
      <w:marLeft w:val="0"/>
      <w:marRight w:val="0"/>
      <w:marTop w:val="0"/>
      <w:marBottom w:val="0"/>
      <w:divBdr>
        <w:top w:val="none" w:sz="0" w:space="0" w:color="auto"/>
        <w:left w:val="none" w:sz="0" w:space="0" w:color="auto"/>
        <w:bottom w:val="none" w:sz="0" w:space="0" w:color="auto"/>
        <w:right w:val="none" w:sz="0" w:space="0" w:color="auto"/>
      </w:divBdr>
    </w:div>
    <w:div w:id="311300637">
      <w:bodyDiv w:val="1"/>
      <w:marLeft w:val="0"/>
      <w:marRight w:val="0"/>
      <w:marTop w:val="0"/>
      <w:marBottom w:val="0"/>
      <w:divBdr>
        <w:top w:val="none" w:sz="0" w:space="0" w:color="auto"/>
        <w:left w:val="none" w:sz="0" w:space="0" w:color="auto"/>
        <w:bottom w:val="none" w:sz="0" w:space="0" w:color="auto"/>
        <w:right w:val="none" w:sz="0" w:space="0" w:color="auto"/>
      </w:divBdr>
    </w:div>
    <w:div w:id="323095625">
      <w:bodyDiv w:val="1"/>
      <w:marLeft w:val="0"/>
      <w:marRight w:val="0"/>
      <w:marTop w:val="0"/>
      <w:marBottom w:val="0"/>
      <w:divBdr>
        <w:top w:val="none" w:sz="0" w:space="0" w:color="auto"/>
        <w:left w:val="none" w:sz="0" w:space="0" w:color="auto"/>
        <w:bottom w:val="none" w:sz="0" w:space="0" w:color="auto"/>
        <w:right w:val="none" w:sz="0" w:space="0" w:color="auto"/>
      </w:divBdr>
    </w:div>
    <w:div w:id="341931604">
      <w:bodyDiv w:val="1"/>
      <w:marLeft w:val="0"/>
      <w:marRight w:val="0"/>
      <w:marTop w:val="0"/>
      <w:marBottom w:val="0"/>
      <w:divBdr>
        <w:top w:val="none" w:sz="0" w:space="0" w:color="auto"/>
        <w:left w:val="none" w:sz="0" w:space="0" w:color="auto"/>
        <w:bottom w:val="none" w:sz="0" w:space="0" w:color="auto"/>
        <w:right w:val="none" w:sz="0" w:space="0" w:color="auto"/>
      </w:divBdr>
    </w:div>
    <w:div w:id="349188532">
      <w:bodyDiv w:val="1"/>
      <w:marLeft w:val="0"/>
      <w:marRight w:val="0"/>
      <w:marTop w:val="0"/>
      <w:marBottom w:val="0"/>
      <w:divBdr>
        <w:top w:val="none" w:sz="0" w:space="0" w:color="auto"/>
        <w:left w:val="none" w:sz="0" w:space="0" w:color="auto"/>
        <w:bottom w:val="none" w:sz="0" w:space="0" w:color="auto"/>
        <w:right w:val="none" w:sz="0" w:space="0" w:color="auto"/>
      </w:divBdr>
    </w:div>
    <w:div w:id="353387719">
      <w:bodyDiv w:val="1"/>
      <w:marLeft w:val="0"/>
      <w:marRight w:val="0"/>
      <w:marTop w:val="0"/>
      <w:marBottom w:val="0"/>
      <w:divBdr>
        <w:top w:val="none" w:sz="0" w:space="0" w:color="auto"/>
        <w:left w:val="none" w:sz="0" w:space="0" w:color="auto"/>
        <w:bottom w:val="none" w:sz="0" w:space="0" w:color="auto"/>
        <w:right w:val="none" w:sz="0" w:space="0" w:color="auto"/>
      </w:divBdr>
    </w:div>
    <w:div w:id="355085051">
      <w:bodyDiv w:val="1"/>
      <w:marLeft w:val="0"/>
      <w:marRight w:val="0"/>
      <w:marTop w:val="0"/>
      <w:marBottom w:val="0"/>
      <w:divBdr>
        <w:top w:val="none" w:sz="0" w:space="0" w:color="auto"/>
        <w:left w:val="none" w:sz="0" w:space="0" w:color="auto"/>
        <w:bottom w:val="none" w:sz="0" w:space="0" w:color="auto"/>
        <w:right w:val="none" w:sz="0" w:space="0" w:color="auto"/>
      </w:divBdr>
    </w:div>
    <w:div w:id="373044108">
      <w:bodyDiv w:val="1"/>
      <w:marLeft w:val="0"/>
      <w:marRight w:val="0"/>
      <w:marTop w:val="0"/>
      <w:marBottom w:val="0"/>
      <w:divBdr>
        <w:top w:val="none" w:sz="0" w:space="0" w:color="auto"/>
        <w:left w:val="none" w:sz="0" w:space="0" w:color="auto"/>
        <w:bottom w:val="none" w:sz="0" w:space="0" w:color="auto"/>
        <w:right w:val="none" w:sz="0" w:space="0" w:color="auto"/>
      </w:divBdr>
    </w:div>
    <w:div w:id="386614091">
      <w:bodyDiv w:val="1"/>
      <w:marLeft w:val="0"/>
      <w:marRight w:val="0"/>
      <w:marTop w:val="0"/>
      <w:marBottom w:val="0"/>
      <w:divBdr>
        <w:top w:val="none" w:sz="0" w:space="0" w:color="auto"/>
        <w:left w:val="none" w:sz="0" w:space="0" w:color="auto"/>
        <w:bottom w:val="none" w:sz="0" w:space="0" w:color="auto"/>
        <w:right w:val="none" w:sz="0" w:space="0" w:color="auto"/>
      </w:divBdr>
    </w:div>
    <w:div w:id="389695697">
      <w:bodyDiv w:val="1"/>
      <w:marLeft w:val="0"/>
      <w:marRight w:val="0"/>
      <w:marTop w:val="0"/>
      <w:marBottom w:val="0"/>
      <w:divBdr>
        <w:top w:val="none" w:sz="0" w:space="0" w:color="auto"/>
        <w:left w:val="none" w:sz="0" w:space="0" w:color="auto"/>
        <w:bottom w:val="none" w:sz="0" w:space="0" w:color="auto"/>
        <w:right w:val="none" w:sz="0" w:space="0" w:color="auto"/>
      </w:divBdr>
    </w:div>
    <w:div w:id="390617153">
      <w:bodyDiv w:val="1"/>
      <w:marLeft w:val="0"/>
      <w:marRight w:val="0"/>
      <w:marTop w:val="0"/>
      <w:marBottom w:val="0"/>
      <w:divBdr>
        <w:top w:val="none" w:sz="0" w:space="0" w:color="auto"/>
        <w:left w:val="none" w:sz="0" w:space="0" w:color="auto"/>
        <w:bottom w:val="none" w:sz="0" w:space="0" w:color="auto"/>
        <w:right w:val="none" w:sz="0" w:space="0" w:color="auto"/>
      </w:divBdr>
    </w:div>
    <w:div w:id="397048371">
      <w:bodyDiv w:val="1"/>
      <w:marLeft w:val="0"/>
      <w:marRight w:val="0"/>
      <w:marTop w:val="0"/>
      <w:marBottom w:val="0"/>
      <w:divBdr>
        <w:top w:val="none" w:sz="0" w:space="0" w:color="auto"/>
        <w:left w:val="none" w:sz="0" w:space="0" w:color="auto"/>
        <w:bottom w:val="none" w:sz="0" w:space="0" w:color="auto"/>
        <w:right w:val="none" w:sz="0" w:space="0" w:color="auto"/>
      </w:divBdr>
    </w:div>
    <w:div w:id="405567464">
      <w:bodyDiv w:val="1"/>
      <w:marLeft w:val="0"/>
      <w:marRight w:val="0"/>
      <w:marTop w:val="0"/>
      <w:marBottom w:val="0"/>
      <w:divBdr>
        <w:top w:val="none" w:sz="0" w:space="0" w:color="auto"/>
        <w:left w:val="none" w:sz="0" w:space="0" w:color="auto"/>
        <w:bottom w:val="none" w:sz="0" w:space="0" w:color="auto"/>
        <w:right w:val="none" w:sz="0" w:space="0" w:color="auto"/>
      </w:divBdr>
    </w:div>
    <w:div w:id="446659797">
      <w:bodyDiv w:val="1"/>
      <w:marLeft w:val="0"/>
      <w:marRight w:val="0"/>
      <w:marTop w:val="0"/>
      <w:marBottom w:val="0"/>
      <w:divBdr>
        <w:top w:val="none" w:sz="0" w:space="0" w:color="auto"/>
        <w:left w:val="none" w:sz="0" w:space="0" w:color="auto"/>
        <w:bottom w:val="none" w:sz="0" w:space="0" w:color="auto"/>
        <w:right w:val="none" w:sz="0" w:space="0" w:color="auto"/>
      </w:divBdr>
    </w:div>
    <w:div w:id="446702515">
      <w:bodyDiv w:val="1"/>
      <w:marLeft w:val="0"/>
      <w:marRight w:val="0"/>
      <w:marTop w:val="0"/>
      <w:marBottom w:val="0"/>
      <w:divBdr>
        <w:top w:val="none" w:sz="0" w:space="0" w:color="auto"/>
        <w:left w:val="none" w:sz="0" w:space="0" w:color="auto"/>
        <w:bottom w:val="none" w:sz="0" w:space="0" w:color="auto"/>
        <w:right w:val="none" w:sz="0" w:space="0" w:color="auto"/>
      </w:divBdr>
    </w:div>
    <w:div w:id="460465724">
      <w:bodyDiv w:val="1"/>
      <w:marLeft w:val="0"/>
      <w:marRight w:val="0"/>
      <w:marTop w:val="0"/>
      <w:marBottom w:val="0"/>
      <w:divBdr>
        <w:top w:val="none" w:sz="0" w:space="0" w:color="auto"/>
        <w:left w:val="none" w:sz="0" w:space="0" w:color="auto"/>
        <w:bottom w:val="none" w:sz="0" w:space="0" w:color="auto"/>
        <w:right w:val="none" w:sz="0" w:space="0" w:color="auto"/>
      </w:divBdr>
    </w:div>
    <w:div w:id="466123131">
      <w:bodyDiv w:val="1"/>
      <w:marLeft w:val="0"/>
      <w:marRight w:val="0"/>
      <w:marTop w:val="0"/>
      <w:marBottom w:val="0"/>
      <w:divBdr>
        <w:top w:val="none" w:sz="0" w:space="0" w:color="auto"/>
        <w:left w:val="none" w:sz="0" w:space="0" w:color="auto"/>
        <w:bottom w:val="none" w:sz="0" w:space="0" w:color="auto"/>
        <w:right w:val="none" w:sz="0" w:space="0" w:color="auto"/>
      </w:divBdr>
    </w:div>
    <w:div w:id="469518108">
      <w:bodyDiv w:val="1"/>
      <w:marLeft w:val="0"/>
      <w:marRight w:val="0"/>
      <w:marTop w:val="0"/>
      <w:marBottom w:val="0"/>
      <w:divBdr>
        <w:top w:val="none" w:sz="0" w:space="0" w:color="auto"/>
        <w:left w:val="none" w:sz="0" w:space="0" w:color="auto"/>
        <w:bottom w:val="none" w:sz="0" w:space="0" w:color="auto"/>
        <w:right w:val="none" w:sz="0" w:space="0" w:color="auto"/>
      </w:divBdr>
    </w:div>
    <w:div w:id="476724299">
      <w:bodyDiv w:val="1"/>
      <w:marLeft w:val="0"/>
      <w:marRight w:val="0"/>
      <w:marTop w:val="0"/>
      <w:marBottom w:val="0"/>
      <w:divBdr>
        <w:top w:val="none" w:sz="0" w:space="0" w:color="auto"/>
        <w:left w:val="none" w:sz="0" w:space="0" w:color="auto"/>
        <w:bottom w:val="none" w:sz="0" w:space="0" w:color="auto"/>
        <w:right w:val="none" w:sz="0" w:space="0" w:color="auto"/>
      </w:divBdr>
    </w:div>
    <w:div w:id="476996855">
      <w:bodyDiv w:val="1"/>
      <w:marLeft w:val="0"/>
      <w:marRight w:val="0"/>
      <w:marTop w:val="0"/>
      <w:marBottom w:val="0"/>
      <w:divBdr>
        <w:top w:val="none" w:sz="0" w:space="0" w:color="auto"/>
        <w:left w:val="none" w:sz="0" w:space="0" w:color="auto"/>
        <w:bottom w:val="none" w:sz="0" w:space="0" w:color="auto"/>
        <w:right w:val="none" w:sz="0" w:space="0" w:color="auto"/>
      </w:divBdr>
    </w:div>
    <w:div w:id="489634812">
      <w:bodyDiv w:val="1"/>
      <w:marLeft w:val="0"/>
      <w:marRight w:val="0"/>
      <w:marTop w:val="0"/>
      <w:marBottom w:val="0"/>
      <w:divBdr>
        <w:top w:val="none" w:sz="0" w:space="0" w:color="auto"/>
        <w:left w:val="none" w:sz="0" w:space="0" w:color="auto"/>
        <w:bottom w:val="none" w:sz="0" w:space="0" w:color="auto"/>
        <w:right w:val="none" w:sz="0" w:space="0" w:color="auto"/>
      </w:divBdr>
    </w:div>
    <w:div w:id="490412588">
      <w:bodyDiv w:val="1"/>
      <w:marLeft w:val="0"/>
      <w:marRight w:val="0"/>
      <w:marTop w:val="0"/>
      <w:marBottom w:val="0"/>
      <w:divBdr>
        <w:top w:val="none" w:sz="0" w:space="0" w:color="auto"/>
        <w:left w:val="none" w:sz="0" w:space="0" w:color="auto"/>
        <w:bottom w:val="none" w:sz="0" w:space="0" w:color="auto"/>
        <w:right w:val="none" w:sz="0" w:space="0" w:color="auto"/>
      </w:divBdr>
    </w:div>
    <w:div w:id="505168267">
      <w:bodyDiv w:val="1"/>
      <w:marLeft w:val="0"/>
      <w:marRight w:val="0"/>
      <w:marTop w:val="0"/>
      <w:marBottom w:val="0"/>
      <w:divBdr>
        <w:top w:val="none" w:sz="0" w:space="0" w:color="auto"/>
        <w:left w:val="none" w:sz="0" w:space="0" w:color="auto"/>
        <w:bottom w:val="none" w:sz="0" w:space="0" w:color="auto"/>
        <w:right w:val="none" w:sz="0" w:space="0" w:color="auto"/>
      </w:divBdr>
    </w:div>
    <w:div w:id="523633569">
      <w:bodyDiv w:val="1"/>
      <w:marLeft w:val="0"/>
      <w:marRight w:val="0"/>
      <w:marTop w:val="0"/>
      <w:marBottom w:val="0"/>
      <w:divBdr>
        <w:top w:val="none" w:sz="0" w:space="0" w:color="auto"/>
        <w:left w:val="none" w:sz="0" w:space="0" w:color="auto"/>
        <w:bottom w:val="none" w:sz="0" w:space="0" w:color="auto"/>
        <w:right w:val="none" w:sz="0" w:space="0" w:color="auto"/>
      </w:divBdr>
    </w:div>
    <w:div w:id="539437565">
      <w:bodyDiv w:val="1"/>
      <w:marLeft w:val="0"/>
      <w:marRight w:val="0"/>
      <w:marTop w:val="0"/>
      <w:marBottom w:val="0"/>
      <w:divBdr>
        <w:top w:val="none" w:sz="0" w:space="0" w:color="auto"/>
        <w:left w:val="none" w:sz="0" w:space="0" w:color="auto"/>
        <w:bottom w:val="none" w:sz="0" w:space="0" w:color="auto"/>
        <w:right w:val="none" w:sz="0" w:space="0" w:color="auto"/>
      </w:divBdr>
    </w:div>
    <w:div w:id="546647095">
      <w:bodyDiv w:val="1"/>
      <w:marLeft w:val="0"/>
      <w:marRight w:val="0"/>
      <w:marTop w:val="0"/>
      <w:marBottom w:val="0"/>
      <w:divBdr>
        <w:top w:val="none" w:sz="0" w:space="0" w:color="auto"/>
        <w:left w:val="none" w:sz="0" w:space="0" w:color="auto"/>
        <w:bottom w:val="none" w:sz="0" w:space="0" w:color="auto"/>
        <w:right w:val="none" w:sz="0" w:space="0" w:color="auto"/>
      </w:divBdr>
    </w:div>
    <w:div w:id="557597995">
      <w:bodyDiv w:val="1"/>
      <w:marLeft w:val="0"/>
      <w:marRight w:val="0"/>
      <w:marTop w:val="0"/>
      <w:marBottom w:val="0"/>
      <w:divBdr>
        <w:top w:val="none" w:sz="0" w:space="0" w:color="auto"/>
        <w:left w:val="none" w:sz="0" w:space="0" w:color="auto"/>
        <w:bottom w:val="none" w:sz="0" w:space="0" w:color="auto"/>
        <w:right w:val="none" w:sz="0" w:space="0" w:color="auto"/>
      </w:divBdr>
    </w:div>
    <w:div w:id="578710267">
      <w:bodyDiv w:val="1"/>
      <w:marLeft w:val="0"/>
      <w:marRight w:val="0"/>
      <w:marTop w:val="0"/>
      <w:marBottom w:val="0"/>
      <w:divBdr>
        <w:top w:val="none" w:sz="0" w:space="0" w:color="auto"/>
        <w:left w:val="none" w:sz="0" w:space="0" w:color="auto"/>
        <w:bottom w:val="none" w:sz="0" w:space="0" w:color="auto"/>
        <w:right w:val="none" w:sz="0" w:space="0" w:color="auto"/>
      </w:divBdr>
    </w:div>
    <w:div w:id="585765298">
      <w:bodyDiv w:val="1"/>
      <w:marLeft w:val="0"/>
      <w:marRight w:val="0"/>
      <w:marTop w:val="0"/>
      <w:marBottom w:val="0"/>
      <w:divBdr>
        <w:top w:val="none" w:sz="0" w:space="0" w:color="auto"/>
        <w:left w:val="none" w:sz="0" w:space="0" w:color="auto"/>
        <w:bottom w:val="none" w:sz="0" w:space="0" w:color="auto"/>
        <w:right w:val="none" w:sz="0" w:space="0" w:color="auto"/>
      </w:divBdr>
    </w:div>
    <w:div w:id="588586880">
      <w:bodyDiv w:val="1"/>
      <w:marLeft w:val="0"/>
      <w:marRight w:val="0"/>
      <w:marTop w:val="0"/>
      <w:marBottom w:val="0"/>
      <w:divBdr>
        <w:top w:val="none" w:sz="0" w:space="0" w:color="auto"/>
        <w:left w:val="none" w:sz="0" w:space="0" w:color="auto"/>
        <w:bottom w:val="none" w:sz="0" w:space="0" w:color="auto"/>
        <w:right w:val="none" w:sz="0" w:space="0" w:color="auto"/>
      </w:divBdr>
    </w:div>
    <w:div w:id="597636670">
      <w:bodyDiv w:val="1"/>
      <w:marLeft w:val="0"/>
      <w:marRight w:val="0"/>
      <w:marTop w:val="0"/>
      <w:marBottom w:val="0"/>
      <w:divBdr>
        <w:top w:val="none" w:sz="0" w:space="0" w:color="auto"/>
        <w:left w:val="none" w:sz="0" w:space="0" w:color="auto"/>
        <w:bottom w:val="none" w:sz="0" w:space="0" w:color="auto"/>
        <w:right w:val="none" w:sz="0" w:space="0" w:color="auto"/>
      </w:divBdr>
    </w:div>
    <w:div w:id="600143624">
      <w:bodyDiv w:val="1"/>
      <w:marLeft w:val="0"/>
      <w:marRight w:val="0"/>
      <w:marTop w:val="0"/>
      <w:marBottom w:val="0"/>
      <w:divBdr>
        <w:top w:val="none" w:sz="0" w:space="0" w:color="auto"/>
        <w:left w:val="none" w:sz="0" w:space="0" w:color="auto"/>
        <w:bottom w:val="none" w:sz="0" w:space="0" w:color="auto"/>
        <w:right w:val="none" w:sz="0" w:space="0" w:color="auto"/>
      </w:divBdr>
    </w:div>
    <w:div w:id="605625868">
      <w:bodyDiv w:val="1"/>
      <w:marLeft w:val="0"/>
      <w:marRight w:val="0"/>
      <w:marTop w:val="0"/>
      <w:marBottom w:val="0"/>
      <w:divBdr>
        <w:top w:val="none" w:sz="0" w:space="0" w:color="auto"/>
        <w:left w:val="none" w:sz="0" w:space="0" w:color="auto"/>
        <w:bottom w:val="none" w:sz="0" w:space="0" w:color="auto"/>
        <w:right w:val="none" w:sz="0" w:space="0" w:color="auto"/>
      </w:divBdr>
    </w:div>
    <w:div w:id="618877418">
      <w:bodyDiv w:val="1"/>
      <w:marLeft w:val="0"/>
      <w:marRight w:val="0"/>
      <w:marTop w:val="0"/>
      <w:marBottom w:val="0"/>
      <w:divBdr>
        <w:top w:val="none" w:sz="0" w:space="0" w:color="auto"/>
        <w:left w:val="none" w:sz="0" w:space="0" w:color="auto"/>
        <w:bottom w:val="none" w:sz="0" w:space="0" w:color="auto"/>
        <w:right w:val="none" w:sz="0" w:space="0" w:color="auto"/>
      </w:divBdr>
    </w:div>
    <w:div w:id="620495741">
      <w:bodyDiv w:val="1"/>
      <w:marLeft w:val="0"/>
      <w:marRight w:val="0"/>
      <w:marTop w:val="0"/>
      <w:marBottom w:val="0"/>
      <w:divBdr>
        <w:top w:val="none" w:sz="0" w:space="0" w:color="auto"/>
        <w:left w:val="none" w:sz="0" w:space="0" w:color="auto"/>
        <w:bottom w:val="none" w:sz="0" w:space="0" w:color="auto"/>
        <w:right w:val="none" w:sz="0" w:space="0" w:color="auto"/>
      </w:divBdr>
    </w:div>
    <w:div w:id="623779618">
      <w:bodyDiv w:val="1"/>
      <w:marLeft w:val="0"/>
      <w:marRight w:val="0"/>
      <w:marTop w:val="0"/>
      <w:marBottom w:val="0"/>
      <w:divBdr>
        <w:top w:val="none" w:sz="0" w:space="0" w:color="auto"/>
        <w:left w:val="none" w:sz="0" w:space="0" w:color="auto"/>
        <w:bottom w:val="none" w:sz="0" w:space="0" w:color="auto"/>
        <w:right w:val="none" w:sz="0" w:space="0" w:color="auto"/>
      </w:divBdr>
    </w:div>
    <w:div w:id="624192182">
      <w:bodyDiv w:val="1"/>
      <w:marLeft w:val="0"/>
      <w:marRight w:val="0"/>
      <w:marTop w:val="0"/>
      <w:marBottom w:val="0"/>
      <w:divBdr>
        <w:top w:val="none" w:sz="0" w:space="0" w:color="auto"/>
        <w:left w:val="none" w:sz="0" w:space="0" w:color="auto"/>
        <w:bottom w:val="none" w:sz="0" w:space="0" w:color="auto"/>
        <w:right w:val="none" w:sz="0" w:space="0" w:color="auto"/>
      </w:divBdr>
    </w:div>
    <w:div w:id="625550252">
      <w:bodyDiv w:val="1"/>
      <w:marLeft w:val="0"/>
      <w:marRight w:val="0"/>
      <w:marTop w:val="0"/>
      <w:marBottom w:val="0"/>
      <w:divBdr>
        <w:top w:val="none" w:sz="0" w:space="0" w:color="auto"/>
        <w:left w:val="none" w:sz="0" w:space="0" w:color="auto"/>
        <w:bottom w:val="none" w:sz="0" w:space="0" w:color="auto"/>
        <w:right w:val="none" w:sz="0" w:space="0" w:color="auto"/>
      </w:divBdr>
    </w:div>
    <w:div w:id="642274210">
      <w:bodyDiv w:val="1"/>
      <w:marLeft w:val="0"/>
      <w:marRight w:val="0"/>
      <w:marTop w:val="0"/>
      <w:marBottom w:val="0"/>
      <w:divBdr>
        <w:top w:val="none" w:sz="0" w:space="0" w:color="auto"/>
        <w:left w:val="none" w:sz="0" w:space="0" w:color="auto"/>
        <w:bottom w:val="none" w:sz="0" w:space="0" w:color="auto"/>
        <w:right w:val="none" w:sz="0" w:space="0" w:color="auto"/>
      </w:divBdr>
    </w:div>
    <w:div w:id="645821801">
      <w:bodyDiv w:val="1"/>
      <w:marLeft w:val="0"/>
      <w:marRight w:val="0"/>
      <w:marTop w:val="0"/>
      <w:marBottom w:val="0"/>
      <w:divBdr>
        <w:top w:val="none" w:sz="0" w:space="0" w:color="auto"/>
        <w:left w:val="none" w:sz="0" w:space="0" w:color="auto"/>
        <w:bottom w:val="none" w:sz="0" w:space="0" w:color="auto"/>
        <w:right w:val="none" w:sz="0" w:space="0" w:color="auto"/>
      </w:divBdr>
    </w:div>
    <w:div w:id="647366546">
      <w:bodyDiv w:val="1"/>
      <w:marLeft w:val="0"/>
      <w:marRight w:val="0"/>
      <w:marTop w:val="0"/>
      <w:marBottom w:val="0"/>
      <w:divBdr>
        <w:top w:val="none" w:sz="0" w:space="0" w:color="auto"/>
        <w:left w:val="none" w:sz="0" w:space="0" w:color="auto"/>
        <w:bottom w:val="none" w:sz="0" w:space="0" w:color="auto"/>
        <w:right w:val="none" w:sz="0" w:space="0" w:color="auto"/>
      </w:divBdr>
    </w:div>
    <w:div w:id="664557537">
      <w:bodyDiv w:val="1"/>
      <w:marLeft w:val="0"/>
      <w:marRight w:val="0"/>
      <w:marTop w:val="0"/>
      <w:marBottom w:val="0"/>
      <w:divBdr>
        <w:top w:val="none" w:sz="0" w:space="0" w:color="auto"/>
        <w:left w:val="none" w:sz="0" w:space="0" w:color="auto"/>
        <w:bottom w:val="none" w:sz="0" w:space="0" w:color="auto"/>
        <w:right w:val="none" w:sz="0" w:space="0" w:color="auto"/>
      </w:divBdr>
    </w:div>
    <w:div w:id="694308166">
      <w:bodyDiv w:val="1"/>
      <w:marLeft w:val="0"/>
      <w:marRight w:val="0"/>
      <w:marTop w:val="0"/>
      <w:marBottom w:val="0"/>
      <w:divBdr>
        <w:top w:val="none" w:sz="0" w:space="0" w:color="auto"/>
        <w:left w:val="none" w:sz="0" w:space="0" w:color="auto"/>
        <w:bottom w:val="none" w:sz="0" w:space="0" w:color="auto"/>
        <w:right w:val="none" w:sz="0" w:space="0" w:color="auto"/>
      </w:divBdr>
    </w:div>
    <w:div w:id="716396042">
      <w:bodyDiv w:val="1"/>
      <w:marLeft w:val="0"/>
      <w:marRight w:val="0"/>
      <w:marTop w:val="0"/>
      <w:marBottom w:val="0"/>
      <w:divBdr>
        <w:top w:val="none" w:sz="0" w:space="0" w:color="auto"/>
        <w:left w:val="none" w:sz="0" w:space="0" w:color="auto"/>
        <w:bottom w:val="none" w:sz="0" w:space="0" w:color="auto"/>
        <w:right w:val="none" w:sz="0" w:space="0" w:color="auto"/>
      </w:divBdr>
    </w:div>
    <w:div w:id="719018931">
      <w:bodyDiv w:val="1"/>
      <w:marLeft w:val="0"/>
      <w:marRight w:val="0"/>
      <w:marTop w:val="0"/>
      <w:marBottom w:val="0"/>
      <w:divBdr>
        <w:top w:val="none" w:sz="0" w:space="0" w:color="auto"/>
        <w:left w:val="none" w:sz="0" w:space="0" w:color="auto"/>
        <w:bottom w:val="none" w:sz="0" w:space="0" w:color="auto"/>
        <w:right w:val="none" w:sz="0" w:space="0" w:color="auto"/>
      </w:divBdr>
    </w:div>
    <w:div w:id="727609413">
      <w:bodyDiv w:val="1"/>
      <w:marLeft w:val="0"/>
      <w:marRight w:val="0"/>
      <w:marTop w:val="0"/>
      <w:marBottom w:val="0"/>
      <w:divBdr>
        <w:top w:val="none" w:sz="0" w:space="0" w:color="auto"/>
        <w:left w:val="none" w:sz="0" w:space="0" w:color="auto"/>
        <w:bottom w:val="none" w:sz="0" w:space="0" w:color="auto"/>
        <w:right w:val="none" w:sz="0" w:space="0" w:color="auto"/>
      </w:divBdr>
    </w:div>
    <w:div w:id="746149325">
      <w:bodyDiv w:val="1"/>
      <w:marLeft w:val="0"/>
      <w:marRight w:val="0"/>
      <w:marTop w:val="0"/>
      <w:marBottom w:val="0"/>
      <w:divBdr>
        <w:top w:val="none" w:sz="0" w:space="0" w:color="auto"/>
        <w:left w:val="none" w:sz="0" w:space="0" w:color="auto"/>
        <w:bottom w:val="none" w:sz="0" w:space="0" w:color="auto"/>
        <w:right w:val="none" w:sz="0" w:space="0" w:color="auto"/>
      </w:divBdr>
    </w:div>
    <w:div w:id="749740012">
      <w:bodyDiv w:val="1"/>
      <w:marLeft w:val="0"/>
      <w:marRight w:val="0"/>
      <w:marTop w:val="0"/>
      <w:marBottom w:val="0"/>
      <w:divBdr>
        <w:top w:val="none" w:sz="0" w:space="0" w:color="auto"/>
        <w:left w:val="none" w:sz="0" w:space="0" w:color="auto"/>
        <w:bottom w:val="none" w:sz="0" w:space="0" w:color="auto"/>
        <w:right w:val="none" w:sz="0" w:space="0" w:color="auto"/>
      </w:divBdr>
    </w:div>
    <w:div w:id="761611283">
      <w:bodyDiv w:val="1"/>
      <w:marLeft w:val="0"/>
      <w:marRight w:val="0"/>
      <w:marTop w:val="0"/>
      <w:marBottom w:val="0"/>
      <w:divBdr>
        <w:top w:val="none" w:sz="0" w:space="0" w:color="auto"/>
        <w:left w:val="none" w:sz="0" w:space="0" w:color="auto"/>
        <w:bottom w:val="none" w:sz="0" w:space="0" w:color="auto"/>
        <w:right w:val="none" w:sz="0" w:space="0" w:color="auto"/>
      </w:divBdr>
    </w:div>
    <w:div w:id="788280924">
      <w:bodyDiv w:val="1"/>
      <w:marLeft w:val="0"/>
      <w:marRight w:val="0"/>
      <w:marTop w:val="0"/>
      <w:marBottom w:val="0"/>
      <w:divBdr>
        <w:top w:val="none" w:sz="0" w:space="0" w:color="auto"/>
        <w:left w:val="none" w:sz="0" w:space="0" w:color="auto"/>
        <w:bottom w:val="none" w:sz="0" w:space="0" w:color="auto"/>
        <w:right w:val="none" w:sz="0" w:space="0" w:color="auto"/>
      </w:divBdr>
    </w:div>
    <w:div w:id="794327084">
      <w:bodyDiv w:val="1"/>
      <w:marLeft w:val="0"/>
      <w:marRight w:val="0"/>
      <w:marTop w:val="0"/>
      <w:marBottom w:val="0"/>
      <w:divBdr>
        <w:top w:val="none" w:sz="0" w:space="0" w:color="auto"/>
        <w:left w:val="none" w:sz="0" w:space="0" w:color="auto"/>
        <w:bottom w:val="none" w:sz="0" w:space="0" w:color="auto"/>
        <w:right w:val="none" w:sz="0" w:space="0" w:color="auto"/>
      </w:divBdr>
    </w:div>
    <w:div w:id="796029951">
      <w:bodyDiv w:val="1"/>
      <w:marLeft w:val="0"/>
      <w:marRight w:val="0"/>
      <w:marTop w:val="0"/>
      <w:marBottom w:val="0"/>
      <w:divBdr>
        <w:top w:val="none" w:sz="0" w:space="0" w:color="auto"/>
        <w:left w:val="none" w:sz="0" w:space="0" w:color="auto"/>
        <w:bottom w:val="none" w:sz="0" w:space="0" w:color="auto"/>
        <w:right w:val="none" w:sz="0" w:space="0" w:color="auto"/>
      </w:divBdr>
    </w:div>
    <w:div w:id="796870450">
      <w:bodyDiv w:val="1"/>
      <w:marLeft w:val="0"/>
      <w:marRight w:val="0"/>
      <w:marTop w:val="0"/>
      <w:marBottom w:val="0"/>
      <w:divBdr>
        <w:top w:val="none" w:sz="0" w:space="0" w:color="auto"/>
        <w:left w:val="none" w:sz="0" w:space="0" w:color="auto"/>
        <w:bottom w:val="none" w:sz="0" w:space="0" w:color="auto"/>
        <w:right w:val="none" w:sz="0" w:space="0" w:color="auto"/>
      </w:divBdr>
    </w:div>
    <w:div w:id="803931294">
      <w:bodyDiv w:val="1"/>
      <w:marLeft w:val="0"/>
      <w:marRight w:val="0"/>
      <w:marTop w:val="0"/>
      <w:marBottom w:val="0"/>
      <w:divBdr>
        <w:top w:val="none" w:sz="0" w:space="0" w:color="auto"/>
        <w:left w:val="none" w:sz="0" w:space="0" w:color="auto"/>
        <w:bottom w:val="none" w:sz="0" w:space="0" w:color="auto"/>
        <w:right w:val="none" w:sz="0" w:space="0" w:color="auto"/>
      </w:divBdr>
    </w:div>
    <w:div w:id="816650692">
      <w:bodyDiv w:val="1"/>
      <w:marLeft w:val="0"/>
      <w:marRight w:val="0"/>
      <w:marTop w:val="0"/>
      <w:marBottom w:val="0"/>
      <w:divBdr>
        <w:top w:val="none" w:sz="0" w:space="0" w:color="auto"/>
        <w:left w:val="none" w:sz="0" w:space="0" w:color="auto"/>
        <w:bottom w:val="none" w:sz="0" w:space="0" w:color="auto"/>
        <w:right w:val="none" w:sz="0" w:space="0" w:color="auto"/>
      </w:divBdr>
    </w:div>
    <w:div w:id="824004749">
      <w:bodyDiv w:val="1"/>
      <w:marLeft w:val="0"/>
      <w:marRight w:val="0"/>
      <w:marTop w:val="0"/>
      <w:marBottom w:val="0"/>
      <w:divBdr>
        <w:top w:val="none" w:sz="0" w:space="0" w:color="auto"/>
        <w:left w:val="none" w:sz="0" w:space="0" w:color="auto"/>
        <w:bottom w:val="none" w:sz="0" w:space="0" w:color="auto"/>
        <w:right w:val="none" w:sz="0" w:space="0" w:color="auto"/>
      </w:divBdr>
    </w:div>
    <w:div w:id="830099973">
      <w:bodyDiv w:val="1"/>
      <w:marLeft w:val="0"/>
      <w:marRight w:val="0"/>
      <w:marTop w:val="0"/>
      <w:marBottom w:val="0"/>
      <w:divBdr>
        <w:top w:val="none" w:sz="0" w:space="0" w:color="auto"/>
        <w:left w:val="none" w:sz="0" w:space="0" w:color="auto"/>
        <w:bottom w:val="none" w:sz="0" w:space="0" w:color="auto"/>
        <w:right w:val="none" w:sz="0" w:space="0" w:color="auto"/>
      </w:divBdr>
    </w:div>
    <w:div w:id="835073349">
      <w:bodyDiv w:val="1"/>
      <w:marLeft w:val="0"/>
      <w:marRight w:val="0"/>
      <w:marTop w:val="0"/>
      <w:marBottom w:val="0"/>
      <w:divBdr>
        <w:top w:val="none" w:sz="0" w:space="0" w:color="auto"/>
        <w:left w:val="none" w:sz="0" w:space="0" w:color="auto"/>
        <w:bottom w:val="none" w:sz="0" w:space="0" w:color="auto"/>
        <w:right w:val="none" w:sz="0" w:space="0" w:color="auto"/>
      </w:divBdr>
    </w:div>
    <w:div w:id="842821956">
      <w:bodyDiv w:val="1"/>
      <w:marLeft w:val="0"/>
      <w:marRight w:val="0"/>
      <w:marTop w:val="0"/>
      <w:marBottom w:val="0"/>
      <w:divBdr>
        <w:top w:val="none" w:sz="0" w:space="0" w:color="auto"/>
        <w:left w:val="none" w:sz="0" w:space="0" w:color="auto"/>
        <w:bottom w:val="none" w:sz="0" w:space="0" w:color="auto"/>
        <w:right w:val="none" w:sz="0" w:space="0" w:color="auto"/>
      </w:divBdr>
    </w:div>
    <w:div w:id="851147146">
      <w:bodyDiv w:val="1"/>
      <w:marLeft w:val="0"/>
      <w:marRight w:val="0"/>
      <w:marTop w:val="0"/>
      <w:marBottom w:val="0"/>
      <w:divBdr>
        <w:top w:val="none" w:sz="0" w:space="0" w:color="auto"/>
        <w:left w:val="none" w:sz="0" w:space="0" w:color="auto"/>
        <w:bottom w:val="none" w:sz="0" w:space="0" w:color="auto"/>
        <w:right w:val="none" w:sz="0" w:space="0" w:color="auto"/>
      </w:divBdr>
    </w:div>
    <w:div w:id="854728840">
      <w:bodyDiv w:val="1"/>
      <w:marLeft w:val="0"/>
      <w:marRight w:val="0"/>
      <w:marTop w:val="0"/>
      <w:marBottom w:val="0"/>
      <w:divBdr>
        <w:top w:val="none" w:sz="0" w:space="0" w:color="auto"/>
        <w:left w:val="none" w:sz="0" w:space="0" w:color="auto"/>
        <w:bottom w:val="none" w:sz="0" w:space="0" w:color="auto"/>
        <w:right w:val="none" w:sz="0" w:space="0" w:color="auto"/>
      </w:divBdr>
    </w:div>
    <w:div w:id="864103490">
      <w:bodyDiv w:val="1"/>
      <w:marLeft w:val="0"/>
      <w:marRight w:val="0"/>
      <w:marTop w:val="0"/>
      <w:marBottom w:val="0"/>
      <w:divBdr>
        <w:top w:val="none" w:sz="0" w:space="0" w:color="auto"/>
        <w:left w:val="none" w:sz="0" w:space="0" w:color="auto"/>
        <w:bottom w:val="none" w:sz="0" w:space="0" w:color="auto"/>
        <w:right w:val="none" w:sz="0" w:space="0" w:color="auto"/>
      </w:divBdr>
    </w:div>
    <w:div w:id="874077451">
      <w:bodyDiv w:val="1"/>
      <w:marLeft w:val="0"/>
      <w:marRight w:val="0"/>
      <w:marTop w:val="0"/>
      <w:marBottom w:val="0"/>
      <w:divBdr>
        <w:top w:val="none" w:sz="0" w:space="0" w:color="auto"/>
        <w:left w:val="none" w:sz="0" w:space="0" w:color="auto"/>
        <w:bottom w:val="none" w:sz="0" w:space="0" w:color="auto"/>
        <w:right w:val="none" w:sz="0" w:space="0" w:color="auto"/>
      </w:divBdr>
    </w:div>
    <w:div w:id="879050997">
      <w:bodyDiv w:val="1"/>
      <w:marLeft w:val="0"/>
      <w:marRight w:val="0"/>
      <w:marTop w:val="0"/>
      <w:marBottom w:val="0"/>
      <w:divBdr>
        <w:top w:val="none" w:sz="0" w:space="0" w:color="auto"/>
        <w:left w:val="none" w:sz="0" w:space="0" w:color="auto"/>
        <w:bottom w:val="none" w:sz="0" w:space="0" w:color="auto"/>
        <w:right w:val="none" w:sz="0" w:space="0" w:color="auto"/>
      </w:divBdr>
    </w:div>
    <w:div w:id="885288962">
      <w:bodyDiv w:val="1"/>
      <w:marLeft w:val="0"/>
      <w:marRight w:val="0"/>
      <w:marTop w:val="0"/>
      <w:marBottom w:val="0"/>
      <w:divBdr>
        <w:top w:val="none" w:sz="0" w:space="0" w:color="auto"/>
        <w:left w:val="none" w:sz="0" w:space="0" w:color="auto"/>
        <w:bottom w:val="none" w:sz="0" w:space="0" w:color="auto"/>
        <w:right w:val="none" w:sz="0" w:space="0" w:color="auto"/>
      </w:divBdr>
    </w:div>
    <w:div w:id="900094318">
      <w:bodyDiv w:val="1"/>
      <w:marLeft w:val="0"/>
      <w:marRight w:val="0"/>
      <w:marTop w:val="0"/>
      <w:marBottom w:val="0"/>
      <w:divBdr>
        <w:top w:val="none" w:sz="0" w:space="0" w:color="auto"/>
        <w:left w:val="none" w:sz="0" w:space="0" w:color="auto"/>
        <w:bottom w:val="none" w:sz="0" w:space="0" w:color="auto"/>
        <w:right w:val="none" w:sz="0" w:space="0" w:color="auto"/>
      </w:divBdr>
    </w:div>
    <w:div w:id="900746610">
      <w:bodyDiv w:val="1"/>
      <w:marLeft w:val="0"/>
      <w:marRight w:val="0"/>
      <w:marTop w:val="0"/>
      <w:marBottom w:val="0"/>
      <w:divBdr>
        <w:top w:val="none" w:sz="0" w:space="0" w:color="auto"/>
        <w:left w:val="none" w:sz="0" w:space="0" w:color="auto"/>
        <w:bottom w:val="none" w:sz="0" w:space="0" w:color="auto"/>
        <w:right w:val="none" w:sz="0" w:space="0" w:color="auto"/>
      </w:divBdr>
    </w:div>
    <w:div w:id="905920330">
      <w:bodyDiv w:val="1"/>
      <w:marLeft w:val="0"/>
      <w:marRight w:val="0"/>
      <w:marTop w:val="0"/>
      <w:marBottom w:val="0"/>
      <w:divBdr>
        <w:top w:val="none" w:sz="0" w:space="0" w:color="auto"/>
        <w:left w:val="none" w:sz="0" w:space="0" w:color="auto"/>
        <w:bottom w:val="none" w:sz="0" w:space="0" w:color="auto"/>
        <w:right w:val="none" w:sz="0" w:space="0" w:color="auto"/>
      </w:divBdr>
    </w:div>
    <w:div w:id="937754914">
      <w:bodyDiv w:val="1"/>
      <w:marLeft w:val="0"/>
      <w:marRight w:val="0"/>
      <w:marTop w:val="0"/>
      <w:marBottom w:val="0"/>
      <w:divBdr>
        <w:top w:val="none" w:sz="0" w:space="0" w:color="auto"/>
        <w:left w:val="none" w:sz="0" w:space="0" w:color="auto"/>
        <w:bottom w:val="none" w:sz="0" w:space="0" w:color="auto"/>
        <w:right w:val="none" w:sz="0" w:space="0" w:color="auto"/>
      </w:divBdr>
    </w:div>
    <w:div w:id="937983098">
      <w:bodyDiv w:val="1"/>
      <w:marLeft w:val="0"/>
      <w:marRight w:val="0"/>
      <w:marTop w:val="0"/>
      <w:marBottom w:val="0"/>
      <w:divBdr>
        <w:top w:val="none" w:sz="0" w:space="0" w:color="auto"/>
        <w:left w:val="none" w:sz="0" w:space="0" w:color="auto"/>
        <w:bottom w:val="none" w:sz="0" w:space="0" w:color="auto"/>
        <w:right w:val="none" w:sz="0" w:space="0" w:color="auto"/>
      </w:divBdr>
    </w:div>
    <w:div w:id="938945291">
      <w:bodyDiv w:val="1"/>
      <w:marLeft w:val="0"/>
      <w:marRight w:val="0"/>
      <w:marTop w:val="0"/>
      <w:marBottom w:val="0"/>
      <w:divBdr>
        <w:top w:val="none" w:sz="0" w:space="0" w:color="auto"/>
        <w:left w:val="none" w:sz="0" w:space="0" w:color="auto"/>
        <w:bottom w:val="none" w:sz="0" w:space="0" w:color="auto"/>
        <w:right w:val="none" w:sz="0" w:space="0" w:color="auto"/>
      </w:divBdr>
    </w:div>
    <w:div w:id="941376650">
      <w:bodyDiv w:val="1"/>
      <w:marLeft w:val="0"/>
      <w:marRight w:val="0"/>
      <w:marTop w:val="0"/>
      <w:marBottom w:val="0"/>
      <w:divBdr>
        <w:top w:val="none" w:sz="0" w:space="0" w:color="auto"/>
        <w:left w:val="none" w:sz="0" w:space="0" w:color="auto"/>
        <w:bottom w:val="none" w:sz="0" w:space="0" w:color="auto"/>
        <w:right w:val="none" w:sz="0" w:space="0" w:color="auto"/>
      </w:divBdr>
    </w:div>
    <w:div w:id="963736947">
      <w:bodyDiv w:val="1"/>
      <w:marLeft w:val="0"/>
      <w:marRight w:val="0"/>
      <w:marTop w:val="0"/>
      <w:marBottom w:val="0"/>
      <w:divBdr>
        <w:top w:val="none" w:sz="0" w:space="0" w:color="auto"/>
        <w:left w:val="none" w:sz="0" w:space="0" w:color="auto"/>
        <w:bottom w:val="none" w:sz="0" w:space="0" w:color="auto"/>
        <w:right w:val="none" w:sz="0" w:space="0" w:color="auto"/>
      </w:divBdr>
    </w:div>
    <w:div w:id="978919054">
      <w:bodyDiv w:val="1"/>
      <w:marLeft w:val="0"/>
      <w:marRight w:val="0"/>
      <w:marTop w:val="0"/>
      <w:marBottom w:val="0"/>
      <w:divBdr>
        <w:top w:val="none" w:sz="0" w:space="0" w:color="auto"/>
        <w:left w:val="none" w:sz="0" w:space="0" w:color="auto"/>
        <w:bottom w:val="none" w:sz="0" w:space="0" w:color="auto"/>
        <w:right w:val="none" w:sz="0" w:space="0" w:color="auto"/>
      </w:divBdr>
    </w:div>
    <w:div w:id="980889312">
      <w:bodyDiv w:val="1"/>
      <w:marLeft w:val="0"/>
      <w:marRight w:val="0"/>
      <w:marTop w:val="0"/>
      <w:marBottom w:val="0"/>
      <w:divBdr>
        <w:top w:val="none" w:sz="0" w:space="0" w:color="auto"/>
        <w:left w:val="none" w:sz="0" w:space="0" w:color="auto"/>
        <w:bottom w:val="none" w:sz="0" w:space="0" w:color="auto"/>
        <w:right w:val="none" w:sz="0" w:space="0" w:color="auto"/>
      </w:divBdr>
    </w:div>
    <w:div w:id="981887148">
      <w:bodyDiv w:val="1"/>
      <w:marLeft w:val="0"/>
      <w:marRight w:val="0"/>
      <w:marTop w:val="0"/>
      <w:marBottom w:val="0"/>
      <w:divBdr>
        <w:top w:val="none" w:sz="0" w:space="0" w:color="auto"/>
        <w:left w:val="none" w:sz="0" w:space="0" w:color="auto"/>
        <w:bottom w:val="none" w:sz="0" w:space="0" w:color="auto"/>
        <w:right w:val="none" w:sz="0" w:space="0" w:color="auto"/>
      </w:divBdr>
    </w:div>
    <w:div w:id="982464454">
      <w:bodyDiv w:val="1"/>
      <w:marLeft w:val="0"/>
      <w:marRight w:val="0"/>
      <w:marTop w:val="0"/>
      <w:marBottom w:val="0"/>
      <w:divBdr>
        <w:top w:val="none" w:sz="0" w:space="0" w:color="auto"/>
        <w:left w:val="none" w:sz="0" w:space="0" w:color="auto"/>
        <w:bottom w:val="none" w:sz="0" w:space="0" w:color="auto"/>
        <w:right w:val="none" w:sz="0" w:space="0" w:color="auto"/>
      </w:divBdr>
    </w:div>
    <w:div w:id="983123717">
      <w:bodyDiv w:val="1"/>
      <w:marLeft w:val="0"/>
      <w:marRight w:val="0"/>
      <w:marTop w:val="0"/>
      <w:marBottom w:val="0"/>
      <w:divBdr>
        <w:top w:val="none" w:sz="0" w:space="0" w:color="auto"/>
        <w:left w:val="none" w:sz="0" w:space="0" w:color="auto"/>
        <w:bottom w:val="none" w:sz="0" w:space="0" w:color="auto"/>
        <w:right w:val="none" w:sz="0" w:space="0" w:color="auto"/>
      </w:divBdr>
    </w:div>
    <w:div w:id="986014643">
      <w:bodyDiv w:val="1"/>
      <w:marLeft w:val="0"/>
      <w:marRight w:val="0"/>
      <w:marTop w:val="0"/>
      <w:marBottom w:val="0"/>
      <w:divBdr>
        <w:top w:val="none" w:sz="0" w:space="0" w:color="auto"/>
        <w:left w:val="none" w:sz="0" w:space="0" w:color="auto"/>
        <w:bottom w:val="none" w:sz="0" w:space="0" w:color="auto"/>
        <w:right w:val="none" w:sz="0" w:space="0" w:color="auto"/>
      </w:divBdr>
    </w:div>
    <w:div w:id="993266945">
      <w:bodyDiv w:val="1"/>
      <w:marLeft w:val="0"/>
      <w:marRight w:val="0"/>
      <w:marTop w:val="0"/>
      <w:marBottom w:val="0"/>
      <w:divBdr>
        <w:top w:val="none" w:sz="0" w:space="0" w:color="auto"/>
        <w:left w:val="none" w:sz="0" w:space="0" w:color="auto"/>
        <w:bottom w:val="none" w:sz="0" w:space="0" w:color="auto"/>
        <w:right w:val="none" w:sz="0" w:space="0" w:color="auto"/>
      </w:divBdr>
    </w:div>
    <w:div w:id="998312577">
      <w:bodyDiv w:val="1"/>
      <w:marLeft w:val="0"/>
      <w:marRight w:val="0"/>
      <w:marTop w:val="0"/>
      <w:marBottom w:val="0"/>
      <w:divBdr>
        <w:top w:val="none" w:sz="0" w:space="0" w:color="auto"/>
        <w:left w:val="none" w:sz="0" w:space="0" w:color="auto"/>
        <w:bottom w:val="none" w:sz="0" w:space="0" w:color="auto"/>
        <w:right w:val="none" w:sz="0" w:space="0" w:color="auto"/>
      </w:divBdr>
    </w:div>
    <w:div w:id="1000700986">
      <w:bodyDiv w:val="1"/>
      <w:marLeft w:val="0"/>
      <w:marRight w:val="0"/>
      <w:marTop w:val="0"/>
      <w:marBottom w:val="0"/>
      <w:divBdr>
        <w:top w:val="none" w:sz="0" w:space="0" w:color="auto"/>
        <w:left w:val="none" w:sz="0" w:space="0" w:color="auto"/>
        <w:bottom w:val="none" w:sz="0" w:space="0" w:color="auto"/>
        <w:right w:val="none" w:sz="0" w:space="0" w:color="auto"/>
      </w:divBdr>
    </w:div>
    <w:div w:id="1004286040">
      <w:bodyDiv w:val="1"/>
      <w:marLeft w:val="0"/>
      <w:marRight w:val="0"/>
      <w:marTop w:val="0"/>
      <w:marBottom w:val="0"/>
      <w:divBdr>
        <w:top w:val="none" w:sz="0" w:space="0" w:color="auto"/>
        <w:left w:val="none" w:sz="0" w:space="0" w:color="auto"/>
        <w:bottom w:val="none" w:sz="0" w:space="0" w:color="auto"/>
        <w:right w:val="none" w:sz="0" w:space="0" w:color="auto"/>
      </w:divBdr>
    </w:div>
    <w:div w:id="1027875530">
      <w:bodyDiv w:val="1"/>
      <w:marLeft w:val="0"/>
      <w:marRight w:val="0"/>
      <w:marTop w:val="0"/>
      <w:marBottom w:val="0"/>
      <w:divBdr>
        <w:top w:val="none" w:sz="0" w:space="0" w:color="auto"/>
        <w:left w:val="none" w:sz="0" w:space="0" w:color="auto"/>
        <w:bottom w:val="none" w:sz="0" w:space="0" w:color="auto"/>
        <w:right w:val="none" w:sz="0" w:space="0" w:color="auto"/>
      </w:divBdr>
    </w:div>
    <w:div w:id="1040084115">
      <w:bodyDiv w:val="1"/>
      <w:marLeft w:val="0"/>
      <w:marRight w:val="0"/>
      <w:marTop w:val="0"/>
      <w:marBottom w:val="0"/>
      <w:divBdr>
        <w:top w:val="none" w:sz="0" w:space="0" w:color="auto"/>
        <w:left w:val="none" w:sz="0" w:space="0" w:color="auto"/>
        <w:bottom w:val="none" w:sz="0" w:space="0" w:color="auto"/>
        <w:right w:val="none" w:sz="0" w:space="0" w:color="auto"/>
      </w:divBdr>
    </w:div>
    <w:div w:id="1059597601">
      <w:bodyDiv w:val="1"/>
      <w:marLeft w:val="0"/>
      <w:marRight w:val="0"/>
      <w:marTop w:val="0"/>
      <w:marBottom w:val="0"/>
      <w:divBdr>
        <w:top w:val="none" w:sz="0" w:space="0" w:color="auto"/>
        <w:left w:val="none" w:sz="0" w:space="0" w:color="auto"/>
        <w:bottom w:val="none" w:sz="0" w:space="0" w:color="auto"/>
        <w:right w:val="none" w:sz="0" w:space="0" w:color="auto"/>
      </w:divBdr>
    </w:div>
    <w:div w:id="1061636301">
      <w:bodyDiv w:val="1"/>
      <w:marLeft w:val="0"/>
      <w:marRight w:val="0"/>
      <w:marTop w:val="0"/>
      <w:marBottom w:val="0"/>
      <w:divBdr>
        <w:top w:val="none" w:sz="0" w:space="0" w:color="auto"/>
        <w:left w:val="none" w:sz="0" w:space="0" w:color="auto"/>
        <w:bottom w:val="none" w:sz="0" w:space="0" w:color="auto"/>
        <w:right w:val="none" w:sz="0" w:space="0" w:color="auto"/>
      </w:divBdr>
    </w:div>
    <w:div w:id="1068580037">
      <w:bodyDiv w:val="1"/>
      <w:marLeft w:val="0"/>
      <w:marRight w:val="0"/>
      <w:marTop w:val="0"/>
      <w:marBottom w:val="0"/>
      <w:divBdr>
        <w:top w:val="none" w:sz="0" w:space="0" w:color="auto"/>
        <w:left w:val="none" w:sz="0" w:space="0" w:color="auto"/>
        <w:bottom w:val="none" w:sz="0" w:space="0" w:color="auto"/>
        <w:right w:val="none" w:sz="0" w:space="0" w:color="auto"/>
      </w:divBdr>
    </w:div>
    <w:div w:id="1070812891">
      <w:bodyDiv w:val="1"/>
      <w:marLeft w:val="0"/>
      <w:marRight w:val="0"/>
      <w:marTop w:val="0"/>
      <w:marBottom w:val="0"/>
      <w:divBdr>
        <w:top w:val="none" w:sz="0" w:space="0" w:color="auto"/>
        <w:left w:val="none" w:sz="0" w:space="0" w:color="auto"/>
        <w:bottom w:val="none" w:sz="0" w:space="0" w:color="auto"/>
        <w:right w:val="none" w:sz="0" w:space="0" w:color="auto"/>
      </w:divBdr>
    </w:div>
    <w:div w:id="1076777745">
      <w:bodyDiv w:val="1"/>
      <w:marLeft w:val="0"/>
      <w:marRight w:val="0"/>
      <w:marTop w:val="0"/>
      <w:marBottom w:val="0"/>
      <w:divBdr>
        <w:top w:val="none" w:sz="0" w:space="0" w:color="auto"/>
        <w:left w:val="none" w:sz="0" w:space="0" w:color="auto"/>
        <w:bottom w:val="none" w:sz="0" w:space="0" w:color="auto"/>
        <w:right w:val="none" w:sz="0" w:space="0" w:color="auto"/>
      </w:divBdr>
    </w:div>
    <w:div w:id="1081102048">
      <w:bodyDiv w:val="1"/>
      <w:marLeft w:val="0"/>
      <w:marRight w:val="0"/>
      <w:marTop w:val="0"/>
      <w:marBottom w:val="0"/>
      <w:divBdr>
        <w:top w:val="none" w:sz="0" w:space="0" w:color="auto"/>
        <w:left w:val="none" w:sz="0" w:space="0" w:color="auto"/>
        <w:bottom w:val="none" w:sz="0" w:space="0" w:color="auto"/>
        <w:right w:val="none" w:sz="0" w:space="0" w:color="auto"/>
      </w:divBdr>
    </w:div>
    <w:div w:id="1099763260">
      <w:bodyDiv w:val="1"/>
      <w:marLeft w:val="0"/>
      <w:marRight w:val="0"/>
      <w:marTop w:val="0"/>
      <w:marBottom w:val="0"/>
      <w:divBdr>
        <w:top w:val="none" w:sz="0" w:space="0" w:color="auto"/>
        <w:left w:val="none" w:sz="0" w:space="0" w:color="auto"/>
        <w:bottom w:val="none" w:sz="0" w:space="0" w:color="auto"/>
        <w:right w:val="none" w:sz="0" w:space="0" w:color="auto"/>
      </w:divBdr>
    </w:div>
    <w:div w:id="1108232402">
      <w:bodyDiv w:val="1"/>
      <w:marLeft w:val="0"/>
      <w:marRight w:val="0"/>
      <w:marTop w:val="0"/>
      <w:marBottom w:val="0"/>
      <w:divBdr>
        <w:top w:val="none" w:sz="0" w:space="0" w:color="auto"/>
        <w:left w:val="none" w:sz="0" w:space="0" w:color="auto"/>
        <w:bottom w:val="none" w:sz="0" w:space="0" w:color="auto"/>
        <w:right w:val="none" w:sz="0" w:space="0" w:color="auto"/>
      </w:divBdr>
    </w:div>
    <w:div w:id="1110316420">
      <w:bodyDiv w:val="1"/>
      <w:marLeft w:val="0"/>
      <w:marRight w:val="0"/>
      <w:marTop w:val="0"/>
      <w:marBottom w:val="0"/>
      <w:divBdr>
        <w:top w:val="none" w:sz="0" w:space="0" w:color="auto"/>
        <w:left w:val="none" w:sz="0" w:space="0" w:color="auto"/>
        <w:bottom w:val="none" w:sz="0" w:space="0" w:color="auto"/>
        <w:right w:val="none" w:sz="0" w:space="0" w:color="auto"/>
      </w:divBdr>
    </w:div>
    <w:div w:id="1129275038">
      <w:bodyDiv w:val="1"/>
      <w:marLeft w:val="0"/>
      <w:marRight w:val="0"/>
      <w:marTop w:val="0"/>
      <w:marBottom w:val="0"/>
      <w:divBdr>
        <w:top w:val="none" w:sz="0" w:space="0" w:color="auto"/>
        <w:left w:val="none" w:sz="0" w:space="0" w:color="auto"/>
        <w:bottom w:val="none" w:sz="0" w:space="0" w:color="auto"/>
        <w:right w:val="none" w:sz="0" w:space="0" w:color="auto"/>
      </w:divBdr>
    </w:div>
    <w:div w:id="1131753029">
      <w:bodyDiv w:val="1"/>
      <w:marLeft w:val="0"/>
      <w:marRight w:val="0"/>
      <w:marTop w:val="0"/>
      <w:marBottom w:val="0"/>
      <w:divBdr>
        <w:top w:val="none" w:sz="0" w:space="0" w:color="auto"/>
        <w:left w:val="none" w:sz="0" w:space="0" w:color="auto"/>
        <w:bottom w:val="none" w:sz="0" w:space="0" w:color="auto"/>
        <w:right w:val="none" w:sz="0" w:space="0" w:color="auto"/>
      </w:divBdr>
    </w:div>
    <w:div w:id="1138961926">
      <w:bodyDiv w:val="1"/>
      <w:marLeft w:val="0"/>
      <w:marRight w:val="0"/>
      <w:marTop w:val="0"/>
      <w:marBottom w:val="0"/>
      <w:divBdr>
        <w:top w:val="none" w:sz="0" w:space="0" w:color="auto"/>
        <w:left w:val="none" w:sz="0" w:space="0" w:color="auto"/>
        <w:bottom w:val="none" w:sz="0" w:space="0" w:color="auto"/>
        <w:right w:val="none" w:sz="0" w:space="0" w:color="auto"/>
      </w:divBdr>
    </w:div>
    <w:div w:id="1142888503">
      <w:bodyDiv w:val="1"/>
      <w:marLeft w:val="0"/>
      <w:marRight w:val="0"/>
      <w:marTop w:val="0"/>
      <w:marBottom w:val="0"/>
      <w:divBdr>
        <w:top w:val="none" w:sz="0" w:space="0" w:color="auto"/>
        <w:left w:val="none" w:sz="0" w:space="0" w:color="auto"/>
        <w:bottom w:val="none" w:sz="0" w:space="0" w:color="auto"/>
        <w:right w:val="none" w:sz="0" w:space="0" w:color="auto"/>
      </w:divBdr>
    </w:div>
    <w:div w:id="1145004278">
      <w:bodyDiv w:val="1"/>
      <w:marLeft w:val="0"/>
      <w:marRight w:val="0"/>
      <w:marTop w:val="0"/>
      <w:marBottom w:val="0"/>
      <w:divBdr>
        <w:top w:val="none" w:sz="0" w:space="0" w:color="auto"/>
        <w:left w:val="none" w:sz="0" w:space="0" w:color="auto"/>
        <w:bottom w:val="none" w:sz="0" w:space="0" w:color="auto"/>
        <w:right w:val="none" w:sz="0" w:space="0" w:color="auto"/>
      </w:divBdr>
    </w:div>
    <w:div w:id="1146439174">
      <w:bodyDiv w:val="1"/>
      <w:marLeft w:val="0"/>
      <w:marRight w:val="0"/>
      <w:marTop w:val="0"/>
      <w:marBottom w:val="0"/>
      <w:divBdr>
        <w:top w:val="none" w:sz="0" w:space="0" w:color="auto"/>
        <w:left w:val="none" w:sz="0" w:space="0" w:color="auto"/>
        <w:bottom w:val="none" w:sz="0" w:space="0" w:color="auto"/>
        <w:right w:val="none" w:sz="0" w:space="0" w:color="auto"/>
      </w:divBdr>
    </w:div>
    <w:div w:id="1149009105">
      <w:bodyDiv w:val="1"/>
      <w:marLeft w:val="0"/>
      <w:marRight w:val="0"/>
      <w:marTop w:val="0"/>
      <w:marBottom w:val="0"/>
      <w:divBdr>
        <w:top w:val="none" w:sz="0" w:space="0" w:color="auto"/>
        <w:left w:val="none" w:sz="0" w:space="0" w:color="auto"/>
        <w:bottom w:val="none" w:sz="0" w:space="0" w:color="auto"/>
        <w:right w:val="none" w:sz="0" w:space="0" w:color="auto"/>
      </w:divBdr>
    </w:div>
    <w:div w:id="1153067051">
      <w:bodyDiv w:val="1"/>
      <w:marLeft w:val="0"/>
      <w:marRight w:val="0"/>
      <w:marTop w:val="0"/>
      <w:marBottom w:val="0"/>
      <w:divBdr>
        <w:top w:val="none" w:sz="0" w:space="0" w:color="auto"/>
        <w:left w:val="none" w:sz="0" w:space="0" w:color="auto"/>
        <w:bottom w:val="none" w:sz="0" w:space="0" w:color="auto"/>
        <w:right w:val="none" w:sz="0" w:space="0" w:color="auto"/>
      </w:divBdr>
    </w:div>
    <w:div w:id="1156192243">
      <w:bodyDiv w:val="1"/>
      <w:marLeft w:val="0"/>
      <w:marRight w:val="0"/>
      <w:marTop w:val="0"/>
      <w:marBottom w:val="0"/>
      <w:divBdr>
        <w:top w:val="none" w:sz="0" w:space="0" w:color="auto"/>
        <w:left w:val="none" w:sz="0" w:space="0" w:color="auto"/>
        <w:bottom w:val="none" w:sz="0" w:space="0" w:color="auto"/>
        <w:right w:val="none" w:sz="0" w:space="0" w:color="auto"/>
      </w:divBdr>
    </w:div>
    <w:div w:id="1162046316">
      <w:bodyDiv w:val="1"/>
      <w:marLeft w:val="0"/>
      <w:marRight w:val="0"/>
      <w:marTop w:val="0"/>
      <w:marBottom w:val="0"/>
      <w:divBdr>
        <w:top w:val="none" w:sz="0" w:space="0" w:color="auto"/>
        <w:left w:val="none" w:sz="0" w:space="0" w:color="auto"/>
        <w:bottom w:val="none" w:sz="0" w:space="0" w:color="auto"/>
        <w:right w:val="none" w:sz="0" w:space="0" w:color="auto"/>
      </w:divBdr>
    </w:div>
    <w:div w:id="1162238724">
      <w:bodyDiv w:val="1"/>
      <w:marLeft w:val="0"/>
      <w:marRight w:val="0"/>
      <w:marTop w:val="0"/>
      <w:marBottom w:val="0"/>
      <w:divBdr>
        <w:top w:val="none" w:sz="0" w:space="0" w:color="auto"/>
        <w:left w:val="none" w:sz="0" w:space="0" w:color="auto"/>
        <w:bottom w:val="none" w:sz="0" w:space="0" w:color="auto"/>
        <w:right w:val="none" w:sz="0" w:space="0" w:color="auto"/>
      </w:divBdr>
    </w:div>
    <w:div w:id="1167670606">
      <w:bodyDiv w:val="1"/>
      <w:marLeft w:val="0"/>
      <w:marRight w:val="0"/>
      <w:marTop w:val="0"/>
      <w:marBottom w:val="0"/>
      <w:divBdr>
        <w:top w:val="none" w:sz="0" w:space="0" w:color="auto"/>
        <w:left w:val="none" w:sz="0" w:space="0" w:color="auto"/>
        <w:bottom w:val="none" w:sz="0" w:space="0" w:color="auto"/>
        <w:right w:val="none" w:sz="0" w:space="0" w:color="auto"/>
      </w:divBdr>
    </w:div>
    <w:div w:id="1179583021">
      <w:bodyDiv w:val="1"/>
      <w:marLeft w:val="0"/>
      <w:marRight w:val="0"/>
      <w:marTop w:val="0"/>
      <w:marBottom w:val="0"/>
      <w:divBdr>
        <w:top w:val="none" w:sz="0" w:space="0" w:color="auto"/>
        <w:left w:val="none" w:sz="0" w:space="0" w:color="auto"/>
        <w:bottom w:val="none" w:sz="0" w:space="0" w:color="auto"/>
        <w:right w:val="none" w:sz="0" w:space="0" w:color="auto"/>
      </w:divBdr>
    </w:div>
    <w:div w:id="1197424419">
      <w:bodyDiv w:val="1"/>
      <w:marLeft w:val="0"/>
      <w:marRight w:val="0"/>
      <w:marTop w:val="0"/>
      <w:marBottom w:val="0"/>
      <w:divBdr>
        <w:top w:val="none" w:sz="0" w:space="0" w:color="auto"/>
        <w:left w:val="none" w:sz="0" w:space="0" w:color="auto"/>
        <w:bottom w:val="none" w:sz="0" w:space="0" w:color="auto"/>
        <w:right w:val="none" w:sz="0" w:space="0" w:color="auto"/>
      </w:divBdr>
    </w:div>
    <w:div w:id="1203782345">
      <w:bodyDiv w:val="1"/>
      <w:marLeft w:val="0"/>
      <w:marRight w:val="0"/>
      <w:marTop w:val="0"/>
      <w:marBottom w:val="0"/>
      <w:divBdr>
        <w:top w:val="none" w:sz="0" w:space="0" w:color="auto"/>
        <w:left w:val="none" w:sz="0" w:space="0" w:color="auto"/>
        <w:bottom w:val="none" w:sz="0" w:space="0" w:color="auto"/>
        <w:right w:val="none" w:sz="0" w:space="0" w:color="auto"/>
      </w:divBdr>
    </w:div>
    <w:div w:id="1211040259">
      <w:bodyDiv w:val="1"/>
      <w:marLeft w:val="0"/>
      <w:marRight w:val="0"/>
      <w:marTop w:val="0"/>
      <w:marBottom w:val="0"/>
      <w:divBdr>
        <w:top w:val="none" w:sz="0" w:space="0" w:color="auto"/>
        <w:left w:val="none" w:sz="0" w:space="0" w:color="auto"/>
        <w:bottom w:val="none" w:sz="0" w:space="0" w:color="auto"/>
        <w:right w:val="none" w:sz="0" w:space="0" w:color="auto"/>
      </w:divBdr>
    </w:div>
    <w:div w:id="1212577383">
      <w:bodyDiv w:val="1"/>
      <w:marLeft w:val="0"/>
      <w:marRight w:val="0"/>
      <w:marTop w:val="0"/>
      <w:marBottom w:val="0"/>
      <w:divBdr>
        <w:top w:val="none" w:sz="0" w:space="0" w:color="auto"/>
        <w:left w:val="none" w:sz="0" w:space="0" w:color="auto"/>
        <w:bottom w:val="none" w:sz="0" w:space="0" w:color="auto"/>
        <w:right w:val="none" w:sz="0" w:space="0" w:color="auto"/>
      </w:divBdr>
    </w:div>
    <w:div w:id="1225066635">
      <w:bodyDiv w:val="1"/>
      <w:marLeft w:val="0"/>
      <w:marRight w:val="0"/>
      <w:marTop w:val="0"/>
      <w:marBottom w:val="0"/>
      <w:divBdr>
        <w:top w:val="none" w:sz="0" w:space="0" w:color="auto"/>
        <w:left w:val="none" w:sz="0" w:space="0" w:color="auto"/>
        <w:bottom w:val="none" w:sz="0" w:space="0" w:color="auto"/>
        <w:right w:val="none" w:sz="0" w:space="0" w:color="auto"/>
      </w:divBdr>
    </w:div>
    <w:div w:id="1228801971">
      <w:bodyDiv w:val="1"/>
      <w:marLeft w:val="0"/>
      <w:marRight w:val="0"/>
      <w:marTop w:val="0"/>
      <w:marBottom w:val="0"/>
      <w:divBdr>
        <w:top w:val="none" w:sz="0" w:space="0" w:color="auto"/>
        <w:left w:val="none" w:sz="0" w:space="0" w:color="auto"/>
        <w:bottom w:val="none" w:sz="0" w:space="0" w:color="auto"/>
        <w:right w:val="none" w:sz="0" w:space="0" w:color="auto"/>
      </w:divBdr>
    </w:div>
    <w:div w:id="1232541655">
      <w:bodyDiv w:val="1"/>
      <w:marLeft w:val="0"/>
      <w:marRight w:val="0"/>
      <w:marTop w:val="0"/>
      <w:marBottom w:val="0"/>
      <w:divBdr>
        <w:top w:val="none" w:sz="0" w:space="0" w:color="auto"/>
        <w:left w:val="none" w:sz="0" w:space="0" w:color="auto"/>
        <w:bottom w:val="none" w:sz="0" w:space="0" w:color="auto"/>
        <w:right w:val="none" w:sz="0" w:space="0" w:color="auto"/>
      </w:divBdr>
    </w:div>
    <w:div w:id="1253777828">
      <w:bodyDiv w:val="1"/>
      <w:marLeft w:val="0"/>
      <w:marRight w:val="0"/>
      <w:marTop w:val="0"/>
      <w:marBottom w:val="0"/>
      <w:divBdr>
        <w:top w:val="none" w:sz="0" w:space="0" w:color="auto"/>
        <w:left w:val="none" w:sz="0" w:space="0" w:color="auto"/>
        <w:bottom w:val="none" w:sz="0" w:space="0" w:color="auto"/>
        <w:right w:val="none" w:sz="0" w:space="0" w:color="auto"/>
      </w:divBdr>
    </w:div>
    <w:div w:id="1253853339">
      <w:bodyDiv w:val="1"/>
      <w:marLeft w:val="0"/>
      <w:marRight w:val="0"/>
      <w:marTop w:val="0"/>
      <w:marBottom w:val="0"/>
      <w:divBdr>
        <w:top w:val="none" w:sz="0" w:space="0" w:color="auto"/>
        <w:left w:val="none" w:sz="0" w:space="0" w:color="auto"/>
        <w:bottom w:val="none" w:sz="0" w:space="0" w:color="auto"/>
        <w:right w:val="none" w:sz="0" w:space="0" w:color="auto"/>
      </w:divBdr>
    </w:div>
    <w:div w:id="1262910092">
      <w:bodyDiv w:val="1"/>
      <w:marLeft w:val="0"/>
      <w:marRight w:val="0"/>
      <w:marTop w:val="0"/>
      <w:marBottom w:val="0"/>
      <w:divBdr>
        <w:top w:val="none" w:sz="0" w:space="0" w:color="auto"/>
        <w:left w:val="none" w:sz="0" w:space="0" w:color="auto"/>
        <w:bottom w:val="none" w:sz="0" w:space="0" w:color="auto"/>
        <w:right w:val="none" w:sz="0" w:space="0" w:color="auto"/>
      </w:divBdr>
    </w:div>
    <w:div w:id="1263413052">
      <w:bodyDiv w:val="1"/>
      <w:marLeft w:val="0"/>
      <w:marRight w:val="0"/>
      <w:marTop w:val="0"/>
      <w:marBottom w:val="0"/>
      <w:divBdr>
        <w:top w:val="none" w:sz="0" w:space="0" w:color="auto"/>
        <w:left w:val="none" w:sz="0" w:space="0" w:color="auto"/>
        <w:bottom w:val="none" w:sz="0" w:space="0" w:color="auto"/>
        <w:right w:val="none" w:sz="0" w:space="0" w:color="auto"/>
      </w:divBdr>
    </w:div>
    <w:div w:id="1263417414">
      <w:bodyDiv w:val="1"/>
      <w:marLeft w:val="0"/>
      <w:marRight w:val="0"/>
      <w:marTop w:val="0"/>
      <w:marBottom w:val="0"/>
      <w:divBdr>
        <w:top w:val="none" w:sz="0" w:space="0" w:color="auto"/>
        <w:left w:val="none" w:sz="0" w:space="0" w:color="auto"/>
        <w:bottom w:val="none" w:sz="0" w:space="0" w:color="auto"/>
        <w:right w:val="none" w:sz="0" w:space="0" w:color="auto"/>
      </w:divBdr>
    </w:div>
    <w:div w:id="1278297312">
      <w:bodyDiv w:val="1"/>
      <w:marLeft w:val="0"/>
      <w:marRight w:val="0"/>
      <w:marTop w:val="0"/>
      <w:marBottom w:val="0"/>
      <w:divBdr>
        <w:top w:val="none" w:sz="0" w:space="0" w:color="auto"/>
        <w:left w:val="none" w:sz="0" w:space="0" w:color="auto"/>
        <w:bottom w:val="none" w:sz="0" w:space="0" w:color="auto"/>
        <w:right w:val="none" w:sz="0" w:space="0" w:color="auto"/>
      </w:divBdr>
    </w:div>
    <w:div w:id="1281299035">
      <w:bodyDiv w:val="1"/>
      <w:marLeft w:val="0"/>
      <w:marRight w:val="0"/>
      <w:marTop w:val="0"/>
      <w:marBottom w:val="0"/>
      <w:divBdr>
        <w:top w:val="none" w:sz="0" w:space="0" w:color="auto"/>
        <w:left w:val="none" w:sz="0" w:space="0" w:color="auto"/>
        <w:bottom w:val="none" w:sz="0" w:space="0" w:color="auto"/>
        <w:right w:val="none" w:sz="0" w:space="0" w:color="auto"/>
      </w:divBdr>
    </w:div>
    <w:div w:id="1316296304">
      <w:bodyDiv w:val="1"/>
      <w:marLeft w:val="0"/>
      <w:marRight w:val="0"/>
      <w:marTop w:val="0"/>
      <w:marBottom w:val="0"/>
      <w:divBdr>
        <w:top w:val="none" w:sz="0" w:space="0" w:color="auto"/>
        <w:left w:val="none" w:sz="0" w:space="0" w:color="auto"/>
        <w:bottom w:val="none" w:sz="0" w:space="0" w:color="auto"/>
        <w:right w:val="none" w:sz="0" w:space="0" w:color="auto"/>
      </w:divBdr>
    </w:div>
    <w:div w:id="1318997205">
      <w:bodyDiv w:val="1"/>
      <w:marLeft w:val="0"/>
      <w:marRight w:val="0"/>
      <w:marTop w:val="0"/>
      <w:marBottom w:val="0"/>
      <w:divBdr>
        <w:top w:val="none" w:sz="0" w:space="0" w:color="auto"/>
        <w:left w:val="none" w:sz="0" w:space="0" w:color="auto"/>
        <w:bottom w:val="none" w:sz="0" w:space="0" w:color="auto"/>
        <w:right w:val="none" w:sz="0" w:space="0" w:color="auto"/>
      </w:divBdr>
    </w:div>
    <w:div w:id="1322735234">
      <w:bodyDiv w:val="1"/>
      <w:marLeft w:val="0"/>
      <w:marRight w:val="0"/>
      <w:marTop w:val="0"/>
      <w:marBottom w:val="0"/>
      <w:divBdr>
        <w:top w:val="none" w:sz="0" w:space="0" w:color="auto"/>
        <w:left w:val="none" w:sz="0" w:space="0" w:color="auto"/>
        <w:bottom w:val="none" w:sz="0" w:space="0" w:color="auto"/>
        <w:right w:val="none" w:sz="0" w:space="0" w:color="auto"/>
      </w:divBdr>
    </w:div>
    <w:div w:id="1344938380">
      <w:bodyDiv w:val="1"/>
      <w:marLeft w:val="0"/>
      <w:marRight w:val="0"/>
      <w:marTop w:val="0"/>
      <w:marBottom w:val="0"/>
      <w:divBdr>
        <w:top w:val="none" w:sz="0" w:space="0" w:color="auto"/>
        <w:left w:val="none" w:sz="0" w:space="0" w:color="auto"/>
        <w:bottom w:val="none" w:sz="0" w:space="0" w:color="auto"/>
        <w:right w:val="none" w:sz="0" w:space="0" w:color="auto"/>
      </w:divBdr>
    </w:div>
    <w:div w:id="1346176377">
      <w:bodyDiv w:val="1"/>
      <w:marLeft w:val="0"/>
      <w:marRight w:val="0"/>
      <w:marTop w:val="0"/>
      <w:marBottom w:val="0"/>
      <w:divBdr>
        <w:top w:val="none" w:sz="0" w:space="0" w:color="auto"/>
        <w:left w:val="none" w:sz="0" w:space="0" w:color="auto"/>
        <w:bottom w:val="none" w:sz="0" w:space="0" w:color="auto"/>
        <w:right w:val="none" w:sz="0" w:space="0" w:color="auto"/>
      </w:divBdr>
    </w:div>
    <w:div w:id="1346635460">
      <w:bodyDiv w:val="1"/>
      <w:marLeft w:val="0"/>
      <w:marRight w:val="0"/>
      <w:marTop w:val="0"/>
      <w:marBottom w:val="0"/>
      <w:divBdr>
        <w:top w:val="none" w:sz="0" w:space="0" w:color="auto"/>
        <w:left w:val="none" w:sz="0" w:space="0" w:color="auto"/>
        <w:bottom w:val="none" w:sz="0" w:space="0" w:color="auto"/>
        <w:right w:val="none" w:sz="0" w:space="0" w:color="auto"/>
      </w:divBdr>
    </w:div>
    <w:div w:id="1352031000">
      <w:bodyDiv w:val="1"/>
      <w:marLeft w:val="0"/>
      <w:marRight w:val="0"/>
      <w:marTop w:val="0"/>
      <w:marBottom w:val="0"/>
      <w:divBdr>
        <w:top w:val="none" w:sz="0" w:space="0" w:color="auto"/>
        <w:left w:val="none" w:sz="0" w:space="0" w:color="auto"/>
        <w:bottom w:val="none" w:sz="0" w:space="0" w:color="auto"/>
        <w:right w:val="none" w:sz="0" w:space="0" w:color="auto"/>
      </w:divBdr>
    </w:div>
    <w:div w:id="1353531755">
      <w:bodyDiv w:val="1"/>
      <w:marLeft w:val="0"/>
      <w:marRight w:val="0"/>
      <w:marTop w:val="0"/>
      <w:marBottom w:val="0"/>
      <w:divBdr>
        <w:top w:val="none" w:sz="0" w:space="0" w:color="auto"/>
        <w:left w:val="none" w:sz="0" w:space="0" w:color="auto"/>
        <w:bottom w:val="none" w:sz="0" w:space="0" w:color="auto"/>
        <w:right w:val="none" w:sz="0" w:space="0" w:color="auto"/>
      </w:divBdr>
    </w:div>
    <w:div w:id="1367291796">
      <w:bodyDiv w:val="1"/>
      <w:marLeft w:val="0"/>
      <w:marRight w:val="0"/>
      <w:marTop w:val="0"/>
      <w:marBottom w:val="0"/>
      <w:divBdr>
        <w:top w:val="none" w:sz="0" w:space="0" w:color="auto"/>
        <w:left w:val="none" w:sz="0" w:space="0" w:color="auto"/>
        <w:bottom w:val="none" w:sz="0" w:space="0" w:color="auto"/>
        <w:right w:val="none" w:sz="0" w:space="0" w:color="auto"/>
      </w:divBdr>
    </w:div>
    <w:div w:id="1408647789">
      <w:bodyDiv w:val="1"/>
      <w:marLeft w:val="0"/>
      <w:marRight w:val="0"/>
      <w:marTop w:val="0"/>
      <w:marBottom w:val="0"/>
      <w:divBdr>
        <w:top w:val="none" w:sz="0" w:space="0" w:color="auto"/>
        <w:left w:val="none" w:sz="0" w:space="0" w:color="auto"/>
        <w:bottom w:val="none" w:sz="0" w:space="0" w:color="auto"/>
        <w:right w:val="none" w:sz="0" w:space="0" w:color="auto"/>
      </w:divBdr>
    </w:div>
    <w:div w:id="1411392464">
      <w:bodyDiv w:val="1"/>
      <w:marLeft w:val="0"/>
      <w:marRight w:val="0"/>
      <w:marTop w:val="0"/>
      <w:marBottom w:val="0"/>
      <w:divBdr>
        <w:top w:val="none" w:sz="0" w:space="0" w:color="auto"/>
        <w:left w:val="none" w:sz="0" w:space="0" w:color="auto"/>
        <w:bottom w:val="none" w:sz="0" w:space="0" w:color="auto"/>
        <w:right w:val="none" w:sz="0" w:space="0" w:color="auto"/>
      </w:divBdr>
    </w:div>
    <w:div w:id="1412459008">
      <w:bodyDiv w:val="1"/>
      <w:marLeft w:val="0"/>
      <w:marRight w:val="0"/>
      <w:marTop w:val="0"/>
      <w:marBottom w:val="0"/>
      <w:divBdr>
        <w:top w:val="none" w:sz="0" w:space="0" w:color="auto"/>
        <w:left w:val="none" w:sz="0" w:space="0" w:color="auto"/>
        <w:bottom w:val="none" w:sz="0" w:space="0" w:color="auto"/>
        <w:right w:val="none" w:sz="0" w:space="0" w:color="auto"/>
      </w:divBdr>
    </w:div>
    <w:div w:id="1422410090">
      <w:bodyDiv w:val="1"/>
      <w:marLeft w:val="0"/>
      <w:marRight w:val="0"/>
      <w:marTop w:val="0"/>
      <w:marBottom w:val="0"/>
      <w:divBdr>
        <w:top w:val="none" w:sz="0" w:space="0" w:color="auto"/>
        <w:left w:val="none" w:sz="0" w:space="0" w:color="auto"/>
        <w:bottom w:val="none" w:sz="0" w:space="0" w:color="auto"/>
        <w:right w:val="none" w:sz="0" w:space="0" w:color="auto"/>
      </w:divBdr>
    </w:div>
    <w:div w:id="1430193937">
      <w:bodyDiv w:val="1"/>
      <w:marLeft w:val="0"/>
      <w:marRight w:val="0"/>
      <w:marTop w:val="0"/>
      <w:marBottom w:val="0"/>
      <w:divBdr>
        <w:top w:val="none" w:sz="0" w:space="0" w:color="auto"/>
        <w:left w:val="none" w:sz="0" w:space="0" w:color="auto"/>
        <w:bottom w:val="none" w:sz="0" w:space="0" w:color="auto"/>
        <w:right w:val="none" w:sz="0" w:space="0" w:color="auto"/>
      </w:divBdr>
    </w:div>
    <w:div w:id="1467115583">
      <w:bodyDiv w:val="1"/>
      <w:marLeft w:val="0"/>
      <w:marRight w:val="0"/>
      <w:marTop w:val="0"/>
      <w:marBottom w:val="0"/>
      <w:divBdr>
        <w:top w:val="none" w:sz="0" w:space="0" w:color="auto"/>
        <w:left w:val="none" w:sz="0" w:space="0" w:color="auto"/>
        <w:bottom w:val="none" w:sz="0" w:space="0" w:color="auto"/>
        <w:right w:val="none" w:sz="0" w:space="0" w:color="auto"/>
      </w:divBdr>
    </w:div>
    <w:div w:id="1482891089">
      <w:bodyDiv w:val="1"/>
      <w:marLeft w:val="0"/>
      <w:marRight w:val="0"/>
      <w:marTop w:val="0"/>
      <w:marBottom w:val="0"/>
      <w:divBdr>
        <w:top w:val="none" w:sz="0" w:space="0" w:color="auto"/>
        <w:left w:val="none" w:sz="0" w:space="0" w:color="auto"/>
        <w:bottom w:val="none" w:sz="0" w:space="0" w:color="auto"/>
        <w:right w:val="none" w:sz="0" w:space="0" w:color="auto"/>
      </w:divBdr>
    </w:div>
    <w:div w:id="1485390329">
      <w:bodyDiv w:val="1"/>
      <w:marLeft w:val="0"/>
      <w:marRight w:val="0"/>
      <w:marTop w:val="0"/>
      <w:marBottom w:val="0"/>
      <w:divBdr>
        <w:top w:val="none" w:sz="0" w:space="0" w:color="auto"/>
        <w:left w:val="none" w:sz="0" w:space="0" w:color="auto"/>
        <w:bottom w:val="none" w:sz="0" w:space="0" w:color="auto"/>
        <w:right w:val="none" w:sz="0" w:space="0" w:color="auto"/>
      </w:divBdr>
    </w:div>
    <w:div w:id="1497384513">
      <w:bodyDiv w:val="1"/>
      <w:marLeft w:val="0"/>
      <w:marRight w:val="0"/>
      <w:marTop w:val="0"/>
      <w:marBottom w:val="0"/>
      <w:divBdr>
        <w:top w:val="none" w:sz="0" w:space="0" w:color="auto"/>
        <w:left w:val="none" w:sz="0" w:space="0" w:color="auto"/>
        <w:bottom w:val="none" w:sz="0" w:space="0" w:color="auto"/>
        <w:right w:val="none" w:sz="0" w:space="0" w:color="auto"/>
      </w:divBdr>
    </w:div>
    <w:div w:id="1497572694">
      <w:bodyDiv w:val="1"/>
      <w:marLeft w:val="0"/>
      <w:marRight w:val="0"/>
      <w:marTop w:val="0"/>
      <w:marBottom w:val="0"/>
      <w:divBdr>
        <w:top w:val="none" w:sz="0" w:space="0" w:color="auto"/>
        <w:left w:val="none" w:sz="0" w:space="0" w:color="auto"/>
        <w:bottom w:val="none" w:sz="0" w:space="0" w:color="auto"/>
        <w:right w:val="none" w:sz="0" w:space="0" w:color="auto"/>
      </w:divBdr>
    </w:div>
    <w:div w:id="1512601346">
      <w:bodyDiv w:val="1"/>
      <w:marLeft w:val="0"/>
      <w:marRight w:val="0"/>
      <w:marTop w:val="0"/>
      <w:marBottom w:val="0"/>
      <w:divBdr>
        <w:top w:val="none" w:sz="0" w:space="0" w:color="auto"/>
        <w:left w:val="none" w:sz="0" w:space="0" w:color="auto"/>
        <w:bottom w:val="none" w:sz="0" w:space="0" w:color="auto"/>
        <w:right w:val="none" w:sz="0" w:space="0" w:color="auto"/>
      </w:divBdr>
    </w:div>
    <w:div w:id="1519196475">
      <w:bodyDiv w:val="1"/>
      <w:marLeft w:val="0"/>
      <w:marRight w:val="0"/>
      <w:marTop w:val="0"/>
      <w:marBottom w:val="0"/>
      <w:divBdr>
        <w:top w:val="none" w:sz="0" w:space="0" w:color="auto"/>
        <w:left w:val="none" w:sz="0" w:space="0" w:color="auto"/>
        <w:bottom w:val="none" w:sz="0" w:space="0" w:color="auto"/>
        <w:right w:val="none" w:sz="0" w:space="0" w:color="auto"/>
      </w:divBdr>
    </w:div>
    <w:div w:id="1537502914">
      <w:bodyDiv w:val="1"/>
      <w:marLeft w:val="0"/>
      <w:marRight w:val="0"/>
      <w:marTop w:val="0"/>
      <w:marBottom w:val="0"/>
      <w:divBdr>
        <w:top w:val="none" w:sz="0" w:space="0" w:color="auto"/>
        <w:left w:val="none" w:sz="0" w:space="0" w:color="auto"/>
        <w:bottom w:val="none" w:sz="0" w:space="0" w:color="auto"/>
        <w:right w:val="none" w:sz="0" w:space="0" w:color="auto"/>
      </w:divBdr>
    </w:div>
    <w:div w:id="1542093711">
      <w:bodyDiv w:val="1"/>
      <w:marLeft w:val="0"/>
      <w:marRight w:val="0"/>
      <w:marTop w:val="0"/>
      <w:marBottom w:val="0"/>
      <w:divBdr>
        <w:top w:val="none" w:sz="0" w:space="0" w:color="auto"/>
        <w:left w:val="none" w:sz="0" w:space="0" w:color="auto"/>
        <w:bottom w:val="none" w:sz="0" w:space="0" w:color="auto"/>
        <w:right w:val="none" w:sz="0" w:space="0" w:color="auto"/>
      </w:divBdr>
    </w:div>
    <w:div w:id="1547371260">
      <w:bodyDiv w:val="1"/>
      <w:marLeft w:val="0"/>
      <w:marRight w:val="0"/>
      <w:marTop w:val="0"/>
      <w:marBottom w:val="0"/>
      <w:divBdr>
        <w:top w:val="none" w:sz="0" w:space="0" w:color="auto"/>
        <w:left w:val="none" w:sz="0" w:space="0" w:color="auto"/>
        <w:bottom w:val="none" w:sz="0" w:space="0" w:color="auto"/>
        <w:right w:val="none" w:sz="0" w:space="0" w:color="auto"/>
      </w:divBdr>
    </w:div>
    <w:div w:id="1549222197">
      <w:bodyDiv w:val="1"/>
      <w:marLeft w:val="0"/>
      <w:marRight w:val="0"/>
      <w:marTop w:val="0"/>
      <w:marBottom w:val="0"/>
      <w:divBdr>
        <w:top w:val="none" w:sz="0" w:space="0" w:color="auto"/>
        <w:left w:val="none" w:sz="0" w:space="0" w:color="auto"/>
        <w:bottom w:val="none" w:sz="0" w:space="0" w:color="auto"/>
        <w:right w:val="none" w:sz="0" w:space="0" w:color="auto"/>
      </w:divBdr>
    </w:div>
    <w:div w:id="1555853611">
      <w:bodyDiv w:val="1"/>
      <w:marLeft w:val="0"/>
      <w:marRight w:val="0"/>
      <w:marTop w:val="0"/>
      <w:marBottom w:val="0"/>
      <w:divBdr>
        <w:top w:val="none" w:sz="0" w:space="0" w:color="auto"/>
        <w:left w:val="none" w:sz="0" w:space="0" w:color="auto"/>
        <w:bottom w:val="none" w:sz="0" w:space="0" w:color="auto"/>
        <w:right w:val="none" w:sz="0" w:space="0" w:color="auto"/>
      </w:divBdr>
    </w:div>
    <w:div w:id="1561552143">
      <w:bodyDiv w:val="1"/>
      <w:marLeft w:val="0"/>
      <w:marRight w:val="0"/>
      <w:marTop w:val="0"/>
      <w:marBottom w:val="0"/>
      <w:divBdr>
        <w:top w:val="none" w:sz="0" w:space="0" w:color="auto"/>
        <w:left w:val="none" w:sz="0" w:space="0" w:color="auto"/>
        <w:bottom w:val="none" w:sz="0" w:space="0" w:color="auto"/>
        <w:right w:val="none" w:sz="0" w:space="0" w:color="auto"/>
      </w:divBdr>
    </w:div>
    <w:div w:id="1577476352">
      <w:bodyDiv w:val="1"/>
      <w:marLeft w:val="0"/>
      <w:marRight w:val="0"/>
      <w:marTop w:val="0"/>
      <w:marBottom w:val="0"/>
      <w:divBdr>
        <w:top w:val="none" w:sz="0" w:space="0" w:color="auto"/>
        <w:left w:val="none" w:sz="0" w:space="0" w:color="auto"/>
        <w:bottom w:val="none" w:sz="0" w:space="0" w:color="auto"/>
        <w:right w:val="none" w:sz="0" w:space="0" w:color="auto"/>
      </w:divBdr>
    </w:div>
    <w:div w:id="1592548914">
      <w:bodyDiv w:val="1"/>
      <w:marLeft w:val="0"/>
      <w:marRight w:val="0"/>
      <w:marTop w:val="0"/>
      <w:marBottom w:val="0"/>
      <w:divBdr>
        <w:top w:val="none" w:sz="0" w:space="0" w:color="auto"/>
        <w:left w:val="none" w:sz="0" w:space="0" w:color="auto"/>
        <w:bottom w:val="none" w:sz="0" w:space="0" w:color="auto"/>
        <w:right w:val="none" w:sz="0" w:space="0" w:color="auto"/>
      </w:divBdr>
    </w:div>
    <w:div w:id="1599947339">
      <w:bodyDiv w:val="1"/>
      <w:marLeft w:val="0"/>
      <w:marRight w:val="0"/>
      <w:marTop w:val="0"/>
      <w:marBottom w:val="0"/>
      <w:divBdr>
        <w:top w:val="none" w:sz="0" w:space="0" w:color="auto"/>
        <w:left w:val="none" w:sz="0" w:space="0" w:color="auto"/>
        <w:bottom w:val="none" w:sz="0" w:space="0" w:color="auto"/>
        <w:right w:val="none" w:sz="0" w:space="0" w:color="auto"/>
      </w:divBdr>
    </w:div>
    <w:div w:id="1600792628">
      <w:bodyDiv w:val="1"/>
      <w:marLeft w:val="0"/>
      <w:marRight w:val="0"/>
      <w:marTop w:val="0"/>
      <w:marBottom w:val="0"/>
      <w:divBdr>
        <w:top w:val="none" w:sz="0" w:space="0" w:color="auto"/>
        <w:left w:val="none" w:sz="0" w:space="0" w:color="auto"/>
        <w:bottom w:val="none" w:sz="0" w:space="0" w:color="auto"/>
        <w:right w:val="none" w:sz="0" w:space="0" w:color="auto"/>
      </w:divBdr>
    </w:div>
    <w:div w:id="1611233392">
      <w:bodyDiv w:val="1"/>
      <w:marLeft w:val="0"/>
      <w:marRight w:val="0"/>
      <w:marTop w:val="0"/>
      <w:marBottom w:val="0"/>
      <w:divBdr>
        <w:top w:val="none" w:sz="0" w:space="0" w:color="auto"/>
        <w:left w:val="none" w:sz="0" w:space="0" w:color="auto"/>
        <w:bottom w:val="none" w:sz="0" w:space="0" w:color="auto"/>
        <w:right w:val="none" w:sz="0" w:space="0" w:color="auto"/>
      </w:divBdr>
    </w:div>
    <w:div w:id="1617592094">
      <w:bodyDiv w:val="1"/>
      <w:marLeft w:val="0"/>
      <w:marRight w:val="0"/>
      <w:marTop w:val="0"/>
      <w:marBottom w:val="0"/>
      <w:divBdr>
        <w:top w:val="none" w:sz="0" w:space="0" w:color="auto"/>
        <w:left w:val="none" w:sz="0" w:space="0" w:color="auto"/>
        <w:bottom w:val="none" w:sz="0" w:space="0" w:color="auto"/>
        <w:right w:val="none" w:sz="0" w:space="0" w:color="auto"/>
      </w:divBdr>
    </w:div>
    <w:div w:id="1619682557">
      <w:bodyDiv w:val="1"/>
      <w:marLeft w:val="0"/>
      <w:marRight w:val="0"/>
      <w:marTop w:val="0"/>
      <w:marBottom w:val="0"/>
      <w:divBdr>
        <w:top w:val="none" w:sz="0" w:space="0" w:color="auto"/>
        <w:left w:val="none" w:sz="0" w:space="0" w:color="auto"/>
        <w:bottom w:val="none" w:sz="0" w:space="0" w:color="auto"/>
        <w:right w:val="none" w:sz="0" w:space="0" w:color="auto"/>
      </w:divBdr>
    </w:div>
    <w:div w:id="1642077625">
      <w:bodyDiv w:val="1"/>
      <w:marLeft w:val="0"/>
      <w:marRight w:val="0"/>
      <w:marTop w:val="0"/>
      <w:marBottom w:val="0"/>
      <w:divBdr>
        <w:top w:val="none" w:sz="0" w:space="0" w:color="auto"/>
        <w:left w:val="none" w:sz="0" w:space="0" w:color="auto"/>
        <w:bottom w:val="none" w:sz="0" w:space="0" w:color="auto"/>
        <w:right w:val="none" w:sz="0" w:space="0" w:color="auto"/>
      </w:divBdr>
    </w:div>
    <w:div w:id="1649282934">
      <w:bodyDiv w:val="1"/>
      <w:marLeft w:val="0"/>
      <w:marRight w:val="0"/>
      <w:marTop w:val="0"/>
      <w:marBottom w:val="0"/>
      <w:divBdr>
        <w:top w:val="none" w:sz="0" w:space="0" w:color="auto"/>
        <w:left w:val="none" w:sz="0" w:space="0" w:color="auto"/>
        <w:bottom w:val="none" w:sz="0" w:space="0" w:color="auto"/>
        <w:right w:val="none" w:sz="0" w:space="0" w:color="auto"/>
      </w:divBdr>
    </w:div>
    <w:div w:id="1654217668">
      <w:bodyDiv w:val="1"/>
      <w:marLeft w:val="0"/>
      <w:marRight w:val="0"/>
      <w:marTop w:val="0"/>
      <w:marBottom w:val="0"/>
      <w:divBdr>
        <w:top w:val="none" w:sz="0" w:space="0" w:color="auto"/>
        <w:left w:val="none" w:sz="0" w:space="0" w:color="auto"/>
        <w:bottom w:val="none" w:sz="0" w:space="0" w:color="auto"/>
        <w:right w:val="none" w:sz="0" w:space="0" w:color="auto"/>
      </w:divBdr>
    </w:div>
    <w:div w:id="1665351960">
      <w:bodyDiv w:val="1"/>
      <w:marLeft w:val="0"/>
      <w:marRight w:val="0"/>
      <w:marTop w:val="0"/>
      <w:marBottom w:val="0"/>
      <w:divBdr>
        <w:top w:val="none" w:sz="0" w:space="0" w:color="auto"/>
        <w:left w:val="none" w:sz="0" w:space="0" w:color="auto"/>
        <w:bottom w:val="none" w:sz="0" w:space="0" w:color="auto"/>
        <w:right w:val="none" w:sz="0" w:space="0" w:color="auto"/>
      </w:divBdr>
    </w:div>
    <w:div w:id="1671172245">
      <w:bodyDiv w:val="1"/>
      <w:marLeft w:val="0"/>
      <w:marRight w:val="0"/>
      <w:marTop w:val="0"/>
      <w:marBottom w:val="0"/>
      <w:divBdr>
        <w:top w:val="none" w:sz="0" w:space="0" w:color="auto"/>
        <w:left w:val="none" w:sz="0" w:space="0" w:color="auto"/>
        <w:bottom w:val="none" w:sz="0" w:space="0" w:color="auto"/>
        <w:right w:val="none" w:sz="0" w:space="0" w:color="auto"/>
      </w:divBdr>
    </w:div>
    <w:div w:id="1680160144">
      <w:bodyDiv w:val="1"/>
      <w:marLeft w:val="0"/>
      <w:marRight w:val="0"/>
      <w:marTop w:val="0"/>
      <w:marBottom w:val="0"/>
      <w:divBdr>
        <w:top w:val="none" w:sz="0" w:space="0" w:color="auto"/>
        <w:left w:val="none" w:sz="0" w:space="0" w:color="auto"/>
        <w:bottom w:val="none" w:sz="0" w:space="0" w:color="auto"/>
        <w:right w:val="none" w:sz="0" w:space="0" w:color="auto"/>
      </w:divBdr>
    </w:div>
    <w:div w:id="1684239455">
      <w:bodyDiv w:val="1"/>
      <w:marLeft w:val="0"/>
      <w:marRight w:val="0"/>
      <w:marTop w:val="0"/>
      <w:marBottom w:val="0"/>
      <w:divBdr>
        <w:top w:val="none" w:sz="0" w:space="0" w:color="auto"/>
        <w:left w:val="none" w:sz="0" w:space="0" w:color="auto"/>
        <w:bottom w:val="none" w:sz="0" w:space="0" w:color="auto"/>
        <w:right w:val="none" w:sz="0" w:space="0" w:color="auto"/>
      </w:divBdr>
    </w:div>
    <w:div w:id="1696495540">
      <w:bodyDiv w:val="1"/>
      <w:marLeft w:val="0"/>
      <w:marRight w:val="0"/>
      <w:marTop w:val="0"/>
      <w:marBottom w:val="0"/>
      <w:divBdr>
        <w:top w:val="none" w:sz="0" w:space="0" w:color="auto"/>
        <w:left w:val="none" w:sz="0" w:space="0" w:color="auto"/>
        <w:bottom w:val="none" w:sz="0" w:space="0" w:color="auto"/>
        <w:right w:val="none" w:sz="0" w:space="0" w:color="auto"/>
      </w:divBdr>
    </w:div>
    <w:div w:id="1696881035">
      <w:bodyDiv w:val="1"/>
      <w:marLeft w:val="0"/>
      <w:marRight w:val="0"/>
      <w:marTop w:val="0"/>
      <w:marBottom w:val="0"/>
      <w:divBdr>
        <w:top w:val="none" w:sz="0" w:space="0" w:color="auto"/>
        <w:left w:val="none" w:sz="0" w:space="0" w:color="auto"/>
        <w:bottom w:val="none" w:sz="0" w:space="0" w:color="auto"/>
        <w:right w:val="none" w:sz="0" w:space="0" w:color="auto"/>
      </w:divBdr>
    </w:div>
    <w:div w:id="1699576631">
      <w:bodyDiv w:val="1"/>
      <w:marLeft w:val="0"/>
      <w:marRight w:val="0"/>
      <w:marTop w:val="0"/>
      <w:marBottom w:val="0"/>
      <w:divBdr>
        <w:top w:val="none" w:sz="0" w:space="0" w:color="auto"/>
        <w:left w:val="none" w:sz="0" w:space="0" w:color="auto"/>
        <w:bottom w:val="none" w:sz="0" w:space="0" w:color="auto"/>
        <w:right w:val="none" w:sz="0" w:space="0" w:color="auto"/>
      </w:divBdr>
    </w:div>
    <w:div w:id="1700081922">
      <w:bodyDiv w:val="1"/>
      <w:marLeft w:val="0"/>
      <w:marRight w:val="0"/>
      <w:marTop w:val="0"/>
      <w:marBottom w:val="0"/>
      <w:divBdr>
        <w:top w:val="none" w:sz="0" w:space="0" w:color="auto"/>
        <w:left w:val="none" w:sz="0" w:space="0" w:color="auto"/>
        <w:bottom w:val="none" w:sz="0" w:space="0" w:color="auto"/>
        <w:right w:val="none" w:sz="0" w:space="0" w:color="auto"/>
      </w:divBdr>
    </w:div>
    <w:div w:id="1703479868">
      <w:bodyDiv w:val="1"/>
      <w:marLeft w:val="0"/>
      <w:marRight w:val="0"/>
      <w:marTop w:val="0"/>
      <w:marBottom w:val="0"/>
      <w:divBdr>
        <w:top w:val="none" w:sz="0" w:space="0" w:color="auto"/>
        <w:left w:val="none" w:sz="0" w:space="0" w:color="auto"/>
        <w:bottom w:val="none" w:sz="0" w:space="0" w:color="auto"/>
        <w:right w:val="none" w:sz="0" w:space="0" w:color="auto"/>
      </w:divBdr>
    </w:div>
    <w:div w:id="1707830360">
      <w:bodyDiv w:val="1"/>
      <w:marLeft w:val="0"/>
      <w:marRight w:val="0"/>
      <w:marTop w:val="0"/>
      <w:marBottom w:val="0"/>
      <w:divBdr>
        <w:top w:val="none" w:sz="0" w:space="0" w:color="auto"/>
        <w:left w:val="none" w:sz="0" w:space="0" w:color="auto"/>
        <w:bottom w:val="none" w:sz="0" w:space="0" w:color="auto"/>
        <w:right w:val="none" w:sz="0" w:space="0" w:color="auto"/>
      </w:divBdr>
    </w:div>
    <w:div w:id="1710688724">
      <w:bodyDiv w:val="1"/>
      <w:marLeft w:val="0"/>
      <w:marRight w:val="0"/>
      <w:marTop w:val="0"/>
      <w:marBottom w:val="0"/>
      <w:divBdr>
        <w:top w:val="none" w:sz="0" w:space="0" w:color="auto"/>
        <w:left w:val="none" w:sz="0" w:space="0" w:color="auto"/>
        <w:bottom w:val="none" w:sz="0" w:space="0" w:color="auto"/>
        <w:right w:val="none" w:sz="0" w:space="0" w:color="auto"/>
      </w:divBdr>
    </w:div>
    <w:div w:id="1725837276">
      <w:bodyDiv w:val="1"/>
      <w:marLeft w:val="0"/>
      <w:marRight w:val="0"/>
      <w:marTop w:val="0"/>
      <w:marBottom w:val="0"/>
      <w:divBdr>
        <w:top w:val="none" w:sz="0" w:space="0" w:color="auto"/>
        <w:left w:val="none" w:sz="0" w:space="0" w:color="auto"/>
        <w:bottom w:val="none" w:sz="0" w:space="0" w:color="auto"/>
        <w:right w:val="none" w:sz="0" w:space="0" w:color="auto"/>
      </w:divBdr>
    </w:div>
    <w:div w:id="1731806399">
      <w:bodyDiv w:val="1"/>
      <w:marLeft w:val="0"/>
      <w:marRight w:val="0"/>
      <w:marTop w:val="0"/>
      <w:marBottom w:val="0"/>
      <w:divBdr>
        <w:top w:val="none" w:sz="0" w:space="0" w:color="auto"/>
        <w:left w:val="none" w:sz="0" w:space="0" w:color="auto"/>
        <w:bottom w:val="none" w:sz="0" w:space="0" w:color="auto"/>
        <w:right w:val="none" w:sz="0" w:space="0" w:color="auto"/>
      </w:divBdr>
    </w:div>
    <w:div w:id="1740899878">
      <w:bodyDiv w:val="1"/>
      <w:marLeft w:val="0"/>
      <w:marRight w:val="0"/>
      <w:marTop w:val="0"/>
      <w:marBottom w:val="0"/>
      <w:divBdr>
        <w:top w:val="none" w:sz="0" w:space="0" w:color="auto"/>
        <w:left w:val="none" w:sz="0" w:space="0" w:color="auto"/>
        <w:bottom w:val="none" w:sz="0" w:space="0" w:color="auto"/>
        <w:right w:val="none" w:sz="0" w:space="0" w:color="auto"/>
      </w:divBdr>
    </w:div>
    <w:div w:id="1748378597">
      <w:bodyDiv w:val="1"/>
      <w:marLeft w:val="0"/>
      <w:marRight w:val="0"/>
      <w:marTop w:val="0"/>
      <w:marBottom w:val="0"/>
      <w:divBdr>
        <w:top w:val="none" w:sz="0" w:space="0" w:color="auto"/>
        <w:left w:val="none" w:sz="0" w:space="0" w:color="auto"/>
        <w:bottom w:val="none" w:sz="0" w:space="0" w:color="auto"/>
        <w:right w:val="none" w:sz="0" w:space="0" w:color="auto"/>
      </w:divBdr>
    </w:div>
    <w:div w:id="1752389207">
      <w:bodyDiv w:val="1"/>
      <w:marLeft w:val="0"/>
      <w:marRight w:val="0"/>
      <w:marTop w:val="0"/>
      <w:marBottom w:val="0"/>
      <w:divBdr>
        <w:top w:val="none" w:sz="0" w:space="0" w:color="auto"/>
        <w:left w:val="none" w:sz="0" w:space="0" w:color="auto"/>
        <w:bottom w:val="none" w:sz="0" w:space="0" w:color="auto"/>
        <w:right w:val="none" w:sz="0" w:space="0" w:color="auto"/>
      </w:divBdr>
    </w:div>
    <w:div w:id="1766226956">
      <w:bodyDiv w:val="1"/>
      <w:marLeft w:val="0"/>
      <w:marRight w:val="0"/>
      <w:marTop w:val="0"/>
      <w:marBottom w:val="0"/>
      <w:divBdr>
        <w:top w:val="none" w:sz="0" w:space="0" w:color="auto"/>
        <w:left w:val="none" w:sz="0" w:space="0" w:color="auto"/>
        <w:bottom w:val="none" w:sz="0" w:space="0" w:color="auto"/>
        <w:right w:val="none" w:sz="0" w:space="0" w:color="auto"/>
      </w:divBdr>
    </w:div>
    <w:div w:id="1769353055">
      <w:bodyDiv w:val="1"/>
      <w:marLeft w:val="0"/>
      <w:marRight w:val="0"/>
      <w:marTop w:val="0"/>
      <w:marBottom w:val="0"/>
      <w:divBdr>
        <w:top w:val="none" w:sz="0" w:space="0" w:color="auto"/>
        <w:left w:val="none" w:sz="0" w:space="0" w:color="auto"/>
        <w:bottom w:val="none" w:sz="0" w:space="0" w:color="auto"/>
        <w:right w:val="none" w:sz="0" w:space="0" w:color="auto"/>
      </w:divBdr>
    </w:div>
    <w:div w:id="1776828419">
      <w:bodyDiv w:val="1"/>
      <w:marLeft w:val="0"/>
      <w:marRight w:val="0"/>
      <w:marTop w:val="0"/>
      <w:marBottom w:val="0"/>
      <w:divBdr>
        <w:top w:val="none" w:sz="0" w:space="0" w:color="auto"/>
        <w:left w:val="none" w:sz="0" w:space="0" w:color="auto"/>
        <w:bottom w:val="none" w:sz="0" w:space="0" w:color="auto"/>
        <w:right w:val="none" w:sz="0" w:space="0" w:color="auto"/>
      </w:divBdr>
    </w:div>
    <w:div w:id="1788237681">
      <w:bodyDiv w:val="1"/>
      <w:marLeft w:val="0"/>
      <w:marRight w:val="0"/>
      <w:marTop w:val="0"/>
      <w:marBottom w:val="0"/>
      <w:divBdr>
        <w:top w:val="none" w:sz="0" w:space="0" w:color="auto"/>
        <w:left w:val="none" w:sz="0" w:space="0" w:color="auto"/>
        <w:bottom w:val="none" w:sz="0" w:space="0" w:color="auto"/>
        <w:right w:val="none" w:sz="0" w:space="0" w:color="auto"/>
      </w:divBdr>
    </w:div>
    <w:div w:id="1793207939">
      <w:bodyDiv w:val="1"/>
      <w:marLeft w:val="0"/>
      <w:marRight w:val="0"/>
      <w:marTop w:val="0"/>
      <w:marBottom w:val="0"/>
      <w:divBdr>
        <w:top w:val="none" w:sz="0" w:space="0" w:color="auto"/>
        <w:left w:val="none" w:sz="0" w:space="0" w:color="auto"/>
        <w:bottom w:val="none" w:sz="0" w:space="0" w:color="auto"/>
        <w:right w:val="none" w:sz="0" w:space="0" w:color="auto"/>
      </w:divBdr>
    </w:div>
    <w:div w:id="1813475546">
      <w:bodyDiv w:val="1"/>
      <w:marLeft w:val="0"/>
      <w:marRight w:val="0"/>
      <w:marTop w:val="0"/>
      <w:marBottom w:val="0"/>
      <w:divBdr>
        <w:top w:val="none" w:sz="0" w:space="0" w:color="auto"/>
        <w:left w:val="none" w:sz="0" w:space="0" w:color="auto"/>
        <w:bottom w:val="none" w:sz="0" w:space="0" w:color="auto"/>
        <w:right w:val="none" w:sz="0" w:space="0" w:color="auto"/>
      </w:divBdr>
    </w:div>
    <w:div w:id="1815104795">
      <w:bodyDiv w:val="1"/>
      <w:marLeft w:val="0"/>
      <w:marRight w:val="0"/>
      <w:marTop w:val="0"/>
      <w:marBottom w:val="0"/>
      <w:divBdr>
        <w:top w:val="none" w:sz="0" w:space="0" w:color="auto"/>
        <w:left w:val="none" w:sz="0" w:space="0" w:color="auto"/>
        <w:bottom w:val="none" w:sz="0" w:space="0" w:color="auto"/>
        <w:right w:val="none" w:sz="0" w:space="0" w:color="auto"/>
      </w:divBdr>
    </w:div>
    <w:div w:id="1827358890">
      <w:bodyDiv w:val="1"/>
      <w:marLeft w:val="0"/>
      <w:marRight w:val="0"/>
      <w:marTop w:val="0"/>
      <w:marBottom w:val="0"/>
      <w:divBdr>
        <w:top w:val="none" w:sz="0" w:space="0" w:color="auto"/>
        <w:left w:val="none" w:sz="0" w:space="0" w:color="auto"/>
        <w:bottom w:val="none" w:sz="0" w:space="0" w:color="auto"/>
        <w:right w:val="none" w:sz="0" w:space="0" w:color="auto"/>
      </w:divBdr>
    </w:div>
    <w:div w:id="1837499474">
      <w:bodyDiv w:val="1"/>
      <w:marLeft w:val="0"/>
      <w:marRight w:val="0"/>
      <w:marTop w:val="0"/>
      <w:marBottom w:val="0"/>
      <w:divBdr>
        <w:top w:val="none" w:sz="0" w:space="0" w:color="auto"/>
        <w:left w:val="none" w:sz="0" w:space="0" w:color="auto"/>
        <w:bottom w:val="none" w:sz="0" w:space="0" w:color="auto"/>
        <w:right w:val="none" w:sz="0" w:space="0" w:color="auto"/>
      </w:divBdr>
    </w:div>
    <w:div w:id="1839029689">
      <w:bodyDiv w:val="1"/>
      <w:marLeft w:val="0"/>
      <w:marRight w:val="0"/>
      <w:marTop w:val="0"/>
      <w:marBottom w:val="0"/>
      <w:divBdr>
        <w:top w:val="none" w:sz="0" w:space="0" w:color="auto"/>
        <w:left w:val="none" w:sz="0" w:space="0" w:color="auto"/>
        <w:bottom w:val="none" w:sz="0" w:space="0" w:color="auto"/>
        <w:right w:val="none" w:sz="0" w:space="0" w:color="auto"/>
      </w:divBdr>
    </w:div>
    <w:div w:id="1843161979">
      <w:bodyDiv w:val="1"/>
      <w:marLeft w:val="0"/>
      <w:marRight w:val="0"/>
      <w:marTop w:val="0"/>
      <w:marBottom w:val="0"/>
      <w:divBdr>
        <w:top w:val="none" w:sz="0" w:space="0" w:color="auto"/>
        <w:left w:val="none" w:sz="0" w:space="0" w:color="auto"/>
        <w:bottom w:val="none" w:sz="0" w:space="0" w:color="auto"/>
        <w:right w:val="none" w:sz="0" w:space="0" w:color="auto"/>
      </w:divBdr>
    </w:div>
    <w:div w:id="1851412719">
      <w:bodyDiv w:val="1"/>
      <w:marLeft w:val="0"/>
      <w:marRight w:val="0"/>
      <w:marTop w:val="0"/>
      <w:marBottom w:val="0"/>
      <w:divBdr>
        <w:top w:val="none" w:sz="0" w:space="0" w:color="auto"/>
        <w:left w:val="none" w:sz="0" w:space="0" w:color="auto"/>
        <w:bottom w:val="none" w:sz="0" w:space="0" w:color="auto"/>
        <w:right w:val="none" w:sz="0" w:space="0" w:color="auto"/>
      </w:divBdr>
    </w:div>
    <w:div w:id="1855613135">
      <w:bodyDiv w:val="1"/>
      <w:marLeft w:val="0"/>
      <w:marRight w:val="0"/>
      <w:marTop w:val="0"/>
      <w:marBottom w:val="0"/>
      <w:divBdr>
        <w:top w:val="none" w:sz="0" w:space="0" w:color="auto"/>
        <w:left w:val="none" w:sz="0" w:space="0" w:color="auto"/>
        <w:bottom w:val="none" w:sz="0" w:space="0" w:color="auto"/>
        <w:right w:val="none" w:sz="0" w:space="0" w:color="auto"/>
      </w:divBdr>
    </w:div>
    <w:div w:id="1864049319">
      <w:bodyDiv w:val="1"/>
      <w:marLeft w:val="0"/>
      <w:marRight w:val="0"/>
      <w:marTop w:val="0"/>
      <w:marBottom w:val="0"/>
      <w:divBdr>
        <w:top w:val="none" w:sz="0" w:space="0" w:color="auto"/>
        <w:left w:val="none" w:sz="0" w:space="0" w:color="auto"/>
        <w:bottom w:val="none" w:sz="0" w:space="0" w:color="auto"/>
        <w:right w:val="none" w:sz="0" w:space="0" w:color="auto"/>
      </w:divBdr>
    </w:div>
    <w:div w:id="1870024705">
      <w:bodyDiv w:val="1"/>
      <w:marLeft w:val="0"/>
      <w:marRight w:val="0"/>
      <w:marTop w:val="0"/>
      <w:marBottom w:val="0"/>
      <w:divBdr>
        <w:top w:val="none" w:sz="0" w:space="0" w:color="auto"/>
        <w:left w:val="none" w:sz="0" w:space="0" w:color="auto"/>
        <w:bottom w:val="none" w:sz="0" w:space="0" w:color="auto"/>
        <w:right w:val="none" w:sz="0" w:space="0" w:color="auto"/>
      </w:divBdr>
    </w:div>
    <w:div w:id="1882473586">
      <w:bodyDiv w:val="1"/>
      <w:marLeft w:val="0"/>
      <w:marRight w:val="0"/>
      <w:marTop w:val="0"/>
      <w:marBottom w:val="0"/>
      <w:divBdr>
        <w:top w:val="none" w:sz="0" w:space="0" w:color="auto"/>
        <w:left w:val="none" w:sz="0" w:space="0" w:color="auto"/>
        <w:bottom w:val="none" w:sz="0" w:space="0" w:color="auto"/>
        <w:right w:val="none" w:sz="0" w:space="0" w:color="auto"/>
      </w:divBdr>
    </w:div>
    <w:div w:id="1895505299">
      <w:bodyDiv w:val="1"/>
      <w:marLeft w:val="0"/>
      <w:marRight w:val="0"/>
      <w:marTop w:val="0"/>
      <w:marBottom w:val="0"/>
      <w:divBdr>
        <w:top w:val="none" w:sz="0" w:space="0" w:color="auto"/>
        <w:left w:val="none" w:sz="0" w:space="0" w:color="auto"/>
        <w:bottom w:val="none" w:sz="0" w:space="0" w:color="auto"/>
        <w:right w:val="none" w:sz="0" w:space="0" w:color="auto"/>
      </w:divBdr>
    </w:div>
    <w:div w:id="1903515131">
      <w:bodyDiv w:val="1"/>
      <w:marLeft w:val="0"/>
      <w:marRight w:val="0"/>
      <w:marTop w:val="0"/>
      <w:marBottom w:val="0"/>
      <w:divBdr>
        <w:top w:val="none" w:sz="0" w:space="0" w:color="auto"/>
        <w:left w:val="none" w:sz="0" w:space="0" w:color="auto"/>
        <w:bottom w:val="none" w:sz="0" w:space="0" w:color="auto"/>
        <w:right w:val="none" w:sz="0" w:space="0" w:color="auto"/>
      </w:divBdr>
    </w:div>
    <w:div w:id="1905871386">
      <w:bodyDiv w:val="1"/>
      <w:marLeft w:val="0"/>
      <w:marRight w:val="0"/>
      <w:marTop w:val="0"/>
      <w:marBottom w:val="0"/>
      <w:divBdr>
        <w:top w:val="none" w:sz="0" w:space="0" w:color="auto"/>
        <w:left w:val="none" w:sz="0" w:space="0" w:color="auto"/>
        <w:bottom w:val="none" w:sz="0" w:space="0" w:color="auto"/>
        <w:right w:val="none" w:sz="0" w:space="0" w:color="auto"/>
      </w:divBdr>
    </w:div>
    <w:div w:id="1912764666">
      <w:bodyDiv w:val="1"/>
      <w:marLeft w:val="0"/>
      <w:marRight w:val="0"/>
      <w:marTop w:val="0"/>
      <w:marBottom w:val="0"/>
      <w:divBdr>
        <w:top w:val="none" w:sz="0" w:space="0" w:color="auto"/>
        <w:left w:val="none" w:sz="0" w:space="0" w:color="auto"/>
        <w:bottom w:val="none" w:sz="0" w:space="0" w:color="auto"/>
        <w:right w:val="none" w:sz="0" w:space="0" w:color="auto"/>
      </w:divBdr>
    </w:div>
    <w:div w:id="1914465132">
      <w:bodyDiv w:val="1"/>
      <w:marLeft w:val="0"/>
      <w:marRight w:val="0"/>
      <w:marTop w:val="0"/>
      <w:marBottom w:val="0"/>
      <w:divBdr>
        <w:top w:val="none" w:sz="0" w:space="0" w:color="auto"/>
        <w:left w:val="none" w:sz="0" w:space="0" w:color="auto"/>
        <w:bottom w:val="none" w:sz="0" w:space="0" w:color="auto"/>
        <w:right w:val="none" w:sz="0" w:space="0" w:color="auto"/>
      </w:divBdr>
    </w:div>
    <w:div w:id="1934438728">
      <w:bodyDiv w:val="1"/>
      <w:marLeft w:val="0"/>
      <w:marRight w:val="0"/>
      <w:marTop w:val="0"/>
      <w:marBottom w:val="0"/>
      <w:divBdr>
        <w:top w:val="none" w:sz="0" w:space="0" w:color="auto"/>
        <w:left w:val="none" w:sz="0" w:space="0" w:color="auto"/>
        <w:bottom w:val="none" w:sz="0" w:space="0" w:color="auto"/>
        <w:right w:val="none" w:sz="0" w:space="0" w:color="auto"/>
      </w:divBdr>
    </w:div>
    <w:div w:id="1945453458">
      <w:bodyDiv w:val="1"/>
      <w:marLeft w:val="0"/>
      <w:marRight w:val="0"/>
      <w:marTop w:val="0"/>
      <w:marBottom w:val="0"/>
      <w:divBdr>
        <w:top w:val="none" w:sz="0" w:space="0" w:color="auto"/>
        <w:left w:val="none" w:sz="0" w:space="0" w:color="auto"/>
        <w:bottom w:val="none" w:sz="0" w:space="0" w:color="auto"/>
        <w:right w:val="none" w:sz="0" w:space="0" w:color="auto"/>
      </w:divBdr>
    </w:div>
    <w:div w:id="1962564650">
      <w:bodyDiv w:val="1"/>
      <w:marLeft w:val="0"/>
      <w:marRight w:val="0"/>
      <w:marTop w:val="0"/>
      <w:marBottom w:val="0"/>
      <w:divBdr>
        <w:top w:val="none" w:sz="0" w:space="0" w:color="auto"/>
        <w:left w:val="none" w:sz="0" w:space="0" w:color="auto"/>
        <w:bottom w:val="none" w:sz="0" w:space="0" w:color="auto"/>
        <w:right w:val="none" w:sz="0" w:space="0" w:color="auto"/>
      </w:divBdr>
    </w:div>
    <w:div w:id="1964194642">
      <w:bodyDiv w:val="1"/>
      <w:marLeft w:val="0"/>
      <w:marRight w:val="0"/>
      <w:marTop w:val="0"/>
      <w:marBottom w:val="0"/>
      <w:divBdr>
        <w:top w:val="none" w:sz="0" w:space="0" w:color="auto"/>
        <w:left w:val="none" w:sz="0" w:space="0" w:color="auto"/>
        <w:bottom w:val="none" w:sz="0" w:space="0" w:color="auto"/>
        <w:right w:val="none" w:sz="0" w:space="0" w:color="auto"/>
      </w:divBdr>
    </w:div>
    <w:div w:id="1967005814">
      <w:bodyDiv w:val="1"/>
      <w:marLeft w:val="0"/>
      <w:marRight w:val="0"/>
      <w:marTop w:val="0"/>
      <w:marBottom w:val="0"/>
      <w:divBdr>
        <w:top w:val="none" w:sz="0" w:space="0" w:color="auto"/>
        <w:left w:val="none" w:sz="0" w:space="0" w:color="auto"/>
        <w:bottom w:val="none" w:sz="0" w:space="0" w:color="auto"/>
        <w:right w:val="none" w:sz="0" w:space="0" w:color="auto"/>
      </w:divBdr>
    </w:div>
    <w:div w:id="1968466440">
      <w:bodyDiv w:val="1"/>
      <w:marLeft w:val="0"/>
      <w:marRight w:val="0"/>
      <w:marTop w:val="0"/>
      <w:marBottom w:val="0"/>
      <w:divBdr>
        <w:top w:val="none" w:sz="0" w:space="0" w:color="auto"/>
        <w:left w:val="none" w:sz="0" w:space="0" w:color="auto"/>
        <w:bottom w:val="none" w:sz="0" w:space="0" w:color="auto"/>
        <w:right w:val="none" w:sz="0" w:space="0" w:color="auto"/>
      </w:divBdr>
    </w:div>
    <w:div w:id="1979023221">
      <w:bodyDiv w:val="1"/>
      <w:marLeft w:val="0"/>
      <w:marRight w:val="0"/>
      <w:marTop w:val="0"/>
      <w:marBottom w:val="0"/>
      <w:divBdr>
        <w:top w:val="none" w:sz="0" w:space="0" w:color="auto"/>
        <w:left w:val="none" w:sz="0" w:space="0" w:color="auto"/>
        <w:bottom w:val="none" w:sz="0" w:space="0" w:color="auto"/>
        <w:right w:val="none" w:sz="0" w:space="0" w:color="auto"/>
      </w:divBdr>
    </w:div>
    <w:div w:id="1982029430">
      <w:bodyDiv w:val="1"/>
      <w:marLeft w:val="0"/>
      <w:marRight w:val="0"/>
      <w:marTop w:val="0"/>
      <w:marBottom w:val="0"/>
      <w:divBdr>
        <w:top w:val="none" w:sz="0" w:space="0" w:color="auto"/>
        <w:left w:val="none" w:sz="0" w:space="0" w:color="auto"/>
        <w:bottom w:val="none" w:sz="0" w:space="0" w:color="auto"/>
        <w:right w:val="none" w:sz="0" w:space="0" w:color="auto"/>
      </w:divBdr>
    </w:div>
    <w:div w:id="1998875269">
      <w:bodyDiv w:val="1"/>
      <w:marLeft w:val="0"/>
      <w:marRight w:val="0"/>
      <w:marTop w:val="0"/>
      <w:marBottom w:val="0"/>
      <w:divBdr>
        <w:top w:val="none" w:sz="0" w:space="0" w:color="auto"/>
        <w:left w:val="none" w:sz="0" w:space="0" w:color="auto"/>
        <w:bottom w:val="none" w:sz="0" w:space="0" w:color="auto"/>
        <w:right w:val="none" w:sz="0" w:space="0" w:color="auto"/>
      </w:divBdr>
    </w:div>
    <w:div w:id="2009404035">
      <w:bodyDiv w:val="1"/>
      <w:marLeft w:val="0"/>
      <w:marRight w:val="0"/>
      <w:marTop w:val="0"/>
      <w:marBottom w:val="0"/>
      <w:divBdr>
        <w:top w:val="none" w:sz="0" w:space="0" w:color="auto"/>
        <w:left w:val="none" w:sz="0" w:space="0" w:color="auto"/>
        <w:bottom w:val="none" w:sz="0" w:space="0" w:color="auto"/>
        <w:right w:val="none" w:sz="0" w:space="0" w:color="auto"/>
      </w:divBdr>
    </w:div>
    <w:div w:id="2018385592">
      <w:bodyDiv w:val="1"/>
      <w:marLeft w:val="0"/>
      <w:marRight w:val="0"/>
      <w:marTop w:val="0"/>
      <w:marBottom w:val="0"/>
      <w:divBdr>
        <w:top w:val="none" w:sz="0" w:space="0" w:color="auto"/>
        <w:left w:val="none" w:sz="0" w:space="0" w:color="auto"/>
        <w:bottom w:val="none" w:sz="0" w:space="0" w:color="auto"/>
        <w:right w:val="none" w:sz="0" w:space="0" w:color="auto"/>
      </w:divBdr>
    </w:div>
    <w:div w:id="2027125483">
      <w:bodyDiv w:val="1"/>
      <w:marLeft w:val="0"/>
      <w:marRight w:val="0"/>
      <w:marTop w:val="0"/>
      <w:marBottom w:val="0"/>
      <w:divBdr>
        <w:top w:val="none" w:sz="0" w:space="0" w:color="auto"/>
        <w:left w:val="none" w:sz="0" w:space="0" w:color="auto"/>
        <w:bottom w:val="none" w:sz="0" w:space="0" w:color="auto"/>
        <w:right w:val="none" w:sz="0" w:space="0" w:color="auto"/>
      </w:divBdr>
    </w:div>
    <w:div w:id="2035035950">
      <w:bodyDiv w:val="1"/>
      <w:marLeft w:val="0"/>
      <w:marRight w:val="0"/>
      <w:marTop w:val="0"/>
      <w:marBottom w:val="0"/>
      <w:divBdr>
        <w:top w:val="none" w:sz="0" w:space="0" w:color="auto"/>
        <w:left w:val="none" w:sz="0" w:space="0" w:color="auto"/>
        <w:bottom w:val="none" w:sz="0" w:space="0" w:color="auto"/>
        <w:right w:val="none" w:sz="0" w:space="0" w:color="auto"/>
      </w:divBdr>
    </w:div>
    <w:div w:id="2047945037">
      <w:bodyDiv w:val="1"/>
      <w:marLeft w:val="0"/>
      <w:marRight w:val="0"/>
      <w:marTop w:val="0"/>
      <w:marBottom w:val="0"/>
      <w:divBdr>
        <w:top w:val="none" w:sz="0" w:space="0" w:color="auto"/>
        <w:left w:val="none" w:sz="0" w:space="0" w:color="auto"/>
        <w:bottom w:val="none" w:sz="0" w:space="0" w:color="auto"/>
        <w:right w:val="none" w:sz="0" w:space="0" w:color="auto"/>
      </w:divBdr>
    </w:div>
    <w:div w:id="2052461410">
      <w:bodyDiv w:val="1"/>
      <w:marLeft w:val="0"/>
      <w:marRight w:val="0"/>
      <w:marTop w:val="0"/>
      <w:marBottom w:val="0"/>
      <w:divBdr>
        <w:top w:val="none" w:sz="0" w:space="0" w:color="auto"/>
        <w:left w:val="none" w:sz="0" w:space="0" w:color="auto"/>
        <w:bottom w:val="none" w:sz="0" w:space="0" w:color="auto"/>
        <w:right w:val="none" w:sz="0" w:space="0" w:color="auto"/>
      </w:divBdr>
    </w:div>
    <w:div w:id="2066027670">
      <w:bodyDiv w:val="1"/>
      <w:marLeft w:val="0"/>
      <w:marRight w:val="0"/>
      <w:marTop w:val="0"/>
      <w:marBottom w:val="0"/>
      <w:divBdr>
        <w:top w:val="none" w:sz="0" w:space="0" w:color="auto"/>
        <w:left w:val="none" w:sz="0" w:space="0" w:color="auto"/>
        <w:bottom w:val="none" w:sz="0" w:space="0" w:color="auto"/>
        <w:right w:val="none" w:sz="0" w:space="0" w:color="auto"/>
      </w:divBdr>
    </w:div>
    <w:div w:id="2088182358">
      <w:bodyDiv w:val="1"/>
      <w:marLeft w:val="0"/>
      <w:marRight w:val="0"/>
      <w:marTop w:val="0"/>
      <w:marBottom w:val="0"/>
      <w:divBdr>
        <w:top w:val="none" w:sz="0" w:space="0" w:color="auto"/>
        <w:left w:val="none" w:sz="0" w:space="0" w:color="auto"/>
        <w:bottom w:val="none" w:sz="0" w:space="0" w:color="auto"/>
        <w:right w:val="none" w:sz="0" w:space="0" w:color="auto"/>
      </w:divBdr>
    </w:div>
    <w:div w:id="2095593089">
      <w:bodyDiv w:val="1"/>
      <w:marLeft w:val="0"/>
      <w:marRight w:val="0"/>
      <w:marTop w:val="0"/>
      <w:marBottom w:val="0"/>
      <w:divBdr>
        <w:top w:val="none" w:sz="0" w:space="0" w:color="auto"/>
        <w:left w:val="none" w:sz="0" w:space="0" w:color="auto"/>
        <w:bottom w:val="none" w:sz="0" w:space="0" w:color="auto"/>
        <w:right w:val="none" w:sz="0" w:space="0" w:color="auto"/>
      </w:divBdr>
    </w:div>
    <w:div w:id="2095786511">
      <w:bodyDiv w:val="1"/>
      <w:marLeft w:val="0"/>
      <w:marRight w:val="0"/>
      <w:marTop w:val="0"/>
      <w:marBottom w:val="0"/>
      <w:divBdr>
        <w:top w:val="none" w:sz="0" w:space="0" w:color="auto"/>
        <w:left w:val="none" w:sz="0" w:space="0" w:color="auto"/>
        <w:bottom w:val="none" w:sz="0" w:space="0" w:color="auto"/>
        <w:right w:val="none" w:sz="0" w:space="0" w:color="auto"/>
      </w:divBdr>
    </w:div>
    <w:div w:id="2100522083">
      <w:bodyDiv w:val="1"/>
      <w:marLeft w:val="0"/>
      <w:marRight w:val="0"/>
      <w:marTop w:val="0"/>
      <w:marBottom w:val="0"/>
      <w:divBdr>
        <w:top w:val="none" w:sz="0" w:space="0" w:color="auto"/>
        <w:left w:val="none" w:sz="0" w:space="0" w:color="auto"/>
        <w:bottom w:val="none" w:sz="0" w:space="0" w:color="auto"/>
        <w:right w:val="none" w:sz="0" w:space="0" w:color="auto"/>
      </w:divBdr>
    </w:div>
    <w:div w:id="2101683804">
      <w:bodyDiv w:val="1"/>
      <w:marLeft w:val="0"/>
      <w:marRight w:val="0"/>
      <w:marTop w:val="0"/>
      <w:marBottom w:val="0"/>
      <w:divBdr>
        <w:top w:val="none" w:sz="0" w:space="0" w:color="auto"/>
        <w:left w:val="none" w:sz="0" w:space="0" w:color="auto"/>
        <w:bottom w:val="none" w:sz="0" w:space="0" w:color="auto"/>
        <w:right w:val="none" w:sz="0" w:space="0" w:color="auto"/>
      </w:divBdr>
    </w:div>
    <w:div w:id="2113624838">
      <w:bodyDiv w:val="1"/>
      <w:marLeft w:val="0"/>
      <w:marRight w:val="0"/>
      <w:marTop w:val="0"/>
      <w:marBottom w:val="0"/>
      <w:divBdr>
        <w:top w:val="none" w:sz="0" w:space="0" w:color="auto"/>
        <w:left w:val="none" w:sz="0" w:space="0" w:color="auto"/>
        <w:bottom w:val="none" w:sz="0" w:space="0" w:color="auto"/>
        <w:right w:val="none" w:sz="0" w:space="0" w:color="auto"/>
      </w:divBdr>
    </w:div>
    <w:div w:id="2115703692">
      <w:bodyDiv w:val="1"/>
      <w:marLeft w:val="0"/>
      <w:marRight w:val="0"/>
      <w:marTop w:val="0"/>
      <w:marBottom w:val="0"/>
      <w:divBdr>
        <w:top w:val="none" w:sz="0" w:space="0" w:color="auto"/>
        <w:left w:val="none" w:sz="0" w:space="0" w:color="auto"/>
        <w:bottom w:val="none" w:sz="0" w:space="0" w:color="auto"/>
        <w:right w:val="none" w:sz="0" w:space="0" w:color="auto"/>
      </w:divBdr>
    </w:div>
    <w:div w:id="2121488344">
      <w:bodyDiv w:val="1"/>
      <w:marLeft w:val="0"/>
      <w:marRight w:val="0"/>
      <w:marTop w:val="0"/>
      <w:marBottom w:val="0"/>
      <w:divBdr>
        <w:top w:val="none" w:sz="0" w:space="0" w:color="auto"/>
        <w:left w:val="none" w:sz="0" w:space="0" w:color="auto"/>
        <w:bottom w:val="none" w:sz="0" w:space="0" w:color="auto"/>
        <w:right w:val="none" w:sz="0" w:space="0" w:color="auto"/>
      </w:divBdr>
    </w:div>
    <w:div w:id="21458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uppd.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f.uppd@gov.si" TargetMode="Externa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file:///\\Mfuppdw64sedc05\MF81004\LEO%20TUKAJ%20DELA%20KOT%20ZAMORC\Letna%20poro&#269;ila\2022\Grafi_Tabele\PodaneKO%20torta-OBVINFAA%20Graf_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548014806006175E-2"/>
          <c:y val="4.3160498447748871E-2"/>
          <c:w val="0.90987868284228768"/>
          <c:h val="0.73672055427251981"/>
        </c:manualLayout>
      </c:layout>
      <c:lineChart>
        <c:grouping val="standard"/>
        <c:varyColors val="0"/>
        <c:ser>
          <c:idx val="0"/>
          <c:order val="0"/>
          <c:tx>
            <c:strRef>
              <c:f>Sheet1!$B$2</c:f>
              <c:strCache>
                <c:ptCount val="1"/>
                <c:pt idx="0">
                  <c:v>Filed criminal reports of the Police</c:v>
                </c:pt>
              </c:strCache>
            </c:strRef>
          </c:tx>
          <c:spPr>
            <a:ln w="38100">
              <a:solidFill>
                <a:srgbClr val="000080"/>
              </a:solidFill>
              <a:prstDash val="solid"/>
            </a:ln>
          </c:spPr>
          <c:marker>
            <c:symbol val="square"/>
            <c:size val="5"/>
            <c:spPr>
              <a:solidFill>
                <a:srgbClr val="000080"/>
              </a:solidFill>
              <a:ln>
                <a:solidFill>
                  <a:srgbClr val="000080"/>
                </a:solidFill>
                <a:prstDash val="solid"/>
              </a:ln>
            </c:spPr>
          </c:marker>
          <c:dLbls>
            <c:dLbl>
              <c:idx val="0"/>
              <c:layout>
                <c:manualLayout>
                  <c:x val="-2.7963597631716592E-2"/>
                  <c:y val="-5.27545070145677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7D-4C13-B387-8CBBFFF41623}"/>
                </c:ext>
              </c:extLst>
            </c:dLbl>
            <c:dLbl>
              <c:idx val="1"/>
              <c:layout>
                <c:manualLayout>
                  <c:x val="-2.6230526270532798E-2"/>
                  <c:y val="-3.34208693024226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7D-4C13-B387-8CBBFFF41623}"/>
                </c:ext>
              </c:extLst>
            </c:dLbl>
            <c:dLbl>
              <c:idx val="2"/>
              <c:layout>
                <c:manualLayout>
                  <c:x val="-3.1429863921481005E-2"/>
                  <c:y val="-4.3714529910089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7D-4C13-B387-8CBBFFF41623}"/>
                </c:ext>
              </c:extLst>
            </c:dLbl>
            <c:dLbl>
              <c:idx val="3"/>
              <c:layout>
                <c:manualLayout>
                  <c:x val="-3.489609931939601E-2"/>
                  <c:y val="-3.546639179484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7D-4C13-B387-8CBBFFF41623}"/>
                </c:ext>
              </c:extLst>
            </c:dLbl>
            <c:dLbl>
              <c:idx val="4"/>
              <c:layout>
                <c:manualLayout>
                  <c:x val="-8.3231667399355867E-3"/>
                  <c:y val="-3.57890608501523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7D-4C13-B387-8CBBFFF41623}"/>
                </c:ext>
              </c:extLst>
            </c:dLbl>
            <c:dLbl>
              <c:idx val="5"/>
              <c:layout>
                <c:manualLayout>
                  <c:x val="-1.1012176500732255E-2"/>
                  <c:y val="3.1928480204342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F7D-4C13-B387-8CBBFFF41623}"/>
                </c:ext>
              </c:extLst>
            </c:dLbl>
            <c:dLbl>
              <c:idx val="6"/>
              <c:layout>
                <c:manualLayout>
                  <c:x val="-1.3214403700033036E-2"/>
                  <c:y val="-2.2349936143039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F7D-4C13-B387-8CBBFFF41623}"/>
                </c:ext>
              </c:extLst>
            </c:dLbl>
            <c:spPr>
              <a:noFill/>
              <a:ln w="25400">
                <a:noFill/>
              </a:ln>
            </c:spPr>
            <c:txPr>
              <a:bodyPr/>
              <a:lstStyle/>
              <a:p>
                <a:pPr>
                  <a:defRPr sz="10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Sheet1!$E$1:$M$1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Sheet1!$E$2:$M$2</c:f>
              <c:numCache>
                <c:formatCode>General</c:formatCode>
                <c:ptCount val="9"/>
                <c:pt idx="0">
                  <c:v>49</c:v>
                </c:pt>
                <c:pt idx="1">
                  <c:v>62</c:v>
                </c:pt>
                <c:pt idx="2">
                  <c:v>47</c:v>
                </c:pt>
                <c:pt idx="3">
                  <c:v>39</c:v>
                </c:pt>
                <c:pt idx="4">
                  <c:v>42</c:v>
                </c:pt>
                <c:pt idx="5">
                  <c:v>41</c:v>
                </c:pt>
                <c:pt idx="6">
                  <c:v>21</c:v>
                </c:pt>
                <c:pt idx="7">
                  <c:v>44</c:v>
                </c:pt>
                <c:pt idx="8">
                  <c:v>26</c:v>
                </c:pt>
              </c:numCache>
            </c:numRef>
          </c:val>
          <c:smooth val="0"/>
          <c:extLst>
            <c:ext xmlns:c16="http://schemas.microsoft.com/office/drawing/2014/chart" uri="{C3380CC4-5D6E-409C-BE32-E72D297353CC}">
              <c16:uniqueId val="{00000007-2F7D-4C13-B387-8CBBFFF41623}"/>
            </c:ext>
          </c:extLst>
        </c:ser>
        <c:ser>
          <c:idx val="1"/>
          <c:order val="1"/>
          <c:tx>
            <c:strRef>
              <c:f>Sheet1!$B$3</c:f>
              <c:strCache>
                <c:ptCount val="1"/>
                <c:pt idx="0">
                  <c:v>Information of the OMLP</c:v>
                </c:pt>
              </c:strCache>
            </c:strRef>
          </c:tx>
          <c:spPr>
            <a:ln w="38100">
              <a:solidFill>
                <a:srgbClr val="800080"/>
              </a:solidFill>
              <a:prstDash val="solid"/>
            </a:ln>
          </c:spPr>
          <c:marker>
            <c:symbol val="square"/>
            <c:size val="5"/>
            <c:spPr>
              <a:solidFill>
                <a:srgbClr val="800080"/>
              </a:solidFill>
              <a:ln>
                <a:solidFill>
                  <a:srgbClr val="800080"/>
                </a:solidFill>
                <a:prstDash val="solid"/>
              </a:ln>
            </c:spPr>
          </c:marker>
          <c:dLbls>
            <c:dLbl>
              <c:idx val="0"/>
              <c:layout>
                <c:manualLayout>
                  <c:x val="-1.0632575101387315E-2"/>
                  <c:y val="-2.91648330332842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7D-4C13-B387-8CBBFFF41623}"/>
                </c:ext>
              </c:extLst>
            </c:dLbl>
            <c:dLbl>
              <c:idx val="1"/>
              <c:layout>
                <c:manualLayout>
                  <c:x val="-1.7565015005368261E-2"/>
                  <c:y val="-2.34901100699596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F7D-4C13-B387-8CBBFFF41623}"/>
                </c:ext>
              </c:extLst>
            </c:dLbl>
            <c:dLbl>
              <c:idx val="2"/>
              <c:layout>
                <c:manualLayout>
                  <c:x val="-2.4497454909349237E-2"/>
                  <c:y val="-3.55653468403053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7D-4C13-B387-8CBBFFF41623}"/>
                </c:ext>
              </c:extLst>
            </c:dLbl>
            <c:dLbl>
              <c:idx val="3"/>
              <c:layout>
                <c:manualLayout>
                  <c:x val="-3.489609931939601E-2"/>
                  <c:y val="-3.50374541808140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F7D-4C13-B387-8CBBFFF41623}"/>
                </c:ext>
              </c:extLst>
            </c:dLbl>
            <c:dLbl>
              <c:idx val="4"/>
              <c:layout>
                <c:manualLayout>
                  <c:x val="-3.4896130211245421E-2"/>
                  <c:y val="-3.75450555328966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F7D-4C13-B387-8CBBFFF41623}"/>
                </c:ext>
              </c:extLst>
            </c:dLbl>
            <c:spPr>
              <a:noFill/>
              <a:ln w="25400">
                <a:noFill/>
              </a:ln>
            </c:spPr>
            <c:txPr>
              <a:bodyPr/>
              <a:lstStyle/>
              <a:p>
                <a:pPr>
                  <a:defRPr sz="10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Sheet1!$E$1:$M$1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Sheet1!$E$3:$M$3</c:f>
              <c:numCache>
                <c:formatCode>General</c:formatCode>
                <c:ptCount val="9"/>
                <c:pt idx="0">
                  <c:v>26</c:v>
                </c:pt>
                <c:pt idx="1">
                  <c:v>42</c:v>
                </c:pt>
                <c:pt idx="2">
                  <c:v>23</c:v>
                </c:pt>
                <c:pt idx="3">
                  <c:v>19</c:v>
                </c:pt>
                <c:pt idx="4">
                  <c:v>31</c:v>
                </c:pt>
                <c:pt idx="5">
                  <c:v>21</c:v>
                </c:pt>
                <c:pt idx="6">
                  <c:v>18</c:v>
                </c:pt>
                <c:pt idx="7">
                  <c:v>24</c:v>
                </c:pt>
                <c:pt idx="8">
                  <c:v>23</c:v>
                </c:pt>
              </c:numCache>
            </c:numRef>
          </c:val>
          <c:smooth val="0"/>
          <c:extLst>
            <c:ext xmlns:c16="http://schemas.microsoft.com/office/drawing/2014/chart" uri="{C3380CC4-5D6E-409C-BE32-E72D297353CC}">
              <c16:uniqueId val="{0000000D-2F7D-4C13-B387-8CBBFFF41623}"/>
            </c:ext>
          </c:extLst>
        </c:ser>
        <c:dLbls>
          <c:showLegendKey val="0"/>
          <c:showVal val="0"/>
          <c:showCatName val="0"/>
          <c:showSerName val="0"/>
          <c:showPercent val="0"/>
          <c:showBubbleSize val="0"/>
        </c:dLbls>
        <c:marker val="1"/>
        <c:smooth val="0"/>
        <c:axId val="77733888"/>
        <c:axId val="77735424"/>
      </c:lineChart>
      <c:catAx>
        <c:axId val="777338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77735424"/>
        <c:crosses val="autoZero"/>
        <c:auto val="1"/>
        <c:lblAlgn val="ctr"/>
        <c:lblOffset val="100"/>
        <c:tickMarkSkip val="1"/>
        <c:noMultiLvlLbl val="0"/>
      </c:catAx>
      <c:valAx>
        <c:axId val="777354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77733888"/>
        <c:crosses val="autoZero"/>
        <c:crossBetween val="between"/>
      </c:valAx>
      <c:spPr>
        <a:solidFill>
          <a:srgbClr val="C0C0C0"/>
        </a:solidFill>
        <a:ln w="12700">
          <a:solidFill>
            <a:srgbClr val="808080"/>
          </a:solidFill>
          <a:prstDash val="solid"/>
        </a:ln>
      </c:spPr>
    </c:plotArea>
    <c:legend>
      <c:legendPos val="b"/>
      <c:layout>
        <c:manualLayout>
          <c:xMode val="edge"/>
          <c:yMode val="edge"/>
          <c:x val="0.14384748700173397"/>
          <c:y val="0.84988452655889546"/>
          <c:w val="0.72963604852686303"/>
          <c:h val="0.13856812933025403"/>
        </c:manualLayout>
      </c:layout>
      <c:overlay val="0"/>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sl-SI"/>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6B3C42-D0FD-4BAB-9439-F162A1687578}"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sl-SI"/>
        </a:p>
      </dgm:t>
    </dgm:pt>
    <dgm:pt modelId="{CDE4CA33-8EA5-4980-9ED1-453489B7D399}">
      <dgm:prSet phldrT="[Text]" custT="1"/>
      <dgm:spPr/>
      <dgm:t>
        <a:bodyPr/>
        <a:lstStyle/>
        <a:p>
          <a:r>
            <a:rPr lang="sl-SI" sz="1000" b="1"/>
            <a:t>DIRECTOR</a:t>
          </a:r>
        </a:p>
      </dgm:t>
    </dgm:pt>
    <dgm:pt modelId="{99793FAB-E232-473E-938F-BAC2CB13FF92}" type="parTrans" cxnId="{2874B1AB-8448-4832-A134-9AF4C5ACBD0B}">
      <dgm:prSet/>
      <dgm:spPr/>
      <dgm:t>
        <a:bodyPr/>
        <a:lstStyle/>
        <a:p>
          <a:endParaRPr lang="sl-SI"/>
        </a:p>
      </dgm:t>
    </dgm:pt>
    <dgm:pt modelId="{59E7A813-2DC4-4365-A6DB-9E681A43D01C}" type="sibTrans" cxnId="{2874B1AB-8448-4832-A134-9AF4C5ACBD0B}">
      <dgm:prSet/>
      <dgm:spPr/>
      <dgm:t>
        <a:bodyPr/>
        <a:lstStyle/>
        <a:p>
          <a:endParaRPr lang="sl-SI"/>
        </a:p>
      </dgm:t>
    </dgm:pt>
    <dgm:pt modelId="{311B6C3E-60C4-4934-A20C-ECD560C11F20}">
      <dgm:prSet phldrT="[Text]" custT="1"/>
      <dgm:spPr/>
      <dgm:t>
        <a:bodyPr/>
        <a:lstStyle/>
        <a:p>
          <a:r>
            <a:rPr lang="sl-SI" sz="800" b="1"/>
            <a:t>DEPARTMENT FOR SUSPICIOUS TRANSACTIONS</a:t>
          </a:r>
        </a:p>
      </dgm:t>
    </dgm:pt>
    <dgm:pt modelId="{F1959DAF-0DF0-4135-B182-8E9D47B75FCB}" type="parTrans" cxnId="{9F67A534-56F8-4415-8B3F-6A1278F4AB8C}">
      <dgm:prSet/>
      <dgm:spPr/>
      <dgm:t>
        <a:bodyPr/>
        <a:lstStyle/>
        <a:p>
          <a:endParaRPr lang="sl-SI" b="0"/>
        </a:p>
      </dgm:t>
      <dgm:extLst>
        <a:ext uri="{E40237B7-FDA0-4F09-8148-C483321AD2D9}">
          <dgm14:cNvPr xmlns:dgm14="http://schemas.microsoft.com/office/drawing/2010/diagram" id="0" name="" descr="Organizational structure of the OMLP."/>
        </a:ext>
      </dgm:extLst>
    </dgm:pt>
    <dgm:pt modelId="{ECBBED83-175B-4EC9-A2F1-1C305DC26738}" type="sibTrans" cxnId="{9F67A534-56F8-4415-8B3F-6A1278F4AB8C}">
      <dgm:prSet/>
      <dgm:spPr/>
      <dgm:t>
        <a:bodyPr/>
        <a:lstStyle/>
        <a:p>
          <a:endParaRPr lang="sl-SI"/>
        </a:p>
      </dgm:t>
    </dgm:pt>
    <dgm:pt modelId="{0C20F1BF-3D17-4C8A-91CC-343CF49568C7}">
      <dgm:prSet phldrT="[Text]" custT="1"/>
      <dgm:spPr/>
      <dgm:t>
        <a:bodyPr/>
        <a:lstStyle/>
        <a:p>
          <a:r>
            <a:rPr lang="sl-SI" sz="800" b="1"/>
            <a:t>DEPARTMENT FOR PREVENTION AND SUPERVISION</a:t>
          </a:r>
        </a:p>
      </dgm:t>
    </dgm:pt>
    <dgm:pt modelId="{CB0F33CE-976F-4837-87C9-C4BBA799B157}" type="parTrans" cxnId="{3FF16DB8-CF95-45EF-871E-A5EE5AFCD873}">
      <dgm:prSet/>
      <dgm:spPr/>
      <dgm:t>
        <a:bodyPr/>
        <a:lstStyle/>
        <a:p>
          <a:endParaRPr lang="sl-SI" b="0"/>
        </a:p>
      </dgm:t>
    </dgm:pt>
    <dgm:pt modelId="{BB270D74-134B-40E1-935C-FA367FBC6CE8}" type="sibTrans" cxnId="{3FF16DB8-CF95-45EF-871E-A5EE5AFCD873}">
      <dgm:prSet/>
      <dgm:spPr/>
      <dgm:t>
        <a:bodyPr/>
        <a:lstStyle/>
        <a:p>
          <a:endParaRPr lang="sl-SI"/>
        </a:p>
      </dgm:t>
    </dgm:pt>
    <dgm:pt modelId="{249CA9CE-C9D9-45CE-A335-AD34F38DB868}">
      <dgm:prSet phldrT="[Text]" custT="1"/>
      <dgm:spPr/>
      <dgm:t>
        <a:bodyPr/>
        <a:lstStyle/>
        <a:p>
          <a:r>
            <a:rPr lang="sl-SI" sz="800" b="1"/>
            <a:t>NTERNATIONAL COOPERATION SERVICE</a:t>
          </a:r>
        </a:p>
      </dgm:t>
    </dgm:pt>
    <dgm:pt modelId="{4692CD74-0415-4F5E-A7E2-21CDFDD353F2}" type="parTrans" cxnId="{CAC25538-1E29-4E44-BDC7-796FAB24CFCA}">
      <dgm:prSet/>
      <dgm:spPr/>
      <dgm:t>
        <a:bodyPr/>
        <a:lstStyle/>
        <a:p>
          <a:endParaRPr lang="sl-SI" b="0"/>
        </a:p>
      </dgm:t>
    </dgm:pt>
    <dgm:pt modelId="{F5EBA827-153C-4485-B03E-9010AE16809D}" type="sibTrans" cxnId="{CAC25538-1E29-4E44-BDC7-796FAB24CFCA}">
      <dgm:prSet/>
      <dgm:spPr/>
      <dgm:t>
        <a:bodyPr/>
        <a:lstStyle/>
        <a:p>
          <a:endParaRPr lang="sl-SI"/>
        </a:p>
      </dgm:t>
    </dgm:pt>
    <dgm:pt modelId="{4BF0A014-8141-4975-AC17-2EF16B692119}">
      <dgm:prSet phldrT="[Text]" custT="1"/>
      <dgm:spPr/>
      <dgm:t>
        <a:bodyPr/>
        <a:lstStyle/>
        <a:p>
          <a:r>
            <a:rPr lang="sl-SI" sz="800" b="1"/>
            <a:t>IT SERVICE</a:t>
          </a:r>
        </a:p>
      </dgm:t>
    </dgm:pt>
    <dgm:pt modelId="{443868E1-E8F8-442D-B53D-CDE76E088A2B}" type="parTrans" cxnId="{A465DD04-0038-43E3-909E-221A647AC077}">
      <dgm:prSet/>
      <dgm:spPr/>
      <dgm:t>
        <a:bodyPr/>
        <a:lstStyle/>
        <a:p>
          <a:endParaRPr lang="sl-SI" b="0"/>
        </a:p>
      </dgm:t>
    </dgm:pt>
    <dgm:pt modelId="{E24AFDE9-420A-410A-848E-B5BC45CE69D6}" type="sibTrans" cxnId="{A465DD04-0038-43E3-909E-221A647AC077}">
      <dgm:prSet/>
      <dgm:spPr/>
      <dgm:t>
        <a:bodyPr/>
        <a:lstStyle/>
        <a:p>
          <a:endParaRPr lang="sl-SI"/>
        </a:p>
      </dgm:t>
    </dgm:pt>
    <dgm:pt modelId="{9A6EFD06-5E70-4414-9E7A-13E097EB9FBD}" type="pres">
      <dgm:prSet presAssocID="{586B3C42-D0FD-4BAB-9439-F162A1687578}" presName="Name0" presStyleCnt="0">
        <dgm:presLayoutVars>
          <dgm:orgChart val="1"/>
          <dgm:chPref val="1"/>
          <dgm:dir/>
          <dgm:animOne val="branch"/>
          <dgm:animLvl val="lvl"/>
          <dgm:resizeHandles/>
        </dgm:presLayoutVars>
      </dgm:prSet>
      <dgm:spPr/>
    </dgm:pt>
    <dgm:pt modelId="{DECADFE4-25A8-49ED-91A3-030077173DCE}" type="pres">
      <dgm:prSet presAssocID="{CDE4CA33-8EA5-4980-9ED1-453489B7D399}" presName="hierRoot1" presStyleCnt="0">
        <dgm:presLayoutVars>
          <dgm:hierBranch val="init"/>
        </dgm:presLayoutVars>
      </dgm:prSet>
      <dgm:spPr/>
    </dgm:pt>
    <dgm:pt modelId="{52654B0D-ABA1-4AF8-9839-035B0D26C8BB}" type="pres">
      <dgm:prSet presAssocID="{CDE4CA33-8EA5-4980-9ED1-453489B7D399}" presName="rootComposite1" presStyleCnt="0"/>
      <dgm:spPr/>
    </dgm:pt>
    <dgm:pt modelId="{B4742C4B-A65C-4DCB-B16B-34A8DF18730E}" type="pres">
      <dgm:prSet presAssocID="{CDE4CA33-8EA5-4980-9ED1-453489B7D399}" presName="rootText1" presStyleLbl="alignAcc1" presStyleIdx="0" presStyleCnt="0">
        <dgm:presLayoutVars>
          <dgm:chPref val="3"/>
        </dgm:presLayoutVars>
      </dgm:prSet>
      <dgm:spPr/>
    </dgm:pt>
    <dgm:pt modelId="{89FF2299-6AC0-4292-8584-A89D7238261D}" type="pres">
      <dgm:prSet presAssocID="{CDE4CA33-8EA5-4980-9ED1-453489B7D399}" presName="topArc1" presStyleLbl="parChTrans1D1" presStyleIdx="0" presStyleCnt="10"/>
      <dgm:spPr/>
    </dgm:pt>
    <dgm:pt modelId="{AC0631C7-35F8-4A3D-B8D7-87B8B0D6DE36}" type="pres">
      <dgm:prSet presAssocID="{CDE4CA33-8EA5-4980-9ED1-453489B7D399}" presName="bottomArc1" presStyleLbl="parChTrans1D1" presStyleIdx="1" presStyleCnt="10"/>
      <dgm:spPr/>
    </dgm:pt>
    <dgm:pt modelId="{909D8165-4F39-414B-9539-3ADFE1EE4EAE}" type="pres">
      <dgm:prSet presAssocID="{CDE4CA33-8EA5-4980-9ED1-453489B7D399}" presName="topConnNode1" presStyleLbl="node1" presStyleIdx="0" presStyleCnt="0"/>
      <dgm:spPr/>
    </dgm:pt>
    <dgm:pt modelId="{CC44DECE-84C2-4B46-8066-BA46CD8F4600}" type="pres">
      <dgm:prSet presAssocID="{CDE4CA33-8EA5-4980-9ED1-453489B7D399}" presName="hierChild2" presStyleCnt="0"/>
      <dgm:spPr/>
    </dgm:pt>
    <dgm:pt modelId="{AB59D8AC-33B6-40C2-9301-0A86DA67EF89}" type="pres">
      <dgm:prSet presAssocID="{F1959DAF-0DF0-4135-B182-8E9D47B75FCB}" presName="Name28" presStyleLbl="parChTrans1D2" presStyleIdx="0" presStyleCnt="4"/>
      <dgm:spPr/>
    </dgm:pt>
    <dgm:pt modelId="{F421A3CC-DA5E-4CD4-8EBA-D6FCA300C9AE}" type="pres">
      <dgm:prSet presAssocID="{311B6C3E-60C4-4934-A20C-ECD560C11F20}" presName="hierRoot2" presStyleCnt="0">
        <dgm:presLayoutVars>
          <dgm:hierBranch val="init"/>
        </dgm:presLayoutVars>
      </dgm:prSet>
      <dgm:spPr/>
    </dgm:pt>
    <dgm:pt modelId="{225A1115-C295-4337-96D3-5DAC09139958}" type="pres">
      <dgm:prSet presAssocID="{311B6C3E-60C4-4934-A20C-ECD560C11F20}" presName="rootComposite2" presStyleCnt="0"/>
      <dgm:spPr/>
    </dgm:pt>
    <dgm:pt modelId="{A2CD6238-78BD-4C91-86A0-227CAC74E8B5}" type="pres">
      <dgm:prSet presAssocID="{311B6C3E-60C4-4934-A20C-ECD560C11F20}" presName="rootText2" presStyleLbl="alignAcc1" presStyleIdx="0" presStyleCnt="0">
        <dgm:presLayoutVars>
          <dgm:chPref val="3"/>
        </dgm:presLayoutVars>
      </dgm:prSet>
      <dgm:spPr/>
    </dgm:pt>
    <dgm:pt modelId="{B12B5010-E99B-44B9-A108-5CCDBBBEFCB8}" type="pres">
      <dgm:prSet presAssocID="{311B6C3E-60C4-4934-A20C-ECD560C11F20}" presName="topArc2" presStyleLbl="parChTrans1D1" presStyleIdx="2" presStyleCnt="10"/>
      <dgm:spPr/>
    </dgm:pt>
    <dgm:pt modelId="{1EE720A8-E4E5-4169-8B28-1296A4CF8F75}" type="pres">
      <dgm:prSet presAssocID="{311B6C3E-60C4-4934-A20C-ECD560C11F20}" presName="bottomArc2" presStyleLbl="parChTrans1D1" presStyleIdx="3" presStyleCnt="10"/>
      <dgm:spPr/>
    </dgm:pt>
    <dgm:pt modelId="{7002F0EE-CD2D-4146-9272-103C0FE26036}" type="pres">
      <dgm:prSet presAssocID="{311B6C3E-60C4-4934-A20C-ECD560C11F20}" presName="topConnNode2" presStyleLbl="node2" presStyleIdx="0" presStyleCnt="0"/>
      <dgm:spPr/>
    </dgm:pt>
    <dgm:pt modelId="{03931ADF-3689-4490-8167-F27ECE77B149}" type="pres">
      <dgm:prSet presAssocID="{311B6C3E-60C4-4934-A20C-ECD560C11F20}" presName="hierChild4" presStyleCnt="0"/>
      <dgm:spPr/>
    </dgm:pt>
    <dgm:pt modelId="{E2A0F4AE-CC20-4747-93AA-F6F1FEFC1EDD}" type="pres">
      <dgm:prSet presAssocID="{311B6C3E-60C4-4934-A20C-ECD560C11F20}" presName="hierChild5" presStyleCnt="0"/>
      <dgm:spPr/>
    </dgm:pt>
    <dgm:pt modelId="{8C0D33F4-096E-4B57-857E-B2915471ECDD}" type="pres">
      <dgm:prSet presAssocID="{443868E1-E8F8-442D-B53D-CDE76E088A2B}" presName="Name28" presStyleLbl="parChTrans1D2" presStyleIdx="1" presStyleCnt="4"/>
      <dgm:spPr/>
    </dgm:pt>
    <dgm:pt modelId="{CC385E24-2B51-4A0A-884B-93D7778248BD}" type="pres">
      <dgm:prSet presAssocID="{4BF0A014-8141-4975-AC17-2EF16B692119}" presName="hierRoot2" presStyleCnt="0">
        <dgm:presLayoutVars>
          <dgm:hierBranch val="init"/>
        </dgm:presLayoutVars>
      </dgm:prSet>
      <dgm:spPr/>
    </dgm:pt>
    <dgm:pt modelId="{676E05F2-1A31-4E76-B891-A0CC583C1BD8}" type="pres">
      <dgm:prSet presAssocID="{4BF0A014-8141-4975-AC17-2EF16B692119}" presName="rootComposite2" presStyleCnt="0"/>
      <dgm:spPr/>
    </dgm:pt>
    <dgm:pt modelId="{71C8070B-1933-4432-A85B-AE01B4CD7DE2}" type="pres">
      <dgm:prSet presAssocID="{4BF0A014-8141-4975-AC17-2EF16B692119}" presName="rootText2" presStyleLbl="alignAcc1" presStyleIdx="0" presStyleCnt="0">
        <dgm:presLayoutVars>
          <dgm:chPref val="3"/>
        </dgm:presLayoutVars>
      </dgm:prSet>
      <dgm:spPr/>
    </dgm:pt>
    <dgm:pt modelId="{FFDC9E2E-C025-4AD9-82CE-9A4496993C83}" type="pres">
      <dgm:prSet presAssocID="{4BF0A014-8141-4975-AC17-2EF16B692119}" presName="topArc2" presStyleLbl="parChTrans1D1" presStyleIdx="4" presStyleCnt="10"/>
      <dgm:spPr/>
    </dgm:pt>
    <dgm:pt modelId="{D3EE6E33-62E1-4DFD-845E-F193507C5B22}" type="pres">
      <dgm:prSet presAssocID="{4BF0A014-8141-4975-AC17-2EF16B692119}" presName="bottomArc2" presStyleLbl="parChTrans1D1" presStyleIdx="5" presStyleCnt="10"/>
      <dgm:spPr/>
    </dgm:pt>
    <dgm:pt modelId="{4FD6C512-DC8C-446D-9764-D964E5E4CD79}" type="pres">
      <dgm:prSet presAssocID="{4BF0A014-8141-4975-AC17-2EF16B692119}" presName="topConnNode2" presStyleLbl="node2" presStyleIdx="0" presStyleCnt="0"/>
      <dgm:spPr/>
    </dgm:pt>
    <dgm:pt modelId="{AF568089-8BF5-41D3-A5F4-680961FE5F96}" type="pres">
      <dgm:prSet presAssocID="{4BF0A014-8141-4975-AC17-2EF16B692119}" presName="hierChild4" presStyleCnt="0"/>
      <dgm:spPr/>
    </dgm:pt>
    <dgm:pt modelId="{1DA98468-3BE3-46FE-A4A9-A54D0C45ACF5}" type="pres">
      <dgm:prSet presAssocID="{4BF0A014-8141-4975-AC17-2EF16B692119}" presName="hierChild5" presStyleCnt="0"/>
      <dgm:spPr/>
    </dgm:pt>
    <dgm:pt modelId="{D6C8C6B8-456B-400F-A999-322440FEF290}" type="pres">
      <dgm:prSet presAssocID="{CB0F33CE-976F-4837-87C9-C4BBA799B157}" presName="Name28" presStyleLbl="parChTrans1D2" presStyleIdx="2" presStyleCnt="4"/>
      <dgm:spPr/>
    </dgm:pt>
    <dgm:pt modelId="{43964349-7666-4B68-B452-8873E49B7FD0}" type="pres">
      <dgm:prSet presAssocID="{0C20F1BF-3D17-4C8A-91CC-343CF49568C7}" presName="hierRoot2" presStyleCnt="0">
        <dgm:presLayoutVars>
          <dgm:hierBranch val="init"/>
        </dgm:presLayoutVars>
      </dgm:prSet>
      <dgm:spPr/>
    </dgm:pt>
    <dgm:pt modelId="{163C923F-AC00-4F1C-B3A4-C0BF8FEF63BC}" type="pres">
      <dgm:prSet presAssocID="{0C20F1BF-3D17-4C8A-91CC-343CF49568C7}" presName="rootComposite2" presStyleCnt="0"/>
      <dgm:spPr/>
    </dgm:pt>
    <dgm:pt modelId="{88E8CCEC-84EC-4BBE-8F63-D1DA122C5796}" type="pres">
      <dgm:prSet presAssocID="{0C20F1BF-3D17-4C8A-91CC-343CF49568C7}" presName="rootText2" presStyleLbl="alignAcc1" presStyleIdx="0" presStyleCnt="0">
        <dgm:presLayoutVars>
          <dgm:chPref val="3"/>
        </dgm:presLayoutVars>
      </dgm:prSet>
      <dgm:spPr/>
    </dgm:pt>
    <dgm:pt modelId="{977B03E0-9D03-4D5E-9077-07B68974972D}" type="pres">
      <dgm:prSet presAssocID="{0C20F1BF-3D17-4C8A-91CC-343CF49568C7}" presName="topArc2" presStyleLbl="parChTrans1D1" presStyleIdx="6" presStyleCnt="10"/>
      <dgm:spPr/>
    </dgm:pt>
    <dgm:pt modelId="{BA54CAA8-7A6C-48EF-BD3C-8DA5A2A14DAF}" type="pres">
      <dgm:prSet presAssocID="{0C20F1BF-3D17-4C8A-91CC-343CF49568C7}" presName="bottomArc2" presStyleLbl="parChTrans1D1" presStyleIdx="7" presStyleCnt="10"/>
      <dgm:spPr/>
    </dgm:pt>
    <dgm:pt modelId="{F00D0365-0A2C-4507-96AA-B9B28EDB2B97}" type="pres">
      <dgm:prSet presAssocID="{0C20F1BF-3D17-4C8A-91CC-343CF49568C7}" presName="topConnNode2" presStyleLbl="node2" presStyleIdx="0" presStyleCnt="0"/>
      <dgm:spPr/>
    </dgm:pt>
    <dgm:pt modelId="{E96BD19B-FAE6-4826-AE15-1F7BC67F5840}" type="pres">
      <dgm:prSet presAssocID="{0C20F1BF-3D17-4C8A-91CC-343CF49568C7}" presName="hierChild4" presStyleCnt="0"/>
      <dgm:spPr/>
    </dgm:pt>
    <dgm:pt modelId="{792F925A-644C-40E1-8D06-8123E271A0EA}" type="pres">
      <dgm:prSet presAssocID="{0C20F1BF-3D17-4C8A-91CC-343CF49568C7}" presName="hierChild5" presStyleCnt="0"/>
      <dgm:spPr/>
    </dgm:pt>
    <dgm:pt modelId="{4F795862-97FF-4477-B81B-B4932C61764E}" type="pres">
      <dgm:prSet presAssocID="{4692CD74-0415-4F5E-A7E2-21CDFDD353F2}" presName="Name28" presStyleLbl="parChTrans1D2" presStyleIdx="3" presStyleCnt="4"/>
      <dgm:spPr/>
    </dgm:pt>
    <dgm:pt modelId="{58DEF64C-CD76-4772-B952-1E288D03C727}" type="pres">
      <dgm:prSet presAssocID="{249CA9CE-C9D9-45CE-A335-AD34F38DB868}" presName="hierRoot2" presStyleCnt="0">
        <dgm:presLayoutVars>
          <dgm:hierBranch val="init"/>
        </dgm:presLayoutVars>
      </dgm:prSet>
      <dgm:spPr/>
    </dgm:pt>
    <dgm:pt modelId="{4274837B-D995-4817-9F11-7A33367B8898}" type="pres">
      <dgm:prSet presAssocID="{249CA9CE-C9D9-45CE-A335-AD34F38DB868}" presName="rootComposite2" presStyleCnt="0"/>
      <dgm:spPr/>
    </dgm:pt>
    <dgm:pt modelId="{C535637B-1D35-4FBA-A113-2AD0FE000BCC}" type="pres">
      <dgm:prSet presAssocID="{249CA9CE-C9D9-45CE-A335-AD34F38DB868}" presName="rootText2" presStyleLbl="alignAcc1" presStyleIdx="0" presStyleCnt="0">
        <dgm:presLayoutVars>
          <dgm:chPref val="3"/>
        </dgm:presLayoutVars>
      </dgm:prSet>
      <dgm:spPr/>
    </dgm:pt>
    <dgm:pt modelId="{F977E331-E17F-4656-811D-2C119392F4D5}" type="pres">
      <dgm:prSet presAssocID="{249CA9CE-C9D9-45CE-A335-AD34F38DB868}" presName="topArc2" presStyleLbl="parChTrans1D1" presStyleIdx="8" presStyleCnt="10"/>
      <dgm:spPr/>
    </dgm:pt>
    <dgm:pt modelId="{4E93D696-6190-4231-97C2-377FBB882BEF}" type="pres">
      <dgm:prSet presAssocID="{249CA9CE-C9D9-45CE-A335-AD34F38DB868}" presName="bottomArc2" presStyleLbl="parChTrans1D1" presStyleIdx="9" presStyleCnt="10"/>
      <dgm:spPr/>
    </dgm:pt>
    <dgm:pt modelId="{F5A56DDE-D6ED-4EB0-B305-E30D4698CD76}" type="pres">
      <dgm:prSet presAssocID="{249CA9CE-C9D9-45CE-A335-AD34F38DB868}" presName="topConnNode2" presStyleLbl="node2" presStyleIdx="0" presStyleCnt="0"/>
      <dgm:spPr/>
    </dgm:pt>
    <dgm:pt modelId="{ED7C3EBD-2507-470E-A77F-D46B116FA544}" type="pres">
      <dgm:prSet presAssocID="{249CA9CE-C9D9-45CE-A335-AD34F38DB868}" presName="hierChild4" presStyleCnt="0"/>
      <dgm:spPr/>
    </dgm:pt>
    <dgm:pt modelId="{5F3FA1FC-973D-46E9-9A42-B746EB624EEA}" type="pres">
      <dgm:prSet presAssocID="{249CA9CE-C9D9-45CE-A335-AD34F38DB868}" presName="hierChild5" presStyleCnt="0"/>
      <dgm:spPr/>
    </dgm:pt>
    <dgm:pt modelId="{8C481AD6-F256-40E6-A075-AFF9F65B0F80}" type="pres">
      <dgm:prSet presAssocID="{CDE4CA33-8EA5-4980-9ED1-453489B7D399}" presName="hierChild3" presStyleCnt="0"/>
      <dgm:spPr/>
    </dgm:pt>
  </dgm:ptLst>
  <dgm:cxnLst>
    <dgm:cxn modelId="{A465DD04-0038-43E3-909E-221A647AC077}" srcId="{CDE4CA33-8EA5-4980-9ED1-453489B7D399}" destId="{4BF0A014-8141-4975-AC17-2EF16B692119}" srcOrd="1" destOrd="0" parTransId="{443868E1-E8F8-442D-B53D-CDE76E088A2B}" sibTransId="{E24AFDE9-420A-410A-848E-B5BC45CE69D6}"/>
    <dgm:cxn modelId="{BCBF6706-ACCC-49DF-B732-06E9B3964409}" type="presOf" srcId="{249CA9CE-C9D9-45CE-A335-AD34F38DB868}" destId="{C535637B-1D35-4FBA-A113-2AD0FE000BCC}" srcOrd="0" destOrd="0" presId="urn:microsoft.com/office/officeart/2008/layout/HalfCircleOrganizationChart"/>
    <dgm:cxn modelId="{ED37C709-D3BB-43B8-BFF2-4AD1B51D9E2B}" type="presOf" srcId="{249CA9CE-C9D9-45CE-A335-AD34F38DB868}" destId="{F5A56DDE-D6ED-4EB0-B305-E30D4698CD76}" srcOrd="1" destOrd="0" presId="urn:microsoft.com/office/officeart/2008/layout/HalfCircleOrganizationChart"/>
    <dgm:cxn modelId="{6B0A7E0C-7AF4-4A7D-9FCF-DF8728BCA0FF}" type="presOf" srcId="{311B6C3E-60C4-4934-A20C-ECD560C11F20}" destId="{7002F0EE-CD2D-4146-9272-103C0FE26036}" srcOrd="1" destOrd="0" presId="urn:microsoft.com/office/officeart/2008/layout/HalfCircleOrganizationChart"/>
    <dgm:cxn modelId="{28440C0D-1A0F-424F-8D6B-815D49AAED96}" type="presOf" srcId="{4BF0A014-8141-4975-AC17-2EF16B692119}" destId="{71C8070B-1933-4432-A85B-AE01B4CD7DE2}" srcOrd="0" destOrd="0" presId="urn:microsoft.com/office/officeart/2008/layout/HalfCircleOrganizationChart"/>
    <dgm:cxn modelId="{78603C10-0BCA-45FE-B55A-3FC4E19FBA21}" type="presOf" srcId="{311B6C3E-60C4-4934-A20C-ECD560C11F20}" destId="{A2CD6238-78BD-4C91-86A0-227CAC74E8B5}" srcOrd="0" destOrd="0" presId="urn:microsoft.com/office/officeart/2008/layout/HalfCircleOrganizationChart"/>
    <dgm:cxn modelId="{9F69AD22-D8D4-4546-8789-750BCE8341D7}" type="presOf" srcId="{CDE4CA33-8EA5-4980-9ED1-453489B7D399}" destId="{B4742C4B-A65C-4DCB-B16B-34A8DF18730E}" srcOrd="0" destOrd="0" presId="urn:microsoft.com/office/officeart/2008/layout/HalfCircleOrganizationChart"/>
    <dgm:cxn modelId="{89BCFE22-AD34-41C7-B116-C36B29DC9F73}" type="presOf" srcId="{CB0F33CE-976F-4837-87C9-C4BBA799B157}" destId="{D6C8C6B8-456B-400F-A999-322440FEF290}" srcOrd="0" destOrd="0" presId="urn:microsoft.com/office/officeart/2008/layout/HalfCircleOrganizationChart"/>
    <dgm:cxn modelId="{9B6E2E30-C083-424A-90E8-70CD5137E14E}" type="presOf" srcId="{443868E1-E8F8-442D-B53D-CDE76E088A2B}" destId="{8C0D33F4-096E-4B57-857E-B2915471ECDD}" srcOrd="0" destOrd="0" presId="urn:microsoft.com/office/officeart/2008/layout/HalfCircleOrganizationChart"/>
    <dgm:cxn modelId="{9F67A534-56F8-4415-8B3F-6A1278F4AB8C}" srcId="{CDE4CA33-8EA5-4980-9ED1-453489B7D399}" destId="{311B6C3E-60C4-4934-A20C-ECD560C11F20}" srcOrd="0" destOrd="0" parTransId="{F1959DAF-0DF0-4135-B182-8E9D47B75FCB}" sibTransId="{ECBBED83-175B-4EC9-A2F1-1C305DC26738}"/>
    <dgm:cxn modelId="{CAC25538-1E29-4E44-BDC7-796FAB24CFCA}" srcId="{CDE4CA33-8EA5-4980-9ED1-453489B7D399}" destId="{249CA9CE-C9D9-45CE-A335-AD34F38DB868}" srcOrd="3" destOrd="0" parTransId="{4692CD74-0415-4F5E-A7E2-21CDFDD353F2}" sibTransId="{F5EBA827-153C-4485-B03E-9010AE16809D}"/>
    <dgm:cxn modelId="{2954C049-F8B5-4119-8194-52B3056B03CC}" type="presOf" srcId="{0C20F1BF-3D17-4C8A-91CC-343CF49568C7}" destId="{88E8CCEC-84EC-4BBE-8F63-D1DA122C5796}" srcOrd="0" destOrd="0" presId="urn:microsoft.com/office/officeart/2008/layout/HalfCircleOrganizationChart"/>
    <dgm:cxn modelId="{8680267F-39BE-4D22-BADB-CB18CCD38D6C}" type="presOf" srcId="{586B3C42-D0FD-4BAB-9439-F162A1687578}" destId="{9A6EFD06-5E70-4414-9E7A-13E097EB9FBD}" srcOrd="0" destOrd="0" presId="urn:microsoft.com/office/officeart/2008/layout/HalfCircleOrganizationChart"/>
    <dgm:cxn modelId="{57AC20A1-E298-4E47-9F81-5EC34667B18B}" type="presOf" srcId="{F1959DAF-0DF0-4135-B182-8E9D47B75FCB}" destId="{AB59D8AC-33B6-40C2-9301-0A86DA67EF89}" srcOrd="0" destOrd="0" presId="urn:microsoft.com/office/officeart/2008/layout/HalfCircleOrganizationChart"/>
    <dgm:cxn modelId="{2874B1AB-8448-4832-A134-9AF4C5ACBD0B}" srcId="{586B3C42-D0FD-4BAB-9439-F162A1687578}" destId="{CDE4CA33-8EA5-4980-9ED1-453489B7D399}" srcOrd="0" destOrd="0" parTransId="{99793FAB-E232-473E-938F-BAC2CB13FF92}" sibTransId="{59E7A813-2DC4-4365-A6DB-9E681A43D01C}"/>
    <dgm:cxn modelId="{3FF16DB8-CF95-45EF-871E-A5EE5AFCD873}" srcId="{CDE4CA33-8EA5-4980-9ED1-453489B7D399}" destId="{0C20F1BF-3D17-4C8A-91CC-343CF49568C7}" srcOrd="2" destOrd="0" parTransId="{CB0F33CE-976F-4837-87C9-C4BBA799B157}" sibTransId="{BB270D74-134B-40E1-935C-FA367FBC6CE8}"/>
    <dgm:cxn modelId="{3BB353D2-1F29-4325-90C3-CF81DCE523AE}" type="presOf" srcId="{CDE4CA33-8EA5-4980-9ED1-453489B7D399}" destId="{909D8165-4F39-414B-9539-3ADFE1EE4EAE}" srcOrd="1" destOrd="0" presId="urn:microsoft.com/office/officeart/2008/layout/HalfCircleOrganizationChart"/>
    <dgm:cxn modelId="{A25ECDE6-ED01-498E-8DD9-4C53B36F2261}" type="presOf" srcId="{0C20F1BF-3D17-4C8A-91CC-343CF49568C7}" destId="{F00D0365-0A2C-4507-96AA-B9B28EDB2B97}" srcOrd="1" destOrd="0" presId="urn:microsoft.com/office/officeart/2008/layout/HalfCircleOrganizationChart"/>
    <dgm:cxn modelId="{354376ED-9196-46AD-93CF-A825988E71FD}" type="presOf" srcId="{4BF0A014-8141-4975-AC17-2EF16B692119}" destId="{4FD6C512-DC8C-446D-9764-D964E5E4CD79}" srcOrd="1" destOrd="0" presId="urn:microsoft.com/office/officeart/2008/layout/HalfCircleOrganizationChart"/>
    <dgm:cxn modelId="{6C21E3ED-5386-4FB9-B379-24C8C85B751F}" type="presOf" srcId="{4692CD74-0415-4F5E-A7E2-21CDFDD353F2}" destId="{4F795862-97FF-4477-B81B-B4932C61764E}" srcOrd="0" destOrd="0" presId="urn:microsoft.com/office/officeart/2008/layout/HalfCircleOrganizationChart"/>
    <dgm:cxn modelId="{A296D59E-C20A-4E69-9B5A-4E490008E0AF}" type="presParOf" srcId="{9A6EFD06-5E70-4414-9E7A-13E097EB9FBD}" destId="{DECADFE4-25A8-49ED-91A3-030077173DCE}" srcOrd="0" destOrd="0" presId="urn:microsoft.com/office/officeart/2008/layout/HalfCircleOrganizationChart"/>
    <dgm:cxn modelId="{3D27B4D5-CCAA-4067-8207-8FF43673F561}" type="presParOf" srcId="{DECADFE4-25A8-49ED-91A3-030077173DCE}" destId="{52654B0D-ABA1-4AF8-9839-035B0D26C8BB}" srcOrd="0" destOrd="0" presId="urn:microsoft.com/office/officeart/2008/layout/HalfCircleOrganizationChart"/>
    <dgm:cxn modelId="{65998E34-548E-405D-851E-CBF5E15F0D44}" type="presParOf" srcId="{52654B0D-ABA1-4AF8-9839-035B0D26C8BB}" destId="{B4742C4B-A65C-4DCB-B16B-34A8DF18730E}" srcOrd="0" destOrd="0" presId="urn:microsoft.com/office/officeart/2008/layout/HalfCircleOrganizationChart"/>
    <dgm:cxn modelId="{FCE9A06E-9C90-43D0-B8CB-7B2299ECD530}" type="presParOf" srcId="{52654B0D-ABA1-4AF8-9839-035B0D26C8BB}" destId="{89FF2299-6AC0-4292-8584-A89D7238261D}" srcOrd="1" destOrd="0" presId="urn:microsoft.com/office/officeart/2008/layout/HalfCircleOrganizationChart"/>
    <dgm:cxn modelId="{00C63503-9FC5-4892-A598-0EEC907B827F}" type="presParOf" srcId="{52654B0D-ABA1-4AF8-9839-035B0D26C8BB}" destId="{AC0631C7-35F8-4A3D-B8D7-87B8B0D6DE36}" srcOrd="2" destOrd="0" presId="urn:microsoft.com/office/officeart/2008/layout/HalfCircleOrganizationChart"/>
    <dgm:cxn modelId="{83508FCB-BBA7-4252-A8A4-76772260E76B}" type="presParOf" srcId="{52654B0D-ABA1-4AF8-9839-035B0D26C8BB}" destId="{909D8165-4F39-414B-9539-3ADFE1EE4EAE}" srcOrd="3" destOrd="0" presId="urn:microsoft.com/office/officeart/2008/layout/HalfCircleOrganizationChart"/>
    <dgm:cxn modelId="{89196869-BA6E-4C5C-89EC-FC337C42C2A3}" type="presParOf" srcId="{DECADFE4-25A8-49ED-91A3-030077173DCE}" destId="{CC44DECE-84C2-4B46-8066-BA46CD8F4600}" srcOrd="1" destOrd="0" presId="urn:microsoft.com/office/officeart/2008/layout/HalfCircleOrganizationChart"/>
    <dgm:cxn modelId="{E1247CDA-236A-47B2-90FF-3151C4B474FA}" type="presParOf" srcId="{CC44DECE-84C2-4B46-8066-BA46CD8F4600}" destId="{AB59D8AC-33B6-40C2-9301-0A86DA67EF89}" srcOrd="0" destOrd="0" presId="urn:microsoft.com/office/officeart/2008/layout/HalfCircleOrganizationChart"/>
    <dgm:cxn modelId="{B36230DE-A692-49A9-98A7-55E7994ECE2B}" type="presParOf" srcId="{CC44DECE-84C2-4B46-8066-BA46CD8F4600}" destId="{F421A3CC-DA5E-4CD4-8EBA-D6FCA300C9AE}" srcOrd="1" destOrd="0" presId="urn:microsoft.com/office/officeart/2008/layout/HalfCircleOrganizationChart"/>
    <dgm:cxn modelId="{3BF86DA4-0F9B-4124-9812-3C77CA4E6DDD}" type="presParOf" srcId="{F421A3CC-DA5E-4CD4-8EBA-D6FCA300C9AE}" destId="{225A1115-C295-4337-96D3-5DAC09139958}" srcOrd="0" destOrd="0" presId="urn:microsoft.com/office/officeart/2008/layout/HalfCircleOrganizationChart"/>
    <dgm:cxn modelId="{9EF58EDB-840D-4633-AD62-FFCD35E5F6D1}" type="presParOf" srcId="{225A1115-C295-4337-96D3-5DAC09139958}" destId="{A2CD6238-78BD-4C91-86A0-227CAC74E8B5}" srcOrd="0" destOrd="0" presId="urn:microsoft.com/office/officeart/2008/layout/HalfCircleOrganizationChart"/>
    <dgm:cxn modelId="{C35D894C-C827-4167-8F39-B0ADA0986791}" type="presParOf" srcId="{225A1115-C295-4337-96D3-5DAC09139958}" destId="{B12B5010-E99B-44B9-A108-5CCDBBBEFCB8}" srcOrd="1" destOrd="0" presId="urn:microsoft.com/office/officeart/2008/layout/HalfCircleOrganizationChart"/>
    <dgm:cxn modelId="{55F9E9DD-21B7-4C83-AC10-73DADACC76C3}" type="presParOf" srcId="{225A1115-C295-4337-96D3-5DAC09139958}" destId="{1EE720A8-E4E5-4169-8B28-1296A4CF8F75}" srcOrd="2" destOrd="0" presId="urn:microsoft.com/office/officeart/2008/layout/HalfCircleOrganizationChart"/>
    <dgm:cxn modelId="{2DA19548-DB9E-4367-AC18-C0A555EF5BD7}" type="presParOf" srcId="{225A1115-C295-4337-96D3-5DAC09139958}" destId="{7002F0EE-CD2D-4146-9272-103C0FE26036}" srcOrd="3" destOrd="0" presId="urn:microsoft.com/office/officeart/2008/layout/HalfCircleOrganizationChart"/>
    <dgm:cxn modelId="{8DA7654B-2677-4D6A-9C6E-9A3EB75975F2}" type="presParOf" srcId="{F421A3CC-DA5E-4CD4-8EBA-D6FCA300C9AE}" destId="{03931ADF-3689-4490-8167-F27ECE77B149}" srcOrd="1" destOrd="0" presId="urn:microsoft.com/office/officeart/2008/layout/HalfCircleOrganizationChart"/>
    <dgm:cxn modelId="{870CC40E-03A0-48B8-ACB2-61139FD19B43}" type="presParOf" srcId="{F421A3CC-DA5E-4CD4-8EBA-D6FCA300C9AE}" destId="{E2A0F4AE-CC20-4747-93AA-F6F1FEFC1EDD}" srcOrd="2" destOrd="0" presId="urn:microsoft.com/office/officeart/2008/layout/HalfCircleOrganizationChart"/>
    <dgm:cxn modelId="{3A790001-1E04-46E3-964E-FCC4BFE178CD}" type="presParOf" srcId="{CC44DECE-84C2-4B46-8066-BA46CD8F4600}" destId="{8C0D33F4-096E-4B57-857E-B2915471ECDD}" srcOrd="2" destOrd="0" presId="urn:microsoft.com/office/officeart/2008/layout/HalfCircleOrganizationChart"/>
    <dgm:cxn modelId="{9C4B9D2E-B52D-469A-B022-A6DE6E7F75DA}" type="presParOf" srcId="{CC44DECE-84C2-4B46-8066-BA46CD8F4600}" destId="{CC385E24-2B51-4A0A-884B-93D7778248BD}" srcOrd="3" destOrd="0" presId="urn:microsoft.com/office/officeart/2008/layout/HalfCircleOrganizationChart"/>
    <dgm:cxn modelId="{60DA5C54-DF5A-4C6E-BC80-90AEB7A7DBBE}" type="presParOf" srcId="{CC385E24-2B51-4A0A-884B-93D7778248BD}" destId="{676E05F2-1A31-4E76-B891-A0CC583C1BD8}" srcOrd="0" destOrd="0" presId="urn:microsoft.com/office/officeart/2008/layout/HalfCircleOrganizationChart"/>
    <dgm:cxn modelId="{33FF8AE0-7D29-45C0-B545-16CC274D0C75}" type="presParOf" srcId="{676E05F2-1A31-4E76-B891-A0CC583C1BD8}" destId="{71C8070B-1933-4432-A85B-AE01B4CD7DE2}" srcOrd="0" destOrd="0" presId="urn:microsoft.com/office/officeart/2008/layout/HalfCircleOrganizationChart"/>
    <dgm:cxn modelId="{D01B4EBF-401C-4177-AB2A-80E22FA0C588}" type="presParOf" srcId="{676E05F2-1A31-4E76-B891-A0CC583C1BD8}" destId="{FFDC9E2E-C025-4AD9-82CE-9A4496993C83}" srcOrd="1" destOrd="0" presId="urn:microsoft.com/office/officeart/2008/layout/HalfCircleOrganizationChart"/>
    <dgm:cxn modelId="{DA850875-3031-4021-84D8-A9BCBE43D951}" type="presParOf" srcId="{676E05F2-1A31-4E76-B891-A0CC583C1BD8}" destId="{D3EE6E33-62E1-4DFD-845E-F193507C5B22}" srcOrd="2" destOrd="0" presId="urn:microsoft.com/office/officeart/2008/layout/HalfCircleOrganizationChart"/>
    <dgm:cxn modelId="{46C14549-F0A7-4FFD-9452-8D77963FFBC2}" type="presParOf" srcId="{676E05F2-1A31-4E76-B891-A0CC583C1BD8}" destId="{4FD6C512-DC8C-446D-9764-D964E5E4CD79}" srcOrd="3" destOrd="0" presId="urn:microsoft.com/office/officeart/2008/layout/HalfCircleOrganizationChart"/>
    <dgm:cxn modelId="{9D2E8C11-543D-4C02-BC8F-D3B2D39F6D53}" type="presParOf" srcId="{CC385E24-2B51-4A0A-884B-93D7778248BD}" destId="{AF568089-8BF5-41D3-A5F4-680961FE5F96}" srcOrd="1" destOrd="0" presId="urn:microsoft.com/office/officeart/2008/layout/HalfCircleOrganizationChart"/>
    <dgm:cxn modelId="{E6585356-DF48-4FB5-86AD-14ABE9B207CC}" type="presParOf" srcId="{CC385E24-2B51-4A0A-884B-93D7778248BD}" destId="{1DA98468-3BE3-46FE-A4A9-A54D0C45ACF5}" srcOrd="2" destOrd="0" presId="urn:microsoft.com/office/officeart/2008/layout/HalfCircleOrganizationChart"/>
    <dgm:cxn modelId="{6EA19ACA-E678-4129-A79E-B8544CA84D18}" type="presParOf" srcId="{CC44DECE-84C2-4B46-8066-BA46CD8F4600}" destId="{D6C8C6B8-456B-400F-A999-322440FEF290}" srcOrd="4" destOrd="0" presId="urn:microsoft.com/office/officeart/2008/layout/HalfCircleOrganizationChart"/>
    <dgm:cxn modelId="{3CE99567-708B-42D7-A66B-E11D147BB6AF}" type="presParOf" srcId="{CC44DECE-84C2-4B46-8066-BA46CD8F4600}" destId="{43964349-7666-4B68-B452-8873E49B7FD0}" srcOrd="5" destOrd="0" presId="urn:microsoft.com/office/officeart/2008/layout/HalfCircleOrganizationChart"/>
    <dgm:cxn modelId="{ECA805B2-3C92-4CFE-8DB3-D711BF076FD1}" type="presParOf" srcId="{43964349-7666-4B68-B452-8873E49B7FD0}" destId="{163C923F-AC00-4F1C-B3A4-C0BF8FEF63BC}" srcOrd="0" destOrd="0" presId="urn:microsoft.com/office/officeart/2008/layout/HalfCircleOrganizationChart"/>
    <dgm:cxn modelId="{12A4DD70-4126-4A31-A9FD-4FDF9204CF80}" type="presParOf" srcId="{163C923F-AC00-4F1C-B3A4-C0BF8FEF63BC}" destId="{88E8CCEC-84EC-4BBE-8F63-D1DA122C5796}" srcOrd="0" destOrd="0" presId="urn:microsoft.com/office/officeart/2008/layout/HalfCircleOrganizationChart"/>
    <dgm:cxn modelId="{A3D230F6-FF59-4105-91F1-E31CE4A8B464}" type="presParOf" srcId="{163C923F-AC00-4F1C-B3A4-C0BF8FEF63BC}" destId="{977B03E0-9D03-4D5E-9077-07B68974972D}" srcOrd="1" destOrd="0" presId="urn:microsoft.com/office/officeart/2008/layout/HalfCircleOrganizationChart"/>
    <dgm:cxn modelId="{35514123-42FE-42F7-8CDB-F95F0AF1B82A}" type="presParOf" srcId="{163C923F-AC00-4F1C-B3A4-C0BF8FEF63BC}" destId="{BA54CAA8-7A6C-48EF-BD3C-8DA5A2A14DAF}" srcOrd="2" destOrd="0" presId="urn:microsoft.com/office/officeart/2008/layout/HalfCircleOrganizationChart"/>
    <dgm:cxn modelId="{CA889356-C69B-46DF-A7F8-D5637B7CE060}" type="presParOf" srcId="{163C923F-AC00-4F1C-B3A4-C0BF8FEF63BC}" destId="{F00D0365-0A2C-4507-96AA-B9B28EDB2B97}" srcOrd="3" destOrd="0" presId="urn:microsoft.com/office/officeart/2008/layout/HalfCircleOrganizationChart"/>
    <dgm:cxn modelId="{E06DDF01-E8C3-416D-A0CF-B3DEBFD12CC9}" type="presParOf" srcId="{43964349-7666-4B68-B452-8873E49B7FD0}" destId="{E96BD19B-FAE6-4826-AE15-1F7BC67F5840}" srcOrd="1" destOrd="0" presId="urn:microsoft.com/office/officeart/2008/layout/HalfCircleOrganizationChart"/>
    <dgm:cxn modelId="{D90AD7E4-2241-4A17-A02A-715B8C28B5CF}" type="presParOf" srcId="{43964349-7666-4B68-B452-8873E49B7FD0}" destId="{792F925A-644C-40E1-8D06-8123E271A0EA}" srcOrd="2" destOrd="0" presId="urn:microsoft.com/office/officeart/2008/layout/HalfCircleOrganizationChart"/>
    <dgm:cxn modelId="{37980440-A26C-41E8-885F-95BEE1A52E0C}" type="presParOf" srcId="{CC44DECE-84C2-4B46-8066-BA46CD8F4600}" destId="{4F795862-97FF-4477-B81B-B4932C61764E}" srcOrd="6" destOrd="0" presId="urn:microsoft.com/office/officeart/2008/layout/HalfCircleOrganizationChart"/>
    <dgm:cxn modelId="{137EF5BF-44F6-4603-B354-149A151B66A2}" type="presParOf" srcId="{CC44DECE-84C2-4B46-8066-BA46CD8F4600}" destId="{58DEF64C-CD76-4772-B952-1E288D03C727}" srcOrd="7" destOrd="0" presId="urn:microsoft.com/office/officeart/2008/layout/HalfCircleOrganizationChart"/>
    <dgm:cxn modelId="{73C9B981-C950-4E41-B6D5-7D4CD8CEC488}" type="presParOf" srcId="{58DEF64C-CD76-4772-B952-1E288D03C727}" destId="{4274837B-D995-4817-9F11-7A33367B8898}" srcOrd="0" destOrd="0" presId="urn:microsoft.com/office/officeart/2008/layout/HalfCircleOrganizationChart"/>
    <dgm:cxn modelId="{02D1A55B-832D-4E41-BD6B-BEB458C97F53}" type="presParOf" srcId="{4274837B-D995-4817-9F11-7A33367B8898}" destId="{C535637B-1D35-4FBA-A113-2AD0FE000BCC}" srcOrd="0" destOrd="0" presId="urn:microsoft.com/office/officeart/2008/layout/HalfCircleOrganizationChart"/>
    <dgm:cxn modelId="{78657B62-28C3-49A1-82E7-52B01F472BD8}" type="presParOf" srcId="{4274837B-D995-4817-9F11-7A33367B8898}" destId="{F977E331-E17F-4656-811D-2C119392F4D5}" srcOrd="1" destOrd="0" presId="urn:microsoft.com/office/officeart/2008/layout/HalfCircleOrganizationChart"/>
    <dgm:cxn modelId="{B65140A0-83A5-470F-8590-4B67B8C08128}" type="presParOf" srcId="{4274837B-D995-4817-9F11-7A33367B8898}" destId="{4E93D696-6190-4231-97C2-377FBB882BEF}" srcOrd="2" destOrd="0" presId="urn:microsoft.com/office/officeart/2008/layout/HalfCircleOrganizationChart"/>
    <dgm:cxn modelId="{5B610A66-6B1A-471A-9A84-3C760F2A9D34}" type="presParOf" srcId="{4274837B-D995-4817-9F11-7A33367B8898}" destId="{F5A56DDE-D6ED-4EB0-B305-E30D4698CD76}" srcOrd="3" destOrd="0" presId="urn:microsoft.com/office/officeart/2008/layout/HalfCircleOrganizationChart"/>
    <dgm:cxn modelId="{9EE7A9B8-66F8-4FD7-A1DD-AFBD22E1986F}" type="presParOf" srcId="{58DEF64C-CD76-4772-B952-1E288D03C727}" destId="{ED7C3EBD-2507-470E-A77F-D46B116FA544}" srcOrd="1" destOrd="0" presId="urn:microsoft.com/office/officeart/2008/layout/HalfCircleOrganizationChart"/>
    <dgm:cxn modelId="{2A272D05-5B7D-4135-A955-CFD9C47C3D30}" type="presParOf" srcId="{58DEF64C-CD76-4772-B952-1E288D03C727}" destId="{5F3FA1FC-973D-46E9-9A42-B746EB624EEA}" srcOrd="2" destOrd="0" presId="urn:microsoft.com/office/officeart/2008/layout/HalfCircleOrganizationChart"/>
    <dgm:cxn modelId="{8B40F1B2-ACD5-4347-B914-3489112F7A17}" type="presParOf" srcId="{DECADFE4-25A8-49ED-91A3-030077173DCE}" destId="{8C481AD6-F256-40E6-A075-AFF9F65B0F80}" srcOrd="2" destOrd="0" presId="urn:microsoft.com/office/officeart/2008/layout/HalfCircleOrganizationChart"/>
  </dgm:cxnLst>
  <dgm:bg>
    <a:gradFill>
      <a:gsLst>
        <a:gs pos="0">
          <a:schemeClr val="tx2">
            <a:lumMod val="20000"/>
            <a:lumOff val="80000"/>
          </a:schemeClr>
        </a:gs>
        <a:gs pos="50000">
          <a:schemeClr val="accent1">
            <a:tint val="44500"/>
            <a:satMod val="160000"/>
          </a:schemeClr>
        </a:gs>
        <a:gs pos="100000">
          <a:schemeClr val="accent1">
            <a:tint val="23500"/>
            <a:satMod val="160000"/>
          </a:schemeClr>
        </a:gs>
      </a:gsLst>
      <a:lin ang="5400000" scaled="0"/>
    </a:gradFill>
  </dgm:bg>
  <dgm:whole>
    <a:ln>
      <a:solidFill>
        <a:schemeClr val="accent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95862-97FF-4477-B81B-B4932C61764E}">
      <dsp:nvSpPr>
        <dsp:cNvPr id="0" name=""/>
        <dsp:cNvSpPr/>
      </dsp:nvSpPr>
      <dsp:spPr>
        <a:xfrm>
          <a:off x="2301949" y="810099"/>
          <a:ext cx="1802900" cy="208600"/>
        </a:xfrm>
        <a:custGeom>
          <a:avLst/>
          <a:gdLst/>
          <a:ahLst/>
          <a:cxnLst/>
          <a:rect l="0" t="0" r="0" b="0"/>
          <a:pathLst>
            <a:path>
              <a:moveTo>
                <a:pt x="0" y="0"/>
              </a:moveTo>
              <a:lnTo>
                <a:pt x="0" y="104300"/>
              </a:lnTo>
              <a:lnTo>
                <a:pt x="1802900" y="104300"/>
              </a:lnTo>
              <a:lnTo>
                <a:pt x="1802900" y="208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C8C6B8-456B-400F-A999-322440FEF290}">
      <dsp:nvSpPr>
        <dsp:cNvPr id="0" name=""/>
        <dsp:cNvSpPr/>
      </dsp:nvSpPr>
      <dsp:spPr>
        <a:xfrm>
          <a:off x="2301949" y="810099"/>
          <a:ext cx="600966" cy="208600"/>
        </a:xfrm>
        <a:custGeom>
          <a:avLst/>
          <a:gdLst/>
          <a:ahLst/>
          <a:cxnLst/>
          <a:rect l="0" t="0" r="0" b="0"/>
          <a:pathLst>
            <a:path>
              <a:moveTo>
                <a:pt x="0" y="0"/>
              </a:moveTo>
              <a:lnTo>
                <a:pt x="0" y="104300"/>
              </a:lnTo>
              <a:lnTo>
                <a:pt x="600966" y="104300"/>
              </a:lnTo>
              <a:lnTo>
                <a:pt x="600966" y="208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0D33F4-096E-4B57-857E-B2915471ECDD}">
      <dsp:nvSpPr>
        <dsp:cNvPr id="0" name=""/>
        <dsp:cNvSpPr/>
      </dsp:nvSpPr>
      <dsp:spPr>
        <a:xfrm>
          <a:off x="1700982" y="810099"/>
          <a:ext cx="600966" cy="208600"/>
        </a:xfrm>
        <a:custGeom>
          <a:avLst/>
          <a:gdLst/>
          <a:ahLst/>
          <a:cxnLst/>
          <a:rect l="0" t="0" r="0" b="0"/>
          <a:pathLst>
            <a:path>
              <a:moveTo>
                <a:pt x="600966" y="0"/>
              </a:moveTo>
              <a:lnTo>
                <a:pt x="600966" y="104300"/>
              </a:lnTo>
              <a:lnTo>
                <a:pt x="0" y="104300"/>
              </a:lnTo>
              <a:lnTo>
                <a:pt x="0" y="208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59D8AC-33B6-40C2-9301-0A86DA67EF89}">
      <dsp:nvSpPr>
        <dsp:cNvPr id="0" name=""/>
        <dsp:cNvSpPr/>
      </dsp:nvSpPr>
      <dsp:spPr>
        <a:xfrm>
          <a:off x="499048" y="810099"/>
          <a:ext cx="1802900" cy="208600"/>
        </a:xfrm>
        <a:custGeom>
          <a:avLst/>
          <a:gdLst/>
          <a:ahLst/>
          <a:cxnLst/>
          <a:rect l="0" t="0" r="0" b="0"/>
          <a:pathLst>
            <a:path>
              <a:moveTo>
                <a:pt x="1802900" y="0"/>
              </a:moveTo>
              <a:lnTo>
                <a:pt x="1802900" y="104300"/>
              </a:lnTo>
              <a:lnTo>
                <a:pt x="0" y="104300"/>
              </a:lnTo>
              <a:lnTo>
                <a:pt x="0" y="208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FF2299-6AC0-4292-8584-A89D7238261D}">
      <dsp:nvSpPr>
        <dsp:cNvPr id="0" name=""/>
        <dsp:cNvSpPr/>
      </dsp:nvSpPr>
      <dsp:spPr>
        <a:xfrm>
          <a:off x="2053615" y="313433"/>
          <a:ext cx="496666" cy="49666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631C7-35F8-4A3D-B8D7-87B8B0D6DE36}">
      <dsp:nvSpPr>
        <dsp:cNvPr id="0" name=""/>
        <dsp:cNvSpPr/>
      </dsp:nvSpPr>
      <dsp:spPr>
        <a:xfrm>
          <a:off x="2053615" y="313433"/>
          <a:ext cx="496666" cy="49666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742C4B-A65C-4DCB-B16B-34A8DF18730E}">
      <dsp:nvSpPr>
        <dsp:cNvPr id="0" name=""/>
        <dsp:cNvSpPr/>
      </dsp:nvSpPr>
      <dsp:spPr>
        <a:xfrm>
          <a:off x="1805282" y="402833"/>
          <a:ext cx="993333" cy="3178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b="1" kern="1200"/>
            <a:t>DIRECTOR</a:t>
          </a:r>
        </a:p>
      </dsp:txBody>
      <dsp:txXfrm>
        <a:off x="1805282" y="402833"/>
        <a:ext cx="993333" cy="317866"/>
      </dsp:txXfrm>
    </dsp:sp>
    <dsp:sp modelId="{B12B5010-E99B-44B9-A108-5CCDBBBEFCB8}">
      <dsp:nvSpPr>
        <dsp:cNvPr id="0" name=""/>
        <dsp:cNvSpPr/>
      </dsp:nvSpPr>
      <dsp:spPr>
        <a:xfrm>
          <a:off x="250714" y="1018700"/>
          <a:ext cx="496666" cy="49666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E720A8-E4E5-4169-8B28-1296A4CF8F75}">
      <dsp:nvSpPr>
        <dsp:cNvPr id="0" name=""/>
        <dsp:cNvSpPr/>
      </dsp:nvSpPr>
      <dsp:spPr>
        <a:xfrm>
          <a:off x="250714" y="1018700"/>
          <a:ext cx="496666" cy="49666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CD6238-78BD-4C91-86A0-227CAC74E8B5}">
      <dsp:nvSpPr>
        <dsp:cNvPr id="0" name=""/>
        <dsp:cNvSpPr/>
      </dsp:nvSpPr>
      <dsp:spPr>
        <a:xfrm>
          <a:off x="2381" y="1108100"/>
          <a:ext cx="993333" cy="3178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b="1" kern="1200"/>
            <a:t>DEPARTMENT FOR SUSPICIOUS TRANSACTIONS</a:t>
          </a:r>
        </a:p>
      </dsp:txBody>
      <dsp:txXfrm>
        <a:off x="2381" y="1108100"/>
        <a:ext cx="993333" cy="317866"/>
      </dsp:txXfrm>
    </dsp:sp>
    <dsp:sp modelId="{FFDC9E2E-C025-4AD9-82CE-9A4496993C83}">
      <dsp:nvSpPr>
        <dsp:cNvPr id="0" name=""/>
        <dsp:cNvSpPr/>
      </dsp:nvSpPr>
      <dsp:spPr>
        <a:xfrm>
          <a:off x="1452648" y="1018700"/>
          <a:ext cx="496666" cy="49666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EE6E33-62E1-4DFD-845E-F193507C5B22}">
      <dsp:nvSpPr>
        <dsp:cNvPr id="0" name=""/>
        <dsp:cNvSpPr/>
      </dsp:nvSpPr>
      <dsp:spPr>
        <a:xfrm>
          <a:off x="1452648" y="1018700"/>
          <a:ext cx="496666" cy="49666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C8070B-1933-4432-A85B-AE01B4CD7DE2}">
      <dsp:nvSpPr>
        <dsp:cNvPr id="0" name=""/>
        <dsp:cNvSpPr/>
      </dsp:nvSpPr>
      <dsp:spPr>
        <a:xfrm>
          <a:off x="1204315" y="1108100"/>
          <a:ext cx="993333" cy="3178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b="1" kern="1200"/>
            <a:t>IT SERVICE</a:t>
          </a:r>
        </a:p>
      </dsp:txBody>
      <dsp:txXfrm>
        <a:off x="1204315" y="1108100"/>
        <a:ext cx="993333" cy="317866"/>
      </dsp:txXfrm>
    </dsp:sp>
    <dsp:sp modelId="{977B03E0-9D03-4D5E-9077-07B68974972D}">
      <dsp:nvSpPr>
        <dsp:cNvPr id="0" name=""/>
        <dsp:cNvSpPr/>
      </dsp:nvSpPr>
      <dsp:spPr>
        <a:xfrm>
          <a:off x="2654582" y="1018700"/>
          <a:ext cx="496666" cy="49666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54CAA8-7A6C-48EF-BD3C-8DA5A2A14DAF}">
      <dsp:nvSpPr>
        <dsp:cNvPr id="0" name=""/>
        <dsp:cNvSpPr/>
      </dsp:nvSpPr>
      <dsp:spPr>
        <a:xfrm>
          <a:off x="2654582" y="1018700"/>
          <a:ext cx="496666" cy="49666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E8CCEC-84EC-4BBE-8F63-D1DA122C5796}">
      <dsp:nvSpPr>
        <dsp:cNvPr id="0" name=""/>
        <dsp:cNvSpPr/>
      </dsp:nvSpPr>
      <dsp:spPr>
        <a:xfrm>
          <a:off x="2406249" y="1108100"/>
          <a:ext cx="993333" cy="3178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b="1" kern="1200"/>
            <a:t>DEPARTMENT FOR PREVENTION AND SUPERVISION</a:t>
          </a:r>
        </a:p>
      </dsp:txBody>
      <dsp:txXfrm>
        <a:off x="2406249" y="1108100"/>
        <a:ext cx="993333" cy="317866"/>
      </dsp:txXfrm>
    </dsp:sp>
    <dsp:sp modelId="{F977E331-E17F-4656-811D-2C119392F4D5}">
      <dsp:nvSpPr>
        <dsp:cNvPr id="0" name=""/>
        <dsp:cNvSpPr/>
      </dsp:nvSpPr>
      <dsp:spPr>
        <a:xfrm>
          <a:off x="3856516" y="1018700"/>
          <a:ext cx="496666" cy="49666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93D696-6190-4231-97C2-377FBB882BEF}">
      <dsp:nvSpPr>
        <dsp:cNvPr id="0" name=""/>
        <dsp:cNvSpPr/>
      </dsp:nvSpPr>
      <dsp:spPr>
        <a:xfrm>
          <a:off x="3856516" y="1018700"/>
          <a:ext cx="496666" cy="49666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35637B-1D35-4FBA-A113-2AD0FE000BCC}">
      <dsp:nvSpPr>
        <dsp:cNvPr id="0" name=""/>
        <dsp:cNvSpPr/>
      </dsp:nvSpPr>
      <dsp:spPr>
        <a:xfrm>
          <a:off x="3608182" y="1108100"/>
          <a:ext cx="993333" cy="31786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b="1" kern="1200"/>
            <a:t>NTERNATIONAL COOPERATION SERVICE</a:t>
          </a:r>
        </a:p>
      </dsp:txBody>
      <dsp:txXfrm>
        <a:off x="3608182" y="1108100"/>
        <a:ext cx="993333" cy="31786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BAAA-0EA6-4152-BB21-5511999B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11173</Words>
  <Characters>63687</Characters>
  <Application>Microsoft Office Word</Application>
  <DocSecurity>0</DocSecurity>
  <Lines>530</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74711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UPPD</cp:lastModifiedBy>
  <cp:revision>9</cp:revision>
  <cp:lastPrinted>2022-09-08T12:18:00Z</cp:lastPrinted>
  <dcterms:created xsi:type="dcterms:W3CDTF">2023-11-16T08:49:00Z</dcterms:created>
  <dcterms:modified xsi:type="dcterms:W3CDTF">2023-11-16T09:22:00Z</dcterms:modified>
</cp:coreProperties>
</file>