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733AD1" w:rsidRPr="00AE1239" w14:paraId="11FA7BD1" w14:textId="77777777" w:rsidTr="0023068F">
        <w:trPr>
          <w:trHeight w:val="1440"/>
        </w:trPr>
        <w:tc>
          <w:tcPr>
            <w:tcW w:w="2381" w:type="dxa"/>
            <w:tcBorders>
              <w:top w:val="nil"/>
              <w:left w:val="nil"/>
              <w:bottom w:val="nil"/>
              <w:right w:val="nil"/>
            </w:tcBorders>
          </w:tcPr>
          <w:p w14:paraId="19D547F0" w14:textId="77777777" w:rsidR="00733AD1" w:rsidRPr="00AE1239" w:rsidRDefault="00C50687" w:rsidP="0023068F">
            <w:pPr>
              <w:pStyle w:val="ZCom"/>
            </w:pPr>
            <w:r>
              <w:rPr>
                <w:noProof/>
                <w:sz w:val="20"/>
              </w:rPr>
              <w:drawing>
                <wp:inline distT="0" distB="0" distL="0" distR="0" wp14:anchorId="1BE528CE" wp14:editId="415B2B82">
                  <wp:extent cx="1356360" cy="685165"/>
                  <wp:effectExtent l="0" t="0" r="0"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6360" cy="685165"/>
                          </a:xfrm>
                          <a:prstGeom prst="rect">
                            <a:avLst/>
                          </a:prstGeom>
                          <a:noFill/>
                          <a:ln>
                            <a:noFill/>
                          </a:ln>
                        </pic:spPr>
                      </pic:pic>
                    </a:graphicData>
                  </a:graphic>
                </wp:inline>
              </w:drawing>
            </w:r>
          </w:p>
        </w:tc>
        <w:tc>
          <w:tcPr>
            <w:tcW w:w="7087" w:type="dxa"/>
            <w:tcBorders>
              <w:top w:val="nil"/>
              <w:left w:val="nil"/>
              <w:bottom w:val="nil"/>
              <w:right w:val="nil"/>
            </w:tcBorders>
          </w:tcPr>
          <w:p w14:paraId="263590CA" w14:textId="77777777" w:rsidR="00733AD1" w:rsidRPr="00592F9F" w:rsidRDefault="00733AD1" w:rsidP="0023068F">
            <w:pPr>
              <w:pStyle w:val="ZCom"/>
              <w:spacing w:before="90"/>
              <w:rPr>
                <w:rFonts w:ascii="Times New Roman" w:hAnsi="Times New Roman"/>
              </w:rPr>
            </w:pPr>
            <w:r>
              <w:rPr>
                <w:rFonts w:ascii="Times New Roman" w:hAnsi="Times New Roman"/>
              </w:rPr>
              <w:t>EVROPSKA KOMISIJA</w:t>
            </w:r>
          </w:p>
          <w:p w14:paraId="70005D9C" w14:textId="77777777" w:rsidR="00733AD1" w:rsidRPr="00592F9F" w:rsidRDefault="00733AD1" w:rsidP="0023068F">
            <w:pPr>
              <w:pStyle w:val="ZDGName"/>
              <w:rPr>
                <w:rFonts w:ascii="Times New Roman" w:hAnsi="Times New Roman"/>
              </w:rPr>
            </w:pPr>
            <w:r>
              <w:rPr>
                <w:rFonts w:ascii="Times New Roman" w:hAnsi="Times New Roman"/>
              </w:rPr>
              <w:t>GENERALNI DIREKTORAT ZA KMETIJSTVO IN RAZVOJ PODEŽELJA</w:t>
            </w:r>
          </w:p>
          <w:p w14:paraId="59142DC5" w14:textId="77777777" w:rsidR="00733AD1" w:rsidRPr="00592F9F" w:rsidRDefault="00733AD1" w:rsidP="0023068F">
            <w:pPr>
              <w:pStyle w:val="ZDGName"/>
              <w:rPr>
                <w:rFonts w:ascii="Times New Roman" w:hAnsi="Times New Roman"/>
              </w:rPr>
            </w:pPr>
            <w:r>
              <w:rPr>
                <w:rFonts w:ascii="Times New Roman" w:hAnsi="Times New Roman"/>
              </w:rPr>
              <w:t xml:space="preserve"> </w:t>
            </w:r>
          </w:p>
          <w:p w14:paraId="762CC165" w14:textId="77777777" w:rsidR="00733AD1" w:rsidRPr="00592F9F" w:rsidRDefault="00733AD1" w:rsidP="0023068F">
            <w:pPr>
              <w:widowControl w:val="0"/>
              <w:spacing w:after="0"/>
              <w:ind w:right="85"/>
              <w:rPr>
                <w:snapToGrid w:val="0"/>
                <w:sz w:val="16"/>
              </w:rPr>
            </w:pPr>
            <w:r>
              <w:rPr>
                <w:snapToGrid w:val="0"/>
                <w:sz w:val="16"/>
              </w:rPr>
              <w:t>Direktorat H – Revizijska zagotovila in revizija</w:t>
            </w:r>
          </w:p>
          <w:p w14:paraId="2E042FEF" w14:textId="77777777" w:rsidR="00733AD1" w:rsidRPr="00592F9F" w:rsidRDefault="00733AD1" w:rsidP="0023068F">
            <w:pPr>
              <w:pStyle w:val="ZDGName"/>
              <w:rPr>
                <w:rFonts w:ascii="Times New Roman" w:hAnsi="Times New Roman"/>
                <w:b/>
              </w:rPr>
            </w:pPr>
            <w:r>
              <w:rPr>
                <w:rFonts w:ascii="Times New Roman" w:hAnsi="Times New Roman"/>
                <w:b/>
                <w:snapToGrid w:val="0"/>
              </w:rPr>
              <w:t>H.4 Revizijska zagotovila in finančna revizija</w:t>
            </w:r>
          </w:p>
          <w:p w14:paraId="71AFC18F" w14:textId="77777777" w:rsidR="00733AD1" w:rsidRPr="00AE1239" w:rsidRDefault="00733AD1" w:rsidP="0023068F">
            <w:pPr>
              <w:pStyle w:val="ZDGName"/>
            </w:pPr>
          </w:p>
          <w:p w14:paraId="7EA16DB4" w14:textId="77777777" w:rsidR="00733AD1" w:rsidRPr="00AE1239" w:rsidRDefault="00733AD1" w:rsidP="0023068F">
            <w:pPr>
              <w:pStyle w:val="ZDGName"/>
            </w:pPr>
          </w:p>
        </w:tc>
      </w:tr>
    </w:tbl>
    <w:p w14:paraId="516CCA48" w14:textId="77777777" w:rsidR="0047022C" w:rsidRPr="00FD4529" w:rsidRDefault="0047022C" w:rsidP="0047022C">
      <w:pPr>
        <w:pStyle w:val="Date"/>
        <w:rPr>
          <w:sz w:val="20"/>
        </w:rPr>
      </w:pPr>
    </w:p>
    <w:p w14:paraId="5598FF53" w14:textId="77777777" w:rsidR="0047022C" w:rsidRPr="00D53F5A" w:rsidRDefault="0047022C" w:rsidP="000C7E5D">
      <w:pPr>
        <w:pStyle w:val="Date"/>
        <w:ind w:left="5823"/>
        <w:rPr>
          <w:szCs w:val="24"/>
        </w:rPr>
      </w:pPr>
      <w:r>
        <w:t xml:space="preserve">Bruselj, </w:t>
      </w:r>
      <w:r>
        <w:br/>
      </w:r>
      <w:r>
        <w:rPr>
          <w:sz w:val="20"/>
        </w:rPr>
        <w:t>agri.h.4(2023)7559267</w:t>
      </w:r>
      <w:r>
        <w:tab/>
      </w:r>
      <w:r>
        <w:tab/>
      </w:r>
    </w:p>
    <w:p w14:paraId="698804D1" w14:textId="77777777" w:rsidR="004B3E20" w:rsidRPr="00D53F5A" w:rsidRDefault="004B3E20" w:rsidP="005F6D75">
      <w:pPr>
        <w:pStyle w:val="Subject"/>
        <w:spacing w:before="480" w:after="720"/>
        <w:ind w:left="0" w:firstLine="0"/>
        <w:jc w:val="center"/>
        <w:rPr>
          <w:szCs w:val="24"/>
          <w:lang w:val="en-US"/>
        </w:rPr>
      </w:pPr>
    </w:p>
    <w:p w14:paraId="222DB4D2" w14:textId="77777777" w:rsidR="0069176B" w:rsidRPr="00D53F5A" w:rsidRDefault="0069176B" w:rsidP="0069176B">
      <w:pPr>
        <w:rPr>
          <w:lang w:val="en-US"/>
        </w:rPr>
      </w:pPr>
    </w:p>
    <w:p w14:paraId="4E7EAF89" w14:textId="77777777" w:rsidR="0069176B" w:rsidRPr="00EE0F09" w:rsidRDefault="0069176B" w:rsidP="0069176B">
      <w:pPr>
        <w:pStyle w:val="NoteHead"/>
        <w:spacing w:before="480"/>
        <w:outlineLvl w:val="0"/>
        <w:rPr>
          <w:sz w:val="40"/>
          <w:szCs w:val="40"/>
        </w:rPr>
      </w:pPr>
      <w:r>
        <w:rPr>
          <w:sz w:val="40"/>
        </w:rPr>
        <w:t>Smernica št. 4</w:t>
      </w:r>
    </w:p>
    <w:p w14:paraId="6D20ED0A" w14:textId="47922832" w:rsidR="0069176B" w:rsidRPr="004609DC" w:rsidRDefault="0069176B" w:rsidP="0069176B">
      <w:pPr>
        <w:jc w:val="center"/>
      </w:pPr>
      <w:r>
        <w:rPr>
          <w:b/>
        </w:rPr>
        <w:t>SMERNICE ZA POTRDITVENO REVIZIJO OBRAČUNOV EKJS/EKSRP – PRORAČUNSKO LETO 2023</w:t>
      </w:r>
    </w:p>
    <w:p w14:paraId="23328368" w14:textId="656BB8D4" w:rsidR="00D763BC" w:rsidRPr="0069176B" w:rsidRDefault="006F4C43" w:rsidP="00A86E75">
      <w:pPr>
        <w:pStyle w:val="NoteHead"/>
        <w:spacing w:before="480" w:after="120"/>
        <w:rPr>
          <w:sz w:val="28"/>
          <w:szCs w:val="28"/>
        </w:rPr>
      </w:pPr>
      <w:r>
        <w:rPr>
          <w:sz w:val="28"/>
        </w:rPr>
        <w:t>izjava o upravljanju in letni povzetek končnih revizijskih poročil in izvedenih kontrol</w:t>
      </w:r>
    </w:p>
    <w:p w14:paraId="63E80079" w14:textId="77777777" w:rsidR="006746AE" w:rsidRPr="00FD4529" w:rsidRDefault="006746AE" w:rsidP="006F4C43">
      <w:pPr>
        <w:rPr>
          <w:b/>
          <w:szCs w:val="24"/>
        </w:rPr>
      </w:pPr>
    </w:p>
    <w:p w14:paraId="56671E0A" w14:textId="77777777" w:rsidR="00660269" w:rsidRPr="00FD4529" w:rsidRDefault="008C41C2" w:rsidP="00A06852">
      <w:pPr>
        <w:ind w:left="1418" w:hanging="1418"/>
        <w:rPr>
          <w:b/>
          <w:szCs w:val="24"/>
        </w:rPr>
      </w:pPr>
      <w:r>
        <w:br w:type="page"/>
      </w:r>
    </w:p>
    <w:p w14:paraId="4CF837AE" w14:textId="77777777" w:rsidR="00660269" w:rsidRPr="00FD4529" w:rsidRDefault="00660269" w:rsidP="00660269">
      <w:pPr>
        <w:pStyle w:val="TOCHeading"/>
        <w:rPr>
          <w:szCs w:val="24"/>
        </w:rPr>
      </w:pPr>
      <w:r>
        <w:lastRenderedPageBreak/>
        <w:t>KAZALO</w:t>
      </w:r>
    </w:p>
    <w:p w14:paraId="697CE414" w14:textId="77777777" w:rsidR="00711D22" w:rsidRPr="00FD4529" w:rsidRDefault="00711D22" w:rsidP="00711D22">
      <w:pPr>
        <w:rPr>
          <w:lang w:eastAsia="en-US"/>
        </w:rPr>
      </w:pPr>
    </w:p>
    <w:p w14:paraId="5FE6F389" w14:textId="1F4AE516" w:rsidR="00263823" w:rsidRDefault="00660269">
      <w:pPr>
        <w:pStyle w:val="TOC1"/>
        <w:rPr>
          <w:rFonts w:asciiTheme="minorHAnsi" w:eastAsiaTheme="minorEastAsia" w:hAnsiTheme="minorHAnsi" w:cstheme="minorBidi"/>
          <w:caps w:val="0"/>
          <w:noProof/>
          <w:sz w:val="22"/>
          <w:szCs w:val="22"/>
          <w:lang w:val="en-IE" w:eastAsia="en-IE"/>
        </w:rPr>
      </w:pPr>
      <w:r>
        <w:rPr>
          <w:highlight w:val="yellow"/>
        </w:rPr>
        <w:fldChar w:fldCharType="begin"/>
      </w:r>
      <w:r>
        <w:rPr>
          <w:highlight w:val="yellow"/>
        </w:rPr>
        <w:instrText xml:space="preserve"> TOC \o "1-4" </w:instrText>
      </w:r>
      <w:r>
        <w:rPr>
          <w:highlight w:val="yellow"/>
        </w:rPr>
        <w:fldChar w:fldCharType="separate"/>
      </w:r>
      <w:r w:rsidR="00263823" w:rsidRPr="00611421">
        <w:rPr>
          <w:noProof/>
        </w:rPr>
        <w:t>ODDELEK A: IZJAVA O UPRAVLJANJU – PLAČILNA AGENCIJA</w:t>
      </w:r>
      <w:r w:rsidR="00263823">
        <w:rPr>
          <w:noProof/>
        </w:rPr>
        <w:tab/>
      </w:r>
      <w:r w:rsidR="00263823">
        <w:rPr>
          <w:noProof/>
        </w:rPr>
        <w:fldChar w:fldCharType="begin"/>
      </w:r>
      <w:r w:rsidR="00263823">
        <w:rPr>
          <w:noProof/>
        </w:rPr>
        <w:instrText xml:space="preserve"> PAGEREF _Toc142903994 \h </w:instrText>
      </w:r>
      <w:r w:rsidR="00263823">
        <w:rPr>
          <w:noProof/>
        </w:rPr>
      </w:r>
      <w:r w:rsidR="00263823">
        <w:rPr>
          <w:noProof/>
        </w:rPr>
        <w:fldChar w:fldCharType="separate"/>
      </w:r>
      <w:r w:rsidR="00263823">
        <w:rPr>
          <w:noProof/>
        </w:rPr>
        <w:t>4</w:t>
      </w:r>
      <w:r w:rsidR="00263823">
        <w:rPr>
          <w:noProof/>
        </w:rPr>
        <w:fldChar w:fldCharType="end"/>
      </w:r>
    </w:p>
    <w:p w14:paraId="3A19AFF4" w14:textId="1B7906C5" w:rsidR="00263823" w:rsidRDefault="00263823">
      <w:pPr>
        <w:pStyle w:val="TOC1"/>
        <w:rPr>
          <w:rFonts w:asciiTheme="minorHAnsi" w:eastAsiaTheme="minorEastAsia" w:hAnsiTheme="minorHAnsi" w:cstheme="minorBidi"/>
          <w:caps w:val="0"/>
          <w:noProof/>
          <w:sz w:val="22"/>
          <w:szCs w:val="22"/>
          <w:lang w:val="en-IE" w:eastAsia="en-IE"/>
        </w:rPr>
      </w:pPr>
      <w:r>
        <w:rPr>
          <w:noProof/>
        </w:rPr>
        <w:t>1.</w:t>
      </w:r>
      <w:r>
        <w:rPr>
          <w:rFonts w:asciiTheme="minorHAnsi" w:eastAsiaTheme="minorEastAsia" w:hAnsiTheme="minorHAnsi" w:cstheme="minorBidi"/>
          <w:caps w:val="0"/>
          <w:noProof/>
          <w:sz w:val="22"/>
          <w:szCs w:val="22"/>
          <w:lang w:val="en-IE" w:eastAsia="en-IE"/>
        </w:rPr>
        <w:tab/>
      </w:r>
      <w:r>
        <w:rPr>
          <w:noProof/>
        </w:rPr>
        <w:t>Ozadje</w:t>
      </w:r>
      <w:r>
        <w:rPr>
          <w:noProof/>
        </w:rPr>
        <w:tab/>
      </w:r>
      <w:r>
        <w:rPr>
          <w:noProof/>
        </w:rPr>
        <w:fldChar w:fldCharType="begin"/>
      </w:r>
      <w:r>
        <w:rPr>
          <w:noProof/>
        </w:rPr>
        <w:instrText xml:space="preserve"> PAGEREF _Toc142903995 \h </w:instrText>
      </w:r>
      <w:r>
        <w:rPr>
          <w:noProof/>
        </w:rPr>
      </w:r>
      <w:r>
        <w:rPr>
          <w:noProof/>
        </w:rPr>
        <w:fldChar w:fldCharType="separate"/>
      </w:r>
      <w:r>
        <w:rPr>
          <w:noProof/>
        </w:rPr>
        <w:t>4</w:t>
      </w:r>
      <w:r>
        <w:rPr>
          <w:noProof/>
        </w:rPr>
        <w:fldChar w:fldCharType="end"/>
      </w:r>
    </w:p>
    <w:p w14:paraId="067FEDAC" w14:textId="284778BF"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1.1.</w:t>
      </w:r>
      <w:r>
        <w:rPr>
          <w:rFonts w:asciiTheme="minorHAnsi" w:eastAsiaTheme="minorEastAsia" w:hAnsiTheme="minorHAnsi" w:cstheme="minorBidi"/>
          <w:noProof/>
          <w:sz w:val="22"/>
          <w:szCs w:val="22"/>
          <w:lang w:val="en-IE" w:eastAsia="en-IE"/>
        </w:rPr>
        <w:tab/>
      </w:r>
      <w:r>
        <w:rPr>
          <w:noProof/>
        </w:rPr>
        <w:t>Zakonodajno okolje</w:t>
      </w:r>
      <w:r>
        <w:rPr>
          <w:noProof/>
        </w:rPr>
        <w:tab/>
      </w:r>
      <w:r>
        <w:rPr>
          <w:noProof/>
        </w:rPr>
        <w:fldChar w:fldCharType="begin"/>
      </w:r>
      <w:r>
        <w:rPr>
          <w:noProof/>
        </w:rPr>
        <w:instrText xml:space="preserve"> PAGEREF _Toc142903996 \h </w:instrText>
      </w:r>
      <w:r>
        <w:rPr>
          <w:noProof/>
        </w:rPr>
      </w:r>
      <w:r>
        <w:rPr>
          <w:noProof/>
        </w:rPr>
        <w:fldChar w:fldCharType="separate"/>
      </w:r>
      <w:r>
        <w:rPr>
          <w:noProof/>
        </w:rPr>
        <w:t>4</w:t>
      </w:r>
      <w:r>
        <w:rPr>
          <w:noProof/>
        </w:rPr>
        <w:fldChar w:fldCharType="end"/>
      </w:r>
    </w:p>
    <w:p w14:paraId="74CDA4A4" w14:textId="324E4289"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1.2.</w:t>
      </w:r>
      <w:r>
        <w:rPr>
          <w:rFonts w:asciiTheme="minorHAnsi" w:eastAsiaTheme="minorEastAsia" w:hAnsiTheme="minorHAnsi" w:cstheme="minorBidi"/>
          <w:noProof/>
          <w:sz w:val="22"/>
          <w:szCs w:val="22"/>
          <w:lang w:val="en-IE" w:eastAsia="en-IE"/>
        </w:rPr>
        <w:tab/>
      </w:r>
      <w:r>
        <w:rPr>
          <w:noProof/>
        </w:rPr>
        <w:t>Rok za predložitev</w:t>
      </w:r>
      <w:r>
        <w:rPr>
          <w:noProof/>
        </w:rPr>
        <w:tab/>
      </w:r>
      <w:r>
        <w:rPr>
          <w:noProof/>
        </w:rPr>
        <w:fldChar w:fldCharType="begin"/>
      </w:r>
      <w:r>
        <w:rPr>
          <w:noProof/>
        </w:rPr>
        <w:instrText xml:space="preserve"> PAGEREF _Toc142903997 \h </w:instrText>
      </w:r>
      <w:r>
        <w:rPr>
          <w:noProof/>
        </w:rPr>
      </w:r>
      <w:r>
        <w:rPr>
          <w:noProof/>
        </w:rPr>
        <w:fldChar w:fldCharType="separate"/>
      </w:r>
      <w:r>
        <w:rPr>
          <w:noProof/>
        </w:rPr>
        <w:t>5</w:t>
      </w:r>
      <w:r>
        <w:rPr>
          <w:noProof/>
        </w:rPr>
        <w:fldChar w:fldCharType="end"/>
      </w:r>
    </w:p>
    <w:p w14:paraId="10321A85" w14:textId="7FBF2300"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1.3.</w:t>
      </w:r>
      <w:r>
        <w:rPr>
          <w:rFonts w:asciiTheme="minorHAnsi" w:eastAsiaTheme="minorEastAsia" w:hAnsiTheme="minorHAnsi" w:cstheme="minorBidi"/>
          <w:noProof/>
          <w:sz w:val="22"/>
          <w:szCs w:val="22"/>
          <w:lang w:val="en-IE" w:eastAsia="en-IE"/>
        </w:rPr>
        <w:tab/>
      </w:r>
      <w:r>
        <w:rPr>
          <w:noProof/>
        </w:rPr>
        <w:t>Podpis</w:t>
      </w:r>
      <w:r>
        <w:rPr>
          <w:noProof/>
        </w:rPr>
        <w:tab/>
      </w:r>
      <w:r>
        <w:rPr>
          <w:noProof/>
        </w:rPr>
        <w:fldChar w:fldCharType="begin"/>
      </w:r>
      <w:r>
        <w:rPr>
          <w:noProof/>
        </w:rPr>
        <w:instrText xml:space="preserve"> PAGEREF _Toc142903998 \h </w:instrText>
      </w:r>
      <w:r>
        <w:rPr>
          <w:noProof/>
        </w:rPr>
      </w:r>
      <w:r>
        <w:rPr>
          <w:noProof/>
        </w:rPr>
        <w:fldChar w:fldCharType="separate"/>
      </w:r>
      <w:r>
        <w:rPr>
          <w:noProof/>
        </w:rPr>
        <w:t>5</w:t>
      </w:r>
      <w:r>
        <w:rPr>
          <w:noProof/>
        </w:rPr>
        <w:fldChar w:fldCharType="end"/>
      </w:r>
    </w:p>
    <w:p w14:paraId="6D302C5E" w14:textId="74C26C1F"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1.4.</w:t>
      </w:r>
      <w:r>
        <w:rPr>
          <w:rFonts w:asciiTheme="minorHAnsi" w:eastAsiaTheme="minorEastAsia" w:hAnsiTheme="minorHAnsi" w:cstheme="minorBidi"/>
          <w:noProof/>
          <w:sz w:val="22"/>
          <w:szCs w:val="22"/>
          <w:lang w:val="en-IE" w:eastAsia="en-IE"/>
        </w:rPr>
        <w:tab/>
      </w:r>
      <w:r>
        <w:rPr>
          <w:noProof/>
        </w:rPr>
        <w:t>Posredovanje in oblika</w:t>
      </w:r>
      <w:r>
        <w:rPr>
          <w:noProof/>
        </w:rPr>
        <w:tab/>
      </w:r>
      <w:r>
        <w:rPr>
          <w:noProof/>
        </w:rPr>
        <w:fldChar w:fldCharType="begin"/>
      </w:r>
      <w:r>
        <w:rPr>
          <w:noProof/>
        </w:rPr>
        <w:instrText xml:space="preserve"> PAGEREF _Toc142903999 \h </w:instrText>
      </w:r>
      <w:r>
        <w:rPr>
          <w:noProof/>
        </w:rPr>
      </w:r>
      <w:r>
        <w:rPr>
          <w:noProof/>
        </w:rPr>
        <w:fldChar w:fldCharType="separate"/>
      </w:r>
      <w:r>
        <w:rPr>
          <w:noProof/>
        </w:rPr>
        <w:t>5</w:t>
      </w:r>
      <w:r>
        <w:rPr>
          <w:noProof/>
        </w:rPr>
        <w:fldChar w:fldCharType="end"/>
      </w:r>
    </w:p>
    <w:p w14:paraId="6C22F9FF" w14:textId="02F79AF7"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1.5.</w:t>
      </w:r>
      <w:r>
        <w:rPr>
          <w:rFonts w:asciiTheme="minorHAnsi" w:eastAsiaTheme="minorEastAsia" w:hAnsiTheme="minorHAnsi" w:cstheme="minorBidi"/>
          <w:noProof/>
          <w:sz w:val="22"/>
          <w:szCs w:val="22"/>
          <w:lang w:val="en-IE" w:eastAsia="en-IE"/>
        </w:rPr>
        <w:tab/>
      </w:r>
      <w:r>
        <w:rPr>
          <w:noProof/>
        </w:rPr>
        <w:t>Besedilo izjave o upravljanju (plačilna agencija)</w:t>
      </w:r>
      <w:r>
        <w:rPr>
          <w:noProof/>
        </w:rPr>
        <w:tab/>
      </w:r>
      <w:r>
        <w:rPr>
          <w:noProof/>
        </w:rPr>
        <w:fldChar w:fldCharType="begin"/>
      </w:r>
      <w:r>
        <w:rPr>
          <w:noProof/>
        </w:rPr>
        <w:instrText xml:space="preserve"> PAGEREF _Toc142904000 \h </w:instrText>
      </w:r>
      <w:r>
        <w:rPr>
          <w:noProof/>
        </w:rPr>
      </w:r>
      <w:r>
        <w:rPr>
          <w:noProof/>
        </w:rPr>
        <w:fldChar w:fldCharType="separate"/>
      </w:r>
      <w:r>
        <w:rPr>
          <w:noProof/>
        </w:rPr>
        <w:t>5</w:t>
      </w:r>
      <w:r>
        <w:rPr>
          <w:noProof/>
        </w:rPr>
        <w:fldChar w:fldCharType="end"/>
      </w:r>
    </w:p>
    <w:p w14:paraId="14DDA28D" w14:textId="3BD24272" w:rsidR="00263823" w:rsidRDefault="00263823">
      <w:pPr>
        <w:pStyle w:val="TOC1"/>
        <w:rPr>
          <w:rFonts w:asciiTheme="minorHAnsi" w:eastAsiaTheme="minorEastAsia" w:hAnsiTheme="minorHAnsi" w:cstheme="minorBidi"/>
          <w:caps w:val="0"/>
          <w:noProof/>
          <w:sz w:val="22"/>
          <w:szCs w:val="22"/>
          <w:lang w:val="en-IE" w:eastAsia="en-IE"/>
        </w:rPr>
      </w:pPr>
      <w:r>
        <w:rPr>
          <w:noProof/>
        </w:rPr>
        <w:t>2.</w:t>
      </w:r>
      <w:r>
        <w:rPr>
          <w:rFonts w:asciiTheme="minorHAnsi" w:eastAsiaTheme="minorEastAsia" w:hAnsiTheme="minorHAnsi" w:cstheme="minorBidi"/>
          <w:caps w:val="0"/>
          <w:noProof/>
          <w:sz w:val="22"/>
          <w:szCs w:val="22"/>
          <w:lang w:val="en-IE" w:eastAsia="en-IE"/>
        </w:rPr>
        <w:tab/>
      </w:r>
      <w:r>
        <w:rPr>
          <w:noProof/>
        </w:rPr>
        <w:t>Podlaga za izjavo o upravljanju</w:t>
      </w:r>
      <w:r>
        <w:rPr>
          <w:noProof/>
        </w:rPr>
        <w:tab/>
      </w:r>
      <w:r>
        <w:rPr>
          <w:noProof/>
        </w:rPr>
        <w:fldChar w:fldCharType="begin"/>
      </w:r>
      <w:r>
        <w:rPr>
          <w:noProof/>
        </w:rPr>
        <w:instrText xml:space="preserve"> PAGEREF _Toc142904001 \h </w:instrText>
      </w:r>
      <w:r>
        <w:rPr>
          <w:noProof/>
        </w:rPr>
      </w:r>
      <w:r>
        <w:rPr>
          <w:noProof/>
        </w:rPr>
        <w:fldChar w:fldCharType="separate"/>
      </w:r>
      <w:r>
        <w:rPr>
          <w:noProof/>
        </w:rPr>
        <w:t>7</w:t>
      </w:r>
      <w:r>
        <w:rPr>
          <w:noProof/>
        </w:rPr>
        <w:fldChar w:fldCharType="end"/>
      </w:r>
    </w:p>
    <w:p w14:paraId="15B1B8E4" w14:textId="6901624B" w:rsidR="00263823" w:rsidRDefault="00263823">
      <w:pPr>
        <w:pStyle w:val="TOC1"/>
        <w:rPr>
          <w:rFonts w:asciiTheme="minorHAnsi" w:eastAsiaTheme="minorEastAsia" w:hAnsiTheme="minorHAnsi" w:cstheme="minorBidi"/>
          <w:caps w:val="0"/>
          <w:noProof/>
          <w:sz w:val="22"/>
          <w:szCs w:val="22"/>
          <w:lang w:val="en-IE" w:eastAsia="en-IE"/>
        </w:rPr>
      </w:pPr>
      <w:r>
        <w:rPr>
          <w:noProof/>
        </w:rPr>
        <w:t>3.</w:t>
      </w:r>
      <w:r>
        <w:rPr>
          <w:rFonts w:asciiTheme="minorHAnsi" w:eastAsiaTheme="minorEastAsia" w:hAnsiTheme="minorHAnsi" w:cstheme="minorBidi"/>
          <w:caps w:val="0"/>
          <w:noProof/>
          <w:sz w:val="22"/>
          <w:szCs w:val="22"/>
          <w:lang w:val="en-IE" w:eastAsia="en-IE"/>
        </w:rPr>
        <w:tab/>
      </w:r>
      <w:r>
        <w:rPr>
          <w:noProof/>
        </w:rPr>
        <w:t>Pridržki</w:t>
      </w:r>
      <w:r>
        <w:rPr>
          <w:noProof/>
        </w:rPr>
        <w:tab/>
      </w:r>
      <w:r>
        <w:rPr>
          <w:noProof/>
        </w:rPr>
        <w:fldChar w:fldCharType="begin"/>
      </w:r>
      <w:r>
        <w:rPr>
          <w:noProof/>
        </w:rPr>
        <w:instrText xml:space="preserve"> PAGEREF _Toc142904002 \h </w:instrText>
      </w:r>
      <w:r>
        <w:rPr>
          <w:noProof/>
        </w:rPr>
      </w:r>
      <w:r>
        <w:rPr>
          <w:noProof/>
        </w:rPr>
        <w:fldChar w:fldCharType="separate"/>
      </w:r>
      <w:r>
        <w:rPr>
          <w:noProof/>
        </w:rPr>
        <w:t>8</w:t>
      </w:r>
      <w:r>
        <w:rPr>
          <w:noProof/>
        </w:rPr>
        <w:fldChar w:fldCharType="end"/>
      </w:r>
    </w:p>
    <w:p w14:paraId="5E0EC91C" w14:textId="2C29CE12"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3.1.</w:t>
      </w:r>
      <w:r>
        <w:rPr>
          <w:rFonts w:asciiTheme="minorHAnsi" w:eastAsiaTheme="minorEastAsia" w:hAnsiTheme="minorHAnsi" w:cstheme="minorBidi"/>
          <w:noProof/>
          <w:sz w:val="22"/>
          <w:szCs w:val="22"/>
          <w:lang w:val="en-IE" w:eastAsia="en-IE"/>
        </w:rPr>
        <w:tab/>
      </w:r>
      <w:r>
        <w:rPr>
          <w:noProof/>
        </w:rPr>
        <w:t>Splošne zahteve</w:t>
      </w:r>
      <w:r>
        <w:rPr>
          <w:noProof/>
        </w:rPr>
        <w:tab/>
      </w:r>
      <w:r>
        <w:rPr>
          <w:noProof/>
        </w:rPr>
        <w:fldChar w:fldCharType="begin"/>
      </w:r>
      <w:r>
        <w:rPr>
          <w:noProof/>
        </w:rPr>
        <w:instrText xml:space="preserve"> PAGEREF _Toc142904003 \h </w:instrText>
      </w:r>
      <w:r>
        <w:rPr>
          <w:noProof/>
        </w:rPr>
      </w:r>
      <w:r>
        <w:rPr>
          <w:noProof/>
        </w:rPr>
        <w:fldChar w:fldCharType="separate"/>
      </w:r>
      <w:r>
        <w:rPr>
          <w:noProof/>
        </w:rPr>
        <w:t>8</w:t>
      </w:r>
      <w:r>
        <w:rPr>
          <w:noProof/>
        </w:rPr>
        <w:fldChar w:fldCharType="end"/>
      </w:r>
    </w:p>
    <w:p w14:paraId="78461F8B" w14:textId="22B70783"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3.2.</w:t>
      </w:r>
      <w:r>
        <w:rPr>
          <w:rFonts w:asciiTheme="minorHAnsi" w:eastAsiaTheme="minorEastAsia" w:hAnsiTheme="minorHAnsi" w:cstheme="minorBidi"/>
          <w:noProof/>
          <w:sz w:val="22"/>
          <w:szCs w:val="22"/>
          <w:lang w:val="en-IE" w:eastAsia="en-IE"/>
        </w:rPr>
        <w:tab/>
      </w:r>
      <w:r>
        <w:rPr>
          <w:noProof/>
        </w:rPr>
        <w:t>Kakovostni vidiki</w:t>
      </w:r>
      <w:r>
        <w:rPr>
          <w:noProof/>
        </w:rPr>
        <w:tab/>
      </w:r>
      <w:r>
        <w:rPr>
          <w:noProof/>
        </w:rPr>
        <w:fldChar w:fldCharType="begin"/>
      </w:r>
      <w:r>
        <w:rPr>
          <w:noProof/>
        </w:rPr>
        <w:instrText xml:space="preserve"> PAGEREF _Toc142904004 \h </w:instrText>
      </w:r>
      <w:r>
        <w:rPr>
          <w:noProof/>
        </w:rPr>
      </w:r>
      <w:r>
        <w:rPr>
          <w:noProof/>
        </w:rPr>
        <w:fldChar w:fldCharType="separate"/>
      </w:r>
      <w:r>
        <w:rPr>
          <w:noProof/>
        </w:rPr>
        <w:t>9</w:t>
      </w:r>
      <w:r>
        <w:rPr>
          <w:noProof/>
        </w:rPr>
        <w:fldChar w:fldCharType="end"/>
      </w:r>
    </w:p>
    <w:p w14:paraId="353518AC" w14:textId="49285F9B"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3.3.</w:t>
      </w:r>
      <w:r>
        <w:rPr>
          <w:rFonts w:asciiTheme="minorHAnsi" w:eastAsiaTheme="minorEastAsia" w:hAnsiTheme="minorHAnsi" w:cstheme="minorBidi"/>
          <w:noProof/>
          <w:sz w:val="22"/>
          <w:szCs w:val="22"/>
          <w:lang w:val="en-IE" w:eastAsia="en-IE"/>
        </w:rPr>
        <w:tab/>
      </w:r>
      <w:r>
        <w:rPr>
          <w:noProof/>
        </w:rPr>
        <w:t>Količinski vidiki</w:t>
      </w:r>
      <w:r>
        <w:rPr>
          <w:noProof/>
        </w:rPr>
        <w:tab/>
      </w:r>
      <w:r>
        <w:rPr>
          <w:noProof/>
        </w:rPr>
        <w:fldChar w:fldCharType="begin"/>
      </w:r>
      <w:r>
        <w:rPr>
          <w:noProof/>
        </w:rPr>
        <w:instrText xml:space="preserve"> PAGEREF _Toc142904005 \h </w:instrText>
      </w:r>
      <w:r>
        <w:rPr>
          <w:noProof/>
        </w:rPr>
      </w:r>
      <w:r>
        <w:rPr>
          <w:noProof/>
        </w:rPr>
        <w:fldChar w:fldCharType="separate"/>
      </w:r>
      <w:r>
        <w:rPr>
          <w:noProof/>
        </w:rPr>
        <w:t>9</w:t>
      </w:r>
      <w:r>
        <w:rPr>
          <w:noProof/>
        </w:rPr>
        <w:fldChar w:fldCharType="end"/>
      </w:r>
    </w:p>
    <w:p w14:paraId="51005E04" w14:textId="2E295489" w:rsidR="00263823" w:rsidRDefault="00263823">
      <w:pPr>
        <w:pStyle w:val="TOC3"/>
        <w:tabs>
          <w:tab w:val="left" w:pos="1916"/>
        </w:tabs>
        <w:rPr>
          <w:rFonts w:asciiTheme="minorHAnsi" w:eastAsiaTheme="minorEastAsia" w:hAnsiTheme="minorHAnsi" w:cstheme="minorBidi"/>
          <w:noProof/>
          <w:sz w:val="22"/>
          <w:szCs w:val="22"/>
          <w:lang w:val="en-IE" w:eastAsia="en-IE"/>
        </w:rPr>
      </w:pPr>
      <w:r>
        <w:rPr>
          <w:noProof/>
        </w:rPr>
        <w:t>3.3.1.</w:t>
      </w:r>
      <w:r>
        <w:rPr>
          <w:rFonts w:asciiTheme="minorHAnsi" w:eastAsiaTheme="minorEastAsia" w:hAnsiTheme="minorHAnsi" w:cstheme="minorBidi"/>
          <w:noProof/>
          <w:sz w:val="22"/>
          <w:szCs w:val="22"/>
          <w:lang w:val="en-IE" w:eastAsia="en-IE"/>
        </w:rPr>
        <w:tab/>
      </w:r>
      <w:r>
        <w:rPr>
          <w:noProof/>
        </w:rPr>
        <w:t>Intervencije iz Uredbe (EU) 2021/2115</w:t>
      </w:r>
      <w:r>
        <w:rPr>
          <w:noProof/>
        </w:rPr>
        <w:tab/>
      </w:r>
      <w:r>
        <w:rPr>
          <w:noProof/>
        </w:rPr>
        <w:fldChar w:fldCharType="begin"/>
      </w:r>
      <w:r>
        <w:rPr>
          <w:noProof/>
        </w:rPr>
        <w:instrText xml:space="preserve"> PAGEREF _Toc142904006 \h </w:instrText>
      </w:r>
      <w:r>
        <w:rPr>
          <w:noProof/>
        </w:rPr>
      </w:r>
      <w:r>
        <w:rPr>
          <w:noProof/>
        </w:rPr>
        <w:fldChar w:fldCharType="separate"/>
      </w:r>
      <w:r>
        <w:rPr>
          <w:noProof/>
        </w:rPr>
        <w:t>9</w:t>
      </w:r>
      <w:r>
        <w:rPr>
          <w:noProof/>
        </w:rPr>
        <w:fldChar w:fldCharType="end"/>
      </w:r>
    </w:p>
    <w:p w14:paraId="1623B000" w14:textId="7E84BF3A" w:rsidR="00263823" w:rsidRDefault="00263823">
      <w:pPr>
        <w:pStyle w:val="TOC3"/>
        <w:tabs>
          <w:tab w:val="left" w:pos="1916"/>
        </w:tabs>
        <w:rPr>
          <w:rFonts w:asciiTheme="minorHAnsi" w:eastAsiaTheme="minorEastAsia" w:hAnsiTheme="minorHAnsi" w:cstheme="minorBidi"/>
          <w:noProof/>
          <w:sz w:val="22"/>
          <w:szCs w:val="22"/>
          <w:lang w:val="en-IE" w:eastAsia="en-IE"/>
        </w:rPr>
      </w:pPr>
      <w:r>
        <w:rPr>
          <w:noProof/>
        </w:rPr>
        <w:t>3.3.2.</w:t>
      </w:r>
      <w:r>
        <w:rPr>
          <w:rFonts w:asciiTheme="minorHAnsi" w:eastAsiaTheme="minorEastAsia" w:hAnsiTheme="minorHAnsi" w:cstheme="minorBidi"/>
          <w:noProof/>
          <w:sz w:val="22"/>
          <w:szCs w:val="22"/>
          <w:lang w:val="en-IE" w:eastAsia="en-IE"/>
        </w:rPr>
        <w:tab/>
      </w:r>
      <w:r>
        <w:rPr>
          <w:noProof/>
        </w:rPr>
        <w:t>Odhodki, ki ne spadajo v strateški načrt SKP</w:t>
      </w:r>
      <w:r>
        <w:rPr>
          <w:noProof/>
        </w:rPr>
        <w:tab/>
      </w:r>
      <w:r>
        <w:rPr>
          <w:noProof/>
        </w:rPr>
        <w:fldChar w:fldCharType="begin"/>
      </w:r>
      <w:r>
        <w:rPr>
          <w:noProof/>
        </w:rPr>
        <w:instrText xml:space="preserve"> PAGEREF _Toc142904007 \h </w:instrText>
      </w:r>
      <w:r>
        <w:rPr>
          <w:noProof/>
        </w:rPr>
      </w:r>
      <w:r>
        <w:rPr>
          <w:noProof/>
        </w:rPr>
        <w:fldChar w:fldCharType="separate"/>
      </w:r>
      <w:r>
        <w:rPr>
          <w:noProof/>
        </w:rPr>
        <w:t>10</w:t>
      </w:r>
      <w:r>
        <w:rPr>
          <w:noProof/>
        </w:rPr>
        <w:fldChar w:fldCharType="end"/>
      </w:r>
    </w:p>
    <w:p w14:paraId="72239CBB" w14:textId="75636774" w:rsidR="00263823" w:rsidRDefault="00263823">
      <w:pPr>
        <w:pStyle w:val="TOC3"/>
        <w:tabs>
          <w:tab w:val="left" w:pos="1916"/>
        </w:tabs>
        <w:rPr>
          <w:rFonts w:asciiTheme="minorHAnsi" w:eastAsiaTheme="minorEastAsia" w:hAnsiTheme="minorHAnsi" w:cstheme="minorBidi"/>
          <w:noProof/>
          <w:sz w:val="22"/>
          <w:szCs w:val="22"/>
          <w:lang w:val="en-IE" w:eastAsia="en-IE"/>
        </w:rPr>
      </w:pPr>
      <w:r>
        <w:rPr>
          <w:noProof/>
        </w:rPr>
        <w:t>3.3.3.</w:t>
      </w:r>
      <w:r>
        <w:rPr>
          <w:rFonts w:asciiTheme="minorHAnsi" w:eastAsiaTheme="minorEastAsia" w:hAnsiTheme="minorHAnsi" w:cstheme="minorBidi"/>
          <w:noProof/>
          <w:sz w:val="22"/>
          <w:szCs w:val="22"/>
          <w:lang w:val="en-IE" w:eastAsia="en-IE"/>
        </w:rPr>
        <w:tab/>
      </w:r>
      <w:r>
        <w:rPr>
          <w:noProof/>
        </w:rPr>
        <w:t>Neoperativne transakcije</w:t>
      </w:r>
      <w:r>
        <w:rPr>
          <w:noProof/>
        </w:rPr>
        <w:tab/>
      </w:r>
      <w:r>
        <w:rPr>
          <w:noProof/>
        </w:rPr>
        <w:fldChar w:fldCharType="begin"/>
      </w:r>
      <w:r>
        <w:rPr>
          <w:noProof/>
        </w:rPr>
        <w:instrText xml:space="preserve"> PAGEREF _Toc142904008 \h </w:instrText>
      </w:r>
      <w:r>
        <w:rPr>
          <w:noProof/>
        </w:rPr>
      </w:r>
      <w:r>
        <w:rPr>
          <w:noProof/>
        </w:rPr>
        <w:fldChar w:fldCharType="separate"/>
      </w:r>
      <w:r>
        <w:rPr>
          <w:noProof/>
        </w:rPr>
        <w:t>10</w:t>
      </w:r>
      <w:r>
        <w:rPr>
          <w:noProof/>
        </w:rPr>
        <w:fldChar w:fldCharType="end"/>
      </w:r>
    </w:p>
    <w:p w14:paraId="5B409CA1" w14:textId="170A42FA"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3.4.</w:t>
      </w:r>
      <w:r>
        <w:rPr>
          <w:rFonts w:asciiTheme="minorHAnsi" w:eastAsiaTheme="minorEastAsia" w:hAnsiTheme="minorHAnsi" w:cstheme="minorBidi"/>
          <w:noProof/>
          <w:sz w:val="22"/>
          <w:szCs w:val="22"/>
          <w:lang w:val="en-IE" w:eastAsia="en-IE"/>
        </w:rPr>
        <w:tab/>
      </w:r>
      <w:r>
        <w:rPr>
          <w:noProof/>
        </w:rPr>
        <w:t>Popravni ukrepi</w:t>
      </w:r>
      <w:r>
        <w:rPr>
          <w:noProof/>
        </w:rPr>
        <w:tab/>
      </w:r>
      <w:r>
        <w:rPr>
          <w:noProof/>
        </w:rPr>
        <w:fldChar w:fldCharType="begin"/>
      </w:r>
      <w:r>
        <w:rPr>
          <w:noProof/>
        </w:rPr>
        <w:instrText xml:space="preserve"> PAGEREF _Toc142904009 \h </w:instrText>
      </w:r>
      <w:r>
        <w:rPr>
          <w:noProof/>
        </w:rPr>
      </w:r>
      <w:r>
        <w:rPr>
          <w:noProof/>
        </w:rPr>
        <w:fldChar w:fldCharType="separate"/>
      </w:r>
      <w:r>
        <w:rPr>
          <w:noProof/>
        </w:rPr>
        <w:t>11</w:t>
      </w:r>
      <w:r>
        <w:rPr>
          <w:noProof/>
        </w:rPr>
        <w:fldChar w:fldCharType="end"/>
      </w:r>
    </w:p>
    <w:p w14:paraId="58C5BF81" w14:textId="0D0A743D" w:rsidR="00263823" w:rsidRDefault="00263823">
      <w:pPr>
        <w:pStyle w:val="TOC1"/>
        <w:rPr>
          <w:rFonts w:asciiTheme="minorHAnsi" w:eastAsiaTheme="minorEastAsia" w:hAnsiTheme="minorHAnsi" w:cstheme="minorBidi"/>
          <w:caps w:val="0"/>
          <w:noProof/>
          <w:sz w:val="22"/>
          <w:szCs w:val="22"/>
          <w:lang w:val="en-IE" w:eastAsia="en-IE"/>
        </w:rPr>
      </w:pPr>
      <w:r>
        <w:rPr>
          <w:noProof/>
        </w:rPr>
        <w:t>4.</w:t>
      </w:r>
      <w:r>
        <w:rPr>
          <w:rFonts w:asciiTheme="minorHAnsi" w:eastAsiaTheme="minorEastAsia" w:hAnsiTheme="minorHAnsi" w:cstheme="minorBidi"/>
          <w:caps w:val="0"/>
          <w:noProof/>
          <w:sz w:val="22"/>
          <w:szCs w:val="22"/>
          <w:lang w:val="en-IE" w:eastAsia="en-IE"/>
        </w:rPr>
        <w:tab/>
      </w:r>
      <w:r>
        <w:rPr>
          <w:noProof/>
        </w:rPr>
        <w:t>Zahteve za poročanje o pridržkih</w:t>
      </w:r>
      <w:r>
        <w:rPr>
          <w:noProof/>
        </w:rPr>
        <w:tab/>
      </w:r>
      <w:r>
        <w:rPr>
          <w:noProof/>
        </w:rPr>
        <w:fldChar w:fldCharType="begin"/>
      </w:r>
      <w:r>
        <w:rPr>
          <w:noProof/>
        </w:rPr>
        <w:instrText xml:space="preserve"> PAGEREF _Toc142904010 \h </w:instrText>
      </w:r>
      <w:r>
        <w:rPr>
          <w:noProof/>
        </w:rPr>
      </w:r>
      <w:r>
        <w:rPr>
          <w:noProof/>
        </w:rPr>
        <w:fldChar w:fldCharType="separate"/>
      </w:r>
      <w:r>
        <w:rPr>
          <w:noProof/>
        </w:rPr>
        <w:t>11</w:t>
      </w:r>
      <w:r>
        <w:rPr>
          <w:noProof/>
        </w:rPr>
        <w:fldChar w:fldCharType="end"/>
      </w:r>
    </w:p>
    <w:p w14:paraId="35508ABC" w14:textId="2E6483AE" w:rsidR="00263823" w:rsidRDefault="00263823">
      <w:pPr>
        <w:pStyle w:val="TOC1"/>
        <w:rPr>
          <w:rFonts w:asciiTheme="minorHAnsi" w:eastAsiaTheme="minorEastAsia" w:hAnsiTheme="minorHAnsi" w:cstheme="minorBidi"/>
          <w:caps w:val="0"/>
          <w:noProof/>
          <w:sz w:val="22"/>
          <w:szCs w:val="22"/>
          <w:lang w:val="en-IE" w:eastAsia="en-IE"/>
        </w:rPr>
      </w:pPr>
      <w:r>
        <w:rPr>
          <w:noProof/>
        </w:rPr>
        <w:t>5.</w:t>
      </w:r>
      <w:r>
        <w:rPr>
          <w:rFonts w:asciiTheme="minorHAnsi" w:eastAsiaTheme="minorEastAsia" w:hAnsiTheme="minorHAnsi" w:cstheme="minorBidi"/>
          <w:caps w:val="0"/>
          <w:noProof/>
          <w:sz w:val="22"/>
          <w:szCs w:val="22"/>
          <w:lang w:val="en-IE" w:eastAsia="en-IE"/>
        </w:rPr>
        <w:tab/>
      </w:r>
      <w:r>
        <w:rPr>
          <w:noProof/>
        </w:rPr>
        <w:t>Dodatne opombe</w:t>
      </w:r>
      <w:r>
        <w:rPr>
          <w:noProof/>
        </w:rPr>
        <w:tab/>
      </w:r>
      <w:r>
        <w:rPr>
          <w:noProof/>
        </w:rPr>
        <w:fldChar w:fldCharType="begin"/>
      </w:r>
      <w:r>
        <w:rPr>
          <w:noProof/>
        </w:rPr>
        <w:instrText xml:space="preserve"> PAGEREF _Toc142904011 \h </w:instrText>
      </w:r>
      <w:r>
        <w:rPr>
          <w:noProof/>
        </w:rPr>
      </w:r>
      <w:r>
        <w:rPr>
          <w:noProof/>
        </w:rPr>
        <w:fldChar w:fldCharType="separate"/>
      </w:r>
      <w:r>
        <w:rPr>
          <w:noProof/>
        </w:rPr>
        <w:t>12</w:t>
      </w:r>
      <w:r>
        <w:rPr>
          <w:noProof/>
        </w:rPr>
        <w:fldChar w:fldCharType="end"/>
      </w:r>
    </w:p>
    <w:p w14:paraId="6DE72416" w14:textId="7773BF2B" w:rsidR="00263823" w:rsidRDefault="00263823">
      <w:pPr>
        <w:pStyle w:val="TOC1"/>
        <w:rPr>
          <w:rFonts w:asciiTheme="minorHAnsi" w:eastAsiaTheme="minorEastAsia" w:hAnsiTheme="minorHAnsi" w:cstheme="minorBidi"/>
          <w:caps w:val="0"/>
          <w:noProof/>
          <w:sz w:val="22"/>
          <w:szCs w:val="22"/>
          <w:lang w:val="en-IE" w:eastAsia="en-IE"/>
        </w:rPr>
      </w:pPr>
      <w:r>
        <w:rPr>
          <w:noProof/>
        </w:rPr>
        <w:t>Priloga I: Letni povzetek končnih revizijskih poročil in opravljenih kontrol</w:t>
      </w:r>
      <w:r>
        <w:rPr>
          <w:noProof/>
        </w:rPr>
        <w:tab/>
      </w:r>
      <w:r>
        <w:rPr>
          <w:noProof/>
        </w:rPr>
        <w:fldChar w:fldCharType="begin"/>
      </w:r>
      <w:r>
        <w:rPr>
          <w:noProof/>
        </w:rPr>
        <w:instrText xml:space="preserve"> PAGEREF _Toc142904012 \h </w:instrText>
      </w:r>
      <w:r>
        <w:rPr>
          <w:noProof/>
        </w:rPr>
      </w:r>
      <w:r>
        <w:rPr>
          <w:noProof/>
        </w:rPr>
        <w:fldChar w:fldCharType="separate"/>
      </w:r>
      <w:r>
        <w:rPr>
          <w:noProof/>
        </w:rPr>
        <w:t>13</w:t>
      </w:r>
      <w:r>
        <w:rPr>
          <w:noProof/>
        </w:rPr>
        <w:fldChar w:fldCharType="end"/>
      </w:r>
    </w:p>
    <w:p w14:paraId="57605F5F" w14:textId="3C776FB1" w:rsidR="00263823" w:rsidRDefault="00263823">
      <w:pPr>
        <w:pStyle w:val="TOC1"/>
        <w:tabs>
          <w:tab w:val="left" w:pos="1916"/>
        </w:tabs>
        <w:rPr>
          <w:rFonts w:asciiTheme="minorHAnsi" w:eastAsiaTheme="minorEastAsia" w:hAnsiTheme="minorHAnsi" w:cstheme="minorBidi"/>
          <w:caps w:val="0"/>
          <w:noProof/>
          <w:sz w:val="22"/>
          <w:szCs w:val="22"/>
          <w:lang w:val="en-IE" w:eastAsia="en-IE"/>
        </w:rPr>
      </w:pPr>
      <w:r>
        <w:rPr>
          <w:noProof/>
        </w:rPr>
        <w:t>Priloga II:</w:t>
      </w:r>
      <w:r>
        <w:rPr>
          <w:rFonts w:asciiTheme="minorHAnsi" w:eastAsiaTheme="minorEastAsia" w:hAnsiTheme="minorHAnsi" w:cstheme="minorBidi"/>
          <w:caps w:val="0"/>
          <w:noProof/>
          <w:sz w:val="22"/>
          <w:szCs w:val="22"/>
          <w:lang w:val="en-IE" w:eastAsia="en-IE"/>
        </w:rPr>
        <w:tab/>
      </w:r>
      <w:r w:rsidRPr="00611421">
        <w:rPr>
          <w:noProof/>
        </w:rPr>
        <w:t>Dokumenti in izvedena dela, ki so podlaga za izjavo o upravljanju</w:t>
      </w:r>
      <w:r>
        <w:rPr>
          <w:noProof/>
        </w:rPr>
        <w:tab/>
      </w:r>
      <w:r>
        <w:rPr>
          <w:noProof/>
        </w:rPr>
        <w:fldChar w:fldCharType="begin"/>
      </w:r>
      <w:r>
        <w:rPr>
          <w:noProof/>
        </w:rPr>
        <w:instrText xml:space="preserve"> PAGEREF _Toc142904013 \h </w:instrText>
      </w:r>
      <w:r>
        <w:rPr>
          <w:noProof/>
        </w:rPr>
      </w:r>
      <w:r>
        <w:rPr>
          <w:noProof/>
        </w:rPr>
        <w:fldChar w:fldCharType="separate"/>
      </w:r>
      <w:r>
        <w:rPr>
          <w:noProof/>
        </w:rPr>
        <w:t>14</w:t>
      </w:r>
      <w:r>
        <w:rPr>
          <w:noProof/>
        </w:rPr>
        <w:fldChar w:fldCharType="end"/>
      </w:r>
    </w:p>
    <w:p w14:paraId="27379143" w14:textId="7717973C" w:rsidR="00263823" w:rsidRDefault="00263823">
      <w:pPr>
        <w:pStyle w:val="TOC1"/>
        <w:rPr>
          <w:rFonts w:asciiTheme="minorHAnsi" w:eastAsiaTheme="minorEastAsia" w:hAnsiTheme="minorHAnsi" w:cstheme="minorBidi"/>
          <w:caps w:val="0"/>
          <w:noProof/>
          <w:sz w:val="22"/>
          <w:szCs w:val="22"/>
          <w:lang w:val="en-IE" w:eastAsia="en-IE"/>
        </w:rPr>
      </w:pPr>
      <w:r>
        <w:rPr>
          <w:noProof/>
        </w:rPr>
        <w:t>Priloga III: Pridržki in spremljanje napredka pri izvajanju akcijskih načrtov</w:t>
      </w:r>
      <w:r>
        <w:rPr>
          <w:noProof/>
        </w:rPr>
        <w:tab/>
      </w:r>
      <w:r>
        <w:rPr>
          <w:noProof/>
        </w:rPr>
        <w:fldChar w:fldCharType="begin"/>
      </w:r>
      <w:r>
        <w:rPr>
          <w:noProof/>
        </w:rPr>
        <w:instrText xml:space="preserve"> PAGEREF _Toc142904014 \h </w:instrText>
      </w:r>
      <w:r>
        <w:rPr>
          <w:noProof/>
        </w:rPr>
      </w:r>
      <w:r>
        <w:rPr>
          <w:noProof/>
        </w:rPr>
        <w:fldChar w:fldCharType="separate"/>
      </w:r>
      <w:r>
        <w:rPr>
          <w:noProof/>
        </w:rPr>
        <w:t>15</w:t>
      </w:r>
      <w:r>
        <w:rPr>
          <w:noProof/>
        </w:rPr>
        <w:fldChar w:fldCharType="end"/>
      </w:r>
    </w:p>
    <w:p w14:paraId="19CC7156" w14:textId="63E4D408" w:rsidR="00263823" w:rsidRDefault="00263823">
      <w:pPr>
        <w:pStyle w:val="TOC1"/>
        <w:rPr>
          <w:rFonts w:asciiTheme="minorHAnsi" w:eastAsiaTheme="minorEastAsia" w:hAnsiTheme="minorHAnsi" w:cstheme="minorBidi"/>
          <w:caps w:val="0"/>
          <w:noProof/>
          <w:sz w:val="22"/>
          <w:szCs w:val="22"/>
          <w:lang w:val="en-IE" w:eastAsia="en-IE"/>
        </w:rPr>
      </w:pPr>
      <w:r>
        <w:rPr>
          <w:noProof/>
        </w:rPr>
        <w:t>Priloga IV: Kakovost in zanesljivost sistema poročanja in podatkov o kazalnikih</w:t>
      </w:r>
      <w:r>
        <w:rPr>
          <w:noProof/>
        </w:rPr>
        <w:tab/>
      </w:r>
      <w:r>
        <w:rPr>
          <w:noProof/>
        </w:rPr>
        <w:fldChar w:fldCharType="begin"/>
      </w:r>
      <w:r>
        <w:rPr>
          <w:noProof/>
        </w:rPr>
        <w:instrText xml:space="preserve"> PAGEREF _Toc142904015 \h </w:instrText>
      </w:r>
      <w:r>
        <w:rPr>
          <w:noProof/>
        </w:rPr>
      </w:r>
      <w:r>
        <w:rPr>
          <w:noProof/>
        </w:rPr>
        <w:fldChar w:fldCharType="separate"/>
      </w:r>
      <w:r>
        <w:rPr>
          <w:noProof/>
        </w:rPr>
        <w:t>16</w:t>
      </w:r>
      <w:r>
        <w:rPr>
          <w:noProof/>
        </w:rPr>
        <w:fldChar w:fldCharType="end"/>
      </w:r>
    </w:p>
    <w:p w14:paraId="5324BA58" w14:textId="40BD68F2" w:rsidR="00263823" w:rsidRDefault="00263823">
      <w:pPr>
        <w:pStyle w:val="TOC1"/>
        <w:tabs>
          <w:tab w:val="left" w:pos="1916"/>
        </w:tabs>
        <w:rPr>
          <w:rFonts w:asciiTheme="minorHAnsi" w:eastAsiaTheme="minorEastAsia" w:hAnsiTheme="minorHAnsi" w:cstheme="minorBidi"/>
          <w:caps w:val="0"/>
          <w:noProof/>
          <w:sz w:val="22"/>
          <w:szCs w:val="22"/>
          <w:lang w:val="en-IE" w:eastAsia="en-IE"/>
        </w:rPr>
      </w:pPr>
      <w:r>
        <w:rPr>
          <w:noProof/>
        </w:rPr>
        <w:t>Priloga V:</w:t>
      </w:r>
      <w:r>
        <w:rPr>
          <w:rFonts w:asciiTheme="minorHAnsi" w:eastAsiaTheme="minorEastAsia" w:hAnsiTheme="minorHAnsi" w:cstheme="minorBidi"/>
          <w:caps w:val="0"/>
          <w:noProof/>
          <w:sz w:val="22"/>
          <w:szCs w:val="22"/>
          <w:lang w:val="en-IE" w:eastAsia="en-IE"/>
        </w:rPr>
        <w:tab/>
      </w:r>
      <w:r w:rsidRPr="00611421">
        <w:rPr>
          <w:noProof/>
        </w:rPr>
        <w:t>Analiza kontrolne statistike na shemo/ukrep</w:t>
      </w:r>
      <w:r>
        <w:rPr>
          <w:noProof/>
        </w:rPr>
        <w:tab/>
      </w:r>
      <w:r>
        <w:rPr>
          <w:noProof/>
        </w:rPr>
        <w:fldChar w:fldCharType="begin"/>
      </w:r>
      <w:r>
        <w:rPr>
          <w:noProof/>
        </w:rPr>
        <w:instrText xml:space="preserve"> PAGEREF _Toc142904016 \h </w:instrText>
      </w:r>
      <w:r>
        <w:rPr>
          <w:noProof/>
        </w:rPr>
      </w:r>
      <w:r>
        <w:rPr>
          <w:noProof/>
        </w:rPr>
        <w:fldChar w:fldCharType="separate"/>
      </w:r>
      <w:r>
        <w:rPr>
          <w:noProof/>
        </w:rPr>
        <w:t>18</w:t>
      </w:r>
      <w:r>
        <w:rPr>
          <w:noProof/>
        </w:rPr>
        <w:fldChar w:fldCharType="end"/>
      </w:r>
    </w:p>
    <w:p w14:paraId="430DB476" w14:textId="7A8A78D6" w:rsidR="00263823" w:rsidRDefault="00263823">
      <w:pPr>
        <w:pStyle w:val="TOC1"/>
        <w:tabs>
          <w:tab w:val="left" w:pos="1916"/>
        </w:tabs>
        <w:rPr>
          <w:rFonts w:asciiTheme="minorHAnsi" w:eastAsiaTheme="minorEastAsia" w:hAnsiTheme="minorHAnsi" w:cstheme="minorBidi"/>
          <w:caps w:val="0"/>
          <w:noProof/>
          <w:sz w:val="22"/>
          <w:szCs w:val="22"/>
          <w:lang w:val="en-IE" w:eastAsia="en-IE"/>
        </w:rPr>
      </w:pPr>
      <w:r>
        <w:rPr>
          <w:noProof/>
        </w:rPr>
        <w:t>PRILOGA VI:</w:t>
      </w:r>
      <w:r>
        <w:rPr>
          <w:rFonts w:asciiTheme="minorHAnsi" w:eastAsiaTheme="minorEastAsia" w:hAnsiTheme="minorHAnsi" w:cstheme="minorBidi"/>
          <w:caps w:val="0"/>
          <w:noProof/>
          <w:sz w:val="22"/>
          <w:szCs w:val="22"/>
          <w:lang w:val="en-IE" w:eastAsia="en-IE"/>
        </w:rPr>
        <w:tab/>
      </w:r>
      <w:r w:rsidRPr="00611421">
        <w:rPr>
          <w:noProof/>
        </w:rPr>
        <w:t>Analiza stopenj napak na populacijo</w:t>
      </w:r>
      <w:r>
        <w:rPr>
          <w:noProof/>
        </w:rPr>
        <w:tab/>
      </w:r>
      <w:r>
        <w:rPr>
          <w:noProof/>
        </w:rPr>
        <w:fldChar w:fldCharType="begin"/>
      </w:r>
      <w:r>
        <w:rPr>
          <w:noProof/>
        </w:rPr>
        <w:instrText xml:space="preserve"> PAGEREF _Toc142904017 \h </w:instrText>
      </w:r>
      <w:r>
        <w:rPr>
          <w:noProof/>
        </w:rPr>
      </w:r>
      <w:r>
        <w:rPr>
          <w:noProof/>
        </w:rPr>
        <w:fldChar w:fldCharType="separate"/>
      </w:r>
      <w:r>
        <w:rPr>
          <w:noProof/>
        </w:rPr>
        <w:t>23</w:t>
      </w:r>
      <w:r>
        <w:rPr>
          <w:noProof/>
        </w:rPr>
        <w:fldChar w:fldCharType="end"/>
      </w:r>
    </w:p>
    <w:p w14:paraId="7FD0DB52" w14:textId="345F0CCE" w:rsidR="00263823" w:rsidRDefault="00263823">
      <w:pPr>
        <w:pStyle w:val="TOC1"/>
        <w:rPr>
          <w:rFonts w:asciiTheme="minorHAnsi" w:eastAsiaTheme="minorEastAsia" w:hAnsiTheme="minorHAnsi" w:cstheme="minorBidi"/>
          <w:caps w:val="0"/>
          <w:noProof/>
          <w:sz w:val="22"/>
          <w:szCs w:val="22"/>
          <w:lang w:val="en-IE" w:eastAsia="en-IE"/>
        </w:rPr>
      </w:pPr>
      <w:r w:rsidRPr="00611421">
        <w:rPr>
          <w:noProof/>
        </w:rPr>
        <w:t>ODDELEK B: IZJAVA O UPRAVLJANJU – USKLAJEVALNI ORGAN</w:t>
      </w:r>
      <w:r>
        <w:rPr>
          <w:noProof/>
        </w:rPr>
        <w:tab/>
      </w:r>
      <w:r>
        <w:rPr>
          <w:noProof/>
        </w:rPr>
        <w:fldChar w:fldCharType="begin"/>
      </w:r>
      <w:r>
        <w:rPr>
          <w:noProof/>
        </w:rPr>
        <w:instrText xml:space="preserve"> PAGEREF _Toc142904018 \h </w:instrText>
      </w:r>
      <w:r>
        <w:rPr>
          <w:noProof/>
        </w:rPr>
      </w:r>
      <w:r>
        <w:rPr>
          <w:noProof/>
        </w:rPr>
        <w:fldChar w:fldCharType="separate"/>
      </w:r>
      <w:r>
        <w:rPr>
          <w:noProof/>
        </w:rPr>
        <w:t>25</w:t>
      </w:r>
      <w:r>
        <w:rPr>
          <w:noProof/>
        </w:rPr>
        <w:fldChar w:fldCharType="end"/>
      </w:r>
    </w:p>
    <w:p w14:paraId="0A7ACB6F" w14:textId="49F39FFC" w:rsidR="00263823" w:rsidRDefault="00263823">
      <w:pPr>
        <w:pStyle w:val="TOC1"/>
        <w:rPr>
          <w:rFonts w:asciiTheme="minorHAnsi" w:eastAsiaTheme="minorEastAsia" w:hAnsiTheme="minorHAnsi" w:cstheme="minorBidi"/>
          <w:caps w:val="0"/>
          <w:noProof/>
          <w:sz w:val="22"/>
          <w:szCs w:val="22"/>
          <w:lang w:val="en-IE" w:eastAsia="en-IE"/>
        </w:rPr>
      </w:pPr>
      <w:r>
        <w:rPr>
          <w:noProof/>
        </w:rPr>
        <w:t>1.</w:t>
      </w:r>
      <w:r>
        <w:rPr>
          <w:rFonts w:asciiTheme="minorHAnsi" w:eastAsiaTheme="minorEastAsia" w:hAnsiTheme="minorHAnsi" w:cstheme="minorBidi"/>
          <w:caps w:val="0"/>
          <w:noProof/>
          <w:sz w:val="22"/>
          <w:szCs w:val="22"/>
          <w:lang w:val="en-IE" w:eastAsia="en-IE"/>
        </w:rPr>
        <w:tab/>
      </w:r>
      <w:r>
        <w:rPr>
          <w:noProof/>
        </w:rPr>
        <w:t>Ozadje</w:t>
      </w:r>
      <w:r>
        <w:rPr>
          <w:noProof/>
        </w:rPr>
        <w:tab/>
      </w:r>
      <w:r>
        <w:rPr>
          <w:noProof/>
        </w:rPr>
        <w:fldChar w:fldCharType="begin"/>
      </w:r>
      <w:r>
        <w:rPr>
          <w:noProof/>
        </w:rPr>
        <w:instrText xml:space="preserve"> PAGEREF _Toc142904019 \h </w:instrText>
      </w:r>
      <w:r>
        <w:rPr>
          <w:noProof/>
        </w:rPr>
      </w:r>
      <w:r>
        <w:rPr>
          <w:noProof/>
        </w:rPr>
        <w:fldChar w:fldCharType="separate"/>
      </w:r>
      <w:r>
        <w:rPr>
          <w:noProof/>
        </w:rPr>
        <w:t>25</w:t>
      </w:r>
      <w:r>
        <w:rPr>
          <w:noProof/>
        </w:rPr>
        <w:fldChar w:fldCharType="end"/>
      </w:r>
    </w:p>
    <w:p w14:paraId="23DB1181" w14:textId="108693F6"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1.1.</w:t>
      </w:r>
      <w:r>
        <w:rPr>
          <w:rFonts w:asciiTheme="minorHAnsi" w:eastAsiaTheme="minorEastAsia" w:hAnsiTheme="minorHAnsi" w:cstheme="minorBidi"/>
          <w:noProof/>
          <w:sz w:val="22"/>
          <w:szCs w:val="22"/>
          <w:lang w:val="en-IE" w:eastAsia="en-IE"/>
        </w:rPr>
        <w:tab/>
      </w:r>
      <w:r>
        <w:rPr>
          <w:noProof/>
        </w:rPr>
        <w:t>Zakonodajno okolje</w:t>
      </w:r>
      <w:r>
        <w:rPr>
          <w:noProof/>
        </w:rPr>
        <w:tab/>
      </w:r>
      <w:r>
        <w:rPr>
          <w:noProof/>
        </w:rPr>
        <w:fldChar w:fldCharType="begin"/>
      </w:r>
      <w:r>
        <w:rPr>
          <w:noProof/>
        </w:rPr>
        <w:instrText xml:space="preserve"> PAGEREF _Toc142904020 \h </w:instrText>
      </w:r>
      <w:r>
        <w:rPr>
          <w:noProof/>
        </w:rPr>
      </w:r>
      <w:r>
        <w:rPr>
          <w:noProof/>
        </w:rPr>
        <w:fldChar w:fldCharType="separate"/>
      </w:r>
      <w:r>
        <w:rPr>
          <w:noProof/>
        </w:rPr>
        <w:t>25</w:t>
      </w:r>
      <w:r>
        <w:rPr>
          <w:noProof/>
        </w:rPr>
        <w:fldChar w:fldCharType="end"/>
      </w:r>
    </w:p>
    <w:p w14:paraId="263B53D6" w14:textId="22ED5C3B"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lastRenderedPageBreak/>
        <w:t>1.2.</w:t>
      </w:r>
      <w:r>
        <w:rPr>
          <w:rFonts w:asciiTheme="minorHAnsi" w:eastAsiaTheme="minorEastAsia" w:hAnsiTheme="minorHAnsi" w:cstheme="minorBidi"/>
          <w:noProof/>
          <w:sz w:val="22"/>
          <w:szCs w:val="22"/>
          <w:lang w:val="en-IE" w:eastAsia="en-IE"/>
        </w:rPr>
        <w:tab/>
      </w:r>
      <w:r>
        <w:rPr>
          <w:noProof/>
        </w:rPr>
        <w:t>Rok za predložitev</w:t>
      </w:r>
      <w:r>
        <w:rPr>
          <w:noProof/>
        </w:rPr>
        <w:tab/>
      </w:r>
      <w:r>
        <w:rPr>
          <w:noProof/>
        </w:rPr>
        <w:fldChar w:fldCharType="begin"/>
      </w:r>
      <w:r>
        <w:rPr>
          <w:noProof/>
        </w:rPr>
        <w:instrText xml:space="preserve"> PAGEREF _Toc142904021 \h </w:instrText>
      </w:r>
      <w:r>
        <w:rPr>
          <w:noProof/>
        </w:rPr>
      </w:r>
      <w:r>
        <w:rPr>
          <w:noProof/>
        </w:rPr>
        <w:fldChar w:fldCharType="separate"/>
      </w:r>
      <w:r>
        <w:rPr>
          <w:noProof/>
        </w:rPr>
        <w:t>25</w:t>
      </w:r>
      <w:r>
        <w:rPr>
          <w:noProof/>
        </w:rPr>
        <w:fldChar w:fldCharType="end"/>
      </w:r>
    </w:p>
    <w:p w14:paraId="4D0C07A4" w14:textId="08717B89"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1.3.</w:t>
      </w:r>
      <w:r>
        <w:rPr>
          <w:rFonts w:asciiTheme="minorHAnsi" w:eastAsiaTheme="minorEastAsia" w:hAnsiTheme="minorHAnsi" w:cstheme="minorBidi"/>
          <w:noProof/>
          <w:sz w:val="22"/>
          <w:szCs w:val="22"/>
          <w:lang w:val="en-IE" w:eastAsia="en-IE"/>
        </w:rPr>
        <w:tab/>
      </w:r>
      <w:r>
        <w:rPr>
          <w:noProof/>
        </w:rPr>
        <w:t>Podpis</w:t>
      </w:r>
      <w:r>
        <w:rPr>
          <w:noProof/>
        </w:rPr>
        <w:tab/>
      </w:r>
      <w:r>
        <w:rPr>
          <w:noProof/>
        </w:rPr>
        <w:fldChar w:fldCharType="begin"/>
      </w:r>
      <w:r>
        <w:rPr>
          <w:noProof/>
        </w:rPr>
        <w:instrText xml:space="preserve"> PAGEREF _Toc142904022 \h </w:instrText>
      </w:r>
      <w:r>
        <w:rPr>
          <w:noProof/>
        </w:rPr>
      </w:r>
      <w:r>
        <w:rPr>
          <w:noProof/>
        </w:rPr>
        <w:fldChar w:fldCharType="separate"/>
      </w:r>
      <w:r>
        <w:rPr>
          <w:noProof/>
        </w:rPr>
        <w:t>25</w:t>
      </w:r>
      <w:r>
        <w:rPr>
          <w:noProof/>
        </w:rPr>
        <w:fldChar w:fldCharType="end"/>
      </w:r>
    </w:p>
    <w:p w14:paraId="618E02AE" w14:textId="32609997"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1.4.</w:t>
      </w:r>
      <w:r>
        <w:rPr>
          <w:rFonts w:asciiTheme="minorHAnsi" w:eastAsiaTheme="minorEastAsia" w:hAnsiTheme="minorHAnsi" w:cstheme="minorBidi"/>
          <w:noProof/>
          <w:sz w:val="22"/>
          <w:szCs w:val="22"/>
          <w:lang w:val="en-IE" w:eastAsia="en-IE"/>
        </w:rPr>
        <w:tab/>
      </w:r>
      <w:r>
        <w:rPr>
          <w:noProof/>
        </w:rPr>
        <w:t>Posredovanje in oblika</w:t>
      </w:r>
      <w:r>
        <w:rPr>
          <w:noProof/>
        </w:rPr>
        <w:tab/>
      </w:r>
      <w:r>
        <w:rPr>
          <w:noProof/>
        </w:rPr>
        <w:fldChar w:fldCharType="begin"/>
      </w:r>
      <w:r>
        <w:rPr>
          <w:noProof/>
        </w:rPr>
        <w:instrText xml:space="preserve"> PAGEREF _Toc142904023 \h </w:instrText>
      </w:r>
      <w:r>
        <w:rPr>
          <w:noProof/>
        </w:rPr>
      </w:r>
      <w:r>
        <w:rPr>
          <w:noProof/>
        </w:rPr>
        <w:fldChar w:fldCharType="separate"/>
      </w:r>
      <w:r>
        <w:rPr>
          <w:noProof/>
        </w:rPr>
        <w:t>26</w:t>
      </w:r>
      <w:r>
        <w:rPr>
          <w:noProof/>
        </w:rPr>
        <w:fldChar w:fldCharType="end"/>
      </w:r>
    </w:p>
    <w:p w14:paraId="2009C0D4" w14:textId="1ADD43D6"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1.5.</w:t>
      </w:r>
      <w:r>
        <w:rPr>
          <w:rFonts w:asciiTheme="minorHAnsi" w:eastAsiaTheme="minorEastAsia" w:hAnsiTheme="minorHAnsi" w:cstheme="minorBidi"/>
          <w:noProof/>
          <w:sz w:val="22"/>
          <w:szCs w:val="22"/>
          <w:lang w:val="en-IE" w:eastAsia="en-IE"/>
        </w:rPr>
        <w:tab/>
      </w:r>
      <w:r>
        <w:rPr>
          <w:noProof/>
        </w:rPr>
        <w:t>Besedilo izjave o upravljanju (usklajevalni organ)</w:t>
      </w:r>
      <w:r>
        <w:rPr>
          <w:noProof/>
        </w:rPr>
        <w:tab/>
      </w:r>
      <w:r>
        <w:rPr>
          <w:noProof/>
        </w:rPr>
        <w:fldChar w:fldCharType="begin"/>
      </w:r>
      <w:r>
        <w:rPr>
          <w:noProof/>
        </w:rPr>
        <w:instrText xml:space="preserve"> PAGEREF _Toc142904024 \h </w:instrText>
      </w:r>
      <w:r>
        <w:rPr>
          <w:noProof/>
        </w:rPr>
      </w:r>
      <w:r>
        <w:rPr>
          <w:noProof/>
        </w:rPr>
        <w:fldChar w:fldCharType="separate"/>
      </w:r>
      <w:r>
        <w:rPr>
          <w:noProof/>
        </w:rPr>
        <w:t>26</w:t>
      </w:r>
      <w:r>
        <w:rPr>
          <w:noProof/>
        </w:rPr>
        <w:fldChar w:fldCharType="end"/>
      </w:r>
    </w:p>
    <w:p w14:paraId="313742E8" w14:textId="51149ACF" w:rsidR="00263823" w:rsidRDefault="00263823">
      <w:pPr>
        <w:pStyle w:val="TOC1"/>
        <w:rPr>
          <w:rFonts w:asciiTheme="minorHAnsi" w:eastAsiaTheme="minorEastAsia" w:hAnsiTheme="minorHAnsi" w:cstheme="minorBidi"/>
          <w:caps w:val="0"/>
          <w:noProof/>
          <w:sz w:val="22"/>
          <w:szCs w:val="22"/>
          <w:lang w:val="en-IE" w:eastAsia="en-IE"/>
        </w:rPr>
      </w:pPr>
      <w:r>
        <w:rPr>
          <w:noProof/>
        </w:rPr>
        <w:t>2.</w:t>
      </w:r>
      <w:r>
        <w:rPr>
          <w:rFonts w:asciiTheme="minorHAnsi" w:eastAsiaTheme="minorEastAsia" w:hAnsiTheme="minorHAnsi" w:cstheme="minorBidi"/>
          <w:caps w:val="0"/>
          <w:noProof/>
          <w:sz w:val="22"/>
          <w:szCs w:val="22"/>
          <w:lang w:val="en-IE" w:eastAsia="en-IE"/>
        </w:rPr>
        <w:tab/>
      </w:r>
      <w:r>
        <w:rPr>
          <w:noProof/>
        </w:rPr>
        <w:t>Podlaga za izjavo o upravljanju</w:t>
      </w:r>
      <w:r>
        <w:rPr>
          <w:noProof/>
        </w:rPr>
        <w:tab/>
      </w:r>
      <w:r>
        <w:rPr>
          <w:noProof/>
        </w:rPr>
        <w:fldChar w:fldCharType="begin"/>
      </w:r>
      <w:r>
        <w:rPr>
          <w:noProof/>
        </w:rPr>
        <w:instrText xml:space="preserve"> PAGEREF _Toc142904025 \h </w:instrText>
      </w:r>
      <w:r>
        <w:rPr>
          <w:noProof/>
        </w:rPr>
      </w:r>
      <w:r>
        <w:rPr>
          <w:noProof/>
        </w:rPr>
        <w:fldChar w:fldCharType="separate"/>
      </w:r>
      <w:r>
        <w:rPr>
          <w:noProof/>
        </w:rPr>
        <w:t>26</w:t>
      </w:r>
      <w:r>
        <w:rPr>
          <w:noProof/>
        </w:rPr>
        <w:fldChar w:fldCharType="end"/>
      </w:r>
    </w:p>
    <w:p w14:paraId="300E9978" w14:textId="488E8088" w:rsidR="00263823" w:rsidRDefault="00263823">
      <w:pPr>
        <w:pStyle w:val="TOC1"/>
        <w:rPr>
          <w:rFonts w:asciiTheme="minorHAnsi" w:eastAsiaTheme="minorEastAsia" w:hAnsiTheme="minorHAnsi" w:cstheme="minorBidi"/>
          <w:caps w:val="0"/>
          <w:noProof/>
          <w:sz w:val="22"/>
          <w:szCs w:val="22"/>
          <w:lang w:val="en-IE" w:eastAsia="en-IE"/>
        </w:rPr>
      </w:pPr>
      <w:r>
        <w:rPr>
          <w:noProof/>
        </w:rPr>
        <w:t>3.</w:t>
      </w:r>
      <w:r>
        <w:rPr>
          <w:rFonts w:asciiTheme="minorHAnsi" w:eastAsiaTheme="minorEastAsia" w:hAnsiTheme="minorHAnsi" w:cstheme="minorBidi"/>
          <w:caps w:val="0"/>
          <w:noProof/>
          <w:sz w:val="22"/>
          <w:szCs w:val="22"/>
          <w:lang w:val="en-IE" w:eastAsia="en-IE"/>
        </w:rPr>
        <w:tab/>
      </w:r>
      <w:r>
        <w:rPr>
          <w:noProof/>
        </w:rPr>
        <w:t>Pridržki</w:t>
      </w:r>
      <w:r>
        <w:rPr>
          <w:noProof/>
        </w:rPr>
        <w:tab/>
      </w:r>
      <w:r>
        <w:rPr>
          <w:noProof/>
        </w:rPr>
        <w:fldChar w:fldCharType="begin"/>
      </w:r>
      <w:r>
        <w:rPr>
          <w:noProof/>
        </w:rPr>
        <w:instrText xml:space="preserve"> PAGEREF _Toc142904026 \h </w:instrText>
      </w:r>
      <w:r>
        <w:rPr>
          <w:noProof/>
        </w:rPr>
      </w:r>
      <w:r>
        <w:rPr>
          <w:noProof/>
        </w:rPr>
        <w:fldChar w:fldCharType="separate"/>
      </w:r>
      <w:r>
        <w:rPr>
          <w:noProof/>
        </w:rPr>
        <w:t>27</w:t>
      </w:r>
      <w:r>
        <w:rPr>
          <w:noProof/>
        </w:rPr>
        <w:fldChar w:fldCharType="end"/>
      </w:r>
    </w:p>
    <w:p w14:paraId="3B226C9B" w14:textId="0C5B9B49"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3.1.</w:t>
      </w:r>
      <w:r>
        <w:rPr>
          <w:rFonts w:asciiTheme="minorHAnsi" w:eastAsiaTheme="minorEastAsia" w:hAnsiTheme="minorHAnsi" w:cstheme="minorBidi"/>
          <w:noProof/>
          <w:sz w:val="22"/>
          <w:szCs w:val="22"/>
          <w:lang w:val="en-IE" w:eastAsia="en-IE"/>
        </w:rPr>
        <w:tab/>
      </w:r>
      <w:r>
        <w:rPr>
          <w:noProof/>
        </w:rPr>
        <w:t>Splošne zahteve</w:t>
      </w:r>
      <w:r>
        <w:rPr>
          <w:noProof/>
        </w:rPr>
        <w:tab/>
      </w:r>
      <w:r>
        <w:rPr>
          <w:noProof/>
        </w:rPr>
        <w:fldChar w:fldCharType="begin"/>
      </w:r>
      <w:r>
        <w:rPr>
          <w:noProof/>
        </w:rPr>
        <w:instrText xml:space="preserve"> PAGEREF _Toc142904027 \h </w:instrText>
      </w:r>
      <w:r>
        <w:rPr>
          <w:noProof/>
        </w:rPr>
      </w:r>
      <w:r>
        <w:rPr>
          <w:noProof/>
        </w:rPr>
        <w:fldChar w:fldCharType="separate"/>
      </w:r>
      <w:r>
        <w:rPr>
          <w:noProof/>
        </w:rPr>
        <w:t>27</w:t>
      </w:r>
      <w:r>
        <w:rPr>
          <w:noProof/>
        </w:rPr>
        <w:fldChar w:fldCharType="end"/>
      </w:r>
    </w:p>
    <w:p w14:paraId="32AD523F" w14:textId="22AF57BC"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3.2.</w:t>
      </w:r>
      <w:r>
        <w:rPr>
          <w:rFonts w:asciiTheme="minorHAnsi" w:eastAsiaTheme="minorEastAsia" w:hAnsiTheme="minorHAnsi" w:cstheme="minorBidi"/>
          <w:noProof/>
          <w:sz w:val="22"/>
          <w:szCs w:val="22"/>
          <w:lang w:val="en-IE" w:eastAsia="en-IE"/>
        </w:rPr>
        <w:tab/>
      </w:r>
      <w:r>
        <w:rPr>
          <w:noProof/>
        </w:rPr>
        <w:t>Vidiki, ki jih je treba upoštevati pri pridržkih</w:t>
      </w:r>
      <w:r>
        <w:rPr>
          <w:noProof/>
        </w:rPr>
        <w:tab/>
      </w:r>
      <w:r>
        <w:rPr>
          <w:noProof/>
        </w:rPr>
        <w:fldChar w:fldCharType="begin"/>
      </w:r>
      <w:r>
        <w:rPr>
          <w:noProof/>
        </w:rPr>
        <w:instrText xml:space="preserve"> PAGEREF _Toc142904028 \h </w:instrText>
      </w:r>
      <w:r>
        <w:rPr>
          <w:noProof/>
        </w:rPr>
      </w:r>
      <w:r>
        <w:rPr>
          <w:noProof/>
        </w:rPr>
        <w:fldChar w:fldCharType="separate"/>
      </w:r>
      <w:r>
        <w:rPr>
          <w:noProof/>
        </w:rPr>
        <w:t>27</w:t>
      </w:r>
      <w:r>
        <w:rPr>
          <w:noProof/>
        </w:rPr>
        <w:fldChar w:fldCharType="end"/>
      </w:r>
    </w:p>
    <w:p w14:paraId="3E390FDB" w14:textId="00928B4B" w:rsidR="00263823" w:rsidRDefault="00263823">
      <w:pPr>
        <w:pStyle w:val="TOC2"/>
        <w:tabs>
          <w:tab w:val="left" w:pos="1077"/>
        </w:tabs>
        <w:rPr>
          <w:rFonts w:asciiTheme="minorHAnsi" w:eastAsiaTheme="minorEastAsia" w:hAnsiTheme="minorHAnsi" w:cstheme="minorBidi"/>
          <w:noProof/>
          <w:sz w:val="22"/>
          <w:szCs w:val="22"/>
          <w:lang w:val="en-IE" w:eastAsia="en-IE"/>
        </w:rPr>
      </w:pPr>
      <w:r>
        <w:rPr>
          <w:noProof/>
        </w:rPr>
        <w:t>3.3.</w:t>
      </w:r>
      <w:r>
        <w:rPr>
          <w:rFonts w:asciiTheme="minorHAnsi" w:eastAsiaTheme="minorEastAsia" w:hAnsiTheme="minorHAnsi" w:cstheme="minorBidi"/>
          <w:noProof/>
          <w:sz w:val="22"/>
          <w:szCs w:val="22"/>
          <w:lang w:val="en-IE" w:eastAsia="en-IE"/>
        </w:rPr>
        <w:tab/>
      </w:r>
      <w:r>
        <w:rPr>
          <w:noProof/>
        </w:rPr>
        <w:t>Popravni ukrepi</w:t>
      </w:r>
      <w:r>
        <w:rPr>
          <w:noProof/>
        </w:rPr>
        <w:tab/>
      </w:r>
      <w:r>
        <w:rPr>
          <w:noProof/>
        </w:rPr>
        <w:fldChar w:fldCharType="begin"/>
      </w:r>
      <w:r>
        <w:rPr>
          <w:noProof/>
        </w:rPr>
        <w:instrText xml:space="preserve"> PAGEREF _Toc142904029 \h </w:instrText>
      </w:r>
      <w:r>
        <w:rPr>
          <w:noProof/>
        </w:rPr>
      </w:r>
      <w:r>
        <w:rPr>
          <w:noProof/>
        </w:rPr>
        <w:fldChar w:fldCharType="separate"/>
      </w:r>
      <w:r>
        <w:rPr>
          <w:noProof/>
        </w:rPr>
        <w:t>28</w:t>
      </w:r>
      <w:r>
        <w:rPr>
          <w:noProof/>
        </w:rPr>
        <w:fldChar w:fldCharType="end"/>
      </w:r>
    </w:p>
    <w:p w14:paraId="2E221DA6" w14:textId="767FBF43" w:rsidR="00263823" w:rsidRDefault="00263823">
      <w:pPr>
        <w:pStyle w:val="TOC1"/>
        <w:rPr>
          <w:rFonts w:asciiTheme="minorHAnsi" w:eastAsiaTheme="minorEastAsia" w:hAnsiTheme="minorHAnsi" w:cstheme="minorBidi"/>
          <w:caps w:val="0"/>
          <w:noProof/>
          <w:sz w:val="22"/>
          <w:szCs w:val="22"/>
          <w:lang w:val="en-IE" w:eastAsia="en-IE"/>
        </w:rPr>
      </w:pPr>
      <w:r>
        <w:rPr>
          <w:noProof/>
        </w:rPr>
        <w:t>4.</w:t>
      </w:r>
      <w:r>
        <w:rPr>
          <w:rFonts w:asciiTheme="minorHAnsi" w:eastAsiaTheme="minorEastAsia" w:hAnsiTheme="minorHAnsi" w:cstheme="minorBidi"/>
          <w:caps w:val="0"/>
          <w:noProof/>
          <w:sz w:val="22"/>
          <w:szCs w:val="22"/>
          <w:lang w:val="en-IE" w:eastAsia="en-IE"/>
        </w:rPr>
        <w:tab/>
      </w:r>
      <w:r>
        <w:rPr>
          <w:noProof/>
        </w:rPr>
        <w:t>Zahteve za poročanje o pridržkih</w:t>
      </w:r>
      <w:r>
        <w:rPr>
          <w:noProof/>
        </w:rPr>
        <w:tab/>
      </w:r>
      <w:r>
        <w:rPr>
          <w:noProof/>
        </w:rPr>
        <w:fldChar w:fldCharType="begin"/>
      </w:r>
      <w:r>
        <w:rPr>
          <w:noProof/>
        </w:rPr>
        <w:instrText xml:space="preserve"> PAGEREF _Toc142904030 \h </w:instrText>
      </w:r>
      <w:r>
        <w:rPr>
          <w:noProof/>
        </w:rPr>
      </w:r>
      <w:r>
        <w:rPr>
          <w:noProof/>
        </w:rPr>
        <w:fldChar w:fldCharType="separate"/>
      </w:r>
      <w:r>
        <w:rPr>
          <w:noProof/>
        </w:rPr>
        <w:t>28</w:t>
      </w:r>
      <w:r>
        <w:rPr>
          <w:noProof/>
        </w:rPr>
        <w:fldChar w:fldCharType="end"/>
      </w:r>
    </w:p>
    <w:p w14:paraId="6DD84204" w14:textId="064AC1D6" w:rsidR="00263823" w:rsidRDefault="00263823">
      <w:pPr>
        <w:pStyle w:val="TOC1"/>
        <w:rPr>
          <w:rFonts w:asciiTheme="minorHAnsi" w:eastAsiaTheme="minorEastAsia" w:hAnsiTheme="minorHAnsi" w:cstheme="minorBidi"/>
          <w:caps w:val="0"/>
          <w:noProof/>
          <w:sz w:val="22"/>
          <w:szCs w:val="22"/>
          <w:lang w:val="en-IE" w:eastAsia="en-IE"/>
        </w:rPr>
      </w:pPr>
      <w:r>
        <w:rPr>
          <w:noProof/>
        </w:rPr>
        <w:t>5.</w:t>
      </w:r>
      <w:r>
        <w:rPr>
          <w:rFonts w:asciiTheme="minorHAnsi" w:eastAsiaTheme="minorEastAsia" w:hAnsiTheme="minorHAnsi" w:cstheme="minorBidi"/>
          <w:caps w:val="0"/>
          <w:noProof/>
          <w:sz w:val="22"/>
          <w:szCs w:val="22"/>
          <w:lang w:val="en-IE" w:eastAsia="en-IE"/>
        </w:rPr>
        <w:tab/>
      </w:r>
      <w:r>
        <w:rPr>
          <w:noProof/>
        </w:rPr>
        <w:t>Dodatne opombe</w:t>
      </w:r>
      <w:r>
        <w:rPr>
          <w:noProof/>
        </w:rPr>
        <w:tab/>
      </w:r>
      <w:r>
        <w:rPr>
          <w:noProof/>
        </w:rPr>
        <w:fldChar w:fldCharType="begin"/>
      </w:r>
      <w:r>
        <w:rPr>
          <w:noProof/>
        </w:rPr>
        <w:instrText xml:space="preserve"> PAGEREF _Toc142904031 \h </w:instrText>
      </w:r>
      <w:r>
        <w:rPr>
          <w:noProof/>
        </w:rPr>
      </w:r>
      <w:r>
        <w:rPr>
          <w:noProof/>
        </w:rPr>
        <w:fldChar w:fldCharType="separate"/>
      </w:r>
      <w:r>
        <w:rPr>
          <w:noProof/>
        </w:rPr>
        <w:t>29</w:t>
      </w:r>
      <w:r>
        <w:rPr>
          <w:noProof/>
        </w:rPr>
        <w:fldChar w:fldCharType="end"/>
      </w:r>
    </w:p>
    <w:p w14:paraId="1C69960E" w14:textId="5275D8F0" w:rsidR="00263823" w:rsidRDefault="00263823">
      <w:pPr>
        <w:pStyle w:val="TOC1"/>
        <w:tabs>
          <w:tab w:val="left" w:pos="1916"/>
        </w:tabs>
        <w:rPr>
          <w:rFonts w:asciiTheme="minorHAnsi" w:eastAsiaTheme="minorEastAsia" w:hAnsiTheme="minorHAnsi" w:cstheme="minorBidi"/>
          <w:caps w:val="0"/>
          <w:noProof/>
          <w:sz w:val="22"/>
          <w:szCs w:val="22"/>
          <w:lang w:val="en-IE" w:eastAsia="en-IE"/>
        </w:rPr>
      </w:pPr>
      <w:r>
        <w:rPr>
          <w:noProof/>
        </w:rPr>
        <w:t>Priloga I:</w:t>
      </w:r>
      <w:r>
        <w:rPr>
          <w:rFonts w:asciiTheme="minorHAnsi" w:eastAsiaTheme="minorEastAsia" w:hAnsiTheme="minorHAnsi" w:cstheme="minorBidi"/>
          <w:caps w:val="0"/>
          <w:noProof/>
          <w:sz w:val="22"/>
          <w:szCs w:val="22"/>
          <w:lang w:val="en-IE" w:eastAsia="en-IE"/>
        </w:rPr>
        <w:tab/>
      </w:r>
      <w:r w:rsidRPr="00611421">
        <w:rPr>
          <w:noProof/>
        </w:rPr>
        <w:t>Dokumenti in izvedena dela, ki so podlaga za izjavo o upravljanju</w:t>
      </w:r>
      <w:r>
        <w:rPr>
          <w:noProof/>
        </w:rPr>
        <w:tab/>
      </w:r>
      <w:r>
        <w:rPr>
          <w:noProof/>
        </w:rPr>
        <w:fldChar w:fldCharType="begin"/>
      </w:r>
      <w:r>
        <w:rPr>
          <w:noProof/>
        </w:rPr>
        <w:instrText xml:space="preserve"> PAGEREF _Toc142904032 \h </w:instrText>
      </w:r>
      <w:r>
        <w:rPr>
          <w:noProof/>
        </w:rPr>
      </w:r>
      <w:r>
        <w:rPr>
          <w:noProof/>
        </w:rPr>
        <w:fldChar w:fldCharType="separate"/>
      </w:r>
      <w:r>
        <w:rPr>
          <w:noProof/>
        </w:rPr>
        <w:t>30</w:t>
      </w:r>
      <w:r>
        <w:rPr>
          <w:noProof/>
        </w:rPr>
        <w:fldChar w:fldCharType="end"/>
      </w:r>
    </w:p>
    <w:p w14:paraId="19AE61A4" w14:textId="0F629FCD" w:rsidR="00263823" w:rsidRDefault="00263823">
      <w:pPr>
        <w:pStyle w:val="TOC1"/>
        <w:rPr>
          <w:rFonts w:asciiTheme="minorHAnsi" w:eastAsiaTheme="minorEastAsia" w:hAnsiTheme="minorHAnsi" w:cstheme="minorBidi"/>
          <w:caps w:val="0"/>
          <w:noProof/>
          <w:sz w:val="22"/>
          <w:szCs w:val="22"/>
          <w:lang w:val="en-IE" w:eastAsia="en-IE"/>
        </w:rPr>
      </w:pPr>
      <w:r>
        <w:rPr>
          <w:noProof/>
        </w:rPr>
        <w:t>PRILOGA II: Letno poročilo o smotrnosti – pridržki</w:t>
      </w:r>
      <w:r>
        <w:rPr>
          <w:noProof/>
        </w:rPr>
        <w:tab/>
      </w:r>
      <w:r>
        <w:rPr>
          <w:noProof/>
        </w:rPr>
        <w:fldChar w:fldCharType="begin"/>
      </w:r>
      <w:r>
        <w:rPr>
          <w:noProof/>
        </w:rPr>
        <w:instrText xml:space="preserve"> PAGEREF _Toc142904033 \h </w:instrText>
      </w:r>
      <w:r>
        <w:rPr>
          <w:noProof/>
        </w:rPr>
      </w:r>
      <w:r>
        <w:rPr>
          <w:noProof/>
        </w:rPr>
        <w:fldChar w:fldCharType="separate"/>
      </w:r>
      <w:r>
        <w:rPr>
          <w:noProof/>
        </w:rPr>
        <w:t>31</w:t>
      </w:r>
      <w:r>
        <w:rPr>
          <w:noProof/>
        </w:rPr>
        <w:fldChar w:fldCharType="end"/>
      </w:r>
    </w:p>
    <w:p w14:paraId="30029C33" w14:textId="51E4A027" w:rsidR="001A542D" w:rsidRPr="00C47F65" w:rsidRDefault="00660269" w:rsidP="00C47F65">
      <w:pPr>
        <w:pStyle w:val="Title"/>
        <w:rPr>
          <w:rFonts w:ascii="Times New Roman" w:hAnsi="Times New Roman"/>
          <w:sz w:val="28"/>
        </w:rPr>
      </w:pPr>
      <w:r>
        <w:rPr>
          <w:highlight w:val="yellow"/>
        </w:rPr>
        <w:fldChar w:fldCharType="end"/>
      </w:r>
      <w:r>
        <w:br w:type="page"/>
      </w:r>
      <w:bookmarkStart w:id="0" w:name="_Toc142903994"/>
      <w:r>
        <w:rPr>
          <w:rFonts w:ascii="Times New Roman" w:hAnsi="Times New Roman"/>
          <w:sz w:val="28"/>
        </w:rPr>
        <w:lastRenderedPageBreak/>
        <w:t>ODDELEK A: IZJAVA O UPRAVLJANJU – PLAČILNA AGENCIJA</w:t>
      </w:r>
      <w:bookmarkEnd w:id="0"/>
    </w:p>
    <w:p w14:paraId="6F2F1802" w14:textId="77777777" w:rsidR="00952D30" w:rsidRDefault="00952D30" w:rsidP="004B7568">
      <w:pPr>
        <w:rPr>
          <w:b/>
        </w:rPr>
      </w:pPr>
    </w:p>
    <w:p w14:paraId="7CB8E980" w14:textId="77777777" w:rsidR="00660269" w:rsidRPr="007A041E" w:rsidRDefault="00720A71" w:rsidP="004B7568">
      <w:pPr>
        <w:rPr>
          <w:b/>
        </w:rPr>
      </w:pPr>
      <w:r>
        <w:rPr>
          <w:b/>
        </w:rPr>
        <w:t>Namen</w:t>
      </w:r>
    </w:p>
    <w:p w14:paraId="5CE2DF8A" w14:textId="77777777" w:rsidR="002E5B52" w:rsidRPr="00FD4529" w:rsidRDefault="00F336FC" w:rsidP="002E5B52">
      <w:pPr>
        <w:rPr>
          <w:szCs w:val="24"/>
        </w:rPr>
      </w:pPr>
      <w:r>
        <w:t>Ta dokument vsebuje napotke o izjavi o upravljanju, ki jo mora sestaviti vsak direktor plačilne agencije v skladu s členom 9(3), točka (d), in členom 90(1), točka (c)(iii), Uredbe (EU) št. 2021/2116 Evropskega parlamenta in Sveta</w:t>
      </w:r>
      <w:bookmarkStart w:id="1" w:name="_Ref401578634"/>
      <w:r>
        <w:rPr>
          <w:rStyle w:val="FootnoteReference"/>
          <w:szCs w:val="24"/>
        </w:rPr>
        <w:footnoteReference w:id="2"/>
      </w:r>
      <w:bookmarkEnd w:id="1"/>
      <w:r>
        <w:t>. Določa veljavne pravne določbe in zagotavlja priporočila služb Komisije, da se zagotovi, da so izjave o upravljanju pripravljene na podlagi primerljivih meril.</w:t>
      </w:r>
    </w:p>
    <w:p w14:paraId="06A69DB5" w14:textId="77777777" w:rsidR="004B3E20" w:rsidRPr="00FD4529" w:rsidRDefault="004B3E20" w:rsidP="002E5B52">
      <w:pPr>
        <w:rPr>
          <w:szCs w:val="24"/>
        </w:rPr>
      </w:pPr>
      <w:r>
        <w:t>Dokument je le priporočilo in ne izraža dvoma o tem, da je direktor plačilne agencije odgovoren za pripravo izjave o upravljanju in zlasti, da odloča o tem, ali je treba v izjavi navesti kakršne koli pridržke.</w:t>
      </w:r>
    </w:p>
    <w:p w14:paraId="40FCE3CC" w14:textId="77777777" w:rsidR="00A06852" w:rsidRPr="00FD4529" w:rsidRDefault="002F71A9" w:rsidP="00DD7358">
      <w:pPr>
        <w:pStyle w:val="Heading1"/>
        <w:spacing w:before="360"/>
      </w:pPr>
      <w:bookmarkStart w:id="2" w:name="_Toc401561345"/>
      <w:bookmarkStart w:id="3" w:name="_Toc401561379"/>
      <w:bookmarkStart w:id="4" w:name="_Toc401561459"/>
      <w:bookmarkStart w:id="5" w:name="_Toc402522114"/>
      <w:bookmarkStart w:id="6" w:name="_Toc142903995"/>
      <w:bookmarkEnd w:id="2"/>
      <w:bookmarkEnd w:id="3"/>
      <w:bookmarkEnd w:id="4"/>
      <w:bookmarkEnd w:id="5"/>
      <w:r>
        <w:t>Ozadje</w:t>
      </w:r>
      <w:bookmarkEnd w:id="6"/>
    </w:p>
    <w:p w14:paraId="40BBE80B" w14:textId="77777777" w:rsidR="006746AE" w:rsidRPr="00FD4529" w:rsidRDefault="006746AE" w:rsidP="00633411">
      <w:pPr>
        <w:pStyle w:val="Heading2"/>
      </w:pPr>
      <w:bookmarkStart w:id="7" w:name="_Toc142903996"/>
      <w:r>
        <w:t>Zakonodajno okolje</w:t>
      </w:r>
      <w:bookmarkEnd w:id="7"/>
    </w:p>
    <w:p w14:paraId="03C1CD29" w14:textId="77777777" w:rsidR="006746AE" w:rsidRPr="00FD4529" w:rsidRDefault="006746AE" w:rsidP="006746AE">
      <w:pPr>
        <w:rPr>
          <w:szCs w:val="24"/>
        </w:rPr>
      </w:pPr>
      <w:r>
        <w:t>V skladu s členom 90(1), točka (c)(iii), Uredbe (EU) 2021/2116 Evropskega parlamenta in Sveta morajo države članice Komisiji poslati letne obračune vseh svojih plačilnih agencij, skupaj z izjavo o upravljanju, ki jo podpiše oseba, odgovorna za posamezno plačilno agencijo.</w:t>
      </w:r>
    </w:p>
    <w:p w14:paraId="3CE8453B" w14:textId="14D1D370" w:rsidR="006746AE" w:rsidRPr="00605293" w:rsidRDefault="006746AE" w:rsidP="006746AE">
      <w:pPr>
        <w:rPr>
          <w:szCs w:val="24"/>
        </w:rPr>
      </w:pPr>
      <w:r>
        <w:t>V skladu s prvim pododstavkom člena 4(1) Izvedbene uredbe Komisije (EU) 2022/128 se izjava o upravljanju, ki jo predloži plačilna agencija, pripravi pravočasno, da lahko certifikacijski organ izda mnenje. V skladu z drugim pododstavkom člena 4(1) Izvedbene uredbe Komisije (EU) 2022/128 ima tudi obliko, ki je določena v Prilogi I. Lahko vsebuje pridržke, v katerih je količinsko opredeljen možni finančni vpliv.  Če so izraženi pridržki, se v izjavo vključi akcijski načrt za odpravo pomanjkljivosti in natančen časovni okvir za njegovo izvajanje.</w:t>
      </w:r>
    </w:p>
    <w:p w14:paraId="35B4D023" w14:textId="72146E21" w:rsidR="00302B7B" w:rsidRDefault="39D0F433" w:rsidP="007D3ED4">
      <w:pPr>
        <w:rPr>
          <w:szCs w:val="24"/>
        </w:rPr>
      </w:pPr>
      <w:r>
        <w:t>Izjava o upravljanju temelji na učinkovitem nadzoru sistema upravljanja in kontrol, ki je vzpostavljen vse leto. Kot je določeno v členu 12(2) Uredbe (EU) 2021/2116, mnenje certifikacijskega organa poleg več elementov, s katerimi se ugotovi:</w:t>
      </w:r>
    </w:p>
    <w:p w14:paraId="74A1912C" w14:textId="77777777" w:rsidR="00302B7B" w:rsidRPr="00302B7B" w:rsidRDefault="00302B7B" w:rsidP="00CB1F21">
      <w:pPr>
        <w:ind w:left="720"/>
        <w:rPr>
          <w:szCs w:val="24"/>
        </w:rPr>
      </w:pPr>
      <w:r>
        <w:t xml:space="preserve">– verodostojna in poštena slika letnih obračunov plačilne agencije, </w:t>
      </w:r>
    </w:p>
    <w:p w14:paraId="754B499B" w14:textId="77777777" w:rsidR="00302B7B" w:rsidRPr="00302B7B" w:rsidRDefault="00302B7B" w:rsidP="00CB1F21">
      <w:pPr>
        <w:ind w:left="720"/>
        <w:rPr>
          <w:szCs w:val="24"/>
        </w:rPr>
      </w:pPr>
      <w:r>
        <w:t xml:space="preserve">– pravilno delovanje sistemov upravljanja plačilne agencije, </w:t>
      </w:r>
    </w:p>
    <w:p w14:paraId="6453ACA1" w14:textId="77777777" w:rsidR="00302B7B" w:rsidRPr="00302B7B" w:rsidRDefault="00302B7B" w:rsidP="00CB1F21">
      <w:pPr>
        <w:ind w:left="720"/>
        <w:rPr>
          <w:szCs w:val="24"/>
        </w:rPr>
      </w:pPr>
      <w:r>
        <w:t xml:space="preserve">– poročanje o smotrnosti glede kazalnikov učinkov in kazalnikov rezultatov, </w:t>
      </w:r>
    </w:p>
    <w:p w14:paraId="791276EC" w14:textId="77777777" w:rsidR="00302B7B" w:rsidRDefault="00302B7B" w:rsidP="00CB1F21">
      <w:pPr>
        <w:ind w:left="720"/>
        <w:rPr>
          <w:szCs w:val="24"/>
        </w:rPr>
      </w:pPr>
      <w:r>
        <w:t>– zakonitost in pravilnost odhodkov za nekatere ukrepe,</w:t>
      </w:r>
    </w:p>
    <w:p w14:paraId="54694527" w14:textId="77777777" w:rsidR="00814DF5" w:rsidRPr="00FD4529" w:rsidRDefault="1AF5E75B" w:rsidP="007D3ED4">
      <w:r>
        <w:t xml:space="preserve">navede tudi, ali se je pri pregledu pojavil dvom o trditvah iz izjave o upravljanju. </w:t>
      </w:r>
    </w:p>
    <w:p w14:paraId="658EC81A" w14:textId="77D748E1" w:rsidR="00814DF5" w:rsidRPr="00FD4529" w:rsidRDefault="68D165A1" w:rsidP="007D3ED4">
      <w:r>
        <w:lastRenderedPageBreak/>
        <w:t>Za države članice z več kot eno plačilno agencijo se letno poročilo o smotrnosti obravnava v mnenju iz člena 12(2) in se predloži Komisiji skupaj z izjavo o upravljanju, ki se nanaša na pripravo celotnega poročila, kot je navedeno v členu 10(3) Uredbe (EU) 2021/2116.</w:t>
      </w:r>
    </w:p>
    <w:p w14:paraId="319F6C9B" w14:textId="77777777" w:rsidR="00D97B45" w:rsidRPr="00FD4529" w:rsidRDefault="00D97B45" w:rsidP="00633411">
      <w:pPr>
        <w:pStyle w:val="Heading2"/>
      </w:pPr>
      <w:bookmarkStart w:id="8" w:name="_Toc401561348"/>
      <w:bookmarkStart w:id="9" w:name="_Toc401561382"/>
      <w:bookmarkStart w:id="10" w:name="_Toc401561462"/>
      <w:bookmarkStart w:id="11" w:name="_Toc402522117"/>
      <w:bookmarkStart w:id="12" w:name="_Toc201397307"/>
      <w:bookmarkStart w:id="13" w:name="_Toc142903997"/>
      <w:bookmarkEnd w:id="8"/>
      <w:bookmarkEnd w:id="9"/>
      <w:bookmarkEnd w:id="10"/>
      <w:bookmarkEnd w:id="11"/>
      <w:r>
        <w:t>Rok za predložitev</w:t>
      </w:r>
      <w:bookmarkEnd w:id="12"/>
      <w:bookmarkEnd w:id="13"/>
    </w:p>
    <w:p w14:paraId="4C164402" w14:textId="77777777" w:rsidR="00D97B45" w:rsidRPr="00FD4529" w:rsidRDefault="00633411" w:rsidP="00D97B45">
      <w:pPr>
        <w:rPr>
          <w:szCs w:val="24"/>
        </w:rPr>
      </w:pPr>
      <w:r>
        <w:t>V skladu s členom 33 Izvedbene uredbe Komisije (EU) 2022/128 se dokumenti pošljejo Komisiji do 15. februarja v letu, ki sledi koncu proračunskega leta, na katero se nanašajo.</w:t>
      </w:r>
    </w:p>
    <w:p w14:paraId="0D3BE86E" w14:textId="77777777" w:rsidR="00547CF9" w:rsidRPr="00FD4529" w:rsidRDefault="00547CF9" w:rsidP="00633411">
      <w:pPr>
        <w:pStyle w:val="Heading2"/>
      </w:pPr>
      <w:bookmarkStart w:id="14" w:name="_Toc401561350"/>
      <w:bookmarkStart w:id="15" w:name="_Toc401561384"/>
      <w:bookmarkStart w:id="16" w:name="_Toc401561464"/>
      <w:bookmarkStart w:id="17" w:name="_Toc402522119"/>
      <w:bookmarkStart w:id="18" w:name="_Toc201397308"/>
      <w:bookmarkStart w:id="19" w:name="_Toc142903998"/>
      <w:bookmarkEnd w:id="14"/>
      <w:bookmarkEnd w:id="15"/>
      <w:bookmarkEnd w:id="16"/>
      <w:bookmarkEnd w:id="17"/>
      <w:r>
        <w:t>Podpis</w:t>
      </w:r>
      <w:bookmarkEnd w:id="18"/>
      <w:bookmarkEnd w:id="19"/>
    </w:p>
    <w:p w14:paraId="4E50866C" w14:textId="77777777" w:rsidR="00065659" w:rsidRDefault="0324BA92" w:rsidP="00CB1F21">
      <w:r>
        <w:t xml:space="preserve">Izjavo o upravljanju, ki jo predloži plačilna agencija, in vse pridržke podpiše direktor plačilne agencije. Te naloge ni mogoče prenesti. Potreben je le podpis direktorja plačilne agencije. Ni treba, da bi različne dele izjave o upravljanju podpisale druge osebe, ki so za te dele odgovorne znotraj plačilne agencije. Če je plačilna agencija med proračunskim letom ali po njem dobila novega direktorja, mora izjavo o upravljanju podpisati le direktor, ki je vodil plačilno agencijo v času podpisa izjave o upravljanju, tj. najpozneje 15. februarja. </w:t>
      </w:r>
      <w:bookmarkStart w:id="20" w:name="_Toc401561352"/>
      <w:bookmarkStart w:id="21" w:name="_Toc401561386"/>
      <w:bookmarkStart w:id="22" w:name="_Toc401561466"/>
      <w:bookmarkStart w:id="23" w:name="_Toc402522121"/>
      <w:bookmarkEnd w:id="20"/>
      <w:bookmarkEnd w:id="21"/>
      <w:bookmarkEnd w:id="22"/>
      <w:bookmarkEnd w:id="23"/>
    </w:p>
    <w:p w14:paraId="0241BB80" w14:textId="77777777" w:rsidR="00A26029" w:rsidRPr="00776EAA" w:rsidRDefault="00A26029" w:rsidP="00D25A9D">
      <w:pPr>
        <w:pStyle w:val="Heading2"/>
      </w:pPr>
      <w:bookmarkStart w:id="24" w:name="_Toc142903999"/>
      <w:r>
        <w:t>Posredovanje in oblika</w:t>
      </w:r>
      <w:bookmarkEnd w:id="24"/>
    </w:p>
    <w:p w14:paraId="2EC2BDF2" w14:textId="77777777" w:rsidR="00C47F65" w:rsidRPr="00C47F65" w:rsidRDefault="00A26029" w:rsidP="00F2284E">
      <w:pPr>
        <w:spacing w:after="120"/>
      </w:pPr>
      <w:r>
        <w:t>Izjavo o upravljanju je treba poimenovati „MD_PAXY.*“, pri čemer PAXY označuje kodo plačilne agencije države članice (npr. DČ01). Dokument mora vključevati izjavo o upravljanju ter:</w:t>
      </w:r>
    </w:p>
    <w:p w14:paraId="7FFDB957" w14:textId="77777777" w:rsidR="006A3AC5" w:rsidRPr="008828EA" w:rsidRDefault="006A3AC5" w:rsidP="00C47F65">
      <w:pPr>
        <w:pStyle w:val="ListDash"/>
        <w:numPr>
          <w:ilvl w:val="0"/>
          <w:numId w:val="3"/>
        </w:numPr>
        <w:rPr>
          <w:szCs w:val="24"/>
        </w:rPr>
      </w:pPr>
      <w:r>
        <w:t>Prilogo I „Letni povzetek končnih revizijskih poročil in opravljenih kontrol“,</w:t>
      </w:r>
    </w:p>
    <w:p w14:paraId="43BC39F0" w14:textId="77777777" w:rsidR="00C47F65" w:rsidRPr="00C47F65" w:rsidRDefault="00A55214" w:rsidP="00C47F65">
      <w:pPr>
        <w:pStyle w:val="ListDash"/>
        <w:numPr>
          <w:ilvl w:val="0"/>
          <w:numId w:val="3"/>
        </w:numPr>
        <w:rPr>
          <w:szCs w:val="24"/>
        </w:rPr>
      </w:pPr>
      <w:r>
        <w:t>Prilogo II „Dokumenti in izvedena dela, ki so podlaga za izjavo o upravljanju“,</w:t>
      </w:r>
    </w:p>
    <w:p w14:paraId="2707856E" w14:textId="77777777" w:rsidR="00C47F65" w:rsidRPr="00C47F65" w:rsidRDefault="00376AFB" w:rsidP="00C47F65">
      <w:pPr>
        <w:pStyle w:val="ListDash"/>
        <w:numPr>
          <w:ilvl w:val="0"/>
          <w:numId w:val="3"/>
        </w:numPr>
        <w:rPr>
          <w:szCs w:val="24"/>
        </w:rPr>
      </w:pPr>
      <w:r>
        <w:t>Prilogo III „Pridržki in spremljanje napredka pri izvajanju akcijskih načrtov“,</w:t>
      </w:r>
    </w:p>
    <w:p w14:paraId="66968D3F" w14:textId="51C5ABB5" w:rsidR="00C47F65" w:rsidRPr="00C47F65" w:rsidRDefault="00354671" w:rsidP="00383221">
      <w:pPr>
        <w:pStyle w:val="ListDash"/>
      </w:pPr>
      <w:r>
        <w:t>Prilogo IV „Kakovost in zanesljivost sistema poročanja in podatkov o kazalnikih“;</w:t>
      </w:r>
    </w:p>
    <w:p w14:paraId="38B5A43F" w14:textId="77777777" w:rsidR="00C47F65" w:rsidRPr="00C47F65" w:rsidRDefault="00BA1958" w:rsidP="00C47F65">
      <w:pPr>
        <w:pStyle w:val="ListDash"/>
        <w:numPr>
          <w:ilvl w:val="0"/>
          <w:numId w:val="3"/>
        </w:numPr>
        <w:rPr>
          <w:szCs w:val="24"/>
        </w:rPr>
      </w:pPr>
      <w:r>
        <w:t>Prilogo V „Analiza kontrolne statistike na shemo/ukrep“,</w:t>
      </w:r>
    </w:p>
    <w:p w14:paraId="2B6AD01E" w14:textId="77777777" w:rsidR="00C47F65" w:rsidRPr="00C47F65" w:rsidRDefault="00BA1958" w:rsidP="00C47F65">
      <w:pPr>
        <w:pStyle w:val="ListDash"/>
        <w:numPr>
          <w:ilvl w:val="0"/>
          <w:numId w:val="3"/>
        </w:numPr>
        <w:rPr>
          <w:szCs w:val="24"/>
        </w:rPr>
      </w:pPr>
      <w:r>
        <w:t>Prilogo VI „Analiza stopenj napak na populacijo“.</w:t>
      </w:r>
    </w:p>
    <w:p w14:paraId="3BBED076" w14:textId="77777777" w:rsidR="00837EF5" w:rsidRDefault="00A26029" w:rsidP="00F2284E">
      <w:pPr>
        <w:spacing w:after="120"/>
      </w:pPr>
      <w:r>
        <w:t xml:space="preserve">Naložiti ga je treba v elektronski obliki neposredno v sistem za izmenjavo podatkov, ki se uporablja za ta postopek potrditve. </w:t>
      </w:r>
    </w:p>
    <w:p w14:paraId="2250163C" w14:textId="77777777" w:rsidR="00A862B2" w:rsidRPr="00C47F65" w:rsidRDefault="00A862B2" w:rsidP="0067561B">
      <w:pPr>
        <w:pStyle w:val="Text2"/>
        <w:ind w:left="0"/>
        <w:rPr>
          <w:lang w:val="en-IE"/>
        </w:rPr>
      </w:pPr>
    </w:p>
    <w:p w14:paraId="7571CDB1" w14:textId="77777777" w:rsidR="0016152D" w:rsidRPr="00215E88" w:rsidRDefault="00CB51E8" w:rsidP="00633411">
      <w:pPr>
        <w:pStyle w:val="Heading2"/>
      </w:pPr>
      <w:bookmarkStart w:id="25" w:name="_Toc142904000"/>
      <w:r>
        <w:t>Besedilo izjave o upravljanju (plačilna agencija)</w:t>
      </w:r>
      <w:bookmarkEnd w:id="25"/>
    </w:p>
    <w:p w14:paraId="29ECED99" w14:textId="77777777" w:rsidR="00C17940" w:rsidRPr="00FD4529" w:rsidRDefault="00C17940" w:rsidP="00C17940">
      <w:pPr>
        <w:jc w:val="center"/>
        <w:rPr>
          <w:i/>
        </w:rPr>
      </w:pPr>
      <w:r>
        <w:rPr>
          <w:i/>
        </w:rPr>
        <w:t>IZJAVA O UPRAVLJANJU – plačilna agencija</w:t>
      </w:r>
    </w:p>
    <w:p w14:paraId="0163C873" w14:textId="77777777" w:rsidR="00EE270F" w:rsidRPr="00EE270F" w:rsidRDefault="00EE270F" w:rsidP="00EE270F">
      <w:pPr>
        <w:jc w:val="center"/>
        <w:rPr>
          <w:i/>
        </w:rPr>
      </w:pPr>
      <w:r>
        <w:rPr>
          <w:i/>
        </w:rPr>
        <w:t>kot je navedena v členu 4</w:t>
      </w:r>
      <w:r>
        <w:rPr>
          <w:rStyle w:val="FootnoteReference"/>
          <w:i/>
        </w:rPr>
        <w:footnoteReference w:id="3"/>
      </w:r>
    </w:p>
    <w:p w14:paraId="6C0D8A4A" w14:textId="77777777" w:rsidR="00695C67" w:rsidRPr="00695C67" w:rsidRDefault="00695C67" w:rsidP="00695C67">
      <w:pPr>
        <w:rPr>
          <w:i/>
        </w:rPr>
      </w:pPr>
      <w:r>
        <w:rPr>
          <w:i/>
        </w:rPr>
        <w:t>Spodaj podpisani …, direktor plačilne agencije …, predlagam obračune za to plačilno agencijo za proračunsko leto od 16. xx do 15. xx + 1.</w:t>
      </w:r>
    </w:p>
    <w:p w14:paraId="5E7F20A8" w14:textId="77777777" w:rsidR="00C17940" w:rsidRPr="00FD4529" w:rsidRDefault="00695C67" w:rsidP="00695C67">
      <w:pPr>
        <w:rPr>
          <w:i/>
        </w:rPr>
      </w:pPr>
      <w:r>
        <w:rPr>
          <w:i/>
        </w:rPr>
        <w:lastRenderedPageBreak/>
        <w:t>Po lastni presoji in na podlagi informacij, ki so mi na voljo, med drugim na podlagi rezultatov dela službe za notranjo revizijo, izjavljam, da:</w:t>
      </w:r>
    </w:p>
    <w:p w14:paraId="4E14C870" w14:textId="77777777" w:rsidR="00C17940" w:rsidRPr="00FD4529" w:rsidRDefault="00C17940" w:rsidP="00695C67">
      <w:pPr>
        <w:rPr>
          <w:i/>
        </w:rPr>
      </w:pPr>
      <w:r>
        <w:rPr>
          <w:i/>
        </w:rPr>
        <w:t>– predloženi obračuni po moji najboljši vednosti dajejo pravilen, popoln in točen pregled odhodkov in prihodkov za zgoraj navedeno proračunsko leto; Zlasti vsi bili v obračunih evidentirani vsi dolgovi, predplačila, jamstva in zaloge, s katerimi sem seznanjen, vsi prihodki, zbrani v zvezi z EKJS in EKSRP, pa so bili pravilno knjiženi v dobro ustreznih skladov;</w:t>
      </w:r>
    </w:p>
    <w:p w14:paraId="0E5A50C0" w14:textId="77777777" w:rsidR="00695C67" w:rsidRPr="008D5E4B" w:rsidRDefault="00C17940" w:rsidP="006A6FAD">
      <w:pPr>
        <w:rPr>
          <w:i/>
        </w:rPr>
      </w:pPr>
      <w:r>
        <w:rPr>
          <w:i/>
        </w:rPr>
        <w:t>– sem vzpostavil/-a sistem, ki daje zadostna zagotovila:</w:t>
      </w:r>
    </w:p>
    <w:p w14:paraId="39D883FB" w14:textId="77777777" w:rsidR="00C17940" w:rsidRPr="008D5E4B" w:rsidRDefault="00B760A2" w:rsidP="202D3DBF">
      <w:pPr>
        <w:numPr>
          <w:ilvl w:val="0"/>
          <w:numId w:val="24"/>
        </w:numPr>
        <w:rPr>
          <w:i/>
          <w:iCs/>
        </w:rPr>
      </w:pPr>
      <w:r>
        <w:rPr>
          <w:i/>
        </w:rPr>
        <w:t>da so plačila zakonita in pravilna v zvezi z nastalimi odhodki in plačili:</w:t>
      </w:r>
      <w:r>
        <w:t xml:space="preserve"> </w:t>
      </w:r>
      <w:r>
        <w:br/>
        <w:t>–</w:t>
      </w:r>
      <w:r>
        <w:rPr>
          <w:i/>
        </w:rPr>
        <w:t xml:space="preserve"> za sheme podpore na podlagi Uredbe (EU) št. 1307/2013 za koledarsko leto 2022 in prej </w:t>
      </w:r>
      <w:r>
        <w:t>[neposredna plačila EKJS IAKS]</w:t>
      </w:r>
      <w:r>
        <w:rPr>
          <w:i/>
          <w:iCs/>
        </w:rPr>
        <w:t>,</w:t>
      </w:r>
      <w:r>
        <w:t xml:space="preserve"> </w:t>
      </w:r>
      <w:r>
        <w:br/>
      </w:r>
      <w:r>
        <w:rPr>
          <w:i/>
          <w:iCs/>
        </w:rPr>
        <w:t>– kar zadeva ukrepe, izvedene do 31. decembra 2022 na podlagi uredb (EU) št. 228/2013, (EU) št. 229/2013, (EU) št. 1308/2013 in (EU) št. 1144/2014</w:t>
      </w:r>
      <w:r>
        <w:t xml:space="preserve"> [ukrepi POSEI, promocijski ukrepi in ukrepi SUT ob upoštevanju prehodnih ukrepov]</w:t>
      </w:r>
      <w:r>
        <w:rPr>
          <w:i/>
          <w:iCs/>
        </w:rPr>
        <w:t>,</w:t>
      </w:r>
      <w:r>
        <w:t xml:space="preserve"> </w:t>
      </w:r>
      <w:r>
        <w:br/>
      </w:r>
      <w:r>
        <w:rPr>
          <w:i/>
          <w:iCs/>
        </w:rPr>
        <w:t xml:space="preserve">– za sheme pomoči iz člena 5(6), prvi pododstavek, točka (c), in člena 5(7) Uredbe (EU) 2021/2117 v zvezi z nastalimi odhodki in plačili za dejavnosti, izvedene v skladu z Uredbo (EU) št. 1308/2013 po 31. decembru 2022 in do konca navedenih shem pomoči </w:t>
      </w:r>
      <w:r>
        <w:t>[prehodni ukrepi za sektor sadja in zelenjave ter vinski sektor]</w:t>
      </w:r>
      <w:r>
        <w:rPr>
          <w:i/>
        </w:rPr>
        <w:t>,</w:t>
      </w:r>
      <w:r>
        <w:t xml:space="preserve"> </w:t>
      </w:r>
      <w:r>
        <w:br/>
      </w:r>
      <w:r>
        <w:rPr>
          <w:i/>
          <w:iCs/>
        </w:rPr>
        <w:t xml:space="preserve">– ter kar zadeva EKSRP v zvezi z odhodki, ki so jih imeli upravičenci, in plačili, ki jih je plačilna agencija izvršila v okviru izvajanja programov razvoja podeželja v skladu z Uredbo (EU) št. 1305/2013 </w:t>
      </w:r>
      <w:r>
        <w:t>[ukrepi EKSRP v skladu s prejšnjimi uredbami]</w:t>
      </w:r>
      <w:r>
        <w:rPr>
          <w:i/>
          <w:iCs/>
        </w:rPr>
        <w:t>;</w:t>
      </w:r>
    </w:p>
    <w:p w14:paraId="424C10CC" w14:textId="77777777" w:rsidR="00695C67" w:rsidRPr="008D5E4B" w:rsidRDefault="00695C67" w:rsidP="00CB1F21">
      <w:pPr>
        <w:numPr>
          <w:ilvl w:val="0"/>
          <w:numId w:val="24"/>
        </w:numPr>
        <w:rPr>
          <w:i/>
        </w:rPr>
      </w:pPr>
      <w:r>
        <w:rPr>
          <w:i/>
        </w:rPr>
        <w:t>da sistemi upravljanja iz člena 9(3), prvi pododstavek, točka (d)(ii), Uredbe (EU) 2021/2116 ustrezno delujejo in zagotavljajo, da so odhodki nastali v skladu s členom 37 navedene uredbe;</w:t>
      </w:r>
    </w:p>
    <w:p w14:paraId="7B2D2910" w14:textId="77777777" w:rsidR="00695C67" w:rsidRDefault="00695C67" w:rsidP="00CB1F21">
      <w:pPr>
        <w:numPr>
          <w:ilvl w:val="0"/>
          <w:numId w:val="24"/>
        </w:numPr>
        <w:rPr>
          <w:i/>
        </w:rPr>
      </w:pPr>
      <w:r>
        <w:rPr>
          <w:i/>
        </w:rPr>
        <w:t>o kakovosti in zanesljivosti sistema poročanja in podatkov o kazalnikih v zvezi z vrstami intervencij iz Uredbe (EU) 2021/2115 ter da odhodki ustrezajo sporočenemu ustreznemu učinku in da so bili izvršeni v skladu z veljavnimi sistemi upravljanja.</w:t>
      </w:r>
    </w:p>
    <w:p w14:paraId="0E8D4B8B" w14:textId="77777777" w:rsidR="00C17940" w:rsidRPr="00FD4529" w:rsidRDefault="00695C67" w:rsidP="006A6FAD">
      <w:pPr>
        <w:rPr>
          <w:i/>
        </w:rPr>
      </w:pPr>
      <w:r>
        <w:rPr>
          <w:i/>
        </w:rPr>
        <w:t xml:space="preserve">Odhodki, vneseni v obračune, so bili uporabljeni za predvidene namene, kot je določeno v Uredbi (EU) 2021/2116. </w:t>
      </w:r>
      <w:r>
        <w:rPr>
          <w:b/>
          <w:color w:val="00B0F0"/>
        </w:rPr>
        <w:t>[Za države članice, ki uporabljajo člene 1, 2 in 3 Uredbe (EU) 2021/725 in/ali določbe iz poglavij I, II in III Uredbe (EU) 2022/1216:]</w:t>
      </w:r>
      <w:r>
        <w:t xml:space="preserve"> </w:t>
      </w:r>
      <w:r>
        <w:rPr>
          <w:i/>
        </w:rPr>
        <w:t>Preprečena so bila preplačila upravičencem in sprožena je bila izterjava neupravičeno izplačanih zneskov na podlagi preverjanja vseh potrebnih informacij.</w:t>
      </w:r>
    </w:p>
    <w:p w14:paraId="5D97C95E" w14:textId="77777777" w:rsidR="00695C67" w:rsidRPr="00695C67" w:rsidRDefault="00695C67" w:rsidP="00695C67">
      <w:pPr>
        <w:rPr>
          <w:i/>
        </w:rPr>
      </w:pPr>
      <w:r>
        <w:rPr>
          <w:i/>
        </w:rPr>
        <w:t>Poleg tega potrjujem, da se izvajajo učinkoviti in sorazmerni ukrepi proti goljufijam v skladu s členom 59 Uredbe (EU) 2021/2116 ter da se upoštevajo ugotovljena tveganja.</w:t>
      </w:r>
    </w:p>
    <w:p w14:paraId="23150BFE" w14:textId="77777777" w:rsidR="00695C67" w:rsidRPr="00695C67" w:rsidRDefault="00695C67" w:rsidP="00695C67">
      <w:pPr>
        <w:rPr>
          <w:i/>
        </w:rPr>
      </w:pPr>
      <w:r>
        <w:rPr>
          <w:i/>
        </w:rPr>
        <w:t>Vendar za to zagotovilo veljajo naslednji pridržki:</w:t>
      </w:r>
    </w:p>
    <w:p w14:paraId="7979D7E0" w14:textId="77777777" w:rsidR="00695C67" w:rsidRPr="00695C67" w:rsidRDefault="00695C67" w:rsidP="00695C67">
      <w:pPr>
        <w:rPr>
          <w:i/>
        </w:rPr>
      </w:pPr>
      <w:r>
        <w:rPr>
          <w:i/>
        </w:rPr>
        <w:t>Nazadnje potrjujem, da nisem seznanjen z nobenimi nerazkritimi podatki, ki bi lahko škodili finančnim interesom Unije.</w:t>
      </w:r>
    </w:p>
    <w:p w14:paraId="525BACF3" w14:textId="77777777" w:rsidR="00C17940" w:rsidRDefault="00C17940" w:rsidP="00695C67">
      <w:pPr>
        <w:rPr>
          <w:i/>
        </w:rPr>
      </w:pPr>
      <w:r>
        <w:rPr>
          <w:i/>
        </w:rPr>
        <w:t>Podpis</w:t>
      </w:r>
    </w:p>
    <w:p w14:paraId="2206DACB" w14:textId="77777777" w:rsidR="00824D23" w:rsidRPr="00FD4529" w:rsidRDefault="00824D23" w:rsidP="00824D23">
      <w:pPr>
        <w:rPr>
          <w:szCs w:val="24"/>
        </w:rPr>
      </w:pPr>
      <w:r>
        <w:t>Izjava o upravljanju, kot je navedena zgoraj, mora vsebovati naslednje podatke:</w:t>
      </w:r>
    </w:p>
    <w:p w14:paraId="7C046287" w14:textId="77777777" w:rsidR="00824D23" w:rsidRPr="00FD4529" w:rsidRDefault="00824D23" w:rsidP="00824D23">
      <w:pPr>
        <w:pStyle w:val="ListDash"/>
      </w:pPr>
      <w:r>
        <w:t>ime direktorja in naziv plačilne agencije. Zlasti je pomembno, da se v besedilu pojavi le ime direktorja in da je on edini, ki dejansko podpiše izjavo o upravljanju;</w:t>
      </w:r>
    </w:p>
    <w:p w14:paraId="4F44CB81" w14:textId="77777777" w:rsidR="00824D23" w:rsidRPr="00FD4529" w:rsidRDefault="00824D23" w:rsidP="00824D23">
      <w:pPr>
        <w:pStyle w:val="ListDash"/>
      </w:pPr>
      <w:r>
        <w:lastRenderedPageBreak/>
        <w:t>zadevno proračunsko leto.</w:t>
      </w:r>
    </w:p>
    <w:p w14:paraId="1D3FF473" w14:textId="77777777" w:rsidR="004973EB" w:rsidRPr="00FD4529" w:rsidRDefault="004973EB" w:rsidP="00DD7358">
      <w:pPr>
        <w:pStyle w:val="Heading1"/>
        <w:spacing w:before="360"/>
      </w:pPr>
      <w:bookmarkStart w:id="26" w:name="_Toc228774947"/>
      <w:bookmarkStart w:id="27" w:name="_Toc229548035"/>
      <w:bookmarkStart w:id="28" w:name="_Toc234896519"/>
      <w:bookmarkStart w:id="29" w:name="_Toc142904001"/>
      <w:bookmarkEnd w:id="26"/>
      <w:bookmarkEnd w:id="27"/>
      <w:bookmarkEnd w:id="28"/>
      <w:r>
        <w:t>Podlaga za izjavo o upravljanju</w:t>
      </w:r>
      <w:bookmarkEnd w:id="29"/>
    </w:p>
    <w:p w14:paraId="3991986D" w14:textId="77777777" w:rsidR="008A02B5" w:rsidRDefault="00D352AF" w:rsidP="002A6512">
      <w:pPr>
        <w:rPr>
          <w:szCs w:val="24"/>
        </w:rPr>
      </w:pPr>
      <w:r>
        <w:t xml:space="preserve">Kot je navedeno zgoraj in v členu 4(2) Uredbe (EU) 2022/128, izjava o upravljanju, ki jo predloži plačilna agencija, temelji na učinkovitem nadzoru obstoječega sistema upravljanja in kontrole. </w:t>
      </w:r>
    </w:p>
    <w:p w14:paraId="21914D5D" w14:textId="77777777" w:rsidR="002715BE" w:rsidRDefault="00717D65" w:rsidP="002A6512">
      <w:pPr>
        <w:rPr>
          <w:szCs w:val="24"/>
        </w:rPr>
      </w:pPr>
      <w:r>
        <w:t xml:space="preserve">Direktor plačilne agencije je odgovoren za vzpostavitev notranje strukture plačilne agencije, ki zagotavlja, da pravočasno prejme vse pomembne podatke, da lahko pripravi zahtevano izjavo. Poleg dela in sklepov službe za notranjo revizijo je treba upoštevati tudi prispevke vseh drugih oddelkov. Poleg tega direktor plačilne agencije svojih sklepov v zvezi z izjavo o upravljanju ne sme oblikovati izključno na podlagi dela, ki ga certifikacijski organ opravi v skladu s členom 5 Izvedbene uredbe Komisije (EU) 2022/128. Mora pa upoštevati vse ugotovitve, ki so bile sporočene med delom certifikacijskega organa. Zanesljiv vir informacij za pripravo izjave o upravljanju so zlasti ukrepi, ki jih je sprejela plačilna agencija, in sklepi certifikacijskega organa v zvezi s prejšnjimi leti. </w:t>
      </w:r>
    </w:p>
    <w:p w14:paraId="5E51B25D" w14:textId="77777777" w:rsidR="00510498" w:rsidRDefault="2E023CF4" w:rsidP="00510498">
      <w:pPr>
        <w:spacing w:after="60"/>
      </w:pPr>
      <w:r>
        <w:t>Ker bi morala biti plačila za del ukrepov EKJS ne-IAKS zakonita in pravilna ter ker bi bilo treba odhodke za intervencije na podlagi Uredbe (EU) 2021/2115 izvršiti v skladu z veljavnimi pravili Unije in ustreznim strateškim načrtom SKP, je bistvenega pomena, da direktor razkrije podlago, na kateri je bila pripravljena izjava o upravljanju. Zato mora biti vsaki izjavi o upravljanju priložen seznam iz Priloge II z informacijami o dokumentih in izvedenih delih, ki so bili podlaga za izjavo o upravljanju. Ta seznam mora biti omejen na kratek opis vsebine zadevnega dokumenta. Vendar pa ne sme vsebovati povzetka vsebine dokumenta niti se dokument ne sme priložiti izjavi o upravljanju. Podobne informacije je treba zagotoviti v zvezi z delom, ki ga je direktor plačilne agencije opravil pred podpisom svoje izjave. Poleg tega mora biti izjavi o upravljanju priložena analiza sistemov poročanja o smotrnosti, ki jih je vzpostavila plačilna agencija. V Prilogi IV bodo navedene vse znatne pomanjkljivosti, ki vplivajo na kakovost in zanesljivost sistema poročanja in podatkov o kazalnikih v zvezi z vrstami intervencij iz Uredbe (EU) 2021/2115 ali ki ovirajo usklajevanje med odhodki in učinki. Po potrebi bi lahko vsebovala podrobnejše opise morebitnih utemeljitev, ki so že navedene v letnem poročilu o smotrnosti. Zlasti kadar letno poročilo o smotrnosti pripravi usklajevalni organ, lahko plačilna agencija vključi nekatera dodatna pojasnila o razhajanjih med načrtovanimi in realiziranimi zneski na enoto, povezanih s sistemskimi pomanjkljivostmi v zvezi s sistemi upravljanja navedene plačilne agencije.</w:t>
      </w:r>
    </w:p>
    <w:p w14:paraId="7F3481DB" w14:textId="77777777" w:rsidR="001F3A44" w:rsidRPr="00BD56C3" w:rsidRDefault="001F3A44" w:rsidP="00510498">
      <w:pPr>
        <w:spacing w:after="60"/>
        <w:rPr>
          <w:szCs w:val="24"/>
        </w:rPr>
      </w:pPr>
    </w:p>
    <w:p w14:paraId="1C66BA3A" w14:textId="77777777" w:rsidR="005B0F0C" w:rsidRDefault="317712A8" w:rsidP="5E3A1F41">
      <w:r>
        <w:t>Poleg tega se ob upoštevanju člena 14 Uredbe (EU) 2022/1173</w:t>
      </w:r>
      <w:r>
        <w:rPr>
          <w:rStyle w:val="FootnoteReference"/>
        </w:rPr>
        <w:footnoteReference w:id="4"/>
      </w:r>
      <w:r>
        <w:t xml:space="preserve"> od direktorja plačilne agencije zahteva, da izpolni preglednice iz prilog V in VI ter predloži analizo kontrolne statistike (vključno z morebitnimi kontrolami na drugi stopnji</w:t>
      </w:r>
      <w:r>
        <w:rPr>
          <w:rStyle w:val="FootnoteReference"/>
        </w:rPr>
        <w:footnoteReference w:id="5"/>
      </w:r>
      <w:r>
        <w:t xml:space="preserve">), ki jo je treba sporočiti </w:t>
      </w:r>
      <w:r>
        <w:lastRenderedPageBreak/>
        <w:t>Komisiji</w:t>
      </w:r>
      <w:r>
        <w:rPr>
          <w:rStyle w:val="FootnoteReference"/>
        </w:rPr>
        <w:footnoteReference w:id="6"/>
      </w:r>
      <w:r>
        <w:t>, in analizo stopenj napak na ravni populacije. Dodatne razlage se pričakujejo v omejenem številu primerov, ki so določeni v Prilogi VI k tej smernici.</w:t>
      </w:r>
    </w:p>
    <w:p w14:paraId="2C030CBA" w14:textId="77777777" w:rsidR="000F7EB9" w:rsidRPr="008B1793" w:rsidRDefault="42E6AEC9" w:rsidP="002A6512">
      <w:r>
        <w:t xml:space="preserve">Tudi letna poročila plačilne agencije o upravljanju, ki povzemajo rezultate pregledov na kraju samem v zvezi s posamezno shemo/ukrepom, se lahko uporabijo kot vir informacij za izpolnitev Priloge I. Če pa so glavne pomanjkljivosti in obseg slabosti, ugotovljeni v okviru pregledov na kraju samem, že vključeni v Prilogi VI k izjavi o upravljanju in so popravni ukrepi pojasnjeni, teh ni treba vključiti v Prilogo I. Plačilne agencije morajo informacije o glavnih pomanjkljivostih, ugotovljenih pri pregledih na kraju samem, vključiti v Prilogo I le, če te informacije še niso zagotovljene v Prilogi VI. </w:t>
      </w:r>
    </w:p>
    <w:p w14:paraId="0C0C0441" w14:textId="77777777" w:rsidR="00241C72" w:rsidRPr="000B28A4" w:rsidRDefault="00426145" w:rsidP="00DD7358">
      <w:pPr>
        <w:pStyle w:val="Heading1"/>
        <w:spacing w:before="360"/>
      </w:pPr>
      <w:bookmarkStart w:id="30" w:name="_Toc401561356"/>
      <w:bookmarkStart w:id="31" w:name="_Toc401561390"/>
      <w:bookmarkStart w:id="32" w:name="_Toc401561470"/>
      <w:bookmarkStart w:id="33" w:name="_Toc402522125"/>
      <w:bookmarkStart w:id="34" w:name="_Toc401238438"/>
      <w:bookmarkStart w:id="35" w:name="_Toc401561357"/>
      <w:bookmarkStart w:id="36" w:name="_Toc401561391"/>
      <w:bookmarkStart w:id="37" w:name="_Toc401561471"/>
      <w:bookmarkStart w:id="38" w:name="_Toc402522126"/>
      <w:bookmarkStart w:id="39" w:name="_Toc142904002"/>
      <w:bookmarkEnd w:id="30"/>
      <w:bookmarkEnd w:id="31"/>
      <w:bookmarkEnd w:id="32"/>
      <w:bookmarkEnd w:id="33"/>
      <w:bookmarkEnd w:id="34"/>
      <w:bookmarkEnd w:id="35"/>
      <w:bookmarkEnd w:id="36"/>
      <w:bookmarkEnd w:id="37"/>
      <w:bookmarkEnd w:id="38"/>
      <w:r>
        <w:t>Pridržki</w:t>
      </w:r>
      <w:bookmarkEnd w:id="39"/>
    </w:p>
    <w:p w14:paraId="440BEC6F" w14:textId="77777777" w:rsidR="006746AE" w:rsidRPr="00FD4529" w:rsidRDefault="00355BB5" w:rsidP="00426145">
      <w:pPr>
        <w:pStyle w:val="Heading2"/>
      </w:pPr>
      <w:bookmarkStart w:id="40" w:name="_Toc142904003"/>
      <w:r>
        <w:t>Splošne zahteve</w:t>
      </w:r>
      <w:bookmarkEnd w:id="40"/>
    </w:p>
    <w:p w14:paraId="187A285B" w14:textId="77777777" w:rsidR="006D57EE" w:rsidRPr="00FD4529" w:rsidRDefault="004B3E20" w:rsidP="006D57EE">
      <w:pPr>
        <w:keepNext/>
      </w:pPr>
      <w:r>
        <w:t>Kot je navedeno zgoraj, je direktor plačilne agencije izključno odgovoren za določitev in razkritje meril, ki se uporabijo pri odločanju o tem, ali se v izjavi o upravljanju navedejo pridržki.</w:t>
      </w:r>
    </w:p>
    <w:p w14:paraId="216AF038" w14:textId="77777777" w:rsidR="002F1637" w:rsidRPr="00D014E1" w:rsidRDefault="00D352AF" w:rsidP="002F1637">
      <w:pPr>
        <w:rPr>
          <w:szCs w:val="24"/>
        </w:rPr>
      </w:pPr>
      <w:r>
        <w:t xml:space="preserve">Vendar je pridržke treba upoštevati, če je nacionalni sistem kontrol zelo pomanjkljiv, ne glede na to, ali so bile slabosti ugotovljene v okviru sistemov spremljanja plačilne agencije ali revizij Evropske komisije ali Računskega sodišča, in je tveganje, ki izhaja iz tega, veliko. Pomanjkljivosti so znatne, če so izpolnjeni </w:t>
      </w:r>
      <w:r>
        <w:rPr>
          <w:b/>
        </w:rPr>
        <w:t>vsi od naslednjih treh pogojev</w:t>
      </w:r>
      <w:r>
        <w:t>:</w:t>
      </w:r>
    </w:p>
    <w:p w14:paraId="1E8E60EC" w14:textId="77777777" w:rsidR="00260835" w:rsidRPr="00FD4529" w:rsidRDefault="13973175" w:rsidP="0021723D">
      <w:pPr>
        <w:pStyle w:val="ListDash"/>
      </w:pPr>
      <w:r>
        <w:t xml:space="preserve">pregled kakovostnih vidikov kaže na resne pomanjkljivosti v sistemih upravljanja za odhodke v skladu z Uredbo (EU) 2021/2115, kot je podrobneje pojasnjeno v točki 3.2 spodaj, ali kaže na znatne pomanjkljivosti v nacionalnem sistemu kontrol za tržne ukrepe v skladu z Uredbo (EU) št. 1308/2013 </w:t>
      </w:r>
      <w:r>
        <w:rPr>
          <w:b/>
          <w:bCs/>
        </w:rPr>
        <w:t>in</w:t>
      </w:r>
      <w:r>
        <w:t xml:space="preserve"> </w:t>
      </w:r>
    </w:p>
    <w:p w14:paraId="572909A3" w14:textId="77777777" w:rsidR="00511552" w:rsidRPr="00D014E1" w:rsidRDefault="006A7BED" w:rsidP="0021723D">
      <w:pPr>
        <w:pStyle w:val="ListDash"/>
        <w:rPr>
          <w:b/>
        </w:rPr>
      </w:pPr>
      <w:r>
        <w:t xml:space="preserve">ocenjuje se, da znesek neupravičenih plačil presega 2 % skupnih plačil, opravljenih v zadevnem proračunskem letu za katero koli populacijo iz točke 3.3.2, </w:t>
      </w:r>
      <w:r>
        <w:rPr>
          <w:b/>
        </w:rPr>
        <w:t>in</w:t>
      </w:r>
    </w:p>
    <w:p w14:paraId="5C638C21" w14:textId="77777777" w:rsidR="002051D7" w:rsidRPr="00FD4529" w:rsidRDefault="00886B31" w:rsidP="0021723D">
      <w:pPr>
        <w:pStyle w:val="ListDash"/>
      </w:pPr>
      <w:r>
        <w:t>posledic pomanjkljivosti ni mogoče zmanjšati s popravnimi ukrepi (točka 3.4).</w:t>
      </w:r>
    </w:p>
    <w:p w14:paraId="7203A6A0" w14:textId="77777777" w:rsidR="00BA1DDF" w:rsidRDefault="00EA0CEF" w:rsidP="0021099C">
      <w:pPr>
        <w:rPr>
          <w:b/>
        </w:rPr>
      </w:pPr>
      <w:r>
        <w:t>Če direktor plačilne agencije ob koncu zadevnega proračunskega leta predvideva, da bo verjetno izrazil pridržek, je pozvan, da o svoji nameri obvesti Komisijo že na začetku novembra, ki sledi koncu zadevnega proračunskega leta. Službe Komisije bodo nato zagotovile nadaljnje napotke in organizirale izmenjavo mnenj z zadevno plačilno agencijo. Vendar ti napotki in izmenjava mnenj nikakor ne smejo vplivati na dejstvo, da je direktor agencije edini odgovoren za odločitev o tem, ali se v izjavi o upravljanju navedejo pridržki.</w:t>
      </w:r>
    </w:p>
    <w:p w14:paraId="111C43C3" w14:textId="77777777" w:rsidR="00F90B9C" w:rsidRDefault="00560D02" w:rsidP="0021099C">
      <w:r>
        <w:t xml:space="preserve">V primeru pridržka mora direktor pripraviti akcijski načrt za odpravo slabosti, zaradi katerih je bil izražen pridržek, pri čemer navede predvideni datum izvedbe popravnih ukrepov. Akcijske načrte v zvezi s pridržki, ki jih je navedel direktor, in pridržki, navedenimi v letnem poročilu o dejavnostih GD za kmetijstvo in razvoj podeželja, je treba vključiti v Prilogo III </w:t>
      </w:r>
      <w:r>
        <w:lastRenderedPageBreak/>
        <w:t>k izjavi o upravljanju. Ta priloga mora vključevati tudi informacije o doseženem napredku pri izvajanju korektivnih ukrepov in o kakršnih koli morebitnih zamudah.</w:t>
      </w:r>
    </w:p>
    <w:p w14:paraId="0460383B" w14:textId="77777777" w:rsidR="00837EF5" w:rsidRPr="00FD4529" w:rsidRDefault="00837EF5" w:rsidP="0021099C"/>
    <w:p w14:paraId="7A59DF3C" w14:textId="77777777" w:rsidR="00B84C1F" w:rsidRPr="00FD4529" w:rsidRDefault="081535CC" w:rsidP="001A7589">
      <w:pPr>
        <w:pStyle w:val="Heading2"/>
      </w:pPr>
      <w:bookmarkStart w:id="41" w:name="_Toc142904004"/>
      <w:r>
        <w:t>Kakovostni vidiki</w:t>
      </w:r>
      <w:bookmarkEnd w:id="41"/>
      <w:r>
        <w:t xml:space="preserve"> </w:t>
      </w:r>
    </w:p>
    <w:p w14:paraId="64D5FCA7" w14:textId="77777777" w:rsidR="00FA53E6" w:rsidRDefault="204D62C3" w:rsidP="32D45E79">
      <w:r>
        <w:t xml:space="preserve">Pridržek je treba upoštevati v primeru resnih pomanjkljivosti v pravilnem delovanju sistemov upravljanja v zvezi z intervencijami iz Uredbe (EU) 2021/2115, kar pomeni, da obstajajo sistemske slabosti, ob upoštevanju njihovega ponavljanja, resnosti in ogrožanja pravilnosti izjave o odhodkih, poročanja o smotrnosti ali spoštovanja prava Unije. Pridržek je treba upoštevati tudi v primeru znatnih pomanjkljivosti v nacionalnem sistemu kontrol v zvezi z odhodki, ki ne spadajo v strateški načrt SKP. V zvezi s temi odhodki se pomanjkljivosti štejejo za znatne, če manjka en ali več ključnih elementov zadevnega sistema ali če ti ne delujejo učinkovito. </w:t>
      </w:r>
    </w:p>
    <w:p w14:paraId="004A7640" w14:textId="77777777" w:rsidR="00C44252" w:rsidRPr="00FD4529" w:rsidRDefault="4645D0E2" w:rsidP="00C44252">
      <w:r>
        <w:t>Elementi, ki jih je treba pri tem upoštevati, vključujejo splošne zahteve, ki se nanašajo na akreditacijo plačilne agencije, posebne zahteve iz ustreznih predpisov za posamezne sektorje</w:t>
      </w:r>
      <w:r>
        <w:rPr>
          <w:rStyle w:val="FootnoteReference"/>
        </w:rPr>
        <w:footnoteReference w:id="7"/>
      </w:r>
      <w:r>
        <w:t xml:space="preserve"> ter kakovost in zanesljivost sistema poročanja in podatkov o kazalnikih za intervencije iz Uredbe (EU) 2021/2115. V zvezi s poročanjem o smotrnosti je treba ugotovljene resne pomanjkljivosti navesti v Prilogi IV k izjavi o upravljanju.</w:t>
      </w:r>
    </w:p>
    <w:p w14:paraId="43A73816" w14:textId="77777777" w:rsidR="00E34DCD" w:rsidRPr="00D014E1" w:rsidRDefault="00E34DCD" w:rsidP="00B84C1F">
      <w:r>
        <w:t>Pri ocenjevanju morebitnih pomanjkljivosti v okviru smernic za izračun finančnih popravkov</w:t>
      </w:r>
      <w:r>
        <w:rPr>
          <w:rStyle w:val="FootnoteReference"/>
        </w:rPr>
        <w:footnoteReference w:id="8"/>
      </w:r>
      <w:r>
        <w:t xml:space="preserve"> je treba upoštevati naslednje dejavnike:</w:t>
      </w:r>
    </w:p>
    <w:p w14:paraId="011F7EBC" w14:textId="77777777" w:rsidR="00B84C1F" w:rsidRPr="00C47F65" w:rsidRDefault="00B84C1F" w:rsidP="00B84C1F">
      <w:pPr>
        <w:pStyle w:val="ListDash"/>
        <w:numPr>
          <w:ilvl w:val="0"/>
          <w:numId w:val="3"/>
        </w:numPr>
        <w:rPr>
          <w:szCs w:val="24"/>
        </w:rPr>
      </w:pPr>
      <w:r>
        <w:t>število takšnih pomanjkljivosti,</w:t>
      </w:r>
    </w:p>
    <w:p w14:paraId="304DB2E3" w14:textId="77777777" w:rsidR="00B84C1F" w:rsidRPr="00C47F65" w:rsidRDefault="00B84C1F" w:rsidP="00E34DCD">
      <w:pPr>
        <w:pStyle w:val="ListDash"/>
        <w:numPr>
          <w:ilvl w:val="0"/>
          <w:numId w:val="3"/>
        </w:numPr>
        <w:rPr>
          <w:szCs w:val="24"/>
        </w:rPr>
      </w:pPr>
      <w:r>
        <w:t>trajanje takšnih pomanjkljivosti,</w:t>
      </w:r>
    </w:p>
    <w:p w14:paraId="2FD477F9" w14:textId="77777777" w:rsidR="00E34DCD" w:rsidRPr="00C47F65" w:rsidRDefault="006113EC" w:rsidP="00B84C1F">
      <w:pPr>
        <w:pStyle w:val="ListDash"/>
        <w:numPr>
          <w:ilvl w:val="0"/>
          <w:numId w:val="3"/>
        </w:numPr>
        <w:rPr>
          <w:szCs w:val="24"/>
        </w:rPr>
      </w:pPr>
      <w:r>
        <w:t>posebne dejavnike, ki povečujejo tveganje za zmanjšanje ugleda plačilne agencije,</w:t>
      </w:r>
    </w:p>
    <w:p w14:paraId="050B51B5" w14:textId="77777777" w:rsidR="00B84C1F" w:rsidRDefault="00E34DCD" w:rsidP="00B84C1F">
      <w:pPr>
        <w:pStyle w:val="ListDash"/>
        <w:numPr>
          <w:ilvl w:val="0"/>
          <w:numId w:val="3"/>
        </w:numPr>
        <w:rPr>
          <w:szCs w:val="24"/>
        </w:rPr>
      </w:pPr>
      <w:r>
        <w:t>obstoj izravnalnih ukrepov na ravni plačilne agencije, ki učinkovito zmanjšujejo ugotovljeno tveganje.</w:t>
      </w:r>
    </w:p>
    <w:p w14:paraId="1E4A381A" w14:textId="77777777" w:rsidR="0074034B" w:rsidRPr="0074034B" w:rsidRDefault="0074034B" w:rsidP="0074034B">
      <w:pPr>
        <w:pStyle w:val="ListDash"/>
        <w:numPr>
          <w:ilvl w:val="0"/>
          <w:numId w:val="0"/>
        </w:numPr>
        <w:rPr>
          <w:szCs w:val="24"/>
        </w:rPr>
      </w:pPr>
    </w:p>
    <w:p w14:paraId="20570724" w14:textId="77777777" w:rsidR="00B84C1F" w:rsidRDefault="00B84C1F" w:rsidP="00B442D5">
      <w:pPr>
        <w:pStyle w:val="Heading2"/>
      </w:pPr>
      <w:bookmarkStart w:id="42" w:name="_Toc142904005"/>
      <w:r>
        <w:t>Količinski vidiki</w:t>
      </w:r>
      <w:bookmarkEnd w:id="42"/>
      <w:r>
        <w:t xml:space="preserve"> </w:t>
      </w:r>
    </w:p>
    <w:p w14:paraId="45B9A910" w14:textId="77777777" w:rsidR="00721AA6" w:rsidRPr="00CB1F21" w:rsidRDefault="00721AA6" w:rsidP="00721AA6">
      <w:pPr>
        <w:pStyle w:val="Heading3"/>
        <w:rPr>
          <w:sz w:val="24"/>
          <w:szCs w:val="24"/>
        </w:rPr>
      </w:pPr>
      <w:bookmarkStart w:id="43" w:name="_Toc142904006"/>
      <w:r>
        <w:rPr>
          <w:sz w:val="24"/>
        </w:rPr>
        <w:t>Intervencije iz Uredbe (EU) 2021/2115</w:t>
      </w:r>
      <w:bookmarkEnd w:id="43"/>
    </w:p>
    <w:p w14:paraId="7E9796C0" w14:textId="77777777" w:rsidR="00605087" w:rsidRDefault="00721AA6" w:rsidP="00721AA6">
      <w:pPr>
        <w:keepNext/>
      </w:pPr>
      <w:r>
        <w:t xml:space="preserve">Pridržek je treba upoštevati v primeru resnih pomanjkljivosti, ki vplivajo na sisteme upravljanja (vključno s sistemom poročanja) ali pravilnost poročanja o smotrnosti (zlasti v zvezi s celovitostjo, točnostjo in ustreznim sporočanjem podatkov). </w:t>
      </w:r>
    </w:p>
    <w:p w14:paraId="187F344C" w14:textId="77777777" w:rsidR="00F90B9C" w:rsidRPr="003511DB" w:rsidRDefault="52BDB49D" w:rsidP="00721AA6">
      <w:pPr>
        <w:keepNext/>
      </w:pPr>
      <w:r>
        <w:t xml:space="preserve">V zvezi z letnim poročilom o smotrnosti, kadar se pri uskladitvi odhodkov (bruto odhodki) z odhodki, prijavljenimi v letnih obračunih (neto odhodki), pojavijo razlike ali kadar so v letnem poročilu o smotrnosti navedena znatna odstopanja v realiziranih zneskih na enoto v primerjavi z načrtovanimi zneski na enoto ter bi bila za to potrebna dodatna pojasnila v </w:t>
      </w:r>
      <w:r>
        <w:lastRenderedPageBreak/>
        <w:t>primerjavi z utemeljitvijo, ki je že navedena v letnem poročilu o smotrnosti, mora plačilna agencija v Prilogi IV navesti dele letnega poročila o smotrnosti, na katere se nanašajo odstopanja, kazalnike, zadevne zneske in dodatne utemeljitve.</w:t>
      </w:r>
    </w:p>
    <w:p w14:paraId="6305F47D" w14:textId="77777777" w:rsidR="00652815" w:rsidRPr="003511DB" w:rsidRDefault="00652815" w:rsidP="00C47F65">
      <w:pPr>
        <w:pStyle w:val="Heading3"/>
        <w:rPr>
          <w:sz w:val="24"/>
          <w:szCs w:val="24"/>
        </w:rPr>
      </w:pPr>
      <w:bookmarkStart w:id="44" w:name="_Toc142904007"/>
      <w:r>
        <w:rPr>
          <w:sz w:val="24"/>
        </w:rPr>
        <w:t>Odhodki, ki ne spadajo v strateški načrt SKP</w:t>
      </w:r>
      <w:bookmarkEnd w:id="44"/>
    </w:p>
    <w:p w14:paraId="7681580B" w14:textId="77777777" w:rsidR="00B84C1F" w:rsidRPr="0038071C" w:rsidRDefault="007416F5" w:rsidP="00C02C1E">
      <w:pPr>
        <w:keepNext/>
        <w:rPr>
          <w:szCs w:val="24"/>
        </w:rPr>
      </w:pPr>
      <w:r>
        <w:t>Za populacije, ki so še vedno zajete z revizijo zakonitosti in pravilnosti odhodkov na ravni upravičencev, tj. odhodkov, ki ne spadajo v strateške načrte SKP, bodo kontrolne statistike ostale ključni vidik, ki ga je treba upoštevati. Pridržek je treba upoštevati, če se ocenjuje, da znesek neupravičenih plačil presega 2 %</w:t>
      </w:r>
      <w:r>
        <w:rPr>
          <w:rStyle w:val="FootnoteReference"/>
        </w:rPr>
        <w:footnoteReference w:id="9"/>
      </w:r>
      <w:r>
        <w:t xml:space="preserve"> skupnih plačil, opravljenih v zadevnem proračunskem letu. Kot je navedeno v Smernici št. 2 za proračunsko leto 2023, oddelek 18, ki se nanaša na Smernico št. 2</w:t>
      </w:r>
      <w:r>
        <w:rPr>
          <w:rStyle w:val="FootnoteReference"/>
          <w:szCs w:val="24"/>
        </w:rPr>
        <w:footnoteReference w:id="10"/>
      </w:r>
      <w:r>
        <w:t xml:space="preserve"> za proračunsko leto 2022, točka 12.2, so populacije za proračunsko leto 2023 naslednje:</w:t>
      </w:r>
    </w:p>
    <w:p w14:paraId="5B1B88C5" w14:textId="77777777" w:rsidR="00AC48BD" w:rsidRPr="0038071C" w:rsidRDefault="00D53463" w:rsidP="000445D1">
      <w:pPr>
        <w:pStyle w:val="ListNumber"/>
      </w:pPr>
      <w:r>
        <w:t>sheme v okviru EKJS, ki so zajete v IAKS, tj. sheme podpor v okviru EKJS v skladu s Prilogo I k Uredbi (EU) št. 1307/2013 Evropskega parlamenta in Sveta za koledarsko leto 2022 in pred njim;</w:t>
      </w:r>
    </w:p>
    <w:p w14:paraId="4A5AC143" w14:textId="77777777" w:rsidR="00854583" w:rsidRPr="0038071C" w:rsidRDefault="003511DB">
      <w:pPr>
        <w:pStyle w:val="ListNumber"/>
        <w:numPr>
          <w:ilvl w:val="0"/>
          <w:numId w:val="2"/>
        </w:numPr>
      </w:pPr>
      <w:r>
        <w:t>kar zadeva ukrepe, izvedene na podlagi uredb (EU) št. 228/2013, (EU) št. 229/2013, (EU) št. 1308/2013 in (EU) št. 1144/2014, sheme pomoči iz člena 5(6), prvi pododstavek, točka (c), in člena 5(7) Uredbe (EU) 2021/2117 v zvezi z nastalimi odhodki in plačili za dejavnosti, izvedene v skladu z Uredbo (EU) št. 1308/2013 po 31. decembru 2022 in do konca navedenih shem pomoči (tržni ukrepi, za katere ni bil izbran prehod na strateški načrt SKP);</w:t>
      </w:r>
    </w:p>
    <w:p w14:paraId="16B4FD10" w14:textId="77777777" w:rsidR="00854583" w:rsidRPr="00A717FF" w:rsidRDefault="1CECCFE3" w:rsidP="00814275">
      <w:pPr>
        <w:pStyle w:val="ListNumber"/>
      </w:pPr>
      <w:r>
        <w:t>sheme v okviru EKSRP, ki so zajete v IAKS, tj. sheme podpor v okviru EKSRP iz člena 2(1) (točka 6) Delegirane uredbe Komisije (EU) št. 640/2014;</w:t>
      </w:r>
    </w:p>
    <w:p w14:paraId="385CFA7F" w14:textId="77777777" w:rsidR="00854583" w:rsidRDefault="1CECCFE3" w:rsidP="00773CA1">
      <w:pPr>
        <w:pStyle w:val="ListNumber"/>
      </w:pPr>
      <w:r>
        <w:t xml:space="preserve">sheme v okviru EKSRP, ki niso zajete v IAKS, tj. sheme podpor v okviru EKSRP v skladu s Prilogo IV k Uredbi (EU) št. 1305/2013 Evropskega parlamenta in Sveta, razen ukrepa iz točke 3, zajetega v IAKS. </w:t>
      </w:r>
    </w:p>
    <w:p w14:paraId="6202B001" w14:textId="77777777" w:rsidR="00652815" w:rsidRPr="00CB1F21" w:rsidRDefault="00F4271F" w:rsidP="00C47F65">
      <w:pPr>
        <w:pStyle w:val="Heading3"/>
        <w:rPr>
          <w:sz w:val="24"/>
          <w:szCs w:val="24"/>
        </w:rPr>
      </w:pPr>
      <w:bookmarkStart w:id="45" w:name="_Toc142904008"/>
      <w:r>
        <w:rPr>
          <w:sz w:val="24"/>
        </w:rPr>
        <w:t>Neoperativne transakcije</w:t>
      </w:r>
      <w:bookmarkEnd w:id="45"/>
    </w:p>
    <w:p w14:paraId="1C26F659" w14:textId="77777777" w:rsidR="001C0CA8" w:rsidRPr="00FD4529" w:rsidRDefault="00465AFF" w:rsidP="00020FDB">
      <w:pPr>
        <w:pStyle w:val="ListNumber"/>
        <w:numPr>
          <w:ilvl w:val="0"/>
          <w:numId w:val="0"/>
        </w:numPr>
      </w:pPr>
      <w:r>
        <w:t>Poleg tega je treba naslednje populacije obravnavati ločeno in jih primerjati z zaključnim saldom predhodnega proračunskega leta:</w:t>
      </w:r>
    </w:p>
    <w:p w14:paraId="1DC581F6" w14:textId="77777777" w:rsidR="00EE283E" w:rsidRPr="00FD4529" w:rsidRDefault="00F710B5" w:rsidP="0050558E">
      <w:pPr>
        <w:pStyle w:val="ListNumber"/>
        <w:numPr>
          <w:ilvl w:val="0"/>
          <w:numId w:val="2"/>
        </w:numPr>
      </w:pPr>
      <w:r>
        <w:t>transakcije v povezavi s knjigo terjatev;</w:t>
      </w:r>
    </w:p>
    <w:p w14:paraId="3D1774BD" w14:textId="77777777" w:rsidR="00EE283E" w:rsidRPr="00FD4529" w:rsidRDefault="00F710B5" w:rsidP="00854583">
      <w:pPr>
        <w:pStyle w:val="ListNumber"/>
        <w:numPr>
          <w:ilvl w:val="0"/>
          <w:numId w:val="2"/>
        </w:numPr>
      </w:pPr>
      <w:r>
        <w:t>transakcije v povezavi s predplačili/varščinami in</w:t>
      </w:r>
    </w:p>
    <w:p w14:paraId="47E63D3E" w14:textId="77777777" w:rsidR="00EE283E" w:rsidRPr="00FD4529" w:rsidRDefault="00F710B5" w:rsidP="00854583">
      <w:pPr>
        <w:pStyle w:val="ListNumber"/>
        <w:numPr>
          <w:ilvl w:val="0"/>
          <w:numId w:val="2"/>
        </w:numPr>
      </w:pPr>
      <w:r>
        <w:t>transakcije v povezavi s shemami pomoči za zaloge.</w:t>
      </w:r>
    </w:p>
    <w:p w14:paraId="66C85168" w14:textId="77777777" w:rsidR="00FB4F76" w:rsidRPr="00FD4529" w:rsidRDefault="00FB4F76" w:rsidP="00FB4F76">
      <w:pPr>
        <w:rPr>
          <w:szCs w:val="24"/>
        </w:rPr>
      </w:pPr>
      <w:r>
        <w:t xml:space="preserve">Opozoriti je treba, da je prag 2 % le okviren. Od direktorja plačilne agencije se ne zahteva, da pripravi reprezentativni vzorec. Opira se lahko na vse relevantne informacije, ki so na </w:t>
      </w:r>
      <w:r>
        <w:lastRenderedPageBreak/>
        <w:t>voljo v okviru plačilne agencije, kot sta kontrolna statistika ali delo, ki ga opravlja služba za notranjo revizijo plačilne agencije.</w:t>
      </w:r>
    </w:p>
    <w:p w14:paraId="2DE7F37A" w14:textId="704156BF" w:rsidR="00B7491B" w:rsidRPr="00FD4529" w:rsidRDefault="00416365" w:rsidP="00FB4F76">
      <w:r>
        <w:t xml:space="preserve">Pri populaciji, ki zajema transakcije v povezavi s knjigo terjatev (5), je treba o pridržku razmisliti, če napačni znesek presega 2 % zaključnega salda (stolpec „T“ Priloge II k Uredbi (EU) št. 908/2014), pri populaciji, ki zadeva predplačila/varščine (6), je treba o pridržku razmisliti, če napačni znesek presega 2 % zaključnega salda predplačil oziroma varščin, pri populaciji, ki zadeva sheme pomoči za zaloge (7), pa je treba o pridržku razmisliti, če napačni znesek presega 2 % vrednosti neporabljenih zalog. Slednje vrste napak so običajno popolnoma računovodske narave in jih je zato običajno mogoče popraviti takoj, ko se odkrijejo.  </w:t>
      </w:r>
    </w:p>
    <w:p w14:paraId="367449FD" w14:textId="77777777" w:rsidR="00837EF5" w:rsidRPr="00E7643E" w:rsidRDefault="00D53463" w:rsidP="00837CE3">
      <w:r>
        <w:t>Poudariti je treba, da zgoraj navedeni prag 2 % ni povezan s pojmom „sprejemljivih napak“.</w:t>
      </w:r>
    </w:p>
    <w:p w14:paraId="2647515E" w14:textId="77777777" w:rsidR="00303D93" w:rsidRPr="00E7643E" w:rsidRDefault="00303D93" w:rsidP="00303D93">
      <w:pPr>
        <w:pStyle w:val="Heading2"/>
      </w:pPr>
      <w:bookmarkStart w:id="46" w:name="_Toc142904009"/>
      <w:r>
        <w:t>Popravni ukrepi</w:t>
      </w:r>
      <w:bookmarkEnd w:id="46"/>
    </w:p>
    <w:p w14:paraId="1909508D" w14:textId="315BD388" w:rsidR="00530C38" w:rsidRDefault="00303D93" w:rsidP="00530C38">
      <w:r>
        <w:t>Če se odkrijejo pomanjkljivosti, je treba na ravni plačilne agencije izvesti popravne ukrepe, da se uravnoteži vpliv teh pomanjkljivosti, zlasti pri populacijah (5), (6) in (7). O pridržku je treba razmisliti, če takšni popravni ukrepi niso uspešni, na primer zaradi pomanjkanja časa.</w:t>
      </w:r>
      <w:bookmarkStart w:id="47" w:name="_Toc228774954"/>
      <w:bookmarkEnd w:id="47"/>
      <w:r>
        <w:t xml:space="preserve"> Če je mogoče, mora biti to izraženo tudi v letnem povzetku končnih revizijskih poročil in opravljenih kontrol ter analizi vrste in obsega napak in slabosti, ugotovljenih v sistemih upravljanja (Priloga I k izjavi o upravljanju), kot je določeno v členu 9(3), točka (c), Uredbe (EU) 2021/2116 Evropskega parlamenta in Sveta. </w:t>
      </w:r>
    </w:p>
    <w:p w14:paraId="1563FD0E" w14:textId="77777777" w:rsidR="006A6A68" w:rsidRPr="00FD4529" w:rsidRDefault="00B36816" w:rsidP="00DD7358">
      <w:pPr>
        <w:pStyle w:val="Heading1"/>
        <w:spacing w:before="360"/>
      </w:pPr>
      <w:bookmarkStart w:id="48" w:name="_Toc401561363"/>
      <w:bookmarkStart w:id="49" w:name="_Toc401561397"/>
      <w:bookmarkStart w:id="50" w:name="_Toc401561477"/>
      <w:bookmarkStart w:id="51" w:name="_Toc402522132"/>
      <w:bookmarkStart w:id="52" w:name="_Toc142904010"/>
      <w:bookmarkEnd w:id="48"/>
      <w:bookmarkEnd w:id="49"/>
      <w:bookmarkEnd w:id="50"/>
      <w:bookmarkEnd w:id="51"/>
      <w:r>
        <w:t>Zahteve za poročanje o pridržkih</w:t>
      </w:r>
      <w:bookmarkEnd w:id="52"/>
      <w:r>
        <w:t xml:space="preserve"> </w:t>
      </w:r>
    </w:p>
    <w:p w14:paraId="37EFAEAB" w14:textId="77777777" w:rsidR="00113FBA" w:rsidRPr="00FD4529" w:rsidRDefault="006113EC" w:rsidP="00113FBA">
      <w:pPr>
        <w:rPr>
          <w:szCs w:val="24"/>
        </w:rPr>
      </w:pPr>
      <w:r>
        <w:t>Vsak pridržek je treba sporočiti na naslednji način:</w:t>
      </w:r>
    </w:p>
    <w:p w14:paraId="010CB2E3" w14:textId="77777777" w:rsidR="0027634C" w:rsidRPr="00FD4529" w:rsidRDefault="0027634C" w:rsidP="0027634C">
      <w:pPr>
        <w:pStyle w:val="ListDash"/>
        <w:numPr>
          <w:ilvl w:val="0"/>
          <w:numId w:val="3"/>
        </w:numPr>
      </w:pPr>
      <w:r>
        <w:t>z jasnim razkritjem meril za izražanje pridržkov;</w:t>
      </w:r>
    </w:p>
    <w:p w14:paraId="5F375CFE" w14:textId="77777777" w:rsidR="00113FBA" w:rsidRPr="00FD4529" w:rsidRDefault="00FB4F76" w:rsidP="00113FBA">
      <w:pPr>
        <w:pStyle w:val="ListDash"/>
        <w:numPr>
          <w:ilvl w:val="0"/>
          <w:numId w:val="3"/>
        </w:numPr>
      </w:pPr>
      <w:r>
        <w:t>s kratko oceno vzroka (npr. v smislu delovanja plačilne agencije, natančnosti finančnih informacij itd.) in možnega vpliva resne pomanjkljivosti na zagotovilo iz izjave o upravljanju,</w:t>
      </w:r>
    </w:p>
    <w:p w14:paraId="69F774C2" w14:textId="77777777" w:rsidR="00113FBA" w:rsidRPr="00FD4529" w:rsidRDefault="00FB4F76" w:rsidP="00113FBA">
      <w:pPr>
        <w:pStyle w:val="ListDash"/>
        <w:numPr>
          <w:ilvl w:val="0"/>
          <w:numId w:val="3"/>
        </w:numPr>
      </w:pPr>
      <w:r>
        <w:t>s količinsko opredelitvijo morebitnega finančnega vpliva v denarnem smislu v skladu s členoma 14 in 15 Uredbe (EU) 2022/127 in smernicami za izračun finančnih popravkov</w:t>
      </w:r>
      <w:r>
        <w:rPr>
          <w:rStyle w:val="FootnoteReference"/>
        </w:rPr>
        <w:footnoteReference w:id="11"/>
      </w:r>
      <w:r>
        <w:t>,</w:t>
      </w:r>
    </w:p>
    <w:p w14:paraId="55471EC7" w14:textId="77777777" w:rsidR="00113FBA" w:rsidRPr="00FD4529" w:rsidRDefault="006113EC" w:rsidP="00113FBA">
      <w:pPr>
        <w:pStyle w:val="ListDash"/>
        <w:numPr>
          <w:ilvl w:val="0"/>
          <w:numId w:val="3"/>
        </w:numPr>
      </w:pPr>
      <w:r>
        <w:t xml:space="preserve"> po potrebi z načrtom popravnih ukrepov in časovnim okvirom za njegovo izvajanje.</w:t>
      </w:r>
    </w:p>
    <w:p w14:paraId="24748C24" w14:textId="77777777" w:rsidR="00837EF5" w:rsidRPr="00FD4529" w:rsidRDefault="00113FBA" w:rsidP="00720A71">
      <w:r>
        <w:t>Kar zadeva časovno razporeditev popravnih ukrepov, ko pomanjkljivosti ni mogoče odpraviti pred naslednjo izjavo o upravljanju, je treba pridržek ponovno izraziti v izjavi o upravljanju in poročati o napredku pri odpravljanju pomanjkljivosti. V izjemnih okoliščinah direktor plačilne agencije morda ne bo mogel dati zagotovila, ki se zahteva s členom 37 Uredbe (EU) 2021/2116 Evropskega parlamenta in Sveta ter Izvedbeno uredbo Komisije (EU) 2022/128.</w:t>
      </w:r>
    </w:p>
    <w:p w14:paraId="2630FE5F" w14:textId="77777777" w:rsidR="00280A11" w:rsidRPr="00FD4529" w:rsidRDefault="006414B6" w:rsidP="00DD7358">
      <w:pPr>
        <w:pStyle w:val="Heading1"/>
        <w:spacing w:before="360"/>
      </w:pPr>
      <w:bookmarkStart w:id="53" w:name="_Toc142904011"/>
      <w:r>
        <w:lastRenderedPageBreak/>
        <w:t>Dodatne opombe</w:t>
      </w:r>
      <w:bookmarkEnd w:id="53"/>
    </w:p>
    <w:p w14:paraId="409B4C51" w14:textId="77777777" w:rsidR="00DD7358" w:rsidRPr="00FD4529" w:rsidRDefault="006414B6" w:rsidP="001C3C37">
      <w:pPr>
        <w:rPr>
          <w:szCs w:val="24"/>
        </w:rPr>
      </w:pPr>
      <w:r>
        <w:t xml:space="preserve">Če se pri pripravi izjave o upravljanju ugotovijo kakršne koli pomanjkljivosti, ki ne izpolnjujejo meril za navedbo pridržka, vendar direktor plačilne agencije kljub temu meni, da je treba službe Komisije opozoriti nanje, jih direktor navede in predloži v ločenem dokumentu, priloženem izjavi o upravljanju. </w:t>
      </w:r>
    </w:p>
    <w:p w14:paraId="20CB960C" w14:textId="77777777" w:rsidR="003028BC" w:rsidRDefault="003028BC" w:rsidP="00EE22FF">
      <w:pPr>
        <w:pStyle w:val="Heading1"/>
        <w:numPr>
          <w:ilvl w:val="0"/>
          <w:numId w:val="0"/>
        </w:numPr>
        <w:spacing w:before="360"/>
        <w:sectPr w:rsidR="003028BC" w:rsidSect="0069176B">
          <w:headerReference w:type="even" r:id="rId12"/>
          <w:headerReference w:type="default" r:id="rId13"/>
          <w:footerReference w:type="even" r:id="rId14"/>
          <w:footerReference w:type="default" r:id="rId15"/>
          <w:headerReference w:type="first" r:id="rId16"/>
          <w:footerReference w:type="first" r:id="rId17"/>
          <w:pgSz w:w="11907" w:h="16840" w:code="9"/>
          <w:pgMar w:top="992" w:right="1559" w:bottom="992" w:left="1560" w:header="567" w:footer="567" w:gutter="0"/>
          <w:cols w:space="720"/>
          <w:titlePg/>
        </w:sectPr>
      </w:pPr>
    </w:p>
    <w:p w14:paraId="3D47FCF0" w14:textId="77777777" w:rsidR="006A3AC5" w:rsidRDefault="006A3AC5" w:rsidP="006A3AC5">
      <w:pPr>
        <w:pStyle w:val="Heading1"/>
        <w:numPr>
          <w:ilvl w:val="0"/>
          <w:numId w:val="0"/>
        </w:numPr>
      </w:pPr>
      <w:bookmarkStart w:id="54" w:name="_Toc142904012"/>
      <w:r>
        <w:lastRenderedPageBreak/>
        <w:t>Priloga I: Letni povzetek končnih revizijskih poročil in opravljenih kontrol</w:t>
      </w:r>
      <w:bookmarkEnd w:id="54"/>
    </w:p>
    <w:p w14:paraId="0DBF4DF8" w14:textId="77777777" w:rsidR="00B86BD6" w:rsidRPr="00093571" w:rsidRDefault="00B86BD6" w:rsidP="00B86BD6">
      <w:r>
        <w:t>Ta priloga vsebuje letni povzetek končnih revizijskih poročil in kontrol, opravljenih v proračunskem letu, na katero se nanaša izjava o upravljanju. V skladu s členom 9(3), točka (c), Uredbe (EU) 2021/2116 Evropskega parlamenta in Sveta mora oseba, odgovorna za akreditirano plačilno agencijo, do 15. februarja v letu, ki sledi zadevnemu proračunskemu letu, pripraviti letni povzetek končnih revizijskih poročil in opravljenih kontrol, analizo vrste in obsega napak in slabosti, ugotovljenih v sistemih upravljanja, pa tudi popravnih ukrepov, ki jih je treba izvesti ali načrtovati, kot je določeno v členu 63(5), točka (b), finančne uredbe. Kot vir informacij za Prilogo I je treba upoštevati končna poročila naslednjih organov: Računskega sodišča, Evropske komisije, certifikacijskega organa, službe za notranjo revizijo plačilne agencije, pristojnega organa, drugih nacionalnih revizijskih organov itd.</w:t>
      </w:r>
      <w:r>
        <w:rPr>
          <w:rStyle w:val="FootnoteReference"/>
        </w:rPr>
        <w:footnoteReference w:id="12"/>
      </w:r>
      <w:r>
        <w:t xml:space="preserve"> Predložene informacije morajo biti omejene na glavne ugotovitve in pomanjkljivosti, npr. kot je opredeljeno v Smernici št.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949"/>
        <w:gridCol w:w="2992"/>
        <w:gridCol w:w="2974"/>
        <w:gridCol w:w="2966"/>
      </w:tblGrid>
      <w:tr w:rsidR="006A3AC5" w:rsidRPr="004B7568" w14:paraId="07A72A5C" w14:textId="77777777" w:rsidTr="00CB1F21">
        <w:trPr>
          <w:trHeight w:val="1459"/>
        </w:trPr>
        <w:tc>
          <w:tcPr>
            <w:tcW w:w="2965" w:type="dxa"/>
            <w:shd w:val="clear" w:color="auto" w:fill="auto"/>
          </w:tcPr>
          <w:p w14:paraId="7F1EE135" w14:textId="77777777" w:rsidR="006A3AC5" w:rsidRPr="00A72357" w:rsidRDefault="006A3AC5" w:rsidP="006A3AC5">
            <w:pPr>
              <w:jc w:val="center"/>
              <w:rPr>
                <w:b/>
              </w:rPr>
            </w:pPr>
            <w:r>
              <w:rPr>
                <w:b/>
              </w:rPr>
              <w:t>Sklic na revizijo (po potrebi vključno z zadevnim proračunskim letom)</w:t>
            </w:r>
          </w:p>
        </w:tc>
        <w:tc>
          <w:tcPr>
            <w:tcW w:w="2949" w:type="dxa"/>
            <w:shd w:val="clear" w:color="auto" w:fill="auto"/>
          </w:tcPr>
          <w:p w14:paraId="5EB29E58" w14:textId="77777777" w:rsidR="006A3AC5" w:rsidRPr="005523DF" w:rsidRDefault="006A3AC5" w:rsidP="006A3AC5">
            <w:pPr>
              <w:jc w:val="center"/>
              <w:rPr>
                <w:b/>
              </w:rPr>
            </w:pPr>
            <w:r>
              <w:rPr>
                <w:b/>
              </w:rPr>
              <w:t>Revizijski organ</w:t>
            </w:r>
          </w:p>
        </w:tc>
        <w:tc>
          <w:tcPr>
            <w:tcW w:w="2992" w:type="dxa"/>
            <w:shd w:val="clear" w:color="auto" w:fill="auto"/>
          </w:tcPr>
          <w:p w14:paraId="05718BFC" w14:textId="77777777" w:rsidR="006A3AC5" w:rsidRPr="009B1EF7" w:rsidRDefault="006A3AC5" w:rsidP="006A3AC5">
            <w:pPr>
              <w:jc w:val="center"/>
              <w:rPr>
                <w:b/>
              </w:rPr>
            </w:pPr>
            <w:r>
              <w:rPr>
                <w:b/>
              </w:rPr>
              <w:t>Glavne ugotovitve/ugotovljene pomanjkljivosti,</w:t>
            </w:r>
          </w:p>
          <w:p w14:paraId="7013F93E" w14:textId="77777777" w:rsidR="006A3AC5" w:rsidRPr="00890905" w:rsidRDefault="0047086A" w:rsidP="006A3AC5">
            <w:pPr>
              <w:jc w:val="center"/>
              <w:rPr>
                <w:b/>
              </w:rPr>
            </w:pPr>
            <w:r>
              <w:rPr>
                <w:b/>
              </w:rPr>
              <w:t>analiza obsega napak in slabosti v sistemih – finančni vpliv</w:t>
            </w:r>
          </w:p>
        </w:tc>
        <w:tc>
          <w:tcPr>
            <w:tcW w:w="2974" w:type="dxa"/>
            <w:shd w:val="clear" w:color="auto" w:fill="auto"/>
          </w:tcPr>
          <w:p w14:paraId="494DB04A" w14:textId="77777777" w:rsidR="006A3AC5" w:rsidRDefault="006A3AC5" w:rsidP="006A3AC5">
            <w:pPr>
              <w:jc w:val="center"/>
              <w:rPr>
                <w:b/>
              </w:rPr>
            </w:pPr>
            <w:r>
              <w:rPr>
                <w:b/>
              </w:rPr>
              <w:t>Sprejeti ali načrtovani popravni ukrep,</w:t>
            </w:r>
          </w:p>
          <w:p w14:paraId="4470EEF5" w14:textId="77777777" w:rsidR="0047086A" w:rsidRPr="00CB1F21" w:rsidRDefault="0047086A" w:rsidP="00CB1F21">
            <w:pPr>
              <w:ind w:left="360"/>
              <w:jc w:val="center"/>
              <w:rPr>
                <w:b/>
              </w:rPr>
            </w:pPr>
            <w:r>
              <w:rPr>
                <w:b/>
              </w:rPr>
              <w:t>vključno z nadaljnjimi ukrepi v zvezi s finančnim vplivom (npr. uporabljeni popravek, zneski, vrnjeni skladom)</w:t>
            </w:r>
          </w:p>
        </w:tc>
        <w:tc>
          <w:tcPr>
            <w:tcW w:w="2966" w:type="dxa"/>
            <w:shd w:val="clear" w:color="auto" w:fill="auto"/>
          </w:tcPr>
          <w:p w14:paraId="3B8C124F" w14:textId="77777777" w:rsidR="006A3AC5" w:rsidRPr="004B7568" w:rsidRDefault="006A3AC5" w:rsidP="006A3AC5">
            <w:pPr>
              <w:jc w:val="center"/>
              <w:rPr>
                <w:b/>
              </w:rPr>
            </w:pPr>
            <w:r>
              <w:rPr>
                <w:b/>
              </w:rPr>
              <w:t>Rok za dokončanje</w:t>
            </w:r>
          </w:p>
        </w:tc>
      </w:tr>
      <w:tr w:rsidR="006A3AC5" w14:paraId="52E7BE5C" w14:textId="77777777" w:rsidTr="00CB1F21">
        <w:tc>
          <w:tcPr>
            <w:tcW w:w="2965" w:type="dxa"/>
            <w:shd w:val="clear" w:color="auto" w:fill="auto"/>
          </w:tcPr>
          <w:p w14:paraId="3310ADBD" w14:textId="77777777" w:rsidR="006A3AC5" w:rsidRDefault="006A3AC5" w:rsidP="00CB1F21">
            <w:pPr>
              <w:spacing w:after="0"/>
              <w:jc w:val="left"/>
            </w:pPr>
          </w:p>
        </w:tc>
        <w:tc>
          <w:tcPr>
            <w:tcW w:w="2949" w:type="dxa"/>
            <w:shd w:val="clear" w:color="auto" w:fill="auto"/>
          </w:tcPr>
          <w:p w14:paraId="21E60CD8" w14:textId="77777777" w:rsidR="006A3AC5" w:rsidRDefault="006A3AC5" w:rsidP="00CB1F21">
            <w:pPr>
              <w:spacing w:after="0"/>
              <w:jc w:val="left"/>
            </w:pPr>
          </w:p>
        </w:tc>
        <w:tc>
          <w:tcPr>
            <w:tcW w:w="2992" w:type="dxa"/>
            <w:shd w:val="clear" w:color="auto" w:fill="auto"/>
          </w:tcPr>
          <w:p w14:paraId="11878480" w14:textId="77777777" w:rsidR="006A3AC5" w:rsidRDefault="006A3AC5" w:rsidP="00CB1F21">
            <w:pPr>
              <w:spacing w:after="0"/>
              <w:jc w:val="left"/>
            </w:pPr>
          </w:p>
        </w:tc>
        <w:tc>
          <w:tcPr>
            <w:tcW w:w="2974" w:type="dxa"/>
            <w:shd w:val="clear" w:color="auto" w:fill="auto"/>
          </w:tcPr>
          <w:p w14:paraId="16F2E7A9" w14:textId="77777777" w:rsidR="006A3AC5" w:rsidRDefault="006A3AC5" w:rsidP="00CB1F21">
            <w:pPr>
              <w:spacing w:after="0"/>
              <w:jc w:val="left"/>
            </w:pPr>
          </w:p>
        </w:tc>
        <w:tc>
          <w:tcPr>
            <w:tcW w:w="2966" w:type="dxa"/>
            <w:shd w:val="clear" w:color="auto" w:fill="auto"/>
          </w:tcPr>
          <w:p w14:paraId="7FAE0AF8" w14:textId="77777777" w:rsidR="006A3AC5" w:rsidRDefault="006A3AC5" w:rsidP="00CB1F21">
            <w:pPr>
              <w:spacing w:after="0"/>
              <w:jc w:val="left"/>
            </w:pPr>
          </w:p>
        </w:tc>
      </w:tr>
      <w:tr w:rsidR="006A3AC5" w14:paraId="294261D9" w14:textId="77777777" w:rsidTr="00CB1F21">
        <w:tc>
          <w:tcPr>
            <w:tcW w:w="2965" w:type="dxa"/>
            <w:shd w:val="clear" w:color="auto" w:fill="auto"/>
          </w:tcPr>
          <w:p w14:paraId="1F7EA96A" w14:textId="77777777" w:rsidR="006A3AC5" w:rsidRDefault="006A3AC5" w:rsidP="00CB1F21">
            <w:pPr>
              <w:spacing w:after="0"/>
              <w:jc w:val="left"/>
            </w:pPr>
          </w:p>
        </w:tc>
        <w:tc>
          <w:tcPr>
            <w:tcW w:w="2949" w:type="dxa"/>
            <w:shd w:val="clear" w:color="auto" w:fill="auto"/>
          </w:tcPr>
          <w:p w14:paraId="593600C0" w14:textId="77777777" w:rsidR="006A3AC5" w:rsidRDefault="006A3AC5" w:rsidP="00CB1F21">
            <w:pPr>
              <w:spacing w:after="0"/>
              <w:jc w:val="left"/>
            </w:pPr>
          </w:p>
        </w:tc>
        <w:tc>
          <w:tcPr>
            <w:tcW w:w="2992" w:type="dxa"/>
            <w:shd w:val="clear" w:color="auto" w:fill="auto"/>
          </w:tcPr>
          <w:p w14:paraId="07C7BD44" w14:textId="77777777" w:rsidR="006A3AC5" w:rsidRDefault="006A3AC5" w:rsidP="00CB1F21">
            <w:pPr>
              <w:spacing w:after="0"/>
              <w:jc w:val="left"/>
            </w:pPr>
          </w:p>
        </w:tc>
        <w:tc>
          <w:tcPr>
            <w:tcW w:w="2974" w:type="dxa"/>
            <w:shd w:val="clear" w:color="auto" w:fill="auto"/>
          </w:tcPr>
          <w:p w14:paraId="14B48251" w14:textId="77777777" w:rsidR="006A3AC5" w:rsidRDefault="006A3AC5" w:rsidP="00CB1F21">
            <w:pPr>
              <w:spacing w:after="0"/>
              <w:jc w:val="left"/>
            </w:pPr>
          </w:p>
        </w:tc>
        <w:tc>
          <w:tcPr>
            <w:tcW w:w="2966" w:type="dxa"/>
            <w:shd w:val="clear" w:color="auto" w:fill="auto"/>
          </w:tcPr>
          <w:p w14:paraId="6BF82222" w14:textId="77777777" w:rsidR="006A3AC5" w:rsidRDefault="006A3AC5" w:rsidP="00CB1F21">
            <w:pPr>
              <w:spacing w:after="0"/>
              <w:jc w:val="left"/>
            </w:pPr>
          </w:p>
        </w:tc>
      </w:tr>
      <w:tr w:rsidR="006A3AC5" w14:paraId="19F53FF8" w14:textId="77777777" w:rsidTr="00CB1F21">
        <w:tc>
          <w:tcPr>
            <w:tcW w:w="2965" w:type="dxa"/>
            <w:shd w:val="clear" w:color="auto" w:fill="auto"/>
          </w:tcPr>
          <w:p w14:paraId="72B08018" w14:textId="77777777" w:rsidR="006A3AC5" w:rsidRDefault="006A3AC5" w:rsidP="00CB1F21">
            <w:pPr>
              <w:spacing w:after="0"/>
              <w:jc w:val="left"/>
            </w:pPr>
          </w:p>
        </w:tc>
        <w:tc>
          <w:tcPr>
            <w:tcW w:w="2949" w:type="dxa"/>
            <w:shd w:val="clear" w:color="auto" w:fill="auto"/>
          </w:tcPr>
          <w:p w14:paraId="782F16BF" w14:textId="77777777" w:rsidR="006A3AC5" w:rsidRDefault="006A3AC5" w:rsidP="00CB1F21">
            <w:pPr>
              <w:spacing w:after="0"/>
              <w:jc w:val="left"/>
            </w:pPr>
          </w:p>
        </w:tc>
        <w:tc>
          <w:tcPr>
            <w:tcW w:w="2992" w:type="dxa"/>
            <w:shd w:val="clear" w:color="auto" w:fill="auto"/>
          </w:tcPr>
          <w:p w14:paraId="41888B4F" w14:textId="77777777" w:rsidR="006A3AC5" w:rsidRDefault="006A3AC5" w:rsidP="00CB1F21">
            <w:pPr>
              <w:spacing w:after="0"/>
              <w:jc w:val="left"/>
            </w:pPr>
          </w:p>
        </w:tc>
        <w:tc>
          <w:tcPr>
            <w:tcW w:w="2974" w:type="dxa"/>
            <w:shd w:val="clear" w:color="auto" w:fill="auto"/>
          </w:tcPr>
          <w:p w14:paraId="2E551B29" w14:textId="77777777" w:rsidR="006A3AC5" w:rsidRDefault="006A3AC5" w:rsidP="00CB1F21">
            <w:pPr>
              <w:spacing w:after="0"/>
              <w:jc w:val="left"/>
            </w:pPr>
          </w:p>
        </w:tc>
        <w:tc>
          <w:tcPr>
            <w:tcW w:w="2966" w:type="dxa"/>
            <w:shd w:val="clear" w:color="auto" w:fill="auto"/>
          </w:tcPr>
          <w:p w14:paraId="11FFB5FC" w14:textId="77777777" w:rsidR="006A3AC5" w:rsidRDefault="006A3AC5" w:rsidP="00CB1F21">
            <w:pPr>
              <w:spacing w:after="0"/>
              <w:jc w:val="left"/>
            </w:pPr>
          </w:p>
        </w:tc>
      </w:tr>
    </w:tbl>
    <w:p w14:paraId="70A3C224" w14:textId="77777777" w:rsidR="006A3AC5" w:rsidRPr="00A7073B" w:rsidRDefault="006A3AC5" w:rsidP="006A3AC5">
      <w:pPr>
        <w:pStyle w:val="Heading1"/>
        <w:numPr>
          <w:ilvl w:val="0"/>
          <w:numId w:val="0"/>
        </w:numPr>
        <w:spacing w:before="360"/>
      </w:pPr>
    </w:p>
    <w:p w14:paraId="555BCFFE" w14:textId="77777777" w:rsidR="00721AA6" w:rsidRPr="005523DF" w:rsidRDefault="00721AA6" w:rsidP="00721AA6">
      <w:pPr>
        <w:pStyle w:val="Heading1"/>
        <w:numPr>
          <w:ilvl w:val="0"/>
          <w:numId w:val="0"/>
        </w:numPr>
        <w:spacing w:before="360"/>
        <w:rPr>
          <w:smallCaps w:val="0"/>
        </w:rPr>
      </w:pPr>
      <w:bookmarkStart w:id="55" w:name="_Toc142904013"/>
      <w:r>
        <w:t>Priloga II:</w:t>
      </w:r>
      <w:r>
        <w:tab/>
      </w:r>
      <w:r>
        <w:rPr>
          <w:smallCaps w:val="0"/>
        </w:rPr>
        <w:t>Dokumenti in izvedena dela, ki so podlaga za izjavo o upravljanju</w:t>
      </w:r>
      <w:bookmarkEnd w:id="55"/>
    </w:p>
    <w:p w14:paraId="3E473949" w14:textId="77777777" w:rsidR="00721AA6" w:rsidRPr="00FD4529" w:rsidRDefault="00721AA6" w:rsidP="00721AA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721AA6" w:rsidRPr="00FD4529" w14:paraId="7D375887" w14:textId="77777777" w:rsidTr="005118BF">
        <w:tc>
          <w:tcPr>
            <w:tcW w:w="10139" w:type="dxa"/>
            <w:shd w:val="clear" w:color="auto" w:fill="auto"/>
          </w:tcPr>
          <w:p w14:paraId="4D6D8294" w14:textId="77777777" w:rsidR="00721AA6" w:rsidRPr="00FD4529" w:rsidRDefault="00721AA6" w:rsidP="005118BF">
            <w:pPr>
              <w:numPr>
                <w:ilvl w:val="0"/>
                <w:numId w:val="6"/>
              </w:numPr>
              <w:rPr>
                <w:szCs w:val="24"/>
              </w:rPr>
            </w:pPr>
            <w:r>
              <w:t>Dokumenti, na podlagi katerih je bila pripravljena izjava o upravljanju</w:t>
            </w:r>
          </w:p>
        </w:tc>
      </w:tr>
      <w:tr w:rsidR="00721AA6" w:rsidRPr="00FD4529" w14:paraId="5A477EDF" w14:textId="77777777" w:rsidTr="005118BF">
        <w:trPr>
          <w:trHeight w:val="530"/>
        </w:trPr>
        <w:tc>
          <w:tcPr>
            <w:tcW w:w="10139" w:type="dxa"/>
            <w:shd w:val="clear" w:color="auto" w:fill="auto"/>
          </w:tcPr>
          <w:p w14:paraId="4F4C4168" w14:textId="77777777" w:rsidR="00721AA6" w:rsidRPr="00FD4529" w:rsidRDefault="00721AA6" w:rsidP="005118BF">
            <w:pPr>
              <w:rPr>
                <w:szCs w:val="24"/>
              </w:rPr>
            </w:pPr>
            <w:r>
              <w:t>(a) Naslov dokumenta [kratek opis vsebine]</w:t>
            </w:r>
          </w:p>
          <w:p w14:paraId="3B76111E" w14:textId="77777777" w:rsidR="00721AA6" w:rsidRPr="00FD4529" w:rsidRDefault="00721AA6" w:rsidP="005118BF">
            <w:pPr>
              <w:rPr>
                <w:szCs w:val="24"/>
              </w:rPr>
            </w:pPr>
            <w:r>
              <w:t>(b) Naslov dokumenta [kratek opis vsebine]</w:t>
            </w:r>
          </w:p>
          <w:p w14:paraId="3B7B79AD" w14:textId="77777777" w:rsidR="00721AA6" w:rsidRPr="00FD4529" w:rsidRDefault="00721AA6" w:rsidP="005118BF">
            <w:pPr>
              <w:rPr>
                <w:szCs w:val="24"/>
              </w:rPr>
            </w:pPr>
            <w:r>
              <w:t>(c) Naslov dokumenta [kratek opis vsebine]</w:t>
            </w:r>
          </w:p>
          <w:p w14:paraId="0AF7AA28" w14:textId="77777777" w:rsidR="00721AA6" w:rsidRPr="00FD4529" w:rsidRDefault="00721AA6" w:rsidP="005118BF">
            <w:pPr>
              <w:rPr>
                <w:szCs w:val="24"/>
              </w:rPr>
            </w:pPr>
            <w:r>
              <w:t>(d) …</w:t>
            </w:r>
          </w:p>
        </w:tc>
      </w:tr>
      <w:tr w:rsidR="00721AA6" w:rsidRPr="00FD4529" w14:paraId="05F41698" w14:textId="77777777" w:rsidTr="005118BF">
        <w:tc>
          <w:tcPr>
            <w:tcW w:w="10139" w:type="dxa"/>
            <w:shd w:val="clear" w:color="auto" w:fill="auto"/>
          </w:tcPr>
          <w:p w14:paraId="03DB0FA6" w14:textId="77777777" w:rsidR="00721AA6" w:rsidRPr="00FD4529" w:rsidRDefault="00721AA6" w:rsidP="005118BF">
            <w:pPr>
              <w:numPr>
                <w:ilvl w:val="0"/>
                <w:numId w:val="6"/>
              </w:numPr>
              <w:rPr>
                <w:szCs w:val="24"/>
              </w:rPr>
            </w:pPr>
            <w:r>
              <w:t xml:space="preserve">Izvedena dela, na podlagi katerih je bila pripravljena izjava o upravljanju </w:t>
            </w:r>
          </w:p>
        </w:tc>
      </w:tr>
      <w:tr w:rsidR="00721AA6" w:rsidRPr="00FD4529" w14:paraId="278621D5" w14:textId="77777777" w:rsidTr="005118BF">
        <w:tc>
          <w:tcPr>
            <w:tcW w:w="10139" w:type="dxa"/>
            <w:shd w:val="clear" w:color="auto" w:fill="auto"/>
          </w:tcPr>
          <w:p w14:paraId="00137D0B" w14:textId="77777777" w:rsidR="00721AA6" w:rsidRPr="00FD4529" w:rsidRDefault="00721AA6" w:rsidP="005118BF">
            <w:pPr>
              <w:rPr>
                <w:szCs w:val="24"/>
              </w:rPr>
            </w:pPr>
            <w:r>
              <w:t>(a) Izvedena dela [kratek opis izvedenih del]</w:t>
            </w:r>
          </w:p>
          <w:p w14:paraId="06B0CED7" w14:textId="77777777" w:rsidR="00721AA6" w:rsidRPr="00FD4529" w:rsidRDefault="00721AA6" w:rsidP="005118BF">
            <w:pPr>
              <w:rPr>
                <w:szCs w:val="24"/>
              </w:rPr>
            </w:pPr>
            <w:r>
              <w:t>(b) Izvedena dela [kratek opis izvedenih del]</w:t>
            </w:r>
          </w:p>
          <w:p w14:paraId="47FBB84B" w14:textId="77777777" w:rsidR="00721AA6" w:rsidRPr="00FD4529" w:rsidRDefault="00721AA6" w:rsidP="005118BF">
            <w:pPr>
              <w:rPr>
                <w:szCs w:val="24"/>
              </w:rPr>
            </w:pPr>
            <w:r>
              <w:t>(c) Izvedena dela [kratek opis izvedenih del]</w:t>
            </w:r>
          </w:p>
          <w:p w14:paraId="1ED9E07F" w14:textId="77777777" w:rsidR="00721AA6" w:rsidRPr="00FD4529" w:rsidRDefault="00721AA6" w:rsidP="00F90B9C">
            <w:pPr>
              <w:rPr>
                <w:szCs w:val="24"/>
              </w:rPr>
            </w:pPr>
            <w:r>
              <w:t>(d) …</w:t>
            </w:r>
          </w:p>
        </w:tc>
      </w:tr>
    </w:tbl>
    <w:p w14:paraId="5FCCBCF9" w14:textId="77777777" w:rsidR="005A781B" w:rsidRPr="005523DF" w:rsidRDefault="005A781B" w:rsidP="005A781B">
      <w:pPr>
        <w:pStyle w:val="Heading1"/>
        <w:numPr>
          <w:ilvl w:val="0"/>
          <w:numId w:val="0"/>
        </w:numPr>
      </w:pPr>
      <w:r>
        <w:br w:type="page"/>
      </w:r>
      <w:bookmarkStart w:id="56" w:name="_Toc142904014"/>
      <w:r>
        <w:lastRenderedPageBreak/>
        <w:t>Priloga III: Pridržki in spremljanje napredka pri izvajanju akcijskih načrtov</w:t>
      </w:r>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2623"/>
        <w:gridCol w:w="1661"/>
        <w:gridCol w:w="1927"/>
        <w:gridCol w:w="1777"/>
        <w:gridCol w:w="3290"/>
      </w:tblGrid>
      <w:tr w:rsidR="005A781B" w14:paraId="6D960848" w14:textId="77777777" w:rsidTr="00D232A5">
        <w:tc>
          <w:tcPr>
            <w:tcW w:w="3544" w:type="dxa"/>
            <w:shd w:val="clear" w:color="auto" w:fill="auto"/>
            <w:vAlign w:val="center"/>
          </w:tcPr>
          <w:p w14:paraId="4C7A7911" w14:textId="77777777" w:rsidR="005A781B" w:rsidRPr="00890905" w:rsidRDefault="005A781B" w:rsidP="00D232A5">
            <w:pPr>
              <w:spacing w:after="0"/>
              <w:jc w:val="center"/>
              <w:rPr>
                <w:b/>
              </w:rPr>
            </w:pPr>
            <w:r>
              <w:rPr>
                <w:b/>
              </w:rPr>
              <w:t>Pridržek</w:t>
            </w:r>
          </w:p>
        </w:tc>
        <w:tc>
          <w:tcPr>
            <w:tcW w:w="2641" w:type="dxa"/>
          </w:tcPr>
          <w:p w14:paraId="11836E80" w14:textId="77777777" w:rsidR="005A781B" w:rsidRDefault="005A781B" w:rsidP="00D232A5">
            <w:pPr>
              <w:spacing w:after="0"/>
              <w:jc w:val="center"/>
              <w:rPr>
                <w:b/>
              </w:rPr>
            </w:pPr>
            <w:r>
              <w:rPr>
                <w:b/>
              </w:rPr>
              <w:t>Proračunska postavka in</w:t>
            </w:r>
          </w:p>
          <w:p w14:paraId="7A32D87F" w14:textId="77777777" w:rsidR="005A781B" w:rsidRPr="00890905" w:rsidRDefault="00F4271F" w:rsidP="00D232A5">
            <w:pPr>
              <w:spacing w:after="0"/>
              <w:jc w:val="center"/>
              <w:rPr>
                <w:b/>
              </w:rPr>
            </w:pPr>
            <w:r>
              <w:rPr>
                <w:b/>
              </w:rPr>
              <w:t>zadevni ukrep/intervencija</w:t>
            </w:r>
          </w:p>
        </w:tc>
        <w:tc>
          <w:tcPr>
            <w:tcW w:w="1672" w:type="dxa"/>
            <w:shd w:val="clear" w:color="auto" w:fill="auto"/>
            <w:vAlign w:val="center"/>
          </w:tcPr>
          <w:p w14:paraId="0BA88297" w14:textId="77777777" w:rsidR="005A781B" w:rsidRPr="00890905" w:rsidRDefault="005A781B" w:rsidP="00D232A5">
            <w:pPr>
              <w:spacing w:after="0"/>
              <w:jc w:val="center"/>
              <w:rPr>
                <w:b/>
              </w:rPr>
            </w:pPr>
            <w:r>
              <w:rPr>
                <w:b/>
              </w:rPr>
              <w:t>Leto prve predložitve</w:t>
            </w:r>
          </w:p>
        </w:tc>
        <w:tc>
          <w:tcPr>
            <w:tcW w:w="1948" w:type="dxa"/>
            <w:shd w:val="clear" w:color="auto" w:fill="auto"/>
            <w:vAlign w:val="center"/>
          </w:tcPr>
          <w:p w14:paraId="5AA69779" w14:textId="77777777" w:rsidR="005A781B" w:rsidRPr="004B7568" w:rsidRDefault="005A781B" w:rsidP="00D232A5">
            <w:pPr>
              <w:spacing w:after="0"/>
              <w:jc w:val="center"/>
              <w:rPr>
                <w:b/>
              </w:rPr>
            </w:pPr>
            <w:r>
              <w:rPr>
                <w:b/>
              </w:rPr>
              <w:t>Predvideni datum izvedbe</w:t>
            </w:r>
          </w:p>
        </w:tc>
        <w:tc>
          <w:tcPr>
            <w:tcW w:w="1797" w:type="dxa"/>
            <w:shd w:val="clear" w:color="auto" w:fill="auto"/>
            <w:vAlign w:val="center"/>
          </w:tcPr>
          <w:p w14:paraId="440DD4C6" w14:textId="77777777" w:rsidR="005A781B" w:rsidRPr="004B7568" w:rsidRDefault="005A781B" w:rsidP="00D232A5">
            <w:pPr>
              <w:spacing w:after="0"/>
              <w:jc w:val="center"/>
              <w:rPr>
                <w:b/>
              </w:rPr>
            </w:pPr>
            <w:r>
              <w:rPr>
                <w:b/>
              </w:rPr>
              <w:t>Stanje</w:t>
            </w:r>
          </w:p>
          <w:p w14:paraId="61A88545" w14:textId="77777777" w:rsidR="005A781B" w:rsidRPr="004B7568" w:rsidRDefault="005A781B" w:rsidP="00D232A5">
            <w:pPr>
              <w:spacing w:after="0"/>
              <w:jc w:val="center"/>
              <w:rPr>
                <w:b/>
              </w:rPr>
            </w:pPr>
            <w:r>
              <w:rPr>
                <w:b/>
              </w:rPr>
              <w:t>(končano/</w:t>
            </w:r>
          </w:p>
          <w:p w14:paraId="190DA400" w14:textId="77777777" w:rsidR="005A781B" w:rsidRPr="004B7568" w:rsidRDefault="005A781B" w:rsidP="00D232A5">
            <w:pPr>
              <w:spacing w:after="0"/>
              <w:jc w:val="center"/>
              <w:rPr>
                <w:b/>
              </w:rPr>
            </w:pPr>
            <w:r>
              <w:rPr>
                <w:b/>
              </w:rPr>
              <w:t>v teku)</w:t>
            </w:r>
          </w:p>
        </w:tc>
        <w:tc>
          <w:tcPr>
            <w:tcW w:w="3362" w:type="dxa"/>
            <w:shd w:val="clear" w:color="auto" w:fill="auto"/>
            <w:vAlign w:val="center"/>
          </w:tcPr>
          <w:p w14:paraId="3B59581C" w14:textId="77777777" w:rsidR="005A781B" w:rsidRPr="004B7568" w:rsidRDefault="005A781B" w:rsidP="00D232A5">
            <w:pPr>
              <w:spacing w:after="0"/>
              <w:jc w:val="center"/>
              <w:rPr>
                <w:b/>
              </w:rPr>
            </w:pPr>
            <w:r>
              <w:rPr>
                <w:b/>
              </w:rPr>
              <w:t>Pripombe (če izvajanje popravnih ukrepov še vedno poteka)</w:t>
            </w:r>
          </w:p>
        </w:tc>
      </w:tr>
      <w:tr w:rsidR="005A781B" w14:paraId="1DDF322D" w14:textId="77777777" w:rsidTr="00D232A5">
        <w:tc>
          <w:tcPr>
            <w:tcW w:w="3544" w:type="dxa"/>
            <w:shd w:val="clear" w:color="auto" w:fill="auto"/>
          </w:tcPr>
          <w:p w14:paraId="2FC89164" w14:textId="77777777" w:rsidR="005A781B" w:rsidRDefault="005A781B" w:rsidP="00D232A5">
            <w:pPr>
              <w:jc w:val="left"/>
            </w:pPr>
          </w:p>
        </w:tc>
        <w:tc>
          <w:tcPr>
            <w:tcW w:w="2641" w:type="dxa"/>
          </w:tcPr>
          <w:p w14:paraId="3C7E7E13" w14:textId="77777777" w:rsidR="005A781B" w:rsidRDefault="005A781B" w:rsidP="00D232A5">
            <w:pPr>
              <w:jc w:val="left"/>
            </w:pPr>
          </w:p>
        </w:tc>
        <w:tc>
          <w:tcPr>
            <w:tcW w:w="1672" w:type="dxa"/>
            <w:shd w:val="clear" w:color="auto" w:fill="auto"/>
          </w:tcPr>
          <w:p w14:paraId="5BB76316" w14:textId="77777777" w:rsidR="005A781B" w:rsidRDefault="005A781B" w:rsidP="00D232A5">
            <w:pPr>
              <w:jc w:val="left"/>
            </w:pPr>
          </w:p>
        </w:tc>
        <w:tc>
          <w:tcPr>
            <w:tcW w:w="1948" w:type="dxa"/>
            <w:shd w:val="clear" w:color="auto" w:fill="auto"/>
          </w:tcPr>
          <w:p w14:paraId="25612813" w14:textId="77777777" w:rsidR="005A781B" w:rsidRDefault="005A781B" w:rsidP="00D232A5">
            <w:pPr>
              <w:jc w:val="left"/>
            </w:pPr>
          </w:p>
        </w:tc>
        <w:tc>
          <w:tcPr>
            <w:tcW w:w="1797" w:type="dxa"/>
            <w:shd w:val="clear" w:color="auto" w:fill="auto"/>
          </w:tcPr>
          <w:p w14:paraId="1B4B15A8" w14:textId="77777777" w:rsidR="005A781B" w:rsidRDefault="005A781B" w:rsidP="00D232A5">
            <w:pPr>
              <w:jc w:val="left"/>
            </w:pPr>
          </w:p>
        </w:tc>
        <w:tc>
          <w:tcPr>
            <w:tcW w:w="3362" w:type="dxa"/>
            <w:shd w:val="clear" w:color="auto" w:fill="auto"/>
          </w:tcPr>
          <w:p w14:paraId="2A8A7CB7" w14:textId="77777777" w:rsidR="005A781B" w:rsidRDefault="005A781B" w:rsidP="00D232A5">
            <w:pPr>
              <w:jc w:val="left"/>
            </w:pPr>
          </w:p>
        </w:tc>
      </w:tr>
      <w:tr w:rsidR="005A781B" w14:paraId="3964741F" w14:textId="77777777" w:rsidTr="00D232A5">
        <w:tc>
          <w:tcPr>
            <w:tcW w:w="3544" w:type="dxa"/>
            <w:shd w:val="clear" w:color="auto" w:fill="auto"/>
          </w:tcPr>
          <w:p w14:paraId="1694BCF2" w14:textId="77777777" w:rsidR="005A781B" w:rsidRDefault="005A781B" w:rsidP="00D232A5">
            <w:pPr>
              <w:jc w:val="left"/>
            </w:pPr>
          </w:p>
        </w:tc>
        <w:tc>
          <w:tcPr>
            <w:tcW w:w="2641" w:type="dxa"/>
          </w:tcPr>
          <w:p w14:paraId="63214629" w14:textId="77777777" w:rsidR="005A781B" w:rsidRDefault="005A781B" w:rsidP="00D232A5">
            <w:pPr>
              <w:jc w:val="left"/>
            </w:pPr>
          </w:p>
        </w:tc>
        <w:tc>
          <w:tcPr>
            <w:tcW w:w="1672" w:type="dxa"/>
            <w:shd w:val="clear" w:color="auto" w:fill="auto"/>
          </w:tcPr>
          <w:p w14:paraId="0E8D8038" w14:textId="77777777" w:rsidR="005A781B" w:rsidRDefault="005A781B" w:rsidP="00D232A5">
            <w:pPr>
              <w:jc w:val="left"/>
            </w:pPr>
          </w:p>
        </w:tc>
        <w:tc>
          <w:tcPr>
            <w:tcW w:w="1948" w:type="dxa"/>
            <w:shd w:val="clear" w:color="auto" w:fill="auto"/>
          </w:tcPr>
          <w:p w14:paraId="657C9858" w14:textId="77777777" w:rsidR="005A781B" w:rsidRDefault="005A781B" w:rsidP="00D232A5">
            <w:pPr>
              <w:jc w:val="left"/>
            </w:pPr>
          </w:p>
        </w:tc>
        <w:tc>
          <w:tcPr>
            <w:tcW w:w="1797" w:type="dxa"/>
            <w:shd w:val="clear" w:color="auto" w:fill="auto"/>
          </w:tcPr>
          <w:p w14:paraId="77ED440D" w14:textId="77777777" w:rsidR="005A781B" w:rsidRDefault="005A781B" w:rsidP="00D232A5">
            <w:pPr>
              <w:jc w:val="left"/>
            </w:pPr>
          </w:p>
        </w:tc>
        <w:tc>
          <w:tcPr>
            <w:tcW w:w="3362" w:type="dxa"/>
            <w:shd w:val="clear" w:color="auto" w:fill="auto"/>
          </w:tcPr>
          <w:p w14:paraId="6458AFFD" w14:textId="77777777" w:rsidR="005A781B" w:rsidRDefault="005A781B" w:rsidP="00D232A5">
            <w:pPr>
              <w:jc w:val="left"/>
            </w:pPr>
          </w:p>
        </w:tc>
      </w:tr>
      <w:tr w:rsidR="005A781B" w14:paraId="15F15504" w14:textId="77777777" w:rsidTr="00D232A5">
        <w:tc>
          <w:tcPr>
            <w:tcW w:w="3544" w:type="dxa"/>
            <w:shd w:val="clear" w:color="auto" w:fill="auto"/>
          </w:tcPr>
          <w:p w14:paraId="5DC7A2B9" w14:textId="77777777" w:rsidR="005A781B" w:rsidRDefault="005A781B" w:rsidP="00D232A5">
            <w:pPr>
              <w:jc w:val="left"/>
            </w:pPr>
          </w:p>
        </w:tc>
        <w:tc>
          <w:tcPr>
            <w:tcW w:w="2641" w:type="dxa"/>
          </w:tcPr>
          <w:p w14:paraId="4EBA8EC3" w14:textId="77777777" w:rsidR="005A781B" w:rsidRDefault="005A781B" w:rsidP="00D232A5">
            <w:pPr>
              <w:jc w:val="left"/>
            </w:pPr>
          </w:p>
        </w:tc>
        <w:tc>
          <w:tcPr>
            <w:tcW w:w="1672" w:type="dxa"/>
            <w:shd w:val="clear" w:color="auto" w:fill="auto"/>
          </w:tcPr>
          <w:p w14:paraId="6603BCD5" w14:textId="77777777" w:rsidR="005A781B" w:rsidRDefault="005A781B" w:rsidP="00D232A5">
            <w:pPr>
              <w:jc w:val="left"/>
            </w:pPr>
          </w:p>
        </w:tc>
        <w:tc>
          <w:tcPr>
            <w:tcW w:w="1948" w:type="dxa"/>
            <w:shd w:val="clear" w:color="auto" w:fill="auto"/>
          </w:tcPr>
          <w:p w14:paraId="38702A18" w14:textId="77777777" w:rsidR="005A781B" w:rsidRDefault="005A781B" w:rsidP="00D232A5">
            <w:pPr>
              <w:jc w:val="left"/>
            </w:pPr>
          </w:p>
        </w:tc>
        <w:tc>
          <w:tcPr>
            <w:tcW w:w="1797" w:type="dxa"/>
            <w:shd w:val="clear" w:color="auto" w:fill="auto"/>
          </w:tcPr>
          <w:p w14:paraId="420BB814" w14:textId="77777777" w:rsidR="005A781B" w:rsidRDefault="005A781B" w:rsidP="00D232A5">
            <w:pPr>
              <w:jc w:val="left"/>
            </w:pPr>
          </w:p>
        </w:tc>
        <w:tc>
          <w:tcPr>
            <w:tcW w:w="3362" w:type="dxa"/>
            <w:shd w:val="clear" w:color="auto" w:fill="auto"/>
          </w:tcPr>
          <w:p w14:paraId="56A1BD8B" w14:textId="77777777" w:rsidR="005A781B" w:rsidRDefault="005A781B" w:rsidP="00D232A5">
            <w:pPr>
              <w:jc w:val="left"/>
            </w:pPr>
          </w:p>
        </w:tc>
      </w:tr>
    </w:tbl>
    <w:p w14:paraId="665733EC" w14:textId="77777777" w:rsidR="005A781B" w:rsidRDefault="005A781B" w:rsidP="005A781B">
      <w:pPr>
        <w:jc w:val="left"/>
      </w:pPr>
    </w:p>
    <w:p w14:paraId="3A6FCACA" w14:textId="77777777" w:rsidR="005A781B" w:rsidRPr="00CB1F21" w:rsidRDefault="00C611F2" w:rsidP="00CB1F21">
      <w:pPr>
        <w:pStyle w:val="Heading1"/>
        <w:numPr>
          <w:ilvl w:val="0"/>
          <w:numId w:val="0"/>
        </w:numPr>
        <w:rPr>
          <w:b w:val="0"/>
        </w:rPr>
      </w:pPr>
      <w:r>
        <w:br w:type="page"/>
      </w:r>
      <w:bookmarkStart w:id="57" w:name="_Toc142904015"/>
      <w:r>
        <w:lastRenderedPageBreak/>
        <w:t>Priloga IV: Kakovost in zanesljivost sistema poročanja in podatkov o kazalnikih</w:t>
      </w:r>
      <w:bookmarkEnd w:id="57"/>
    </w:p>
    <w:p w14:paraId="6DC369FE" w14:textId="77777777" w:rsidR="00C611F2" w:rsidRDefault="00C611F2" w:rsidP="005A781B">
      <w:pPr>
        <w:jc w:val="left"/>
      </w:pPr>
    </w:p>
    <w:p w14:paraId="7CC62177" w14:textId="77777777" w:rsidR="00605087" w:rsidRPr="00F90B9C" w:rsidRDefault="00605087" w:rsidP="00605087">
      <w:r>
        <w:t xml:space="preserve">Od direktorja plačilne agencije se zahteva, da predloži analizo kakovosti in zanesljivosti sistema poročanja in podatkov o kazalnikih, tako da izpolni spodnji preglednici. Direktor mora opredeliti vse resne pomanjkljivosti, ugotovljene v sistemih upravljanja (vključno s sistemom poročanja) in podatkih o kazalnikih, kot so predstavljeni v naslednjih preglednicah: </w:t>
      </w:r>
    </w:p>
    <w:p w14:paraId="57FEDD85" w14:textId="77777777" w:rsidR="00605087" w:rsidRDefault="00605087" w:rsidP="00CB1F21">
      <w:pPr>
        <w:numPr>
          <w:ilvl w:val="0"/>
          <w:numId w:val="28"/>
        </w:numPr>
      </w:pPr>
      <w:r>
        <w:t>Ocena kakovosti in zanesljivosti sistema poročanja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559"/>
        <w:gridCol w:w="1824"/>
        <w:gridCol w:w="1430"/>
        <w:gridCol w:w="1230"/>
        <w:gridCol w:w="4084"/>
      </w:tblGrid>
      <w:tr w:rsidR="008F588B" w14:paraId="235D1BAF" w14:textId="77777777" w:rsidTr="00813D35">
        <w:tc>
          <w:tcPr>
            <w:tcW w:w="2109" w:type="dxa"/>
          </w:tcPr>
          <w:p w14:paraId="67852AEE" w14:textId="77777777" w:rsidR="008F588B" w:rsidRPr="00890905" w:rsidRDefault="008F588B" w:rsidP="008F588B">
            <w:pPr>
              <w:spacing w:after="0"/>
              <w:jc w:val="center"/>
              <w:rPr>
                <w:b/>
              </w:rPr>
            </w:pPr>
            <w:r>
              <w:rPr>
                <w:b/>
              </w:rPr>
              <w:t>Zadevni del letnega poročila o smotrnosti</w:t>
            </w:r>
          </w:p>
        </w:tc>
        <w:tc>
          <w:tcPr>
            <w:tcW w:w="1559" w:type="dxa"/>
            <w:shd w:val="clear" w:color="auto" w:fill="auto"/>
            <w:vAlign w:val="center"/>
          </w:tcPr>
          <w:p w14:paraId="7ACCD0B6" w14:textId="77777777" w:rsidR="008F588B" w:rsidRPr="00890905" w:rsidRDefault="008F588B" w:rsidP="008F588B">
            <w:pPr>
              <w:spacing w:after="0"/>
              <w:jc w:val="center"/>
              <w:rPr>
                <w:b/>
              </w:rPr>
            </w:pPr>
            <w:r>
              <w:rPr>
                <w:b/>
              </w:rPr>
              <w:t>Leto prve predložitve</w:t>
            </w:r>
          </w:p>
        </w:tc>
        <w:tc>
          <w:tcPr>
            <w:tcW w:w="1824" w:type="dxa"/>
            <w:shd w:val="clear" w:color="auto" w:fill="auto"/>
            <w:vAlign w:val="center"/>
          </w:tcPr>
          <w:p w14:paraId="1E6FD7AC" w14:textId="77777777" w:rsidR="008F588B" w:rsidRPr="004B7568" w:rsidRDefault="008F588B" w:rsidP="008F588B">
            <w:pPr>
              <w:spacing w:after="0"/>
              <w:jc w:val="center"/>
              <w:rPr>
                <w:b/>
              </w:rPr>
            </w:pPr>
            <w:r>
              <w:rPr>
                <w:b/>
              </w:rPr>
              <w:t>Opomba</w:t>
            </w:r>
          </w:p>
        </w:tc>
        <w:tc>
          <w:tcPr>
            <w:tcW w:w="1180" w:type="dxa"/>
            <w:vAlign w:val="center"/>
          </w:tcPr>
          <w:p w14:paraId="43B19735" w14:textId="2ACED24A" w:rsidR="008F588B" w:rsidRPr="004B7568" w:rsidRDefault="008F588B" w:rsidP="000F3FAD">
            <w:pPr>
              <w:spacing w:after="0"/>
              <w:jc w:val="center"/>
              <w:rPr>
                <w:b/>
              </w:rPr>
            </w:pPr>
            <w:r>
              <w:rPr>
                <w:b/>
              </w:rPr>
              <w:t>Predvideni datum izvedbe popravnega ukrepa</w:t>
            </w:r>
          </w:p>
        </w:tc>
        <w:tc>
          <w:tcPr>
            <w:tcW w:w="1180" w:type="dxa"/>
            <w:shd w:val="clear" w:color="auto" w:fill="auto"/>
            <w:vAlign w:val="center"/>
          </w:tcPr>
          <w:p w14:paraId="0F02AF2A" w14:textId="77777777" w:rsidR="008F588B" w:rsidRPr="004B7568" w:rsidRDefault="008F588B" w:rsidP="008F588B">
            <w:pPr>
              <w:spacing w:after="0"/>
              <w:jc w:val="center"/>
              <w:rPr>
                <w:b/>
              </w:rPr>
            </w:pPr>
            <w:r>
              <w:rPr>
                <w:b/>
              </w:rPr>
              <w:t>Stanje</w:t>
            </w:r>
          </w:p>
          <w:p w14:paraId="750688BD" w14:textId="77777777" w:rsidR="008F588B" w:rsidRPr="004B7568" w:rsidRDefault="008F588B" w:rsidP="008F588B">
            <w:pPr>
              <w:spacing w:after="0"/>
              <w:jc w:val="center"/>
              <w:rPr>
                <w:b/>
              </w:rPr>
            </w:pPr>
            <w:r>
              <w:rPr>
                <w:b/>
              </w:rPr>
              <w:t>(končano/</w:t>
            </w:r>
          </w:p>
          <w:p w14:paraId="16B8BA7E" w14:textId="77777777" w:rsidR="008F588B" w:rsidRPr="004B7568" w:rsidRDefault="008F588B" w:rsidP="008F588B">
            <w:pPr>
              <w:spacing w:after="0"/>
              <w:jc w:val="center"/>
              <w:rPr>
                <w:b/>
              </w:rPr>
            </w:pPr>
            <w:r>
              <w:rPr>
                <w:b/>
              </w:rPr>
              <w:t>v teku)</w:t>
            </w:r>
          </w:p>
        </w:tc>
        <w:tc>
          <w:tcPr>
            <w:tcW w:w="4084" w:type="dxa"/>
            <w:shd w:val="clear" w:color="auto" w:fill="auto"/>
            <w:vAlign w:val="center"/>
          </w:tcPr>
          <w:p w14:paraId="47D722C1" w14:textId="77777777" w:rsidR="008F588B" w:rsidRPr="004B7568" w:rsidRDefault="008F588B" w:rsidP="008F588B">
            <w:pPr>
              <w:spacing w:after="0"/>
              <w:jc w:val="center"/>
              <w:rPr>
                <w:b/>
              </w:rPr>
            </w:pPr>
            <w:r>
              <w:rPr>
                <w:b/>
              </w:rPr>
              <w:t>Pripombe (če izvajanje popravnih ukrepov še vedno poteka)</w:t>
            </w:r>
          </w:p>
        </w:tc>
      </w:tr>
      <w:tr w:rsidR="008F588B" w14:paraId="54F297CE" w14:textId="77777777" w:rsidTr="00813D35">
        <w:tc>
          <w:tcPr>
            <w:tcW w:w="2109" w:type="dxa"/>
          </w:tcPr>
          <w:p w14:paraId="45FBCCAF" w14:textId="77777777" w:rsidR="008F588B" w:rsidRDefault="008F588B" w:rsidP="008F588B">
            <w:pPr>
              <w:jc w:val="left"/>
            </w:pPr>
          </w:p>
        </w:tc>
        <w:tc>
          <w:tcPr>
            <w:tcW w:w="1559" w:type="dxa"/>
            <w:shd w:val="clear" w:color="auto" w:fill="auto"/>
          </w:tcPr>
          <w:p w14:paraId="67E833AF" w14:textId="77777777" w:rsidR="008F588B" w:rsidRDefault="008F588B" w:rsidP="008F588B">
            <w:pPr>
              <w:jc w:val="left"/>
            </w:pPr>
          </w:p>
        </w:tc>
        <w:tc>
          <w:tcPr>
            <w:tcW w:w="1824" w:type="dxa"/>
            <w:shd w:val="clear" w:color="auto" w:fill="auto"/>
          </w:tcPr>
          <w:p w14:paraId="52139FCF" w14:textId="77777777" w:rsidR="008F588B" w:rsidRDefault="008F588B" w:rsidP="008F588B">
            <w:pPr>
              <w:jc w:val="left"/>
            </w:pPr>
          </w:p>
        </w:tc>
        <w:tc>
          <w:tcPr>
            <w:tcW w:w="1180" w:type="dxa"/>
          </w:tcPr>
          <w:p w14:paraId="55E69CDE" w14:textId="77777777" w:rsidR="008F588B" w:rsidRDefault="008F588B" w:rsidP="008F588B">
            <w:pPr>
              <w:jc w:val="left"/>
            </w:pPr>
          </w:p>
        </w:tc>
        <w:tc>
          <w:tcPr>
            <w:tcW w:w="1180" w:type="dxa"/>
            <w:shd w:val="clear" w:color="auto" w:fill="auto"/>
          </w:tcPr>
          <w:p w14:paraId="0B1CD43B" w14:textId="77777777" w:rsidR="008F588B" w:rsidRDefault="008F588B" w:rsidP="008F588B">
            <w:pPr>
              <w:jc w:val="left"/>
            </w:pPr>
          </w:p>
        </w:tc>
        <w:tc>
          <w:tcPr>
            <w:tcW w:w="4084" w:type="dxa"/>
            <w:shd w:val="clear" w:color="auto" w:fill="auto"/>
          </w:tcPr>
          <w:p w14:paraId="6C069E44" w14:textId="77777777" w:rsidR="008F588B" w:rsidRDefault="008F588B" w:rsidP="008F588B">
            <w:pPr>
              <w:jc w:val="left"/>
            </w:pPr>
          </w:p>
        </w:tc>
      </w:tr>
      <w:tr w:rsidR="008F588B" w14:paraId="5ACCC059" w14:textId="77777777" w:rsidTr="00813D35">
        <w:tc>
          <w:tcPr>
            <w:tcW w:w="2109" w:type="dxa"/>
          </w:tcPr>
          <w:p w14:paraId="79B69279" w14:textId="77777777" w:rsidR="008F588B" w:rsidRDefault="008F588B" w:rsidP="008F588B">
            <w:pPr>
              <w:jc w:val="left"/>
            </w:pPr>
          </w:p>
        </w:tc>
        <w:tc>
          <w:tcPr>
            <w:tcW w:w="1559" w:type="dxa"/>
            <w:shd w:val="clear" w:color="auto" w:fill="auto"/>
          </w:tcPr>
          <w:p w14:paraId="6C1E2796" w14:textId="77777777" w:rsidR="008F588B" w:rsidRDefault="008F588B" w:rsidP="008F588B">
            <w:pPr>
              <w:jc w:val="left"/>
            </w:pPr>
          </w:p>
        </w:tc>
        <w:tc>
          <w:tcPr>
            <w:tcW w:w="1824" w:type="dxa"/>
            <w:shd w:val="clear" w:color="auto" w:fill="auto"/>
          </w:tcPr>
          <w:p w14:paraId="5BE19A9B" w14:textId="77777777" w:rsidR="008F588B" w:rsidRDefault="008F588B" w:rsidP="008F588B">
            <w:pPr>
              <w:jc w:val="left"/>
            </w:pPr>
          </w:p>
        </w:tc>
        <w:tc>
          <w:tcPr>
            <w:tcW w:w="1180" w:type="dxa"/>
          </w:tcPr>
          <w:p w14:paraId="78F5028C" w14:textId="77777777" w:rsidR="008F588B" w:rsidRDefault="008F588B" w:rsidP="008F588B">
            <w:pPr>
              <w:jc w:val="left"/>
            </w:pPr>
          </w:p>
        </w:tc>
        <w:tc>
          <w:tcPr>
            <w:tcW w:w="1180" w:type="dxa"/>
            <w:shd w:val="clear" w:color="auto" w:fill="auto"/>
          </w:tcPr>
          <w:p w14:paraId="6A6FB7AF" w14:textId="77777777" w:rsidR="008F588B" w:rsidRDefault="008F588B" w:rsidP="008F588B">
            <w:pPr>
              <w:jc w:val="left"/>
            </w:pPr>
          </w:p>
        </w:tc>
        <w:tc>
          <w:tcPr>
            <w:tcW w:w="4084" w:type="dxa"/>
            <w:shd w:val="clear" w:color="auto" w:fill="auto"/>
          </w:tcPr>
          <w:p w14:paraId="5AE6941B" w14:textId="77777777" w:rsidR="008F588B" w:rsidRDefault="008F588B" w:rsidP="008F588B">
            <w:pPr>
              <w:jc w:val="left"/>
            </w:pPr>
          </w:p>
        </w:tc>
      </w:tr>
      <w:tr w:rsidR="008F588B" w14:paraId="35A1FDB9" w14:textId="77777777" w:rsidTr="00813D35">
        <w:tc>
          <w:tcPr>
            <w:tcW w:w="2109" w:type="dxa"/>
          </w:tcPr>
          <w:p w14:paraId="7BFC0FCA" w14:textId="77777777" w:rsidR="008F588B" w:rsidRDefault="008F588B" w:rsidP="008F588B">
            <w:pPr>
              <w:jc w:val="left"/>
            </w:pPr>
          </w:p>
        </w:tc>
        <w:tc>
          <w:tcPr>
            <w:tcW w:w="1559" w:type="dxa"/>
            <w:shd w:val="clear" w:color="auto" w:fill="auto"/>
          </w:tcPr>
          <w:p w14:paraId="0FF6A315" w14:textId="77777777" w:rsidR="008F588B" w:rsidRDefault="008F588B" w:rsidP="008F588B">
            <w:pPr>
              <w:jc w:val="left"/>
            </w:pPr>
          </w:p>
        </w:tc>
        <w:tc>
          <w:tcPr>
            <w:tcW w:w="1824" w:type="dxa"/>
            <w:shd w:val="clear" w:color="auto" w:fill="auto"/>
          </w:tcPr>
          <w:p w14:paraId="03DB2949" w14:textId="77777777" w:rsidR="008F588B" w:rsidRDefault="008F588B" w:rsidP="008F588B">
            <w:pPr>
              <w:jc w:val="left"/>
            </w:pPr>
          </w:p>
        </w:tc>
        <w:tc>
          <w:tcPr>
            <w:tcW w:w="1180" w:type="dxa"/>
          </w:tcPr>
          <w:p w14:paraId="09CB8208" w14:textId="77777777" w:rsidR="008F588B" w:rsidRDefault="008F588B" w:rsidP="008F588B">
            <w:pPr>
              <w:jc w:val="left"/>
            </w:pPr>
          </w:p>
        </w:tc>
        <w:tc>
          <w:tcPr>
            <w:tcW w:w="1180" w:type="dxa"/>
            <w:shd w:val="clear" w:color="auto" w:fill="auto"/>
          </w:tcPr>
          <w:p w14:paraId="5F481C56" w14:textId="77777777" w:rsidR="008F588B" w:rsidRDefault="008F588B" w:rsidP="008F588B">
            <w:pPr>
              <w:jc w:val="left"/>
            </w:pPr>
          </w:p>
        </w:tc>
        <w:tc>
          <w:tcPr>
            <w:tcW w:w="4084" w:type="dxa"/>
            <w:shd w:val="clear" w:color="auto" w:fill="auto"/>
          </w:tcPr>
          <w:p w14:paraId="6C73E841" w14:textId="77777777" w:rsidR="008F588B" w:rsidRDefault="008F588B" w:rsidP="008F588B">
            <w:pPr>
              <w:jc w:val="left"/>
            </w:pPr>
          </w:p>
        </w:tc>
      </w:tr>
    </w:tbl>
    <w:p w14:paraId="228F82A4" w14:textId="77777777" w:rsidR="00BE0102" w:rsidRDefault="00BE0102" w:rsidP="00BE0102">
      <w:pPr>
        <w:ind w:left="720"/>
      </w:pPr>
    </w:p>
    <w:p w14:paraId="76939EA6" w14:textId="77777777" w:rsidR="008F588B" w:rsidRDefault="008F588B" w:rsidP="00BE0102">
      <w:pPr>
        <w:ind w:left="720"/>
      </w:pPr>
    </w:p>
    <w:p w14:paraId="183A34AD" w14:textId="77777777" w:rsidR="008F588B" w:rsidRDefault="008F588B" w:rsidP="00BE0102">
      <w:pPr>
        <w:ind w:left="720"/>
      </w:pPr>
    </w:p>
    <w:p w14:paraId="0C0399C2" w14:textId="77777777" w:rsidR="007B1D36" w:rsidRPr="00F4271F" w:rsidRDefault="3D5FD142" w:rsidP="00CB1F21">
      <w:pPr>
        <w:numPr>
          <w:ilvl w:val="0"/>
          <w:numId w:val="28"/>
        </w:numPr>
      </w:pPr>
      <w:r>
        <w:lastRenderedPageBreak/>
        <w:t xml:space="preserve">Odstopanja, ki so navedena v letnem poročilu o smotrnosti in se nanašajo na resne pomanjkljivosti in/ali za katera bi bila potrebna dodatna pojasnila v skladu s členom 36 Uredbe (EU) 2022/128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559"/>
        <w:gridCol w:w="1824"/>
        <w:gridCol w:w="1824"/>
        <w:gridCol w:w="1230"/>
        <w:gridCol w:w="4084"/>
      </w:tblGrid>
      <w:tr w:rsidR="008F588B" w14:paraId="49B33608" w14:textId="77777777" w:rsidTr="5E3A1F41">
        <w:tc>
          <w:tcPr>
            <w:tcW w:w="2109" w:type="dxa"/>
          </w:tcPr>
          <w:p w14:paraId="012E50D7" w14:textId="77777777" w:rsidR="008F588B" w:rsidRPr="00890905" w:rsidRDefault="2A4230E4" w:rsidP="5E3A1F41">
            <w:pPr>
              <w:spacing w:after="0"/>
              <w:jc w:val="center"/>
              <w:rPr>
                <w:b/>
                <w:bCs/>
              </w:rPr>
            </w:pPr>
            <w:r>
              <w:rPr>
                <w:b/>
              </w:rPr>
              <w:t>Zadevni sporočeni učinki in realizirani zneski na enoto</w:t>
            </w:r>
          </w:p>
        </w:tc>
        <w:tc>
          <w:tcPr>
            <w:tcW w:w="1559" w:type="dxa"/>
            <w:shd w:val="clear" w:color="auto" w:fill="auto"/>
            <w:vAlign w:val="center"/>
          </w:tcPr>
          <w:p w14:paraId="68E005C5" w14:textId="77777777" w:rsidR="008F588B" w:rsidRPr="00890905" w:rsidRDefault="008F588B" w:rsidP="008F588B">
            <w:pPr>
              <w:spacing w:after="0"/>
              <w:jc w:val="center"/>
              <w:rPr>
                <w:b/>
              </w:rPr>
            </w:pPr>
            <w:r>
              <w:rPr>
                <w:b/>
              </w:rPr>
              <w:t>Leto prve predložitve</w:t>
            </w:r>
          </w:p>
        </w:tc>
        <w:tc>
          <w:tcPr>
            <w:tcW w:w="1824" w:type="dxa"/>
            <w:shd w:val="clear" w:color="auto" w:fill="auto"/>
            <w:vAlign w:val="center"/>
          </w:tcPr>
          <w:p w14:paraId="754A4336" w14:textId="77777777" w:rsidR="008F588B" w:rsidRPr="004B7568" w:rsidRDefault="008F588B" w:rsidP="008F588B">
            <w:pPr>
              <w:spacing w:after="0"/>
              <w:jc w:val="center"/>
              <w:rPr>
                <w:b/>
              </w:rPr>
            </w:pPr>
            <w:r>
              <w:rPr>
                <w:b/>
              </w:rPr>
              <w:t>Opomba</w:t>
            </w:r>
          </w:p>
        </w:tc>
        <w:tc>
          <w:tcPr>
            <w:tcW w:w="1824" w:type="dxa"/>
            <w:vAlign w:val="center"/>
          </w:tcPr>
          <w:p w14:paraId="3D016275" w14:textId="5B66181B" w:rsidR="008F588B" w:rsidRPr="004B7568" w:rsidRDefault="008F588B" w:rsidP="000F3FAD">
            <w:pPr>
              <w:spacing w:after="0"/>
              <w:jc w:val="center"/>
              <w:rPr>
                <w:b/>
              </w:rPr>
            </w:pPr>
            <w:r>
              <w:rPr>
                <w:b/>
              </w:rPr>
              <w:t>Predvideni datum izvedbe popravnega ukrepa</w:t>
            </w:r>
          </w:p>
        </w:tc>
        <w:tc>
          <w:tcPr>
            <w:tcW w:w="1180" w:type="dxa"/>
            <w:shd w:val="clear" w:color="auto" w:fill="auto"/>
            <w:vAlign w:val="center"/>
          </w:tcPr>
          <w:p w14:paraId="792AF572" w14:textId="77777777" w:rsidR="008F588B" w:rsidRPr="004B7568" w:rsidRDefault="008F588B" w:rsidP="008F588B">
            <w:pPr>
              <w:spacing w:after="0"/>
              <w:jc w:val="center"/>
              <w:rPr>
                <w:b/>
              </w:rPr>
            </w:pPr>
            <w:r>
              <w:rPr>
                <w:b/>
              </w:rPr>
              <w:t>Stanje</w:t>
            </w:r>
          </w:p>
          <w:p w14:paraId="0017198B" w14:textId="77777777" w:rsidR="008F588B" w:rsidRPr="004B7568" w:rsidRDefault="008F588B" w:rsidP="008F588B">
            <w:pPr>
              <w:spacing w:after="0"/>
              <w:jc w:val="center"/>
              <w:rPr>
                <w:b/>
              </w:rPr>
            </w:pPr>
            <w:r>
              <w:rPr>
                <w:b/>
              </w:rPr>
              <w:t>(končano/</w:t>
            </w:r>
          </w:p>
          <w:p w14:paraId="113B982E" w14:textId="77777777" w:rsidR="008F588B" w:rsidRPr="004B7568" w:rsidRDefault="008F588B" w:rsidP="008F588B">
            <w:pPr>
              <w:spacing w:after="0"/>
              <w:jc w:val="center"/>
              <w:rPr>
                <w:b/>
              </w:rPr>
            </w:pPr>
            <w:r>
              <w:rPr>
                <w:b/>
              </w:rPr>
              <w:t>v teku)</w:t>
            </w:r>
          </w:p>
        </w:tc>
        <w:tc>
          <w:tcPr>
            <w:tcW w:w="4084" w:type="dxa"/>
            <w:shd w:val="clear" w:color="auto" w:fill="auto"/>
            <w:vAlign w:val="center"/>
          </w:tcPr>
          <w:p w14:paraId="3649D668" w14:textId="77777777" w:rsidR="008F588B" w:rsidRPr="004B7568" w:rsidRDefault="008F588B" w:rsidP="008F588B">
            <w:pPr>
              <w:spacing w:after="0"/>
              <w:jc w:val="center"/>
              <w:rPr>
                <w:b/>
              </w:rPr>
            </w:pPr>
            <w:r>
              <w:rPr>
                <w:b/>
              </w:rPr>
              <w:t>Pripombe (če izvajanje popravnih ukrepov še vedno poteka)</w:t>
            </w:r>
          </w:p>
        </w:tc>
      </w:tr>
      <w:tr w:rsidR="008F588B" w14:paraId="255DAF3C" w14:textId="77777777" w:rsidTr="5E3A1F41">
        <w:tc>
          <w:tcPr>
            <w:tcW w:w="2109" w:type="dxa"/>
          </w:tcPr>
          <w:p w14:paraId="7B2CA7E5" w14:textId="77777777" w:rsidR="008F588B" w:rsidRDefault="008F588B" w:rsidP="008F588B">
            <w:pPr>
              <w:jc w:val="left"/>
            </w:pPr>
          </w:p>
        </w:tc>
        <w:tc>
          <w:tcPr>
            <w:tcW w:w="1559" w:type="dxa"/>
            <w:shd w:val="clear" w:color="auto" w:fill="auto"/>
          </w:tcPr>
          <w:p w14:paraId="7B31F7F8" w14:textId="77777777" w:rsidR="008F588B" w:rsidRDefault="008F588B" w:rsidP="008F588B">
            <w:pPr>
              <w:jc w:val="left"/>
            </w:pPr>
          </w:p>
        </w:tc>
        <w:tc>
          <w:tcPr>
            <w:tcW w:w="1824" w:type="dxa"/>
            <w:shd w:val="clear" w:color="auto" w:fill="auto"/>
          </w:tcPr>
          <w:p w14:paraId="4702E7FE" w14:textId="77777777" w:rsidR="008F588B" w:rsidRDefault="008F588B" w:rsidP="008F588B">
            <w:pPr>
              <w:jc w:val="left"/>
            </w:pPr>
          </w:p>
        </w:tc>
        <w:tc>
          <w:tcPr>
            <w:tcW w:w="1824" w:type="dxa"/>
          </w:tcPr>
          <w:p w14:paraId="558AE1B3" w14:textId="77777777" w:rsidR="008F588B" w:rsidRDefault="008F588B" w:rsidP="008F588B">
            <w:pPr>
              <w:jc w:val="left"/>
            </w:pPr>
          </w:p>
        </w:tc>
        <w:tc>
          <w:tcPr>
            <w:tcW w:w="1180" w:type="dxa"/>
            <w:shd w:val="clear" w:color="auto" w:fill="auto"/>
          </w:tcPr>
          <w:p w14:paraId="4C01757B" w14:textId="77777777" w:rsidR="008F588B" w:rsidRDefault="008F588B" w:rsidP="008F588B">
            <w:pPr>
              <w:jc w:val="left"/>
            </w:pPr>
          </w:p>
        </w:tc>
        <w:tc>
          <w:tcPr>
            <w:tcW w:w="4084" w:type="dxa"/>
            <w:shd w:val="clear" w:color="auto" w:fill="auto"/>
          </w:tcPr>
          <w:p w14:paraId="6F04C746" w14:textId="77777777" w:rsidR="008F588B" w:rsidRDefault="008F588B" w:rsidP="008F588B">
            <w:pPr>
              <w:jc w:val="left"/>
            </w:pPr>
          </w:p>
        </w:tc>
      </w:tr>
      <w:tr w:rsidR="008F588B" w14:paraId="38C9A3EA" w14:textId="77777777" w:rsidTr="5E3A1F41">
        <w:tc>
          <w:tcPr>
            <w:tcW w:w="2109" w:type="dxa"/>
          </w:tcPr>
          <w:p w14:paraId="16184C5E" w14:textId="77777777" w:rsidR="008F588B" w:rsidRDefault="008F588B" w:rsidP="008F588B">
            <w:pPr>
              <w:jc w:val="left"/>
            </w:pPr>
          </w:p>
        </w:tc>
        <w:tc>
          <w:tcPr>
            <w:tcW w:w="1559" w:type="dxa"/>
            <w:shd w:val="clear" w:color="auto" w:fill="auto"/>
          </w:tcPr>
          <w:p w14:paraId="3D367523" w14:textId="77777777" w:rsidR="008F588B" w:rsidRDefault="008F588B" w:rsidP="008F588B">
            <w:pPr>
              <w:jc w:val="left"/>
            </w:pPr>
          </w:p>
        </w:tc>
        <w:tc>
          <w:tcPr>
            <w:tcW w:w="1824" w:type="dxa"/>
            <w:shd w:val="clear" w:color="auto" w:fill="auto"/>
          </w:tcPr>
          <w:p w14:paraId="6D388206" w14:textId="77777777" w:rsidR="008F588B" w:rsidRDefault="008F588B" w:rsidP="008F588B">
            <w:pPr>
              <w:jc w:val="left"/>
            </w:pPr>
          </w:p>
        </w:tc>
        <w:tc>
          <w:tcPr>
            <w:tcW w:w="1824" w:type="dxa"/>
          </w:tcPr>
          <w:p w14:paraId="2BE116DE" w14:textId="77777777" w:rsidR="008F588B" w:rsidRDefault="008F588B" w:rsidP="008F588B">
            <w:pPr>
              <w:jc w:val="left"/>
            </w:pPr>
          </w:p>
        </w:tc>
        <w:tc>
          <w:tcPr>
            <w:tcW w:w="1180" w:type="dxa"/>
            <w:shd w:val="clear" w:color="auto" w:fill="auto"/>
          </w:tcPr>
          <w:p w14:paraId="753711B2" w14:textId="77777777" w:rsidR="008F588B" w:rsidRDefault="008F588B" w:rsidP="008F588B">
            <w:pPr>
              <w:jc w:val="left"/>
            </w:pPr>
          </w:p>
        </w:tc>
        <w:tc>
          <w:tcPr>
            <w:tcW w:w="4084" w:type="dxa"/>
            <w:shd w:val="clear" w:color="auto" w:fill="auto"/>
          </w:tcPr>
          <w:p w14:paraId="5CAECBB4" w14:textId="77777777" w:rsidR="008F588B" w:rsidRDefault="008F588B" w:rsidP="008F588B">
            <w:pPr>
              <w:jc w:val="left"/>
            </w:pPr>
          </w:p>
        </w:tc>
      </w:tr>
      <w:tr w:rsidR="008F588B" w14:paraId="798CCB18" w14:textId="77777777" w:rsidTr="5E3A1F41">
        <w:tc>
          <w:tcPr>
            <w:tcW w:w="2109" w:type="dxa"/>
          </w:tcPr>
          <w:p w14:paraId="2AA21496" w14:textId="77777777" w:rsidR="008F588B" w:rsidRDefault="008F588B" w:rsidP="008F588B">
            <w:pPr>
              <w:jc w:val="left"/>
            </w:pPr>
          </w:p>
        </w:tc>
        <w:tc>
          <w:tcPr>
            <w:tcW w:w="1559" w:type="dxa"/>
            <w:shd w:val="clear" w:color="auto" w:fill="auto"/>
          </w:tcPr>
          <w:p w14:paraId="26FC8A65" w14:textId="77777777" w:rsidR="008F588B" w:rsidRDefault="008F588B" w:rsidP="008F588B">
            <w:pPr>
              <w:jc w:val="left"/>
            </w:pPr>
          </w:p>
        </w:tc>
        <w:tc>
          <w:tcPr>
            <w:tcW w:w="1824" w:type="dxa"/>
            <w:shd w:val="clear" w:color="auto" w:fill="auto"/>
          </w:tcPr>
          <w:p w14:paraId="41561E9B" w14:textId="77777777" w:rsidR="008F588B" w:rsidRDefault="008F588B" w:rsidP="008F588B">
            <w:pPr>
              <w:jc w:val="left"/>
            </w:pPr>
          </w:p>
        </w:tc>
        <w:tc>
          <w:tcPr>
            <w:tcW w:w="1824" w:type="dxa"/>
          </w:tcPr>
          <w:p w14:paraId="1FE0F8F3" w14:textId="77777777" w:rsidR="008F588B" w:rsidRDefault="008F588B" w:rsidP="008F588B">
            <w:pPr>
              <w:jc w:val="left"/>
            </w:pPr>
          </w:p>
        </w:tc>
        <w:tc>
          <w:tcPr>
            <w:tcW w:w="1180" w:type="dxa"/>
            <w:shd w:val="clear" w:color="auto" w:fill="auto"/>
          </w:tcPr>
          <w:p w14:paraId="14BB578C" w14:textId="77777777" w:rsidR="008F588B" w:rsidRDefault="008F588B" w:rsidP="008F588B">
            <w:pPr>
              <w:jc w:val="left"/>
            </w:pPr>
          </w:p>
        </w:tc>
        <w:tc>
          <w:tcPr>
            <w:tcW w:w="4084" w:type="dxa"/>
            <w:shd w:val="clear" w:color="auto" w:fill="auto"/>
          </w:tcPr>
          <w:p w14:paraId="721A6475" w14:textId="77777777" w:rsidR="008F588B" w:rsidRDefault="008F588B" w:rsidP="008F588B">
            <w:pPr>
              <w:jc w:val="left"/>
            </w:pPr>
          </w:p>
        </w:tc>
      </w:tr>
    </w:tbl>
    <w:p w14:paraId="29585BD2" w14:textId="77777777" w:rsidR="007B1D36" w:rsidRDefault="007B1D36" w:rsidP="007B1D36">
      <w:pPr>
        <w:pStyle w:val="ListParagraph"/>
      </w:pPr>
    </w:p>
    <w:p w14:paraId="3DC743C2" w14:textId="77777777" w:rsidR="00BE0102" w:rsidRDefault="00BE0102" w:rsidP="007B1D36"/>
    <w:p w14:paraId="207F335C" w14:textId="77777777" w:rsidR="00605087" w:rsidRPr="00F90B9C" w:rsidRDefault="00605087" w:rsidP="00605087">
      <w:pPr>
        <w:rPr>
          <w:szCs w:val="24"/>
        </w:rPr>
      </w:pPr>
      <w:r>
        <w:t xml:space="preserve"> </w:t>
      </w:r>
    </w:p>
    <w:p w14:paraId="4AE207A5" w14:textId="77777777" w:rsidR="00605087" w:rsidRPr="008D4696" w:rsidRDefault="00605087" w:rsidP="00605087">
      <w:pPr>
        <w:rPr>
          <w:szCs w:val="24"/>
        </w:rPr>
      </w:pPr>
    </w:p>
    <w:p w14:paraId="5C4C19C2" w14:textId="77777777" w:rsidR="00C611F2" w:rsidRDefault="00C611F2" w:rsidP="005A781B">
      <w:pPr>
        <w:jc w:val="left"/>
        <w:sectPr w:rsidR="00C611F2" w:rsidSect="004B7568">
          <w:pgSz w:w="16840" w:h="11907" w:orient="landscape" w:code="9"/>
          <w:pgMar w:top="992" w:right="992" w:bottom="3544" w:left="992" w:header="0" w:footer="0" w:gutter="0"/>
          <w:cols w:space="720"/>
          <w:titlePg/>
          <w:docGrid w:linePitch="326"/>
        </w:sectPr>
      </w:pPr>
    </w:p>
    <w:p w14:paraId="6E8518FE" w14:textId="77777777" w:rsidR="00DD7358" w:rsidRPr="00A7073B" w:rsidRDefault="00EE22FF" w:rsidP="00EE22FF">
      <w:pPr>
        <w:pStyle w:val="Heading1"/>
        <w:numPr>
          <w:ilvl w:val="0"/>
          <w:numId w:val="0"/>
        </w:numPr>
        <w:spacing w:before="360"/>
        <w:rPr>
          <w:smallCaps w:val="0"/>
        </w:rPr>
      </w:pPr>
      <w:bookmarkStart w:id="58" w:name="_Toc142904016"/>
      <w:r>
        <w:lastRenderedPageBreak/>
        <w:t>Priloga V:</w:t>
      </w:r>
      <w:r>
        <w:tab/>
      </w:r>
      <w:r>
        <w:rPr>
          <w:smallCaps w:val="0"/>
        </w:rPr>
        <w:t>Analiza kontrolne statistike na shemo/ukrep</w:t>
      </w:r>
      <w:bookmarkEnd w:id="58"/>
    </w:p>
    <w:p w14:paraId="031CA93C" w14:textId="77777777" w:rsidR="00CD5455" w:rsidRPr="00A7073B" w:rsidRDefault="00CD5455" w:rsidP="00CD5455">
      <w:r>
        <w:t xml:space="preserve">Plačilna agencija mora predložiti naslednje podatke v zvezi z </w:t>
      </w:r>
      <w:r>
        <w:rPr>
          <w:u w:val="single"/>
        </w:rPr>
        <w:t>vsemi</w:t>
      </w:r>
      <w:r>
        <w:t xml:space="preserve"> shemami/ukrepi iz oddelka 3.3.2 zgoraj, plačanimi med zadevnim proračunskim letom:</w:t>
      </w:r>
    </w:p>
    <w:p w14:paraId="7D951811" w14:textId="77777777" w:rsidR="004A6808" w:rsidRPr="00A7073B" w:rsidRDefault="00CD5455" w:rsidP="00CB1F21">
      <w:pPr>
        <w:numPr>
          <w:ilvl w:val="0"/>
          <w:numId w:val="7"/>
        </w:numPr>
        <w:ind w:left="426" w:hanging="426"/>
      </w:pPr>
      <w:r>
        <w:t>ali za zadevno shemo/ukrep obstajajo uradni kontrolni podatki/statistika (da/ne);</w:t>
      </w:r>
    </w:p>
    <w:p w14:paraId="5BC94A00" w14:textId="77777777" w:rsidR="00CD5455" w:rsidRPr="00A7073B" w:rsidRDefault="004A6808" w:rsidP="00CB1F21">
      <w:pPr>
        <w:numPr>
          <w:ilvl w:val="0"/>
          <w:numId w:val="7"/>
        </w:numPr>
        <w:ind w:left="426" w:hanging="426"/>
      </w:pPr>
      <w:r>
        <w:t>datum kontrolnih/statističnih podatkov, ki so bili uporabljeni kot podlaga za izjavo o upravljanju;</w:t>
      </w:r>
    </w:p>
    <w:p w14:paraId="5428BC4A" w14:textId="77777777" w:rsidR="008C2D8E" w:rsidRPr="00A7073B" w:rsidRDefault="00695331" w:rsidP="00CB1F21">
      <w:pPr>
        <w:numPr>
          <w:ilvl w:val="0"/>
          <w:numId w:val="7"/>
        </w:numPr>
        <w:ind w:left="426" w:hanging="426"/>
      </w:pPr>
      <w:r>
        <w:t>skupni zahtevani znesek (stolpec „a“);</w:t>
      </w:r>
    </w:p>
    <w:p w14:paraId="39CC3801" w14:textId="77777777" w:rsidR="00CD5455" w:rsidRPr="00A7073B" w:rsidRDefault="008C2D8E" w:rsidP="00CB1F21">
      <w:pPr>
        <w:numPr>
          <w:ilvl w:val="0"/>
          <w:numId w:val="7"/>
        </w:numPr>
        <w:ind w:left="426" w:hanging="426"/>
      </w:pPr>
      <w:r>
        <w:t>skupni znesek, pri katerem je bil izveden naključni pregled na kraju samem (stolpec „b“)</w:t>
      </w:r>
      <w:r>
        <w:rPr>
          <w:rStyle w:val="FootnoteReference"/>
        </w:rPr>
        <w:footnoteReference w:id="13"/>
      </w:r>
      <w:r>
        <w:t>,</w:t>
      </w:r>
    </w:p>
    <w:p w14:paraId="6A8D3F06" w14:textId="76B798A0" w:rsidR="00CD5455" w:rsidRPr="00A7073B" w:rsidRDefault="00695331" w:rsidP="00CB1F21">
      <w:pPr>
        <w:numPr>
          <w:ilvl w:val="0"/>
          <w:numId w:val="7"/>
        </w:numPr>
        <w:ind w:left="426" w:hanging="426"/>
      </w:pPr>
      <w:r>
        <w:t xml:space="preserve">skupni znesek napake pred uporabo kazni kot posledica upravnih pregledov in pregledov na kraju samem, ki ga je treba izračunati kot razliko med zahtevanim zneskom in zneskom, do katerega je bil upravičenec upravičen </w:t>
      </w:r>
      <w:r>
        <w:rPr>
          <w:u w:val="single"/>
        </w:rPr>
        <w:t>pred uporabo kazni</w:t>
      </w:r>
      <w:r>
        <w:t xml:space="preserve"> zaradi upravnih pregledov in pregledov na kraju samem na podlagi naključnega vzorca</w:t>
      </w:r>
      <w:r>
        <w:rPr>
          <w:vertAlign w:val="superscript"/>
        </w:rPr>
        <w:t>12</w:t>
      </w:r>
      <w:r>
        <w:t xml:space="preserve"> (stolpec „c“),</w:t>
      </w:r>
    </w:p>
    <w:p w14:paraId="47B7C004" w14:textId="77777777" w:rsidR="002E229B" w:rsidRPr="00A7073B" w:rsidRDefault="002E229B" w:rsidP="00CB1F21">
      <w:pPr>
        <w:numPr>
          <w:ilvl w:val="0"/>
          <w:numId w:val="7"/>
        </w:numPr>
        <w:ind w:left="426" w:hanging="426"/>
      </w:pPr>
      <w:r>
        <w:t>stopnja napak v % v zadevnem proračunskem letu (stolpec „d“);</w:t>
      </w:r>
    </w:p>
    <w:p w14:paraId="6F4E3670" w14:textId="77777777" w:rsidR="00A34007" w:rsidRPr="00A7073B" w:rsidRDefault="00A34007" w:rsidP="00CB1F21">
      <w:pPr>
        <w:numPr>
          <w:ilvl w:val="0"/>
          <w:numId w:val="7"/>
        </w:numPr>
        <w:ind w:left="426" w:hanging="426"/>
      </w:pPr>
      <w:r>
        <w:t>napaka v EUR za zadevno proračunsko leto (stolpec „e“).</w:t>
      </w:r>
    </w:p>
    <w:p w14:paraId="268B507D" w14:textId="77777777" w:rsidR="004F5959" w:rsidRPr="00A7073B" w:rsidRDefault="00A34007" w:rsidP="00E50F89">
      <w:r>
        <w:t xml:space="preserve">Skupni znesek na populacijo v stolpcih „a“, „b“, „c“ in „e“ je treba izračunati kot vsoto. </w:t>
      </w:r>
    </w:p>
    <w:p w14:paraId="499B912B" w14:textId="77777777" w:rsidR="004F5959" w:rsidRPr="00A7073B" w:rsidRDefault="00776EAA" w:rsidP="00E50F89">
      <w:r>
        <w:t xml:space="preserve">Če se podatki, sporočeni v Prilogi V, razlikujejo od uradnih kontrolnih/statističnih podatkov, sporočenih GD za kmetijstvo in razvoj podeželja, mora plačilna agencija pod preglednico navesti pojasnila o razlikah. </w:t>
      </w:r>
    </w:p>
    <w:p w14:paraId="701CFC94" w14:textId="77777777" w:rsidR="00CD5455" w:rsidRPr="00A7073B" w:rsidRDefault="006A4908" w:rsidP="001C3C37">
      <w:pPr>
        <w:rPr>
          <w:szCs w:val="24"/>
        </w:rPr>
      </w:pPr>
      <w:r>
        <w:br w:type="page"/>
      </w:r>
    </w:p>
    <w:tbl>
      <w:tblPr>
        <w:tblW w:w="1338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9"/>
        <w:gridCol w:w="1417"/>
        <w:gridCol w:w="1701"/>
        <w:gridCol w:w="1559"/>
        <w:gridCol w:w="1417"/>
        <w:gridCol w:w="1984"/>
        <w:gridCol w:w="1135"/>
        <w:gridCol w:w="1559"/>
      </w:tblGrid>
      <w:tr w:rsidR="00A34007" w:rsidRPr="00A7073B" w14:paraId="3D603894" w14:textId="77777777" w:rsidTr="004A6808">
        <w:trPr>
          <w:trHeight w:val="1771"/>
          <w:tblHeader/>
        </w:trPr>
        <w:tc>
          <w:tcPr>
            <w:tcW w:w="2609" w:type="dxa"/>
            <w:shd w:val="clear" w:color="auto" w:fill="auto"/>
          </w:tcPr>
          <w:p w14:paraId="2312B16E" w14:textId="77777777" w:rsidR="004F5959" w:rsidRPr="00A7073B" w:rsidRDefault="004F5959" w:rsidP="00D7330B">
            <w:pPr>
              <w:pStyle w:val="ListNumber"/>
              <w:numPr>
                <w:ilvl w:val="0"/>
                <w:numId w:val="5"/>
              </w:numPr>
              <w:jc w:val="left"/>
              <w:rPr>
                <w:sz w:val="20"/>
              </w:rPr>
            </w:pPr>
            <w:r>
              <w:rPr>
                <w:sz w:val="20"/>
              </w:rPr>
              <w:lastRenderedPageBreak/>
              <w:t>Populacija</w:t>
            </w:r>
          </w:p>
        </w:tc>
        <w:tc>
          <w:tcPr>
            <w:tcW w:w="1417" w:type="dxa"/>
          </w:tcPr>
          <w:p w14:paraId="1F2D7F96" w14:textId="77777777" w:rsidR="004F5959" w:rsidRPr="00A7073B" w:rsidRDefault="004F5959" w:rsidP="00D7330B">
            <w:pPr>
              <w:pStyle w:val="ListNumber"/>
              <w:numPr>
                <w:ilvl w:val="0"/>
                <w:numId w:val="0"/>
              </w:numPr>
              <w:jc w:val="center"/>
              <w:rPr>
                <w:sz w:val="20"/>
              </w:rPr>
            </w:pPr>
            <w:r>
              <w:rPr>
                <w:sz w:val="20"/>
              </w:rPr>
              <w:t>Razpoložljivi uradni kontrolni/statistični podatki</w:t>
            </w:r>
          </w:p>
        </w:tc>
        <w:tc>
          <w:tcPr>
            <w:tcW w:w="1701" w:type="dxa"/>
          </w:tcPr>
          <w:p w14:paraId="2F8460EE" w14:textId="77777777" w:rsidR="004F5959" w:rsidRPr="00A7073B" w:rsidRDefault="004A6808" w:rsidP="00D7330B">
            <w:pPr>
              <w:pStyle w:val="ListNumber"/>
              <w:numPr>
                <w:ilvl w:val="0"/>
                <w:numId w:val="0"/>
              </w:numPr>
              <w:jc w:val="center"/>
              <w:rPr>
                <w:sz w:val="20"/>
              </w:rPr>
            </w:pPr>
            <w:r>
              <w:rPr>
                <w:sz w:val="20"/>
              </w:rPr>
              <w:t>Datum kontrolnih/statističnih podatkov, ki so bili uporabljeni kot podlaga za izjavo o upravljanju</w:t>
            </w:r>
          </w:p>
        </w:tc>
        <w:tc>
          <w:tcPr>
            <w:tcW w:w="1559" w:type="dxa"/>
            <w:shd w:val="clear" w:color="auto" w:fill="auto"/>
          </w:tcPr>
          <w:p w14:paraId="04875039" w14:textId="77777777" w:rsidR="004F5959" w:rsidRPr="00A7073B" w:rsidRDefault="004F5959" w:rsidP="00D7330B">
            <w:pPr>
              <w:pStyle w:val="ListNumber"/>
              <w:numPr>
                <w:ilvl w:val="0"/>
                <w:numId w:val="0"/>
              </w:numPr>
              <w:jc w:val="center"/>
              <w:rPr>
                <w:sz w:val="20"/>
              </w:rPr>
            </w:pPr>
            <w:r>
              <w:rPr>
                <w:sz w:val="20"/>
              </w:rPr>
              <w:t>Skupni zahtevani znesek</w:t>
            </w:r>
            <w:r>
              <w:t xml:space="preserve"> </w:t>
            </w:r>
            <w:r>
              <w:br/>
            </w:r>
          </w:p>
          <w:p w14:paraId="561D524E" w14:textId="77777777" w:rsidR="004F5959" w:rsidRPr="00A7073B" w:rsidRDefault="004F5959" w:rsidP="004A6808">
            <w:pPr>
              <w:pStyle w:val="ListNumber"/>
              <w:numPr>
                <w:ilvl w:val="0"/>
                <w:numId w:val="0"/>
              </w:numPr>
              <w:spacing w:after="0"/>
              <w:rPr>
                <w:sz w:val="20"/>
              </w:rPr>
            </w:pPr>
          </w:p>
          <w:p w14:paraId="3DEB4BA2" w14:textId="77777777" w:rsidR="004F5959" w:rsidRPr="00A7073B" w:rsidRDefault="004F5959" w:rsidP="00D7330B">
            <w:pPr>
              <w:pStyle w:val="ListNumber"/>
              <w:numPr>
                <w:ilvl w:val="0"/>
                <w:numId w:val="0"/>
              </w:numPr>
              <w:jc w:val="center"/>
              <w:rPr>
                <w:sz w:val="20"/>
              </w:rPr>
            </w:pPr>
            <w:r>
              <w:rPr>
                <w:sz w:val="20"/>
              </w:rPr>
              <w:t>[v EUR]</w:t>
            </w:r>
          </w:p>
        </w:tc>
        <w:tc>
          <w:tcPr>
            <w:tcW w:w="1417" w:type="dxa"/>
            <w:shd w:val="clear" w:color="auto" w:fill="auto"/>
            <w:tcMar>
              <w:top w:w="113" w:type="dxa"/>
              <w:left w:w="57" w:type="dxa"/>
              <w:bottom w:w="113" w:type="dxa"/>
              <w:right w:w="57" w:type="dxa"/>
            </w:tcMar>
          </w:tcPr>
          <w:p w14:paraId="06C162C4" w14:textId="77777777" w:rsidR="004F5959" w:rsidRPr="00A7073B" w:rsidRDefault="004F5959" w:rsidP="00D7330B">
            <w:pPr>
              <w:pStyle w:val="ListNumber"/>
              <w:numPr>
                <w:ilvl w:val="0"/>
                <w:numId w:val="0"/>
              </w:numPr>
              <w:jc w:val="center"/>
              <w:rPr>
                <w:sz w:val="20"/>
              </w:rPr>
            </w:pPr>
            <w:r>
              <w:rPr>
                <w:sz w:val="20"/>
              </w:rPr>
              <w:t>Skupni znesek, pri katerem so bili izvedeni pregledi na kraju samem (samo naključni vzorec, če je na voljo)</w:t>
            </w:r>
          </w:p>
          <w:p w14:paraId="43F6B5AC" w14:textId="77777777" w:rsidR="004F5959" w:rsidRPr="00A7073B" w:rsidRDefault="004F5959" w:rsidP="004A6808">
            <w:pPr>
              <w:pStyle w:val="ListNumber"/>
              <w:numPr>
                <w:ilvl w:val="0"/>
                <w:numId w:val="0"/>
              </w:numPr>
              <w:spacing w:after="0"/>
              <w:rPr>
                <w:sz w:val="20"/>
              </w:rPr>
            </w:pPr>
          </w:p>
          <w:p w14:paraId="6AA4515D" w14:textId="77777777" w:rsidR="004F5959" w:rsidRPr="00A7073B" w:rsidRDefault="004F5959" w:rsidP="00D7330B">
            <w:pPr>
              <w:pStyle w:val="ListNumber"/>
              <w:numPr>
                <w:ilvl w:val="0"/>
                <w:numId w:val="0"/>
              </w:numPr>
              <w:jc w:val="center"/>
              <w:rPr>
                <w:sz w:val="20"/>
              </w:rPr>
            </w:pPr>
            <w:r>
              <w:rPr>
                <w:sz w:val="20"/>
              </w:rPr>
              <w:t>[v EUR]</w:t>
            </w:r>
          </w:p>
        </w:tc>
        <w:tc>
          <w:tcPr>
            <w:tcW w:w="1984" w:type="dxa"/>
            <w:shd w:val="clear" w:color="auto" w:fill="auto"/>
            <w:tcMar>
              <w:top w:w="113" w:type="dxa"/>
              <w:left w:w="57" w:type="dxa"/>
              <w:bottom w:w="113" w:type="dxa"/>
              <w:right w:w="57" w:type="dxa"/>
            </w:tcMar>
          </w:tcPr>
          <w:p w14:paraId="3CD23A5F" w14:textId="77777777" w:rsidR="004F5959" w:rsidRPr="00A7073B" w:rsidRDefault="004F5959" w:rsidP="00D7330B">
            <w:pPr>
              <w:pStyle w:val="ListNumber"/>
              <w:numPr>
                <w:ilvl w:val="0"/>
                <w:numId w:val="0"/>
              </w:numPr>
              <w:jc w:val="center"/>
              <w:rPr>
                <w:sz w:val="20"/>
              </w:rPr>
            </w:pPr>
            <w:r>
              <w:t>Skupni napačni znesek pred uporabo kazni kot posledica upravnih pregledov in pregledov na kraju samem (samo naključni vzorec, če je na voljo)</w:t>
            </w:r>
            <w:r>
              <w:rPr>
                <w:rStyle w:val="FootnoteReference"/>
                <w:rFonts w:ascii="Times New Roman" w:hAnsi="Times New Roman"/>
                <w:sz w:val="20"/>
              </w:rPr>
              <w:footnoteReference w:id="14"/>
            </w:r>
          </w:p>
          <w:p w14:paraId="68162354" w14:textId="77777777" w:rsidR="004F5959" w:rsidRPr="00A7073B" w:rsidRDefault="004F5959" w:rsidP="00D7330B">
            <w:pPr>
              <w:pStyle w:val="ListNumber"/>
              <w:numPr>
                <w:ilvl w:val="0"/>
                <w:numId w:val="0"/>
              </w:numPr>
              <w:jc w:val="center"/>
              <w:rPr>
                <w:sz w:val="20"/>
              </w:rPr>
            </w:pPr>
            <w:r>
              <w:rPr>
                <w:sz w:val="20"/>
              </w:rPr>
              <w:t>[v EUR]</w:t>
            </w:r>
          </w:p>
        </w:tc>
        <w:tc>
          <w:tcPr>
            <w:tcW w:w="1135" w:type="dxa"/>
            <w:shd w:val="clear" w:color="auto" w:fill="auto"/>
            <w:tcMar>
              <w:top w:w="113" w:type="dxa"/>
              <w:left w:w="57" w:type="dxa"/>
              <w:bottom w:w="113" w:type="dxa"/>
              <w:right w:w="57" w:type="dxa"/>
            </w:tcMar>
          </w:tcPr>
          <w:p w14:paraId="34563F08" w14:textId="77777777" w:rsidR="004F5959" w:rsidRPr="00A7073B" w:rsidRDefault="004F5959" w:rsidP="004F5959">
            <w:pPr>
              <w:pStyle w:val="ListNumber"/>
              <w:numPr>
                <w:ilvl w:val="0"/>
                <w:numId w:val="0"/>
              </w:numPr>
              <w:jc w:val="center"/>
              <w:rPr>
                <w:sz w:val="20"/>
              </w:rPr>
            </w:pPr>
            <w:r>
              <w:t xml:space="preserve">Stopnja napak v proračunskem letu 202X </w:t>
            </w:r>
            <w:r>
              <w:br/>
            </w:r>
          </w:p>
          <w:p w14:paraId="6BBCF6DC" w14:textId="77777777" w:rsidR="004F5959" w:rsidRPr="00A7073B" w:rsidRDefault="004F5959" w:rsidP="00D7330B">
            <w:pPr>
              <w:pStyle w:val="ListNumber"/>
              <w:numPr>
                <w:ilvl w:val="0"/>
                <w:numId w:val="0"/>
              </w:numPr>
              <w:jc w:val="center"/>
              <w:rPr>
                <w:sz w:val="20"/>
              </w:rPr>
            </w:pPr>
            <w:r>
              <w:rPr>
                <w:sz w:val="20"/>
              </w:rPr>
              <w:t>[v %]</w:t>
            </w:r>
          </w:p>
        </w:tc>
        <w:tc>
          <w:tcPr>
            <w:tcW w:w="1559" w:type="dxa"/>
          </w:tcPr>
          <w:p w14:paraId="4B5757C6" w14:textId="77777777" w:rsidR="004F5959" w:rsidRPr="00A7073B" w:rsidRDefault="004F5959" w:rsidP="004F5959">
            <w:pPr>
              <w:pStyle w:val="ListNumber"/>
              <w:numPr>
                <w:ilvl w:val="0"/>
                <w:numId w:val="0"/>
              </w:numPr>
              <w:jc w:val="center"/>
              <w:rPr>
                <w:sz w:val="20"/>
              </w:rPr>
            </w:pPr>
            <w:r>
              <w:rPr>
                <w:sz w:val="20"/>
              </w:rPr>
              <w:t xml:space="preserve">Napaka na shemo/ukrep </w:t>
            </w:r>
          </w:p>
          <w:p w14:paraId="70CF1886" w14:textId="77777777" w:rsidR="004F5959" w:rsidRPr="00A7073B" w:rsidRDefault="004F5959" w:rsidP="004F5959">
            <w:pPr>
              <w:pStyle w:val="ListNumber"/>
              <w:numPr>
                <w:ilvl w:val="0"/>
                <w:numId w:val="0"/>
              </w:numPr>
              <w:jc w:val="center"/>
              <w:rPr>
                <w:sz w:val="20"/>
              </w:rPr>
            </w:pPr>
          </w:p>
          <w:p w14:paraId="53ECC577" w14:textId="77777777" w:rsidR="004F5959" w:rsidRPr="00A7073B" w:rsidRDefault="004F5959" w:rsidP="004F5959">
            <w:pPr>
              <w:pStyle w:val="ListNumber"/>
              <w:numPr>
                <w:ilvl w:val="0"/>
                <w:numId w:val="0"/>
              </w:numPr>
              <w:jc w:val="center"/>
              <w:rPr>
                <w:sz w:val="20"/>
              </w:rPr>
            </w:pPr>
            <w:r>
              <w:rPr>
                <w:sz w:val="20"/>
              </w:rPr>
              <w:t>[v EUR]</w:t>
            </w:r>
          </w:p>
        </w:tc>
      </w:tr>
      <w:tr w:rsidR="00A34007" w:rsidRPr="00A7073B" w14:paraId="1A926DED" w14:textId="77777777" w:rsidTr="004A6808">
        <w:trPr>
          <w:trHeight w:val="157"/>
          <w:tblHeader/>
        </w:trPr>
        <w:tc>
          <w:tcPr>
            <w:tcW w:w="2609" w:type="dxa"/>
            <w:shd w:val="clear" w:color="auto" w:fill="auto"/>
          </w:tcPr>
          <w:p w14:paraId="2F675125" w14:textId="77777777" w:rsidR="004F5959" w:rsidRPr="00A7073B" w:rsidRDefault="004F5959" w:rsidP="00D7330B">
            <w:pPr>
              <w:pStyle w:val="ListNumber"/>
              <w:numPr>
                <w:ilvl w:val="0"/>
                <w:numId w:val="0"/>
              </w:numPr>
              <w:spacing w:after="0"/>
              <w:jc w:val="left"/>
              <w:rPr>
                <w:sz w:val="20"/>
              </w:rPr>
            </w:pPr>
          </w:p>
        </w:tc>
        <w:tc>
          <w:tcPr>
            <w:tcW w:w="1417" w:type="dxa"/>
          </w:tcPr>
          <w:p w14:paraId="29A0C7F1" w14:textId="77777777" w:rsidR="004F5959" w:rsidRPr="00A7073B" w:rsidRDefault="004F5959" w:rsidP="00D7330B">
            <w:pPr>
              <w:pStyle w:val="ListNumber"/>
              <w:numPr>
                <w:ilvl w:val="0"/>
                <w:numId w:val="0"/>
              </w:numPr>
              <w:spacing w:after="0"/>
              <w:jc w:val="center"/>
              <w:rPr>
                <w:sz w:val="20"/>
              </w:rPr>
            </w:pPr>
          </w:p>
        </w:tc>
        <w:tc>
          <w:tcPr>
            <w:tcW w:w="1701" w:type="dxa"/>
          </w:tcPr>
          <w:p w14:paraId="182337AE" w14:textId="77777777" w:rsidR="004F5959" w:rsidRPr="00A7073B" w:rsidRDefault="004F5959" w:rsidP="00D7330B">
            <w:pPr>
              <w:pStyle w:val="ListNumber"/>
              <w:numPr>
                <w:ilvl w:val="0"/>
                <w:numId w:val="0"/>
              </w:numPr>
              <w:spacing w:after="0"/>
              <w:jc w:val="center"/>
              <w:rPr>
                <w:sz w:val="20"/>
              </w:rPr>
            </w:pPr>
          </w:p>
        </w:tc>
        <w:tc>
          <w:tcPr>
            <w:tcW w:w="1559" w:type="dxa"/>
            <w:shd w:val="clear" w:color="auto" w:fill="auto"/>
          </w:tcPr>
          <w:p w14:paraId="1A1BBA7F" w14:textId="77777777" w:rsidR="004F5959" w:rsidRPr="00A7073B" w:rsidRDefault="004F5959" w:rsidP="00D7330B">
            <w:pPr>
              <w:pStyle w:val="ListNumber"/>
              <w:numPr>
                <w:ilvl w:val="0"/>
                <w:numId w:val="0"/>
              </w:numPr>
              <w:spacing w:after="0"/>
              <w:jc w:val="center"/>
              <w:rPr>
                <w:sz w:val="20"/>
              </w:rPr>
            </w:pPr>
            <w:r>
              <w:rPr>
                <w:sz w:val="20"/>
              </w:rPr>
              <w:t>a</w:t>
            </w:r>
          </w:p>
        </w:tc>
        <w:tc>
          <w:tcPr>
            <w:tcW w:w="1417" w:type="dxa"/>
            <w:shd w:val="clear" w:color="auto" w:fill="auto"/>
            <w:tcMar>
              <w:top w:w="113" w:type="dxa"/>
              <w:left w:w="57" w:type="dxa"/>
              <w:bottom w:w="113" w:type="dxa"/>
              <w:right w:w="57" w:type="dxa"/>
            </w:tcMar>
          </w:tcPr>
          <w:p w14:paraId="34CE5B07" w14:textId="77777777" w:rsidR="004F5959" w:rsidRPr="00A7073B" w:rsidRDefault="004F5959" w:rsidP="00D7330B">
            <w:pPr>
              <w:pStyle w:val="ListNumber"/>
              <w:numPr>
                <w:ilvl w:val="0"/>
                <w:numId w:val="0"/>
              </w:numPr>
              <w:spacing w:after="0"/>
              <w:jc w:val="center"/>
              <w:rPr>
                <w:sz w:val="20"/>
              </w:rPr>
            </w:pPr>
            <w:r>
              <w:rPr>
                <w:sz w:val="20"/>
              </w:rPr>
              <w:t>b</w:t>
            </w:r>
          </w:p>
        </w:tc>
        <w:tc>
          <w:tcPr>
            <w:tcW w:w="1984" w:type="dxa"/>
            <w:shd w:val="clear" w:color="auto" w:fill="auto"/>
            <w:tcMar>
              <w:top w:w="113" w:type="dxa"/>
              <w:left w:w="57" w:type="dxa"/>
              <w:bottom w:w="113" w:type="dxa"/>
              <w:right w:w="57" w:type="dxa"/>
            </w:tcMar>
          </w:tcPr>
          <w:p w14:paraId="6B86DA8E" w14:textId="77777777" w:rsidR="004F5959" w:rsidRPr="00A7073B" w:rsidRDefault="004F5959" w:rsidP="00D7330B">
            <w:pPr>
              <w:pStyle w:val="ListNumber"/>
              <w:numPr>
                <w:ilvl w:val="0"/>
                <w:numId w:val="0"/>
              </w:numPr>
              <w:spacing w:after="0"/>
              <w:jc w:val="center"/>
              <w:rPr>
                <w:sz w:val="20"/>
              </w:rPr>
            </w:pPr>
            <w:r>
              <w:rPr>
                <w:sz w:val="20"/>
              </w:rPr>
              <w:t>c</w:t>
            </w:r>
          </w:p>
        </w:tc>
        <w:tc>
          <w:tcPr>
            <w:tcW w:w="1135" w:type="dxa"/>
            <w:shd w:val="clear" w:color="auto" w:fill="auto"/>
            <w:tcMar>
              <w:top w:w="113" w:type="dxa"/>
              <w:left w:w="57" w:type="dxa"/>
              <w:bottom w:w="113" w:type="dxa"/>
              <w:right w:w="57" w:type="dxa"/>
            </w:tcMar>
          </w:tcPr>
          <w:p w14:paraId="2F7B7093" w14:textId="77777777" w:rsidR="004F5959" w:rsidRPr="00A7073B" w:rsidRDefault="004F5959" w:rsidP="00D7330B">
            <w:pPr>
              <w:pStyle w:val="ListNumber"/>
              <w:numPr>
                <w:ilvl w:val="0"/>
                <w:numId w:val="0"/>
              </w:numPr>
              <w:spacing w:after="0"/>
              <w:jc w:val="center"/>
              <w:rPr>
                <w:sz w:val="20"/>
              </w:rPr>
            </w:pPr>
            <w:r>
              <w:rPr>
                <w:sz w:val="20"/>
              </w:rPr>
              <w:t>d = c/b</w:t>
            </w:r>
          </w:p>
        </w:tc>
        <w:tc>
          <w:tcPr>
            <w:tcW w:w="1559" w:type="dxa"/>
          </w:tcPr>
          <w:p w14:paraId="2D9A7BF7" w14:textId="77777777" w:rsidR="004F5959" w:rsidRPr="00A7073B" w:rsidRDefault="00A34007" w:rsidP="00D7330B">
            <w:pPr>
              <w:pStyle w:val="ListNumber"/>
              <w:numPr>
                <w:ilvl w:val="0"/>
                <w:numId w:val="0"/>
              </w:numPr>
              <w:spacing w:after="0"/>
              <w:jc w:val="center"/>
              <w:rPr>
                <w:sz w:val="20"/>
              </w:rPr>
            </w:pPr>
            <w:r>
              <w:rPr>
                <w:sz w:val="20"/>
              </w:rPr>
              <w:t>e = d * a</w:t>
            </w:r>
          </w:p>
        </w:tc>
      </w:tr>
      <w:tr w:rsidR="00A34007" w:rsidRPr="00A7073B" w14:paraId="0F1072AB" w14:textId="77777777" w:rsidTr="004A6808">
        <w:trPr>
          <w:trHeight w:val="440"/>
        </w:trPr>
        <w:tc>
          <w:tcPr>
            <w:tcW w:w="2609" w:type="dxa"/>
            <w:shd w:val="clear" w:color="auto" w:fill="auto"/>
          </w:tcPr>
          <w:p w14:paraId="7E8FE39A" w14:textId="77777777" w:rsidR="004F5959" w:rsidRPr="00A7073B" w:rsidRDefault="004F5959" w:rsidP="00D7330B">
            <w:pPr>
              <w:spacing w:after="100" w:afterAutospacing="1"/>
              <w:jc w:val="left"/>
              <w:rPr>
                <w:sz w:val="20"/>
              </w:rPr>
            </w:pPr>
            <w:r>
              <w:rPr>
                <w:sz w:val="20"/>
              </w:rPr>
              <w:t>Shema osnovnega plačila/</w:t>
            </w:r>
          </w:p>
          <w:p w14:paraId="711B8839" w14:textId="77777777" w:rsidR="004F5959" w:rsidRPr="00A7073B" w:rsidRDefault="004F5959" w:rsidP="00D7330B">
            <w:pPr>
              <w:spacing w:after="100" w:afterAutospacing="1"/>
              <w:jc w:val="left"/>
              <w:rPr>
                <w:sz w:val="20"/>
              </w:rPr>
            </w:pPr>
            <w:r>
              <w:rPr>
                <w:sz w:val="20"/>
              </w:rPr>
              <w:t>shema enotnega plačila</w:t>
            </w:r>
          </w:p>
        </w:tc>
        <w:tc>
          <w:tcPr>
            <w:tcW w:w="1417" w:type="dxa"/>
          </w:tcPr>
          <w:p w14:paraId="4845E785" w14:textId="77777777" w:rsidR="004F5959" w:rsidRPr="00A7073B" w:rsidRDefault="004F5959" w:rsidP="00D7330B">
            <w:pPr>
              <w:spacing w:after="100" w:afterAutospacing="1"/>
              <w:rPr>
                <w:sz w:val="20"/>
                <w:vertAlign w:val="superscript"/>
              </w:rPr>
            </w:pPr>
          </w:p>
        </w:tc>
        <w:tc>
          <w:tcPr>
            <w:tcW w:w="1701" w:type="dxa"/>
          </w:tcPr>
          <w:p w14:paraId="3CCFBA0D" w14:textId="77777777" w:rsidR="004F5959" w:rsidRPr="00A7073B" w:rsidRDefault="004F5959" w:rsidP="00D7330B">
            <w:pPr>
              <w:spacing w:after="100" w:afterAutospacing="1"/>
              <w:rPr>
                <w:sz w:val="20"/>
                <w:vertAlign w:val="superscript"/>
              </w:rPr>
            </w:pPr>
          </w:p>
        </w:tc>
        <w:tc>
          <w:tcPr>
            <w:tcW w:w="1559" w:type="dxa"/>
            <w:shd w:val="clear" w:color="auto" w:fill="auto"/>
          </w:tcPr>
          <w:p w14:paraId="08214B4F" w14:textId="77777777" w:rsidR="004F5959" w:rsidRPr="00A7073B" w:rsidRDefault="004F5959" w:rsidP="00D7330B">
            <w:pPr>
              <w:spacing w:after="100" w:afterAutospacing="1"/>
              <w:rPr>
                <w:sz w:val="20"/>
                <w:vertAlign w:val="superscript"/>
              </w:rPr>
            </w:pPr>
          </w:p>
        </w:tc>
        <w:tc>
          <w:tcPr>
            <w:tcW w:w="1417" w:type="dxa"/>
            <w:shd w:val="clear" w:color="auto" w:fill="auto"/>
          </w:tcPr>
          <w:p w14:paraId="0052CD3A" w14:textId="77777777" w:rsidR="004F5959" w:rsidRPr="00A7073B" w:rsidRDefault="004F5959" w:rsidP="00D7330B">
            <w:pPr>
              <w:spacing w:after="100" w:afterAutospacing="1"/>
              <w:rPr>
                <w:sz w:val="20"/>
                <w:vertAlign w:val="superscript"/>
              </w:rPr>
            </w:pPr>
          </w:p>
        </w:tc>
        <w:tc>
          <w:tcPr>
            <w:tcW w:w="1984" w:type="dxa"/>
            <w:shd w:val="clear" w:color="auto" w:fill="auto"/>
          </w:tcPr>
          <w:p w14:paraId="0397CE0A" w14:textId="77777777" w:rsidR="004F5959" w:rsidRPr="00A7073B" w:rsidRDefault="004F5959" w:rsidP="00D7330B">
            <w:pPr>
              <w:spacing w:after="100" w:afterAutospacing="1"/>
              <w:rPr>
                <w:sz w:val="20"/>
                <w:vertAlign w:val="superscript"/>
              </w:rPr>
            </w:pPr>
          </w:p>
        </w:tc>
        <w:tc>
          <w:tcPr>
            <w:tcW w:w="1135" w:type="dxa"/>
            <w:shd w:val="clear" w:color="auto" w:fill="auto"/>
          </w:tcPr>
          <w:p w14:paraId="71C8104D" w14:textId="77777777" w:rsidR="004F5959" w:rsidRPr="00A7073B" w:rsidRDefault="004F5959" w:rsidP="00D7330B">
            <w:pPr>
              <w:spacing w:after="100" w:afterAutospacing="1"/>
              <w:rPr>
                <w:sz w:val="20"/>
                <w:vertAlign w:val="superscript"/>
              </w:rPr>
            </w:pPr>
          </w:p>
        </w:tc>
        <w:tc>
          <w:tcPr>
            <w:tcW w:w="1559" w:type="dxa"/>
          </w:tcPr>
          <w:p w14:paraId="23264ACD" w14:textId="77777777" w:rsidR="004F5959" w:rsidRPr="00A7073B" w:rsidRDefault="004F5959" w:rsidP="00D7330B">
            <w:pPr>
              <w:spacing w:after="100" w:afterAutospacing="1"/>
              <w:rPr>
                <w:sz w:val="20"/>
                <w:vertAlign w:val="superscript"/>
              </w:rPr>
            </w:pPr>
          </w:p>
        </w:tc>
      </w:tr>
      <w:tr w:rsidR="00A34007" w:rsidRPr="00A7073B" w14:paraId="44C30D48" w14:textId="77777777" w:rsidTr="004A6808">
        <w:trPr>
          <w:trHeight w:val="440"/>
        </w:trPr>
        <w:tc>
          <w:tcPr>
            <w:tcW w:w="2609" w:type="dxa"/>
            <w:shd w:val="clear" w:color="auto" w:fill="auto"/>
          </w:tcPr>
          <w:p w14:paraId="050BB595" w14:textId="77777777" w:rsidR="004F5959" w:rsidRPr="00A7073B" w:rsidRDefault="004F5959" w:rsidP="00D7330B">
            <w:pPr>
              <w:spacing w:after="100" w:afterAutospacing="1"/>
              <w:jc w:val="left"/>
              <w:rPr>
                <w:sz w:val="20"/>
              </w:rPr>
            </w:pPr>
            <w:r>
              <w:rPr>
                <w:sz w:val="20"/>
              </w:rPr>
              <w:t>Plačilo za zeleno komponento</w:t>
            </w:r>
          </w:p>
        </w:tc>
        <w:tc>
          <w:tcPr>
            <w:tcW w:w="1417" w:type="dxa"/>
          </w:tcPr>
          <w:p w14:paraId="2D41D618" w14:textId="77777777" w:rsidR="004F5959" w:rsidRPr="00A7073B" w:rsidRDefault="004F5959" w:rsidP="00D7330B">
            <w:pPr>
              <w:spacing w:after="100" w:afterAutospacing="1"/>
              <w:rPr>
                <w:sz w:val="20"/>
                <w:vertAlign w:val="superscript"/>
              </w:rPr>
            </w:pPr>
          </w:p>
        </w:tc>
        <w:tc>
          <w:tcPr>
            <w:tcW w:w="1701" w:type="dxa"/>
          </w:tcPr>
          <w:p w14:paraId="51BF1CB3" w14:textId="77777777" w:rsidR="004F5959" w:rsidRPr="00A7073B" w:rsidRDefault="004F5959" w:rsidP="00D7330B">
            <w:pPr>
              <w:spacing w:after="100" w:afterAutospacing="1"/>
              <w:rPr>
                <w:sz w:val="20"/>
                <w:vertAlign w:val="superscript"/>
              </w:rPr>
            </w:pPr>
          </w:p>
        </w:tc>
        <w:tc>
          <w:tcPr>
            <w:tcW w:w="1559" w:type="dxa"/>
            <w:shd w:val="clear" w:color="auto" w:fill="auto"/>
          </w:tcPr>
          <w:p w14:paraId="2BBCF1E5" w14:textId="77777777" w:rsidR="004F5959" w:rsidRPr="00A7073B" w:rsidRDefault="004F5959" w:rsidP="00D7330B">
            <w:pPr>
              <w:spacing w:after="100" w:afterAutospacing="1"/>
              <w:rPr>
                <w:sz w:val="20"/>
                <w:vertAlign w:val="superscript"/>
              </w:rPr>
            </w:pPr>
          </w:p>
        </w:tc>
        <w:tc>
          <w:tcPr>
            <w:tcW w:w="1417" w:type="dxa"/>
            <w:shd w:val="clear" w:color="auto" w:fill="auto"/>
          </w:tcPr>
          <w:p w14:paraId="0A98A321" w14:textId="77777777" w:rsidR="004F5959" w:rsidRPr="00A7073B" w:rsidRDefault="004F5959" w:rsidP="00D7330B">
            <w:pPr>
              <w:spacing w:after="100" w:afterAutospacing="1"/>
              <w:rPr>
                <w:sz w:val="20"/>
                <w:vertAlign w:val="superscript"/>
              </w:rPr>
            </w:pPr>
          </w:p>
        </w:tc>
        <w:tc>
          <w:tcPr>
            <w:tcW w:w="1984" w:type="dxa"/>
            <w:shd w:val="clear" w:color="auto" w:fill="auto"/>
          </w:tcPr>
          <w:p w14:paraId="1CB6E0AA" w14:textId="77777777" w:rsidR="004F5959" w:rsidRPr="00A7073B" w:rsidRDefault="004F5959" w:rsidP="00D7330B">
            <w:pPr>
              <w:spacing w:after="100" w:afterAutospacing="1"/>
              <w:rPr>
                <w:sz w:val="20"/>
                <w:vertAlign w:val="superscript"/>
              </w:rPr>
            </w:pPr>
          </w:p>
        </w:tc>
        <w:tc>
          <w:tcPr>
            <w:tcW w:w="1135" w:type="dxa"/>
            <w:shd w:val="clear" w:color="auto" w:fill="auto"/>
          </w:tcPr>
          <w:p w14:paraId="2ED58BA9" w14:textId="77777777" w:rsidR="004F5959" w:rsidRPr="00A7073B" w:rsidRDefault="004F5959" w:rsidP="00D7330B">
            <w:pPr>
              <w:spacing w:after="100" w:afterAutospacing="1"/>
              <w:rPr>
                <w:sz w:val="20"/>
                <w:vertAlign w:val="superscript"/>
              </w:rPr>
            </w:pPr>
          </w:p>
        </w:tc>
        <w:tc>
          <w:tcPr>
            <w:tcW w:w="1559" w:type="dxa"/>
          </w:tcPr>
          <w:p w14:paraId="515BAB2F" w14:textId="77777777" w:rsidR="004F5959" w:rsidRPr="00A7073B" w:rsidRDefault="004F5959" w:rsidP="00D7330B">
            <w:pPr>
              <w:spacing w:after="100" w:afterAutospacing="1"/>
              <w:rPr>
                <w:sz w:val="20"/>
                <w:vertAlign w:val="superscript"/>
              </w:rPr>
            </w:pPr>
          </w:p>
        </w:tc>
      </w:tr>
      <w:tr w:rsidR="00A34007" w:rsidRPr="00A7073B" w14:paraId="428DE53B" w14:textId="77777777" w:rsidTr="004A6808">
        <w:trPr>
          <w:trHeight w:val="440"/>
        </w:trPr>
        <w:tc>
          <w:tcPr>
            <w:tcW w:w="2609" w:type="dxa"/>
            <w:shd w:val="clear" w:color="auto" w:fill="auto"/>
          </w:tcPr>
          <w:p w14:paraId="09E14984" w14:textId="77777777" w:rsidR="004F5959" w:rsidRPr="00A7073B" w:rsidRDefault="004F5959" w:rsidP="00D7330B">
            <w:pPr>
              <w:spacing w:after="100" w:afterAutospacing="1"/>
              <w:jc w:val="left"/>
              <w:rPr>
                <w:sz w:val="20"/>
              </w:rPr>
            </w:pPr>
            <w:r>
              <w:rPr>
                <w:sz w:val="20"/>
              </w:rPr>
              <w:t>Mladi kmetje</w:t>
            </w:r>
          </w:p>
        </w:tc>
        <w:tc>
          <w:tcPr>
            <w:tcW w:w="1417" w:type="dxa"/>
          </w:tcPr>
          <w:p w14:paraId="22CE15EF" w14:textId="77777777" w:rsidR="004F5959" w:rsidRPr="00A7073B" w:rsidRDefault="004F5959" w:rsidP="00D7330B">
            <w:pPr>
              <w:spacing w:after="100" w:afterAutospacing="1"/>
              <w:rPr>
                <w:sz w:val="20"/>
                <w:vertAlign w:val="superscript"/>
              </w:rPr>
            </w:pPr>
          </w:p>
        </w:tc>
        <w:tc>
          <w:tcPr>
            <w:tcW w:w="1701" w:type="dxa"/>
          </w:tcPr>
          <w:p w14:paraId="572C4884" w14:textId="77777777" w:rsidR="004F5959" w:rsidRPr="00A7073B" w:rsidRDefault="004F5959" w:rsidP="00D7330B">
            <w:pPr>
              <w:spacing w:after="100" w:afterAutospacing="1"/>
              <w:rPr>
                <w:sz w:val="20"/>
                <w:vertAlign w:val="superscript"/>
              </w:rPr>
            </w:pPr>
          </w:p>
        </w:tc>
        <w:tc>
          <w:tcPr>
            <w:tcW w:w="1559" w:type="dxa"/>
            <w:shd w:val="clear" w:color="auto" w:fill="auto"/>
          </w:tcPr>
          <w:p w14:paraId="58E6CFDC" w14:textId="77777777" w:rsidR="004F5959" w:rsidRPr="00A7073B" w:rsidRDefault="004F5959" w:rsidP="00D7330B">
            <w:pPr>
              <w:spacing w:after="100" w:afterAutospacing="1"/>
              <w:rPr>
                <w:sz w:val="20"/>
                <w:vertAlign w:val="superscript"/>
              </w:rPr>
            </w:pPr>
          </w:p>
        </w:tc>
        <w:tc>
          <w:tcPr>
            <w:tcW w:w="1417" w:type="dxa"/>
            <w:shd w:val="clear" w:color="auto" w:fill="auto"/>
          </w:tcPr>
          <w:p w14:paraId="29C117F2" w14:textId="77777777" w:rsidR="004F5959" w:rsidRPr="00A7073B" w:rsidRDefault="004F5959" w:rsidP="00D7330B">
            <w:pPr>
              <w:spacing w:after="100" w:afterAutospacing="1"/>
              <w:rPr>
                <w:sz w:val="20"/>
                <w:vertAlign w:val="superscript"/>
              </w:rPr>
            </w:pPr>
          </w:p>
        </w:tc>
        <w:tc>
          <w:tcPr>
            <w:tcW w:w="1984" w:type="dxa"/>
            <w:shd w:val="clear" w:color="auto" w:fill="auto"/>
          </w:tcPr>
          <w:p w14:paraId="6FC05D67" w14:textId="77777777" w:rsidR="004F5959" w:rsidRPr="00A7073B" w:rsidRDefault="004F5959" w:rsidP="00D7330B">
            <w:pPr>
              <w:spacing w:after="100" w:afterAutospacing="1"/>
              <w:rPr>
                <w:sz w:val="20"/>
                <w:vertAlign w:val="superscript"/>
              </w:rPr>
            </w:pPr>
          </w:p>
        </w:tc>
        <w:tc>
          <w:tcPr>
            <w:tcW w:w="1135" w:type="dxa"/>
            <w:shd w:val="clear" w:color="auto" w:fill="auto"/>
          </w:tcPr>
          <w:p w14:paraId="41CC24FD" w14:textId="77777777" w:rsidR="004F5959" w:rsidRPr="00A7073B" w:rsidRDefault="004F5959" w:rsidP="00D7330B">
            <w:pPr>
              <w:spacing w:after="100" w:afterAutospacing="1"/>
              <w:rPr>
                <w:sz w:val="20"/>
                <w:vertAlign w:val="superscript"/>
              </w:rPr>
            </w:pPr>
          </w:p>
        </w:tc>
        <w:tc>
          <w:tcPr>
            <w:tcW w:w="1559" w:type="dxa"/>
          </w:tcPr>
          <w:p w14:paraId="4FB3DF64" w14:textId="77777777" w:rsidR="004F5959" w:rsidRPr="00A7073B" w:rsidRDefault="004F5959" w:rsidP="00D7330B">
            <w:pPr>
              <w:spacing w:after="100" w:afterAutospacing="1"/>
              <w:rPr>
                <w:sz w:val="20"/>
                <w:vertAlign w:val="superscript"/>
              </w:rPr>
            </w:pPr>
          </w:p>
        </w:tc>
      </w:tr>
      <w:tr w:rsidR="00A34007" w:rsidRPr="00A7073B" w14:paraId="3EF98F28" w14:textId="77777777" w:rsidTr="004A6808">
        <w:trPr>
          <w:trHeight w:val="440"/>
        </w:trPr>
        <w:tc>
          <w:tcPr>
            <w:tcW w:w="2609" w:type="dxa"/>
            <w:shd w:val="clear" w:color="auto" w:fill="auto"/>
          </w:tcPr>
          <w:p w14:paraId="589FE378" w14:textId="77777777" w:rsidR="004F5959" w:rsidRPr="00A7073B" w:rsidRDefault="004F5959" w:rsidP="00D7330B">
            <w:pPr>
              <w:spacing w:after="100" w:afterAutospacing="1"/>
              <w:jc w:val="left"/>
              <w:rPr>
                <w:sz w:val="20"/>
              </w:rPr>
            </w:pPr>
            <w:r>
              <w:rPr>
                <w:sz w:val="20"/>
              </w:rPr>
              <w:t>Shema za male kmete</w:t>
            </w:r>
          </w:p>
        </w:tc>
        <w:tc>
          <w:tcPr>
            <w:tcW w:w="1417" w:type="dxa"/>
          </w:tcPr>
          <w:p w14:paraId="08E66709" w14:textId="77777777" w:rsidR="004F5959" w:rsidRPr="00A7073B" w:rsidRDefault="004F5959" w:rsidP="00D7330B">
            <w:pPr>
              <w:spacing w:after="100" w:afterAutospacing="1"/>
              <w:rPr>
                <w:sz w:val="20"/>
                <w:vertAlign w:val="superscript"/>
              </w:rPr>
            </w:pPr>
          </w:p>
        </w:tc>
        <w:tc>
          <w:tcPr>
            <w:tcW w:w="1701" w:type="dxa"/>
          </w:tcPr>
          <w:p w14:paraId="0A0B8217" w14:textId="77777777" w:rsidR="004F5959" w:rsidRPr="00A7073B" w:rsidRDefault="004F5959" w:rsidP="00D7330B">
            <w:pPr>
              <w:spacing w:after="100" w:afterAutospacing="1"/>
              <w:rPr>
                <w:sz w:val="20"/>
                <w:vertAlign w:val="superscript"/>
              </w:rPr>
            </w:pPr>
          </w:p>
        </w:tc>
        <w:tc>
          <w:tcPr>
            <w:tcW w:w="1559" w:type="dxa"/>
            <w:shd w:val="clear" w:color="auto" w:fill="auto"/>
          </w:tcPr>
          <w:p w14:paraId="768A5A35" w14:textId="77777777" w:rsidR="004F5959" w:rsidRPr="00A7073B" w:rsidRDefault="004F5959" w:rsidP="00D7330B">
            <w:pPr>
              <w:spacing w:after="100" w:afterAutospacing="1"/>
              <w:rPr>
                <w:sz w:val="20"/>
                <w:vertAlign w:val="superscript"/>
              </w:rPr>
            </w:pPr>
          </w:p>
        </w:tc>
        <w:tc>
          <w:tcPr>
            <w:tcW w:w="1417" w:type="dxa"/>
            <w:shd w:val="clear" w:color="auto" w:fill="auto"/>
          </w:tcPr>
          <w:p w14:paraId="34B3A9C0" w14:textId="77777777" w:rsidR="004F5959" w:rsidRPr="00A7073B" w:rsidRDefault="004F5959" w:rsidP="00D7330B">
            <w:pPr>
              <w:spacing w:after="100" w:afterAutospacing="1"/>
              <w:rPr>
                <w:sz w:val="20"/>
                <w:vertAlign w:val="superscript"/>
              </w:rPr>
            </w:pPr>
          </w:p>
        </w:tc>
        <w:tc>
          <w:tcPr>
            <w:tcW w:w="1984" w:type="dxa"/>
            <w:shd w:val="clear" w:color="auto" w:fill="auto"/>
          </w:tcPr>
          <w:p w14:paraId="6B840663" w14:textId="77777777" w:rsidR="004F5959" w:rsidRPr="00A7073B" w:rsidRDefault="004F5959" w:rsidP="00D7330B">
            <w:pPr>
              <w:spacing w:after="100" w:afterAutospacing="1"/>
              <w:rPr>
                <w:sz w:val="20"/>
                <w:vertAlign w:val="superscript"/>
              </w:rPr>
            </w:pPr>
          </w:p>
        </w:tc>
        <w:tc>
          <w:tcPr>
            <w:tcW w:w="1135" w:type="dxa"/>
            <w:shd w:val="clear" w:color="auto" w:fill="auto"/>
          </w:tcPr>
          <w:p w14:paraId="42F5E36C" w14:textId="77777777" w:rsidR="004F5959" w:rsidRPr="00A7073B" w:rsidRDefault="004F5959" w:rsidP="00D7330B">
            <w:pPr>
              <w:spacing w:after="100" w:afterAutospacing="1"/>
              <w:rPr>
                <w:sz w:val="20"/>
                <w:vertAlign w:val="superscript"/>
              </w:rPr>
            </w:pPr>
          </w:p>
        </w:tc>
        <w:tc>
          <w:tcPr>
            <w:tcW w:w="1559" w:type="dxa"/>
          </w:tcPr>
          <w:p w14:paraId="6E228FF5" w14:textId="77777777" w:rsidR="004F5959" w:rsidRPr="00A7073B" w:rsidRDefault="004F5959" w:rsidP="00D7330B">
            <w:pPr>
              <w:spacing w:after="100" w:afterAutospacing="1"/>
              <w:rPr>
                <w:sz w:val="20"/>
                <w:vertAlign w:val="superscript"/>
              </w:rPr>
            </w:pPr>
          </w:p>
        </w:tc>
      </w:tr>
      <w:tr w:rsidR="00A34007" w:rsidRPr="00A7073B" w14:paraId="0FE35C88" w14:textId="77777777" w:rsidTr="004A6808">
        <w:trPr>
          <w:trHeight w:val="440"/>
        </w:trPr>
        <w:tc>
          <w:tcPr>
            <w:tcW w:w="2609" w:type="dxa"/>
            <w:shd w:val="clear" w:color="auto" w:fill="auto"/>
          </w:tcPr>
          <w:p w14:paraId="06F5D3C4" w14:textId="77777777" w:rsidR="004F5959" w:rsidRPr="00A7073B" w:rsidRDefault="004F5959" w:rsidP="00D7330B">
            <w:pPr>
              <w:spacing w:after="100" w:afterAutospacing="1"/>
              <w:jc w:val="left"/>
              <w:rPr>
                <w:sz w:val="20"/>
              </w:rPr>
            </w:pPr>
            <w:r>
              <w:rPr>
                <w:sz w:val="20"/>
              </w:rPr>
              <w:t>………</w:t>
            </w:r>
          </w:p>
        </w:tc>
        <w:tc>
          <w:tcPr>
            <w:tcW w:w="1417" w:type="dxa"/>
          </w:tcPr>
          <w:p w14:paraId="1FC9BEB4" w14:textId="77777777" w:rsidR="004F5959" w:rsidRPr="00A7073B" w:rsidRDefault="004F5959" w:rsidP="00D7330B">
            <w:pPr>
              <w:spacing w:after="100" w:afterAutospacing="1"/>
              <w:rPr>
                <w:sz w:val="20"/>
                <w:vertAlign w:val="superscript"/>
              </w:rPr>
            </w:pPr>
          </w:p>
        </w:tc>
        <w:tc>
          <w:tcPr>
            <w:tcW w:w="1701" w:type="dxa"/>
          </w:tcPr>
          <w:p w14:paraId="19A5B138" w14:textId="77777777" w:rsidR="004F5959" w:rsidRPr="00A7073B" w:rsidRDefault="004F5959" w:rsidP="00D7330B">
            <w:pPr>
              <w:spacing w:after="100" w:afterAutospacing="1"/>
              <w:rPr>
                <w:sz w:val="20"/>
                <w:vertAlign w:val="superscript"/>
              </w:rPr>
            </w:pPr>
          </w:p>
        </w:tc>
        <w:tc>
          <w:tcPr>
            <w:tcW w:w="1559" w:type="dxa"/>
            <w:shd w:val="clear" w:color="auto" w:fill="auto"/>
          </w:tcPr>
          <w:p w14:paraId="048C832B" w14:textId="77777777" w:rsidR="004F5959" w:rsidRPr="00A7073B" w:rsidRDefault="004F5959" w:rsidP="00D7330B">
            <w:pPr>
              <w:spacing w:after="100" w:afterAutospacing="1"/>
              <w:rPr>
                <w:sz w:val="20"/>
                <w:vertAlign w:val="superscript"/>
              </w:rPr>
            </w:pPr>
          </w:p>
        </w:tc>
        <w:tc>
          <w:tcPr>
            <w:tcW w:w="1417" w:type="dxa"/>
            <w:shd w:val="clear" w:color="auto" w:fill="auto"/>
          </w:tcPr>
          <w:p w14:paraId="1D90C996" w14:textId="77777777" w:rsidR="004F5959" w:rsidRPr="00A7073B" w:rsidRDefault="004F5959" w:rsidP="00D7330B">
            <w:pPr>
              <w:spacing w:after="100" w:afterAutospacing="1"/>
              <w:rPr>
                <w:sz w:val="20"/>
                <w:vertAlign w:val="superscript"/>
              </w:rPr>
            </w:pPr>
          </w:p>
        </w:tc>
        <w:tc>
          <w:tcPr>
            <w:tcW w:w="1984" w:type="dxa"/>
            <w:shd w:val="clear" w:color="auto" w:fill="auto"/>
          </w:tcPr>
          <w:p w14:paraId="56924579" w14:textId="77777777" w:rsidR="004F5959" w:rsidRPr="00A7073B" w:rsidRDefault="004F5959" w:rsidP="00D7330B">
            <w:pPr>
              <w:spacing w:after="100" w:afterAutospacing="1"/>
              <w:rPr>
                <w:sz w:val="20"/>
                <w:vertAlign w:val="superscript"/>
              </w:rPr>
            </w:pPr>
          </w:p>
        </w:tc>
        <w:tc>
          <w:tcPr>
            <w:tcW w:w="1135" w:type="dxa"/>
            <w:shd w:val="clear" w:color="auto" w:fill="auto"/>
          </w:tcPr>
          <w:p w14:paraId="448025D2" w14:textId="77777777" w:rsidR="004F5959" w:rsidRPr="00A7073B" w:rsidRDefault="004F5959" w:rsidP="00D7330B">
            <w:pPr>
              <w:spacing w:after="100" w:afterAutospacing="1"/>
              <w:rPr>
                <w:sz w:val="20"/>
                <w:vertAlign w:val="superscript"/>
              </w:rPr>
            </w:pPr>
          </w:p>
        </w:tc>
        <w:tc>
          <w:tcPr>
            <w:tcW w:w="1559" w:type="dxa"/>
          </w:tcPr>
          <w:p w14:paraId="0337D497" w14:textId="77777777" w:rsidR="004F5959" w:rsidRPr="00A7073B" w:rsidRDefault="004F5959" w:rsidP="00D7330B">
            <w:pPr>
              <w:spacing w:after="100" w:afterAutospacing="1"/>
              <w:rPr>
                <w:sz w:val="20"/>
                <w:vertAlign w:val="superscript"/>
              </w:rPr>
            </w:pPr>
          </w:p>
        </w:tc>
      </w:tr>
      <w:tr w:rsidR="00A34007" w:rsidRPr="00A7073B" w14:paraId="3270A229" w14:textId="77777777" w:rsidTr="004A6808">
        <w:trPr>
          <w:trHeight w:val="440"/>
        </w:trPr>
        <w:tc>
          <w:tcPr>
            <w:tcW w:w="2609" w:type="dxa"/>
            <w:shd w:val="clear" w:color="auto" w:fill="auto"/>
          </w:tcPr>
          <w:p w14:paraId="20617F50" w14:textId="77777777" w:rsidR="004F5959" w:rsidRPr="00A7073B" w:rsidRDefault="004F5959" w:rsidP="00D7330B">
            <w:pPr>
              <w:spacing w:after="100" w:afterAutospacing="1"/>
              <w:jc w:val="left"/>
              <w:rPr>
                <w:sz w:val="20"/>
              </w:rPr>
            </w:pPr>
            <w:r>
              <w:rPr>
                <w:sz w:val="20"/>
              </w:rPr>
              <w:t>…………</w:t>
            </w:r>
          </w:p>
        </w:tc>
        <w:tc>
          <w:tcPr>
            <w:tcW w:w="1417" w:type="dxa"/>
          </w:tcPr>
          <w:p w14:paraId="575DE97E" w14:textId="77777777" w:rsidR="004F5959" w:rsidRPr="00A7073B" w:rsidRDefault="004F5959" w:rsidP="00D7330B">
            <w:pPr>
              <w:spacing w:after="100" w:afterAutospacing="1"/>
              <w:rPr>
                <w:sz w:val="20"/>
                <w:vertAlign w:val="superscript"/>
              </w:rPr>
            </w:pPr>
          </w:p>
        </w:tc>
        <w:tc>
          <w:tcPr>
            <w:tcW w:w="1701" w:type="dxa"/>
          </w:tcPr>
          <w:p w14:paraId="48D360E9" w14:textId="77777777" w:rsidR="004F5959" w:rsidRPr="00A7073B" w:rsidRDefault="004F5959" w:rsidP="00D7330B">
            <w:pPr>
              <w:spacing w:after="100" w:afterAutospacing="1"/>
              <w:rPr>
                <w:sz w:val="20"/>
                <w:vertAlign w:val="superscript"/>
              </w:rPr>
            </w:pPr>
          </w:p>
        </w:tc>
        <w:tc>
          <w:tcPr>
            <w:tcW w:w="1559" w:type="dxa"/>
            <w:shd w:val="clear" w:color="auto" w:fill="auto"/>
          </w:tcPr>
          <w:p w14:paraId="7039B830" w14:textId="77777777" w:rsidR="004F5959" w:rsidRPr="00A7073B" w:rsidRDefault="004F5959" w:rsidP="00D7330B">
            <w:pPr>
              <w:spacing w:after="100" w:afterAutospacing="1"/>
              <w:rPr>
                <w:sz w:val="20"/>
                <w:vertAlign w:val="superscript"/>
              </w:rPr>
            </w:pPr>
          </w:p>
        </w:tc>
        <w:tc>
          <w:tcPr>
            <w:tcW w:w="1417" w:type="dxa"/>
            <w:shd w:val="clear" w:color="auto" w:fill="auto"/>
          </w:tcPr>
          <w:p w14:paraId="715BF8B4" w14:textId="77777777" w:rsidR="004F5959" w:rsidRPr="00A7073B" w:rsidRDefault="004F5959" w:rsidP="00D7330B">
            <w:pPr>
              <w:spacing w:after="100" w:afterAutospacing="1"/>
              <w:rPr>
                <w:sz w:val="20"/>
                <w:vertAlign w:val="superscript"/>
              </w:rPr>
            </w:pPr>
          </w:p>
        </w:tc>
        <w:tc>
          <w:tcPr>
            <w:tcW w:w="1984" w:type="dxa"/>
            <w:shd w:val="clear" w:color="auto" w:fill="auto"/>
          </w:tcPr>
          <w:p w14:paraId="7061078D" w14:textId="77777777" w:rsidR="004F5959" w:rsidRPr="00A7073B" w:rsidRDefault="004F5959" w:rsidP="00D7330B">
            <w:pPr>
              <w:spacing w:after="100" w:afterAutospacing="1"/>
              <w:rPr>
                <w:sz w:val="20"/>
                <w:vertAlign w:val="superscript"/>
              </w:rPr>
            </w:pPr>
          </w:p>
        </w:tc>
        <w:tc>
          <w:tcPr>
            <w:tcW w:w="1135" w:type="dxa"/>
            <w:shd w:val="clear" w:color="auto" w:fill="auto"/>
          </w:tcPr>
          <w:p w14:paraId="556B974B" w14:textId="77777777" w:rsidR="004F5959" w:rsidRPr="00A7073B" w:rsidRDefault="004F5959" w:rsidP="00D7330B">
            <w:pPr>
              <w:spacing w:after="100" w:afterAutospacing="1"/>
              <w:rPr>
                <w:sz w:val="20"/>
                <w:vertAlign w:val="superscript"/>
              </w:rPr>
            </w:pPr>
          </w:p>
        </w:tc>
        <w:tc>
          <w:tcPr>
            <w:tcW w:w="1559" w:type="dxa"/>
          </w:tcPr>
          <w:p w14:paraId="1B9807D1" w14:textId="77777777" w:rsidR="004F5959" w:rsidRPr="00A7073B" w:rsidRDefault="004F5959" w:rsidP="00D7330B">
            <w:pPr>
              <w:spacing w:after="100" w:afterAutospacing="1"/>
              <w:rPr>
                <w:sz w:val="20"/>
                <w:vertAlign w:val="superscript"/>
              </w:rPr>
            </w:pPr>
          </w:p>
        </w:tc>
      </w:tr>
      <w:tr w:rsidR="00A34007" w:rsidRPr="00A7073B" w14:paraId="47FB4BA4" w14:textId="77777777" w:rsidTr="004A6808">
        <w:trPr>
          <w:trHeight w:val="440"/>
        </w:trPr>
        <w:tc>
          <w:tcPr>
            <w:tcW w:w="2609" w:type="dxa"/>
          </w:tcPr>
          <w:p w14:paraId="2609D271" w14:textId="77777777" w:rsidR="004F5959" w:rsidRPr="00A7073B" w:rsidDel="008F1662" w:rsidRDefault="004F5959" w:rsidP="00D7330B">
            <w:pPr>
              <w:spacing w:after="100" w:afterAutospacing="1"/>
              <w:jc w:val="left"/>
              <w:rPr>
                <w:b/>
                <w:sz w:val="20"/>
              </w:rPr>
            </w:pPr>
            <w:r>
              <w:rPr>
                <w:b/>
                <w:sz w:val="20"/>
              </w:rPr>
              <w:t>EKJS IAKS SKUPAJ</w:t>
            </w:r>
            <w:r>
              <w:rPr>
                <w:rStyle w:val="FootnoteReference"/>
                <w:rFonts w:ascii="Times New Roman" w:hAnsi="Times New Roman"/>
                <w:b/>
                <w:sz w:val="20"/>
                <w:vertAlign w:val="superscript"/>
              </w:rPr>
              <w:footnoteReference w:id="15"/>
            </w:r>
          </w:p>
        </w:tc>
        <w:tc>
          <w:tcPr>
            <w:tcW w:w="1417" w:type="dxa"/>
          </w:tcPr>
          <w:p w14:paraId="61DB00D5" w14:textId="77777777" w:rsidR="004F5959" w:rsidRPr="00A7073B" w:rsidRDefault="004F5959" w:rsidP="00D7330B">
            <w:pPr>
              <w:spacing w:after="100" w:afterAutospacing="1"/>
              <w:rPr>
                <w:b/>
                <w:sz w:val="20"/>
              </w:rPr>
            </w:pPr>
          </w:p>
        </w:tc>
        <w:tc>
          <w:tcPr>
            <w:tcW w:w="1701" w:type="dxa"/>
          </w:tcPr>
          <w:p w14:paraId="29BBC5AB" w14:textId="77777777" w:rsidR="004F5959" w:rsidRPr="00A7073B" w:rsidRDefault="004F5959" w:rsidP="00D7330B">
            <w:pPr>
              <w:spacing w:after="100" w:afterAutospacing="1"/>
              <w:rPr>
                <w:b/>
                <w:sz w:val="20"/>
              </w:rPr>
            </w:pPr>
          </w:p>
        </w:tc>
        <w:tc>
          <w:tcPr>
            <w:tcW w:w="1559" w:type="dxa"/>
          </w:tcPr>
          <w:p w14:paraId="239B063E" w14:textId="77777777" w:rsidR="004F5959" w:rsidRPr="00A7073B" w:rsidRDefault="004F5959" w:rsidP="00D7330B">
            <w:pPr>
              <w:spacing w:after="100" w:afterAutospacing="1"/>
              <w:rPr>
                <w:b/>
                <w:sz w:val="20"/>
              </w:rPr>
            </w:pPr>
          </w:p>
        </w:tc>
        <w:tc>
          <w:tcPr>
            <w:tcW w:w="1417" w:type="dxa"/>
          </w:tcPr>
          <w:p w14:paraId="0D4B3931" w14:textId="77777777" w:rsidR="004F5959" w:rsidRPr="00A7073B" w:rsidRDefault="004F5959" w:rsidP="00D7330B">
            <w:pPr>
              <w:spacing w:after="100" w:afterAutospacing="1"/>
              <w:rPr>
                <w:b/>
                <w:sz w:val="20"/>
              </w:rPr>
            </w:pPr>
          </w:p>
        </w:tc>
        <w:tc>
          <w:tcPr>
            <w:tcW w:w="1984" w:type="dxa"/>
          </w:tcPr>
          <w:p w14:paraId="19DDB6EA" w14:textId="77777777" w:rsidR="004F5959" w:rsidRPr="00A7073B" w:rsidRDefault="004F5959" w:rsidP="00D7330B">
            <w:pPr>
              <w:spacing w:after="100" w:afterAutospacing="1"/>
              <w:rPr>
                <w:b/>
                <w:sz w:val="20"/>
              </w:rPr>
            </w:pPr>
          </w:p>
        </w:tc>
        <w:tc>
          <w:tcPr>
            <w:tcW w:w="1135" w:type="dxa"/>
            <w:shd w:val="clear" w:color="auto" w:fill="7F7F7F"/>
          </w:tcPr>
          <w:p w14:paraId="69BEE5A1" w14:textId="77777777" w:rsidR="004F5959" w:rsidRPr="00A7073B" w:rsidRDefault="004F5959" w:rsidP="00D7330B">
            <w:pPr>
              <w:spacing w:after="100" w:afterAutospacing="1"/>
              <w:rPr>
                <w:b/>
                <w:sz w:val="20"/>
              </w:rPr>
            </w:pPr>
          </w:p>
        </w:tc>
        <w:tc>
          <w:tcPr>
            <w:tcW w:w="1559" w:type="dxa"/>
          </w:tcPr>
          <w:p w14:paraId="5B7C3B49" w14:textId="77777777" w:rsidR="004F5959" w:rsidRPr="00A7073B" w:rsidRDefault="004F5959" w:rsidP="00D7330B">
            <w:pPr>
              <w:spacing w:after="100" w:afterAutospacing="1"/>
              <w:rPr>
                <w:b/>
                <w:sz w:val="20"/>
              </w:rPr>
            </w:pPr>
          </w:p>
        </w:tc>
      </w:tr>
      <w:tr w:rsidR="00A34007" w:rsidRPr="00A7073B" w14:paraId="234ADA9A" w14:textId="77777777" w:rsidTr="004A6808">
        <w:trPr>
          <w:trHeight w:val="440"/>
        </w:trPr>
        <w:tc>
          <w:tcPr>
            <w:tcW w:w="2609" w:type="dxa"/>
            <w:shd w:val="clear" w:color="auto" w:fill="auto"/>
          </w:tcPr>
          <w:p w14:paraId="0E91B08B" w14:textId="77777777" w:rsidR="004F5959" w:rsidRPr="00A7073B" w:rsidRDefault="004F5959" w:rsidP="00D7330B">
            <w:pPr>
              <w:tabs>
                <w:tab w:val="left" w:pos="516"/>
              </w:tabs>
              <w:spacing w:before="60" w:after="60"/>
              <w:jc w:val="left"/>
              <w:rPr>
                <w:sz w:val="20"/>
              </w:rPr>
            </w:pPr>
            <w:r>
              <w:rPr>
                <w:sz w:val="20"/>
              </w:rPr>
              <w:lastRenderedPageBreak/>
              <w:t>Operativni programi v sektorju sadja in zelenjave</w:t>
            </w:r>
          </w:p>
        </w:tc>
        <w:tc>
          <w:tcPr>
            <w:tcW w:w="1417" w:type="dxa"/>
          </w:tcPr>
          <w:p w14:paraId="062E6F6F" w14:textId="77777777" w:rsidR="004F5959" w:rsidRPr="00A7073B" w:rsidRDefault="004F5959" w:rsidP="00D7330B">
            <w:pPr>
              <w:spacing w:after="100" w:afterAutospacing="1"/>
              <w:rPr>
                <w:sz w:val="20"/>
              </w:rPr>
            </w:pPr>
          </w:p>
        </w:tc>
        <w:tc>
          <w:tcPr>
            <w:tcW w:w="1701" w:type="dxa"/>
          </w:tcPr>
          <w:p w14:paraId="3E75ABDF" w14:textId="77777777" w:rsidR="004F5959" w:rsidRPr="00A7073B" w:rsidRDefault="004F5959" w:rsidP="00D7330B">
            <w:pPr>
              <w:spacing w:after="100" w:afterAutospacing="1"/>
              <w:rPr>
                <w:sz w:val="20"/>
              </w:rPr>
            </w:pPr>
          </w:p>
        </w:tc>
        <w:tc>
          <w:tcPr>
            <w:tcW w:w="1559" w:type="dxa"/>
            <w:shd w:val="clear" w:color="auto" w:fill="auto"/>
          </w:tcPr>
          <w:p w14:paraId="434F6CD8" w14:textId="77777777" w:rsidR="004F5959" w:rsidRPr="00A7073B" w:rsidRDefault="004F5959" w:rsidP="00D7330B">
            <w:pPr>
              <w:spacing w:after="100" w:afterAutospacing="1"/>
              <w:rPr>
                <w:sz w:val="20"/>
              </w:rPr>
            </w:pPr>
          </w:p>
        </w:tc>
        <w:tc>
          <w:tcPr>
            <w:tcW w:w="1417" w:type="dxa"/>
            <w:shd w:val="clear" w:color="auto" w:fill="auto"/>
          </w:tcPr>
          <w:p w14:paraId="590F6459" w14:textId="77777777" w:rsidR="004F5959" w:rsidRPr="00A7073B" w:rsidRDefault="004F5959" w:rsidP="00D7330B">
            <w:pPr>
              <w:spacing w:after="100" w:afterAutospacing="1"/>
              <w:rPr>
                <w:sz w:val="20"/>
              </w:rPr>
            </w:pPr>
          </w:p>
        </w:tc>
        <w:tc>
          <w:tcPr>
            <w:tcW w:w="1984" w:type="dxa"/>
            <w:shd w:val="clear" w:color="auto" w:fill="auto"/>
          </w:tcPr>
          <w:p w14:paraId="3E8987EB" w14:textId="77777777" w:rsidR="004F5959" w:rsidRPr="00A7073B" w:rsidRDefault="004F5959" w:rsidP="00D7330B">
            <w:pPr>
              <w:spacing w:after="100" w:afterAutospacing="1"/>
              <w:rPr>
                <w:sz w:val="20"/>
              </w:rPr>
            </w:pPr>
          </w:p>
        </w:tc>
        <w:tc>
          <w:tcPr>
            <w:tcW w:w="1135" w:type="dxa"/>
            <w:shd w:val="clear" w:color="auto" w:fill="auto"/>
          </w:tcPr>
          <w:p w14:paraId="3D301731" w14:textId="77777777" w:rsidR="004F5959" w:rsidRPr="00A7073B" w:rsidRDefault="004F5959" w:rsidP="00D7330B">
            <w:pPr>
              <w:spacing w:after="100" w:afterAutospacing="1"/>
              <w:rPr>
                <w:sz w:val="20"/>
              </w:rPr>
            </w:pPr>
          </w:p>
        </w:tc>
        <w:tc>
          <w:tcPr>
            <w:tcW w:w="1559" w:type="dxa"/>
          </w:tcPr>
          <w:p w14:paraId="78F67DF3" w14:textId="77777777" w:rsidR="004F5959" w:rsidRPr="00A7073B" w:rsidRDefault="004F5959" w:rsidP="00D7330B">
            <w:pPr>
              <w:spacing w:after="100" w:afterAutospacing="1"/>
              <w:rPr>
                <w:sz w:val="20"/>
              </w:rPr>
            </w:pPr>
          </w:p>
        </w:tc>
      </w:tr>
      <w:tr w:rsidR="00A34007" w:rsidRPr="00A7073B" w14:paraId="6C0C4C7E" w14:textId="77777777" w:rsidTr="004A6808">
        <w:trPr>
          <w:trHeight w:val="440"/>
        </w:trPr>
        <w:tc>
          <w:tcPr>
            <w:tcW w:w="2609" w:type="dxa"/>
            <w:shd w:val="clear" w:color="auto" w:fill="auto"/>
          </w:tcPr>
          <w:p w14:paraId="09B0FB39" w14:textId="77777777" w:rsidR="004F5959" w:rsidRPr="00A7073B" w:rsidRDefault="004F5959" w:rsidP="00D7330B">
            <w:pPr>
              <w:tabs>
                <w:tab w:val="left" w:pos="516"/>
              </w:tabs>
              <w:spacing w:before="60" w:after="60"/>
              <w:jc w:val="left"/>
              <w:rPr>
                <w:sz w:val="20"/>
              </w:rPr>
            </w:pPr>
            <w:r>
              <w:rPr>
                <w:sz w:val="20"/>
              </w:rPr>
              <w:t>Skupine proizvajalcev v sektorju sadja in zelenjave</w:t>
            </w:r>
          </w:p>
        </w:tc>
        <w:tc>
          <w:tcPr>
            <w:tcW w:w="1417" w:type="dxa"/>
          </w:tcPr>
          <w:p w14:paraId="65A272CD" w14:textId="77777777" w:rsidR="004F5959" w:rsidRPr="00A7073B" w:rsidRDefault="004F5959" w:rsidP="00D7330B">
            <w:pPr>
              <w:spacing w:after="100" w:afterAutospacing="1"/>
              <w:rPr>
                <w:sz w:val="20"/>
              </w:rPr>
            </w:pPr>
          </w:p>
        </w:tc>
        <w:tc>
          <w:tcPr>
            <w:tcW w:w="1701" w:type="dxa"/>
          </w:tcPr>
          <w:p w14:paraId="241B0C0C" w14:textId="77777777" w:rsidR="004F5959" w:rsidRPr="00A7073B" w:rsidRDefault="004F5959" w:rsidP="00D7330B">
            <w:pPr>
              <w:spacing w:after="100" w:afterAutospacing="1"/>
              <w:rPr>
                <w:sz w:val="20"/>
              </w:rPr>
            </w:pPr>
          </w:p>
        </w:tc>
        <w:tc>
          <w:tcPr>
            <w:tcW w:w="1559" w:type="dxa"/>
            <w:shd w:val="clear" w:color="auto" w:fill="auto"/>
          </w:tcPr>
          <w:p w14:paraId="3CA9FF94" w14:textId="77777777" w:rsidR="004F5959" w:rsidRPr="00A7073B" w:rsidRDefault="004F5959" w:rsidP="00D7330B">
            <w:pPr>
              <w:spacing w:after="100" w:afterAutospacing="1"/>
              <w:rPr>
                <w:sz w:val="20"/>
              </w:rPr>
            </w:pPr>
          </w:p>
        </w:tc>
        <w:tc>
          <w:tcPr>
            <w:tcW w:w="1417" w:type="dxa"/>
            <w:shd w:val="clear" w:color="auto" w:fill="auto"/>
          </w:tcPr>
          <w:p w14:paraId="60BE94B9" w14:textId="77777777" w:rsidR="004F5959" w:rsidRPr="00A7073B" w:rsidRDefault="0019504A" w:rsidP="00D7330B">
            <w:pPr>
              <w:spacing w:after="100" w:afterAutospacing="1"/>
              <w:rPr>
                <w:sz w:val="20"/>
              </w:rPr>
            </w:pPr>
            <w:r>
              <w:rPr>
                <w:rStyle w:val="FootnoteReference"/>
              </w:rPr>
              <w:footnoteReference w:id="16"/>
            </w:r>
          </w:p>
        </w:tc>
        <w:tc>
          <w:tcPr>
            <w:tcW w:w="1984" w:type="dxa"/>
            <w:shd w:val="clear" w:color="auto" w:fill="auto"/>
          </w:tcPr>
          <w:p w14:paraId="0A5C73BF" w14:textId="77777777" w:rsidR="004F5959" w:rsidRPr="00A7073B" w:rsidRDefault="004F5959" w:rsidP="00D7330B">
            <w:pPr>
              <w:spacing w:after="100" w:afterAutospacing="1"/>
              <w:rPr>
                <w:sz w:val="20"/>
              </w:rPr>
            </w:pPr>
          </w:p>
        </w:tc>
        <w:tc>
          <w:tcPr>
            <w:tcW w:w="1135" w:type="dxa"/>
            <w:shd w:val="clear" w:color="auto" w:fill="auto"/>
          </w:tcPr>
          <w:p w14:paraId="17D12781" w14:textId="77777777" w:rsidR="004F5959" w:rsidRPr="00A7073B" w:rsidRDefault="004F5959" w:rsidP="00D7330B">
            <w:pPr>
              <w:spacing w:after="100" w:afterAutospacing="1"/>
              <w:rPr>
                <w:sz w:val="20"/>
              </w:rPr>
            </w:pPr>
          </w:p>
        </w:tc>
        <w:tc>
          <w:tcPr>
            <w:tcW w:w="1559" w:type="dxa"/>
          </w:tcPr>
          <w:p w14:paraId="4DE52D6B" w14:textId="77777777" w:rsidR="004F5959" w:rsidRPr="00A7073B" w:rsidRDefault="004F5959" w:rsidP="00D7330B">
            <w:pPr>
              <w:spacing w:after="100" w:afterAutospacing="1"/>
              <w:rPr>
                <w:sz w:val="20"/>
              </w:rPr>
            </w:pPr>
          </w:p>
        </w:tc>
      </w:tr>
      <w:tr w:rsidR="00A34007" w:rsidRPr="00A7073B" w14:paraId="095590A0" w14:textId="77777777" w:rsidTr="004A6808">
        <w:trPr>
          <w:trHeight w:val="440"/>
        </w:trPr>
        <w:tc>
          <w:tcPr>
            <w:tcW w:w="2609" w:type="dxa"/>
            <w:shd w:val="clear" w:color="auto" w:fill="auto"/>
          </w:tcPr>
          <w:p w14:paraId="2EDF69D2" w14:textId="77777777" w:rsidR="004F5959" w:rsidRPr="00A7073B" w:rsidRDefault="004F5959" w:rsidP="00D7330B">
            <w:pPr>
              <w:tabs>
                <w:tab w:val="left" w:pos="516"/>
              </w:tabs>
              <w:spacing w:before="60" w:after="60"/>
              <w:jc w:val="left"/>
              <w:rPr>
                <w:sz w:val="20"/>
              </w:rPr>
            </w:pPr>
            <w:r>
              <w:rPr>
                <w:sz w:val="20"/>
              </w:rPr>
              <w:t>Vino – prestrukturiranje in preusmeritev</w:t>
            </w:r>
          </w:p>
        </w:tc>
        <w:tc>
          <w:tcPr>
            <w:tcW w:w="1417" w:type="dxa"/>
          </w:tcPr>
          <w:p w14:paraId="4BEB746E" w14:textId="77777777" w:rsidR="004F5959" w:rsidRPr="00A7073B" w:rsidRDefault="004F5959" w:rsidP="00D7330B">
            <w:pPr>
              <w:spacing w:after="100" w:afterAutospacing="1"/>
              <w:rPr>
                <w:sz w:val="20"/>
              </w:rPr>
            </w:pPr>
          </w:p>
        </w:tc>
        <w:tc>
          <w:tcPr>
            <w:tcW w:w="1701" w:type="dxa"/>
          </w:tcPr>
          <w:p w14:paraId="22DE8351" w14:textId="77777777" w:rsidR="004F5959" w:rsidRPr="00A7073B" w:rsidRDefault="004F5959" w:rsidP="00D7330B">
            <w:pPr>
              <w:spacing w:after="100" w:afterAutospacing="1"/>
              <w:rPr>
                <w:sz w:val="20"/>
              </w:rPr>
            </w:pPr>
          </w:p>
        </w:tc>
        <w:tc>
          <w:tcPr>
            <w:tcW w:w="1559" w:type="dxa"/>
            <w:shd w:val="clear" w:color="auto" w:fill="auto"/>
          </w:tcPr>
          <w:p w14:paraId="4D608EB8" w14:textId="77777777" w:rsidR="004F5959" w:rsidRPr="00A7073B" w:rsidRDefault="004F5959" w:rsidP="00D7330B">
            <w:pPr>
              <w:spacing w:after="100" w:afterAutospacing="1"/>
              <w:rPr>
                <w:sz w:val="20"/>
              </w:rPr>
            </w:pPr>
          </w:p>
        </w:tc>
        <w:tc>
          <w:tcPr>
            <w:tcW w:w="1417" w:type="dxa"/>
            <w:shd w:val="clear" w:color="auto" w:fill="auto"/>
          </w:tcPr>
          <w:p w14:paraId="0C500FF3" w14:textId="77777777" w:rsidR="004F5959" w:rsidRPr="00A7073B" w:rsidRDefault="004F5959" w:rsidP="00D7330B">
            <w:pPr>
              <w:spacing w:after="100" w:afterAutospacing="1"/>
              <w:rPr>
                <w:sz w:val="20"/>
              </w:rPr>
            </w:pPr>
          </w:p>
        </w:tc>
        <w:tc>
          <w:tcPr>
            <w:tcW w:w="1984" w:type="dxa"/>
            <w:shd w:val="clear" w:color="auto" w:fill="auto"/>
          </w:tcPr>
          <w:p w14:paraId="76808E5A" w14:textId="77777777" w:rsidR="004F5959" w:rsidRPr="00A7073B" w:rsidRDefault="004F5959" w:rsidP="00D7330B">
            <w:pPr>
              <w:spacing w:after="100" w:afterAutospacing="1"/>
              <w:rPr>
                <w:sz w:val="20"/>
              </w:rPr>
            </w:pPr>
          </w:p>
        </w:tc>
        <w:tc>
          <w:tcPr>
            <w:tcW w:w="1135" w:type="dxa"/>
            <w:shd w:val="clear" w:color="auto" w:fill="auto"/>
          </w:tcPr>
          <w:p w14:paraId="3CE211ED" w14:textId="77777777" w:rsidR="004F5959" w:rsidRPr="00A7073B" w:rsidRDefault="004F5959" w:rsidP="00D7330B">
            <w:pPr>
              <w:spacing w:after="100" w:afterAutospacing="1"/>
              <w:rPr>
                <w:sz w:val="20"/>
              </w:rPr>
            </w:pPr>
          </w:p>
        </w:tc>
        <w:tc>
          <w:tcPr>
            <w:tcW w:w="1559" w:type="dxa"/>
          </w:tcPr>
          <w:p w14:paraId="47D6750F" w14:textId="77777777" w:rsidR="004F5959" w:rsidRPr="00A7073B" w:rsidRDefault="004F5959" w:rsidP="00D7330B">
            <w:pPr>
              <w:spacing w:after="100" w:afterAutospacing="1"/>
              <w:rPr>
                <w:sz w:val="20"/>
              </w:rPr>
            </w:pPr>
          </w:p>
        </w:tc>
      </w:tr>
      <w:tr w:rsidR="00A34007" w:rsidRPr="00A7073B" w14:paraId="5172917B" w14:textId="77777777" w:rsidTr="004A6808">
        <w:trPr>
          <w:trHeight w:val="440"/>
        </w:trPr>
        <w:tc>
          <w:tcPr>
            <w:tcW w:w="2609" w:type="dxa"/>
            <w:shd w:val="clear" w:color="auto" w:fill="auto"/>
          </w:tcPr>
          <w:p w14:paraId="329A0B3D" w14:textId="77777777" w:rsidR="004F5959" w:rsidRPr="00A7073B" w:rsidRDefault="004F5959" w:rsidP="00D7330B">
            <w:pPr>
              <w:tabs>
                <w:tab w:val="left" w:pos="516"/>
              </w:tabs>
              <w:spacing w:before="60" w:after="60"/>
              <w:jc w:val="left"/>
              <w:rPr>
                <w:sz w:val="20"/>
              </w:rPr>
            </w:pPr>
            <w:r>
              <w:rPr>
                <w:sz w:val="20"/>
              </w:rPr>
              <w:t>POSEI (razen neposrednih in drugih pomoči)</w:t>
            </w:r>
          </w:p>
        </w:tc>
        <w:tc>
          <w:tcPr>
            <w:tcW w:w="1417" w:type="dxa"/>
          </w:tcPr>
          <w:p w14:paraId="5AADF714" w14:textId="77777777" w:rsidR="004F5959" w:rsidRPr="00A7073B" w:rsidRDefault="004F5959" w:rsidP="00D7330B">
            <w:pPr>
              <w:spacing w:after="100" w:afterAutospacing="1"/>
              <w:rPr>
                <w:sz w:val="20"/>
              </w:rPr>
            </w:pPr>
          </w:p>
        </w:tc>
        <w:tc>
          <w:tcPr>
            <w:tcW w:w="1701" w:type="dxa"/>
          </w:tcPr>
          <w:p w14:paraId="5EECA4E3" w14:textId="77777777" w:rsidR="004F5959" w:rsidRPr="00A7073B" w:rsidRDefault="004F5959" w:rsidP="00D7330B">
            <w:pPr>
              <w:spacing w:after="100" w:afterAutospacing="1"/>
              <w:rPr>
                <w:sz w:val="20"/>
              </w:rPr>
            </w:pPr>
          </w:p>
        </w:tc>
        <w:tc>
          <w:tcPr>
            <w:tcW w:w="1559" w:type="dxa"/>
            <w:shd w:val="clear" w:color="auto" w:fill="auto"/>
          </w:tcPr>
          <w:p w14:paraId="377E8483" w14:textId="77777777" w:rsidR="004F5959" w:rsidRPr="00A7073B" w:rsidRDefault="004F5959" w:rsidP="00D7330B">
            <w:pPr>
              <w:spacing w:after="100" w:afterAutospacing="1"/>
              <w:rPr>
                <w:sz w:val="20"/>
              </w:rPr>
            </w:pPr>
          </w:p>
        </w:tc>
        <w:tc>
          <w:tcPr>
            <w:tcW w:w="1417" w:type="dxa"/>
            <w:shd w:val="clear" w:color="auto" w:fill="auto"/>
          </w:tcPr>
          <w:p w14:paraId="0BAE6C96" w14:textId="77777777" w:rsidR="004F5959" w:rsidRPr="00A7073B" w:rsidRDefault="004F5959" w:rsidP="00D7330B">
            <w:pPr>
              <w:spacing w:after="100" w:afterAutospacing="1"/>
              <w:rPr>
                <w:sz w:val="20"/>
              </w:rPr>
            </w:pPr>
          </w:p>
        </w:tc>
        <w:tc>
          <w:tcPr>
            <w:tcW w:w="1984" w:type="dxa"/>
            <w:shd w:val="clear" w:color="auto" w:fill="auto"/>
          </w:tcPr>
          <w:p w14:paraId="3D88658C" w14:textId="77777777" w:rsidR="004F5959" w:rsidRPr="00A7073B" w:rsidRDefault="004F5959" w:rsidP="00D7330B">
            <w:pPr>
              <w:spacing w:after="100" w:afterAutospacing="1"/>
              <w:rPr>
                <w:sz w:val="20"/>
              </w:rPr>
            </w:pPr>
          </w:p>
        </w:tc>
        <w:tc>
          <w:tcPr>
            <w:tcW w:w="1135" w:type="dxa"/>
            <w:shd w:val="clear" w:color="auto" w:fill="auto"/>
          </w:tcPr>
          <w:p w14:paraId="34AC8866" w14:textId="77777777" w:rsidR="004F5959" w:rsidRPr="00A7073B" w:rsidRDefault="004F5959" w:rsidP="00D7330B">
            <w:pPr>
              <w:spacing w:after="100" w:afterAutospacing="1"/>
              <w:rPr>
                <w:sz w:val="20"/>
              </w:rPr>
            </w:pPr>
          </w:p>
        </w:tc>
        <w:tc>
          <w:tcPr>
            <w:tcW w:w="1559" w:type="dxa"/>
          </w:tcPr>
          <w:p w14:paraId="59F9710B" w14:textId="77777777" w:rsidR="004F5959" w:rsidRPr="00A7073B" w:rsidRDefault="004F5959" w:rsidP="00D7330B">
            <w:pPr>
              <w:spacing w:after="100" w:afterAutospacing="1"/>
              <w:rPr>
                <w:sz w:val="20"/>
              </w:rPr>
            </w:pPr>
          </w:p>
        </w:tc>
      </w:tr>
      <w:tr w:rsidR="00A34007" w:rsidRPr="00A7073B" w14:paraId="67E01888" w14:textId="77777777" w:rsidTr="004A6808">
        <w:trPr>
          <w:trHeight w:val="440"/>
        </w:trPr>
        <w:tc>
          <w:tcPr>
            <w:tcW w:w="2609" w:type="dxa"/>
            <w:shd w:val="clear" w:color="auto" w:fill="auto"/>
          </w:tcPr>
          <w:p w14:paraId="3343F766" w14:textId="77777777" w:rsidR="004F5959" w:rsidRPr="00A7073B" w:rsidRDefault="004F5959" w:rsidP="00D7330B">
            <w:pPr>
              <w:tabs>
                <w:tab w:val="left" w:pos="516"/>
              </w:tabs>
              <w:spacing w:before="60" w:after="60"/>
              <w:jc w:val="left"/>
              <w:rPr>
                <w:sz w:val="20"/>
              </w:rPr>
            </w:pPr>
            <w:r>
              <w:rPr>
                <w:sz w:val="20"/>
              </w:rPr>
              <w:t>……</w:t>
            </w:r>
            <w:r>
              <w:rPr>
                <w:rStyle w:val="FootnoteReference"/>
              </w:rPr>
              <w:footnoteReference w:id="17"/>
            </w:r>
          </w:p>
        </w:tc>
        <w:tc>
          <w:tcPr>
            <w:tcW w:w="1417" w:type="dxa"/>
          </w:tcPr>
          <w:p w14:paraId="5176C41E" w14:textId="77777777" w:rsidR="004F5959" w:rsidRPr="00A7073B" w:rsidRDefault="004F5959" w:rsidP="00D7330B">
            <w:pPr>
              <w:spacing w:after="100" w:afterAutospacing="1"/>
              <w:rPr>
                <w:sz w:val="20"/>
              </w:rPr>
            </w:pPr>
          </w:p>
        </w:tc>
        <w:tc>
          <w:tcPr>
            <w:tcW w:w="1701" w:type="dxa"/>
          </w:tcPr>
          <w:p w14:paraId="544E985A" w14:textId="77777777" w:rsidR="004F5959" w:rsidRPr="00A7073B" w:rsidRDefault="004F5959" w:rsidP="00D7330B">
            <w:pPr>
              <w:spacing w:after="100" w:afterAutospacing="1"/>
              <w:rPr>
                <w:sz w:val="20"/>
              </w:rPr>
            </w:pPr>
          </w:p>
        </w:tc>
        <w:tc>
          <w:tcPr>
            <w:tcW w:w="1559" w:type="dxa"/>
            <w:shd w:val="clear" w:color="auto" w:fill="auto"/>
          </w:tcPr>
          <w:p w14:paraId="66378C49" w14:textId="77777777" w:rsidR="004F5959" w:rsidRPr="00A7073B" w:rsidRDefault="004F5959" w:rsidP="00D7330B">
            <w:pPr>
              <w:spacing w:after="100" w:afterAutospacing="1"/>
              <w:rPr>
                <w:sz w:val="20"/>
              </w:rPr>
            </w:pPr>
          </w:p>
        </w:tc>
        <w:tc>
          <w:tcPr>
            <w:tcW w:w="1417" w:type="dxa"/>
            <w:shd w:val="clear" w:color="auto" w:fill="auto"/>
          </w:tcPr>
          <w:p w14:paraId="7C0DB351" w14:textId="77777777" w:rsidR="004F5959" w:rsidRPr="00A7073B" w:rsidRDefault="004F5959" w:rsidP="00D7330B">
            <w:pPr>
              <w:spacing w:after="100" w:afterAutospacing="1"/>
              <w:rPr>
                <w:sz w:val="20"/>
              </w:rPr>
            </w:pPr>
          </w:p>
        </w:tc>
        <w:tc>
          <w:tcPr>
            <w:tcW w:w="1984" w:type="dxa"/>
            <w:shd w:val="clear" w:color="auto" w:fill="auto"/>
          </w:tcPr>
          <w:p w14:paraId="34A532B9" w14:textId="77777777" w:rsidR="004F5959" w:rsidRPr="00A7073B" w:rsidRDefault="004F5959" w:rsidP="00D7330B">
            <w:pPr>
              <w:spacing w:after="100" w:afterAutospacing="1"/>
              <w:rPr>
                <w:sz w:val="20"/>
              </w:rPr>
            </w:pPr>
          </w:p>
        </w:tc>
        <w:tc>
          <w:tcPr>
            <w:tcW w:w="1135" w:type="dxa"/>
            <w:shd w:val="clear" w:color="auto" w:fill="auto"/>
          </w:tcPr>
          <w:p w14:paraId="4097A645" w14:textId="77777777" w:rsidR="004F5959" w:rsidRPr="00A7073B" w:rsidRDefault="004F5959" w:rsidP="00D7330B">
            <w:pPr>
              <w:spacing w:after="100" w:afterAutospacing="1"/>
              <w:rPr>
                <w:sz w:val="20"/>
              </w:rPr>
            </w:pPr>
          </w:p>
        </w:tc>
        <w:tc>
          <w:tcPr>
            <w:tcW w:w="1559" w:type="dxa"/>
          </w:tcPr>
          <w:p w14:paraId="14D26E59" w14:textId="77777777" w:rsidR="004F5959" w:rsidRPr="00A7073B" w:rsidRDefault="004F5959" w:rsidP="00D7330B">
            <w:pPr>
              <w:spacing w:after="100" w:afterAutospacing="1"/>
              <w:rPr>
                <w:sz w:val="20"/>
              </w:rPr>
            </w:pPr>
          </w:p>
        </w:tc>
      </w:tr>
      <w:tr w:rsidR="00A34007" w:rsidRPr="00A7073B" w14:paraId="0FDBB9A4" w14:textId="77777777" w:rsidTr="004A6808">
        <w:trPr>
          <w:trHeight w:val="440"/>
        </w:trPr>
        <w:tc>
          <w:tcPr>
            <w:tcW w:w="2609" w:type="dxa"/>
            <w:shd w:val="clear" w:color="auto" w:fill="auto"/>
          </w:tcPr>
          <w:p w14:paraId="1B1A0F32" w14:textId="77777777" w:rsidR="004F5959" w:rsidRPr="00A7073B" w:rsidRDefault="004F5959" w:rsidP="00D7330B">
            <w:pPr>
              <w:tabs>
                <w:tab w:val="left" w:pos="516"/>
              </w:tabs>
              <w:spacing w:before="60" w:after="60"/>
              <w:jc w:val="left"/>
              <w:rPr>
                <w:sz w:val="20"/>
              </w:rPr>
            </w:pPr>
            <w:r>
              <w:rPr>
                <w:sz w:val="20"/>
              </w:rPr>
              <w:t>……..</w:t>
            </w:r>
          </w:p>
        </w:tc>
        <w:tc>
          <w:tcPr>
            <w:tcW w:w="1417" w:type="dxa"/>
          </w:tcPr>
          <w:p w14:paraId="51C5B952" w14:textId="77777777" w:rsidR="004F5959" w:rsidRPr="00A7073B" w:rsidRDefault="004F5959" w:rsidP="00D7330B">
            <w:pPr>
              <w:spacing w:after="100" w:afterAutospacing="1"/>
              <w:rPr>
                <w:sz w:val="20"/>
              </w:rPr>
            </w:pPr>
          </w:p>
        </w:tc>
        <w:tc>
          <w:tcPr>
            <w:tcW w:w="1701" w:type="dxa"/>
          </w:tcPr>
          <w:p w14:paraId="2963558F" w14:textId="77777777" w:rsidR="004F5959" w:rsidRPr="00A7073B" w:rsidRDefault="004F5959" w:rsidP="00D7330B">
            <w:pPr>
              <w:spacing w:after="100" w:afterAutospacing="1"/>
              <w:rPr>
                <w:sz w:val="20"/>
              </w:rPr>
            </w:pPr>
          </w:p>
        </w:tc>
        <w:tc>
          <w:tcPr>
            <w:tcW w:w="1559" w:type="dxa"/>
            <w:shd w:val="clear" w:color="auto" w:fill="auto"/>
          </w:tcPr>
          <w:p w14:paraId="62D60F76" w14:textId="77777777" w:rsidR="004F5959" w:rsidRPr="00A7073B" w:rsidRDefault="004F5959" w:rsidP="00D7330B">
            <w:pPr>
              <w:spacing w:after="100" w:afterAutospacing="1"/>
              <w:rPr>
                <w:sz w:val="20"/>
              </w:rPr>
            </w:pPr>
          </w:p>
        </w:tc>
        <w:tc>
          <w:tcPr>
            <w:tcW w:w="1417" w:type="dxa"/>
            <w:shd w:val="clear" w:color="auto" w:fill="auto"/>
          </w:tcPr>
          <w:p w14:paraId="491C0AC4" w14:textId="77777777" w:rsidR="004F5959" w:rsidRPr="00A7073B" w:rsidRDefault="004F5959" w:rsidP="00D7330B">
            <w:pPr>
              <w:spacing w:after="100" w:afterAutospacing="1"/>
              <w:rPr>
                <w:sz w:val="20"/>
              </w:rPr>
            </w:pPr>
          </w:p>
        </w:tc>
        <w:tc>
          <w:tcPr>
            <w:tcW w:w="1984" w:type="dxa"/>
            <w:shd w:val="clear" w:color="auto" w:fill="auto"/>
          </w:tcPr>
          <w:p w14:paraId="53D5E66E" w14:textId="77777777" w:rsidR="004F5959" w:rsidRPr="00A7073B" w:rsidRDefault="004F5959" w:rsidP="00D7330B">
            <w:pPr>
              <w:spacing w:after="100" w:afterAutospacing="1"/>
              <w:rPr>
                <w:sz w:val="20"/>
              </w:rPr>
            </w:pPr>
          </w:p>
        </w:tc>
        <w:tc>
          <w:tcPr>
            <w:tcW w:w="1135" w:type="dxa"/>
            <w:shd w:val="clear" w:color="auto" w:fill="auto"/>
          </w:tcPr>
          <w:p w14:paraId="4FF5F302" w14:textId="77777777" w:rsidR="004F5959" w:rsidRPr="00A7073B" w:rsidRDefault="004F5959" w:rsidP="00D7330B">
            <w:pPr>
              <w:spacing w:after="100" w:afterAutospacing="1"/>
              <w:rPr>
                <w:sz w:val="20"/>
              </w:rPr>
            </w:pPr>
          </w:p>
        </w:tc>
        <w:tc>
          <w:tcPr>
            <w:tcW w:w="1559" w:type="dxa"/>
          </w:tcPr>
          <w:p w14:paraId="297886E5" w14:textId="77777777" w:rsidR="004F5959" w:rsidRPr="00A7073B" w:rsidRDefault="004F5959" w:rsidP="00D7330B">
            <w:pPr>
              <w:spacing w:after="100" w:afterAutospacing="1"/>
              <w:rPr>
                <w:sz w:val="20"/>
              </w:rPr>
            </w:pPr>
          </w:p>
        </w:tc>
      </w:tr>
      <w:tr w:rsidR="00A34007" w:rsidRPr="00A7073B" w14:paraId="1C15E2D9" w14:textId="77777777" w:rsidTr="004A6808">
        <w:trPr>
          <w:trHeight w:val="440"/>
        </w:trPr>
        <w:tc>
          <w:tcPr>
            <w:tcW w:w="2609" w:type="dxa"/>
            <w:shd w:val="clear" w:color="auto" w:fill="auto"/>
          </w:tcPr>
          <w:p w14:paraId="7B6D6FC3" w14:textId="77777777" w:rsidR="004F5959" w:rsidRPr="00A7073B" w:rsidRDefault="004F5959" w:rsidP="00D7330B">
            <w:pPr>
              <w:tabs>
                <w:tab w:val="left" w:pos="516"/>
              </w:tabs>
              <w:spacing w:before="60" w:after="60"/>
              <w:jc w:val="left"/>
              <w:rPr>
                <w:sz w:val="20"/>
              </w:rPr>
            </w:pPr>
            <w:r>
              <w:rPr>
                <w:sz w:val="20"/>
              </w:rPr>
              <w:lastRenderedPageBreak/>
              <w:t>……….</w:t>
            </w:r>
          </w:p>
        </w:tc>
        <w:tc>
          <w:tcPr>
            <w:tcW w:w="1417" w:type="dxa"/>
          </w:tcPr>
          <w:p w14:paraId="30658BF8" w14:textId="77777777" w:rsidR="004F5959" w:rsidRPr="00A7073B" w:rsidRDefault="004F5959" w:rsidP="00D7330B">
            <w:pPr>
              <w:spacing w:after="100" w:afterAutospacing="1"/>
              <w:rPr>
                <w:sz w:val="20"/>
              </w:rPr>
            </w:pPr>
          </w:p>
        </w:tc>
        <w:tc>
          <w:tcPr>
            <w:tcW w:w="1701" w:type="dxa"/>
          </w:tcPr>
          <w:p w14:paraId="42B773F3" w14:textId="77777777" w:rsidR="004F5959" w:rsidRPr="00A7073B" w:rsidRDefault="004F5959" w:rsidP="00D7330B">
            <w:pPr>
              <w:spacing w:after="100" w:afterAutospacing="1"/>
              <w:rPr>
                <w:sz w:val="20"/>
              </w:rPr>
            </w:pPr>
          </w:p>
        </w:tc>
        <w:tc>
          <w:tcPr>
            <w:tcW w:w="1559" w:type="dxa"/>
            <w:shd w:val="clear" w:color="auto" w:fill="auto"/>
          </w:tcPr>
          <w:p w14:paraId="12E7F65D" w14:textId="77777777" w:rsidR="004F5959" w:rsidRPr="00A7073B" w:rsidRDefault="004F5959" w:rsidP="00D7330B">
            <w:pPr>
              <w:spacing w:after="100" w:afterAutospacing="1"/>
              <w:rPr>
                <w:sz w:val="20"/>
              </w:rPr>
            </w:pPr>
          </w:p>
        </w:tc>
        <w:tc>
          <w:tcPr>
            <w:tcW w:w="1417" w:type="dxa"/>
            <w:shd w:val="clear" w:color="auto" w:fill="auto"/>
          </w:tcPr>
          <w:p w14:paraId="67E31364" w14:textId="77777777" w:rsidR="004F5959" w:rsidRPr="00A7073B" w:rsidRDefault="004F5959" w:rsidP="00D7330B">
            <w:pPr>
              <w:spacing w:after="100" w:afterAutospacing="1"/>
              <w:rPr>
                <w:sz w:val="20"/>
              </w:rPr>
            </w:pPr>
          </w:p>
        </w:tc>
        <w:tc>
          <w:tcPr>
            <w:tcW w:w="1984" w:type="dxa"/>
            <w:shd w:val="clear" w:color="auto" w:fill="auto"/>
          </w:tcPr>
          <w:p w14:paraId="0D6BD9B8" w14:textId="77777777" w:rsidR="004F5959" w:rsidRPr="00A7073B" w:rsidRDefault="004F5959" w:rsidP="00D7330B">
            <w:pPr>
              <w:spacing w:after="100" w:afterAutospacing="1"/>
              <w:rPr>
                <w:sz w:val="20"/>
              </w:rPr>
            </w:pPr>
          </w:p>
        </w:tc>
        <w:tc>
          <w:tcPr>
            <w:tcW w:w="1135" w:type="dxa"/>
            <w:shd w:val="clear" w:color="auto" w:fill="auto"/>
          </w:tcPr>
          <w:p w14:paraId="7D8C1B04" w14:textId="77777777" w:rsidR="004F5959" w:rsidRPr="00A7073B" w:rsidRDefault="004F5959" w:rsidP="00D7330B">
            <w:pPr>
              <w:spacing w:after="100" w:afterAutospacing="1"/>
              <w:rPr>
                <w:sz w:val="20"/>
              </w:rPr>
            </w:pPr>
          </w:p>
        </w:tc>
        <w:tc>
          <w:tcPr>
            <w:tcW w:w="1559" w:type="dxa"/>
          </w:tcPr>
          <w:p w14:paraId="02F56AFB" w14:textId="77777777" w:rsidR="004F5959" w:rsidRPr="00A7073B" w:rsidRDefault="004F5959" w:rsidP="00D7330B">
            <w:pPr>
              <w:spacing w:after="100" w:afterAutospacing="1"/>
              <w:rPr>
                <w:sz w:val="20"/>
              </w:rPr>
            </w:pPr>
          </w:p>
        </w:tc>
      </w:tr>
      <w:tr w:rsidR="00A34007" w:rsidRPr="00A7073B" w14:paraId="4C1E6F6D" w14:textId="77777777" w:rsidTr="004A6808">
        <w:trPr>
          <w:trHeight w:val="440"/>
        </w:trPr>
        <w:tc>
          <w:tcPr>
            <w:tcW w:w="2609" w:type="dxa"/>
          </w:tcPr>
          <w:p w14:paraId="0EAC5323" w14:textId="77777777" w:rsidR="004F5959" w:rsidRPr="00A7073B" w:rsidDel="008F1662" w:rsidRDefault="004F5959" w:rsidP="00E50F89">
            <w:pPr>
              <w:tabs>
                <w:tab w:val="left" w:pos="516"/>
              </w:tabs>
              <w:spacing w:before="60" w:after="60"/>
              <w:jc w:val="left"/>
              <w:rPr>
                <w:b/>
                <w:sz w:val="20"/>
              </w:rPr>
            </w:pPr>
            <w:r>
              <w:rPr>
                <w:b/>
                <w:sz w:val="20"/>
              </w:rPr>
              <w:t>EKJS ne-IAKS SKUPAJ</w:t>
            </w:r>
            <w:r>
              <w:rPr>
                <w:rStyle w:val="FootnoteReference"/>
                <w:rFonts w:ascii="Times New Roman" w:hAnsi="Times New Roman"/>
                <w:b/>
                <w:sz w:val="20"/>
                <w:vertAlign w:val="superscript"/>
              </w:rPr>
              <w:footnoteReference w:id="18"/>
            </w:r>
          </w:p>
        </w:tc>
        <w:tc>
          <w:tcPr>
            <w:tcW w:w="1417" w:type="dxa"/>
          </w:tcPr>
          <w:p w14:paraId="03FE27F5" w14:textId="77777777" w:rsidR="004F5959" w:rsidRPr="00A7073B" w:rsidRDefault="004F5959" w:rsidP="002E229B">
            <w:pPr>
              <w:spacing w:after="100" w:afterAutospacing="1"/>
              <w:rPr>
                <w:b/>
                <w:sz w:val="20"/>
              </w:rPr>
            </w:pPr>
          </w:p>
        </w:tc>
        <w:tc>
          <w:tcPr>
            <w:tcW w:w="1701" w:type="dxa"/>
          </w:tcPr>
          <w:p w14:paraId="484F84FF" w14:textId="77777777" w:rsidR="004F5959" w:rsidRPr="00A7073B" w:rsidRDefault="004F5959" w:rsidP="002E229B">
            <w:pPr>
              <w:spacing w:after="100" w:afterAutospacing="1"/>
              <w:rPr>
                <w:b/>
                <w:sz w:val="20"/>
              </w:rPr>
            </w:pPr>
          </w:p>
        </w:tc>
        <w:tc>
          <w:tcPr>
            <w:tcW w:w="1559" w:type="dxa"/>
          </w:tcPr>
          <w:p w14:paraId="2DADFDCF" w14:textId="77777777" w:rsidR="004F5959" w:rsidRPr="00A7073B" w:rsidRDefault="004F5959" w:rsidP="002E229B">
            <w:pPr>
              <w:spacing w:after="100" w:afterAutospacing="1"/>
              <w:rPr>
                <w:b/>
                <w:sz w:val="20"/>
              </w:rPr>
            </w:pPr>
          </w:p>
        </w:tc>
        <w:tc>
          <w:tcPr>
            <w:tcW w:w="1417" w:type="dxa"/>
          </w:tcPr>
          <w:p w14:paraId="06EEB982" w14:textId="77777777" w:rsidR="004F5959" w:rsidRPr="00A7073B" w:rsidRDefault="004F5959" w:rsidP="002E229B">
            <w:pPr>
              <w:spacing w:after="100" w:afterAutospacing="1"/>
              <w:rPr>
                <w:b/>
                <w:sz w:val="20"/>
              </w:rPr>
            </w:pPr>
          </w:p>
        </w:tc>
        <w:tc>
          <w:tcPr>
            <w:tcW w:w="1984" w:type="dxa"/>
          </w:tcPr>
          <w:p w14:paraId="0F4F5266" w14:textId="77777777" w:rsidR="004F5959" w:rsidRPr="00A7073B" w:rsidRDefault="004F5959" w:rsidP="002E229B">
            <w:pPr>
              <w:spacing w:after="100" w:afterAutospacing="1"/>
              <w:rPr>
                <w:b/>
                <w:sz w:val="20"/>
              </w:rPr>
            </w:pPr>
          </w:p>
        </w:tc>
        <w:tc>
          <w:tcPr>
            <w:tcW w:w="1135" w:type="dxa"/>
            <w:shd w:val="clear" w:color="auto" w:fill="7F7F7F"/>
          </w:tcPr>
          <w:p w14:paraId="7118BFEF" w14:textId="77777777" w:rsidR="004F5959" w:rsidRPr="00A7073B" w:rsidRDefault="004F5959" w:rsidP="002E229B">
            <w:pPr>
              <w:spacing w:after="100" w:afterAutospacing="1"/>
              <w:rPr>
                <w:b/>
                <w:sz w:val="20"/>
              </w:rPr>
            </w:pPr>
          </w:p>
        </w:tc>
        <w:tc>
          <w:tcPr>
            <w:tcW w:w="1559" w:type="dxa"/>
          </w:tcPr>
          <w:p w14:paraId="5D882C75" w14:textId="77777777" w:rsidR="004F5959" w:rsidRPr="00A7073B" w:rsidRDefault="004F5959" w:rsidP="002E229B">
            <w:pPr>
              <w:spacing w:after="100" w:afterAutospacing="1"/>
              <w:rPr>
                <w:b/>
                <w:sz w:val="20"/>
              </w:rPr>
            </w:pPr>
          </w:p>
        </w:tc>
      </w:tr>
      <w:tr w:rsidR="00A34007" w:rsidRPr="00A7073B" w14:paraId="3880C20A" w14:textId="77777777" w:rsidTr="004A6808">
        <w:trPr>
          <w:trHeight w:val="440"/>
        </w:trPr>
        <w:tc>
          <w:tcPr>
            <w:tcW w:w="2609" w:type="dxa"/>
            <w:shd w:val="clear" w:color="auto" w:fill="auto"/>
          </w:tcPr>
          <w:p w14:paraId="46A58A27" w14:textId="77777777" w:rsidR="004F5959" w:rsidRPr="00A7073B" w:rsidRDefault="004F5959" w:rsidP="00E50F89">
            <w:pPr>
              <w:spacing w:after="100" w:afterAutospacing="1"/>
              <w:jc w:val="left"/>
              <w:rPr>
                <w:sz w:val="20"/>
              </w:rPr>
            </w:pPr>
            <w:r>
              <w:rPr>
                <w:sz w:val="20"/>
              </w:rPr>
              <w:t>Kmetijsko-okoljski-podnebni ukrepi (ukrep 10)</w:t>
            </w:r>
          </w:p>
        </w:tc>
        <w:tc>
          <w:tcPr>
            <w:tcW w:w="1417" w:type="dxa"/>
          </w:tcPr>
          <w:p w14:paraId="57B1E70A" w14:textId="77777777" w:rsidR="004F5959" w:rsidRPr="00A7073B" w:rsidRDefault="004F5959" w:rsidP="00D7330B">
            <w:pPr>
              <w:spacing w:after="100" w:afterAutospacing="1"/>
              <w:rPr>
                <w:sz w:val="20"/>
                <w:lang w:val="fr-BE"/>
              </w:rPr>
            </w:pPr>
          </w:p>
        </w:tc>
        <w:tc>
          <w:tcPr>
            <w:tcW w:w="1701" w:type="dxa"/>
          </w:tcPr>
          <w:p w14:paraId="5EF9418C" w14:textId="77777777" w:rsidR="004F5959" w:rsidRPr="00A7073B" w:rsidRDefault="004F5959" w:rsidP="00D7330B">
            <w:pPr>
              <w:spacing w:after="100" w:afterAutospacing="1"/>
              <w:rPr>
                <w:sz w:val="20"/>
                <w:lang w:val="fr-BE"/>
              </w:rPr>
            </w:pPr>
          </w:p>
        </w:tc>
        <w:tc>
          <w:tcPr>
            <w:tcW w:w="1559" w:type="dxa"/>
            <w:shd w:val="clear" w:color="auto" w:fill="auto"/>
          </w:tcPr>
          <w:p w14:paraId="1B548CAD" w14:textId="77777777" w:rsidR="004F5959" w:rsidRPr="00A7073B" w:rsidRDefault="004F5959" w:rsidP="00D7330B">
            <w:pPr>
              <w:spacing w:after="100" w:afterAutospacing="1"/>
              <w:rPr>
                <w:sz w:val="20"/>
                <w:lang w:val="fr-BE"/>
              </w:rPr>
            </w:pPr>
          </w:p>
        </w:tc>
        <w:tc>
          <w:tcPr>
            <w:tcW w:w="1417" w:type="dxa"/>
            <w:shd w:val="clear" w:color="auto" w:fill="auto"/>
          </w:tcPr>
          <w:p w14:paraId="15A58325" w14:textId="77777777" w:rsidR="004F5959" w:rsidRPr="00A7073B" w:rsidRDefault="004F5959" w:rsidP="00D7330B">
            <w:pPr>
              <w:spacing w:after="100" w:afterAutospacing="1"/>
              <w:rPr>
                <w:sz w:val="20"/>
                <w:lang w:val="fr-BE"/>
              </w:rPr>
            </w:pPr>
          </w:p>
        </w:tc>
        <w:tc>
          <w:tcPr>
            <w:tcW w:w="1984" w:type="dxa"/>
            <w:shd w:val="clear" w:color="auto" w:fill="auto"/>
          </w:tcPr>
          <w:p w14:paraId="09A4E20F" w14:textId="77777777" w:rsidR="004F5959" w:rsidRPr="00A7073B" w:rsidRDefault="004F5959" w:rsidP="00D7330B">
            <w:pPr>
              <w:spacing w:after="100" w:afterAutospacing="1"/>
              <w:rPr>
                <w:sz w:val="20"/>
                <w:lang w:val="fr-BE"/>
              </w:rPr>
            </w:pPr>
          </w:p>
        </w:tc>
        <w:tc>
          <w:tcPr>
            <w:tcW w:w="1135" w:type="dxa"/>
            <w:shd w:val="clear" w:color="auto" w:fill="auto"/>
          </w:tcPr>
          <w:p w14:paraId="15811518" w14:textId="77777777" w:rsidR="004F5959" w:rsidRPr="00A7073B" w:rsidRDefault="004F5959" w:rsidP="00D7330B">
            <w:pPr>
              <w:spacing w:after="100" w:afterAutospacing="1"/>
              <w:rPr>
                <w:sz w:val="20"/>
                <w:lang w:val="fr-BE"/>
              </w:rPr>
            </w:pPr>
          </w:p>
        </w:tc>
        <w:tc>
          <w:tcPr>
            <w:tcW w:w="1559" w:type="dxa"/>
          </w:tcPr>
          <w:p w14:paraId="141303AD" w14:textId="77777777" w:rsidR="004F5959" w:rsidRPr="00A7073B" w:rsidRDefault="004F5959" w:rsidP="00D7330B">
            <w:pPr>
              <w:spacing w:after="100" w:afterAutospacing="1"/>
              <w:rPr>
                <w:sz w:val="20"/>
                <w:lang w:val="fr-BE"/>
              </w:rPr>
            </w:pPr>
          </w:p>
        </w:tc>
      </w:tr>
      <w:tr w:rsidR="00A34007" w:rsidRPr="00A7073B" w14:paraId="13695831" w14:textId="77777777" w:rsidTr="004A6808">
        <w:trPr>
          <w:trHeight w:val="440"/>
        </w:trPr>
        <w:tc>
          <w:tcPr>
            <w:tcW w:w="2609" w:type="dxa"/>
            <w:shd w:val="clear" w:color="auto" w:fill="auto"/>
          </w:tcPr>
          <w:p w14:paraId="3EA0CA55" w14:textId="77777777" w:rsidR="004F5959" w:rsidRPr="00A7073B" w:rsidRDefault="004F5959" w:rsidP="00D7330B">
            <w:pPr>
              <w:spacing w:after="100" w:afterAutospacing="1"/>
              <w:jc w:val="left"/>
              <w:rPr>
                <w:sz w:val="20"/>
              </w:rPr>
            </w:pPr>
            <w:r>
              <w:rPr>
                <w:sz w:val="20"/>
              </w:rPr>
              <w:t>Ekološko kmetovanje (ukrep 11)</w:t>
            </w:r>
          </w:p>
        </w:tc>
        <w:tc>
          <w:tcPr>
            <w:tcW w:w="1417" w:type="dxa"/>
          </w:tcPr>
          <w:p w14:paraId="397EEA68" w14:textId="77777777" w:rsidR="004F5959" w:rsidRPr="00A7073B" w:rsidRDefault="004F5959" w:rsidP="00D7330B">
            <w:pPr>
              <w:spacing w:after="100" w:afterAutospacing="1"/>
              <w:rPr>
                <w:sz w:val="20"/>
                <w:lang w:val="fr-BE"/>
              </w:rPr>
            </w:pPr>
          </w:p>
        </w:tc>
        <w:tc>
          <w:tcPr>
            <w:tcW w:w="1701" w:type="dxa"/>
          </w:tcPr>
          <w:p w14:paraId="54F37537" w14:textId="77777777" w:rsidR="004F5959" w:rsidRPr="00A7073B" w:rsidRDefault="004F5959" w:rsidP="00D7330B">
            <w:pPr>
              <w:spacing w:after="100" w:afterAutospacing="1"/>
              <w:rPr>
                <w:sz w:val="20"/>
                <w:lang w:val="fr-BE"/>
              </w:rPr>
            </w:pPr>
          </w:p>
        </w:tc>
        <w:tc>
          <w:tcPr>
            <w:tcW w:w="1559" w:type="dxa"/>
            <w:shd w:val="clear" w:color="auto" w:fill="auto"/>
          </w:tcPr>
          <w:p w14:paraId="1AE4AC3A" w14:textId="77777777" w:rsidR="004F5959" w:rsidRPr="00A7073B" w:rsidRDefault="004F5959" w:rsidP="00D7330B">
            <w:pPr>
              <w:spacing w:after="100" w:afterAutospacing="1"/>
              <w:rPr>
                <w:sz w:val="20"/>
                <w:lang w:val="fr-BE"/>
              </w:rPr>
            </w:pPr>
          </w:p>
        </w:tc>
        <w:tc>
          <w:tcPr>
            <w:tcW w:w="1417" w:type="dxa"/>
            <w:shd w:val="clear" w:color="auto" w:fill="auto"/>
          </w:tcPr>
          <w:p w14:paraId="51B00077" w14:textId="77777777" w:rsidR="004F5959" w:rsidRPr="00A7073B" w:rsidRDefault="004F5959" w:rsidP="00D7330B">
            <w:pPr>
              <w:spacing w:after="100" w:afterAutospacing="1"/>
              <w:rPr>
                <w:sz w:val="20"/>
                <w:lang w:val="fr-BE"/>
              </w:rPr>
            </w:pPr>
          </w:p>
        </w:tc>
        <w:tc>
          <w:tcPr>
            <w:tcW w:w="1984" w:type="dxa"/>
            <w:shd w:val="clear" w:color="auto" w:fill="auto"/>
          </w:tcPr>
          <w:p w14:paraId="680EB570" w14:textId="77777777" w:rsidR="004F5959" w:rsidRPr="00A7073B" w:rsidRDefault="004F5959" w:rsidP="00D7330B">
            <w:pPr>
              <w:spacing w:after="100" w:afterAutospacing="1"/>
              <w:rPr>
                <w:sz w:val="20"/>
                <w:lang w:val="fr-BE"/>
              </w:rPr>
            </w:pPr>
          </w:p>
        </w:tc>
        <w:tc>
          <w:tcPr>
            <w:tcW w:w="1135" w:type="dxa"/>
            <w:shd w:val="clear" w:color="auto" w:fill="auto"/>
          </w:tcPr>
          <w:p w14:paraId="17536C39" w14:textId="77777777" w:rsidR="004F5959" w:rsidRPr="00A7073B" w:rsidRDefault="004F5959" w:rsidP="00D7330B">
            <w:pPr>
              <w:spacing w:after="100" w:afterAutospacing="1"/>
              <w:rPr>
                <w:sz w:val="20"/>
                <w:lang w:val="fr-BE"/>
              </w:rPr>
            </w:pPr>
          </w:p>
        </w:tc>
        <w:tc>
          <w:tcPr>
            <w:tcW w:w="1559" w:type="dxa"/>
          </w:tcPr>
          <w:p w14:paraId="766B74B6" w14:textId="77777777" w:rsidR="004F5959" w:rsidRPr="00A7073B" w:rsidRDefault="004F5959" w:rsidP="00D7330B">
            <w:pPr>
              <w:spacing w:after="100" w:afterAutospacing="1"/>
              <w:rPr>
                <w:sz w:val="20"/>
                <w:lang w:val="fr-BE"/>
              </w:rPr>
            </w:pPr>
          </w:p>
        </w:tc>
      </w:tr>
      <w:tr w:rsidR="00A34007" w:rsidRPr="00A7073B" w14:paraId="03538978" w14:textId="77777777" w:rsidTr="004A6808">
        <w:trPr>
          <w:trHeight w:val="440"/>
        </w:trPr>
        <w:tc>
          <w:tcPr>
            <w:tcW w:w="2609" w:type="dxa"/>
            <w:shd w:val="clear" w:color="auto" w:fill="auto"/>
          </w:tcPr>
          <w:p w14:paraId="4B68FCD5" w14:textId="77777777" w:rsidR="004F5959" w:rsidRPr="00A7073B" w:rsidRDefault="004F5959" w:rsidP="00D7330B">
            <w:pPr>
              <w:spacing w:after="100" w:afterAutospacing="1"/>
              <w:jc w:val="left"/>
              <w:rPr>
                <w:sz w:val="20"/>
              </w:rPr>
            </w:pPr>
            <w:r>
              <w:rPr>
                <w:sz w:val="20"/>
              </w:rPr>
              <w:t>…………</w:t>
            </w:r>
          </w:p>
        </w:tc>
        <w:tc>
          <w:tcPr>
            <w:tcW w:w="1417" w:type="dxa"/>
          </w:tcPr>
          <w:p w14:paraId="15B85797" w14:textId="77777777" w:rsidR="004F5959" w:rsidRPr="00A7073B" w:rsidRDefault="004F5959" w:rsidP="00D7330B">
            <w:pPr>
              <w:spacing w:after="100" w:afterAutospacing="1"/>
              <w:rPr>
                <w:sz w:val="20"/>
                <w:lang w:val="fr-BE"/>
              </w:rPr>
            </w:pPr>
          </w:p>
        </w:tc>
        <w:tc>
          <w:tcPr>
            <w:tcW w:w="1701" w:type="dxa"/>
          </w:tcPr>
          <w:p w14:paraId="5C04F806" w14:textId="77777777" w:rsidR="004F5959" w:rsidRPr="00A7073B" w:rsidRDefault="004F5959" w:rsidP="00D7330B">
            <w:pPr>
              <w:spacing w:after="100" w:afterAutospacing="1"/>
              <w:rPr>
                <w:sz w:val="20"/>
                <w:lang w:val="fr-BE"/>
              </w:rPr>
            </w:pPr>
          </w:p>
        </w:tc>
        <w:tc>
          <w:tcPr>
            <w:tcW w:w="1559" w:type="dxa"/>
            <w:shd w:val="clear" w:color="auto" w:fill="auto"/>
          </w:tcPr>
          <w:p w14:paraId="45ABD28D" w14:textId="77777777" w:rsidR="004F5959" w:rsidRPr="00A7073B" w:rsidRDefault="004F5959" w:rsidP="00D7330B">
            <w:pPr>
              <w:spacing w:after="100" w:afterAutospacing="1"/>
              <w:rPr>
                <w:sz w:val="20"/>
                <w:lang w:val="fr-BE"/>
              </w:rPr>
            </w:pPr>
          </w:p>
        </w:tc>
        <w:tc>
          <w:tcPr>
            <w:tcW w:w="1417" w:type="dxa"/>
            <w:shd w:val="clear" w:color="auto" w:fill="auto"/>
          </w:tcPr>
          <w:p w14:paraId="6BB932ED" w14:textId="77777777" w:rsidR="004F5959" w:rsidRPr="00A7073B" w:rsidRDefault="004F5959" w:rsidP="00D7330B">
            <w:pPr>
              <w:spacing w:after="100" w:afterAutospacing="1"/>
              <w:rPr>
                <w:sz w:val="20"/>
                <w:lang w:val="fr-BE"/>
              </w:rPr>
            </w:pPr>
          </w:p>
        </w:tc>
        <w:tc>
          <w:tcPr>
            <w:tcW w:w="1984" w:type="dxa"/>
            <w:shd w:val="clear" w:color="auto" w:fill="auto"/>
          </w:tcPr>
          <w:p w14:paraId="3AE3A7C8" w14:textId="77777777" w:rsidR="004F5959" w:rsidRPr="00A7073B" w:rsidRDefault="004F5959" w:rsidP="00D7330B">
            <w:pPr>
              <w:spacing w:after="100" w:afterAutospacing="1"/>
              <w:rPr>
                <w:sz w:val="20"/>
                <w:lang w:val="fr-BE"/>
              </w:rPr>
            </w:pPr>
          </w:p>
        </w:tc>
        <w:tc>
          <w:tcPr>
            <w:tcW w:w="1135" w:type="dxa"/>
            <w:shd w:val="clear" w:color="auto" w:fill="auto"/>
          </w:tcPr>
          <w:p w14:paraId="4AA87CE5" w14:textId="77777777" w:rsidR="004F5959" w:rsidRPr="00A7073B" w:rsidRDefault="004F5959" w:rsidP="00D7330B">
            <w:pPr>
              <w:spacing w:after="100" w:afterAutospacing="1"/>
              <w:rPr>
                <w:sz w:val="20"/>
                <w:lang w:val="fr-BE"/>
              </w:rPr>
            </w:pPr>
          </w:p>
        </w:tc>
        <w:tc>
          <w:tcPr>
            <w:tcW w:w="1559" w:type="dxa"/>
          </w:tcPr>
          <w:p w14:paraId="3CCC43D8" w14:textId="77777777" w:rsidR="004F5959" w:rsidRPr="00A7073B" w:rsidRDefault="004F5959" w:rsidP="00D7330B">
            <w:pPr>
              <w:spacing w:after="100" w:afterAutospacing="1"/>
              <w:rPr>
                <w:sz w:val="20"/>
                <w:lang w:val="fr-BE"/>
              </w:rPr>
            </w:pPr>
          </w:p>
        </w:tc>
      </w:tr>
      <w:tr w:rsidR="00A34007" w:rsidRPr="00A7073B" w14:paraId="40E5A181" w14:textId="77777777" w:rsidTr="004A6808">
        <w:trPr>
          <w:trHeight w:val="440"/>
        </w:trPr>
        <w:tc>
          <w:tcPr>
            <w:tcW w:w="2609" w:type="dxa"/>
            <w:shd w:val="clear" w:color="auto" w:fill="auto"/>
          </w:tcPr>
          <w:p w14:paraId="36CD6576" w14:textId="77777777" w:rsidR="004F5959" w:rsidRPr="00A7073B" w:rsidRDefault="004F5959" w:rsidP="00D7330B">
            <w:pPr>
              <w:spacing w:after="100" w:afterAutospacing="1"/>
              <w:jc w:val="left"/>
              <w:rPr>
                <w:sz w:val="20"/>
              </w:rPr>
            </w:pPr>
            <w:r>
              <w:rPr>
                <w:sz w:val="20"/>
              </w:rPr>
              <w:t>…………</w:t>
            </w:r>
          </w:p>
        </w:tc>
        <w:tc>
          <w:tcPr>
            <w:tcW w:w="1417" w:type="dxa"/>
          </w:tcPr>
          <w:p w14:paraId="00BA2170" w14:textId="77777777" w:rsidR="004F5959" w:rsidRPr="00A7073B" w:rsidRDefault="004F5959" w:rsidP="00D7330B">
            <w:pPr>
              <w:spacing w:after="100" w:afterAutospacing="1"/>
              <w:rPr>
                <w:sz w:val="20"/>
                <w:lang w:val="fr-BE"/>
              </w:rPr>
            </w:pPr>
          </w:p>
        </w:tc>
        <w:tc>
          <w:tcPr>
            <w:tcW w:w="1701" w:type="dxa"/>
          </w:tcPr>
          <w:p w14:paraId="7FA16754" w14:textId="77777777" w:rsidR="004F5959" w:rsidRPr="00A7073B" w:rsidRDefault="004F5959" w:rsidP="00D7330B">
            <w:pPr>
              <w:spacing w:after="100" w:afterAutospacing="1"/>
              <w:rPr>
                <w:sz w:val="20"/>
                <w:lang w:val="fr-BE"/>
              </w:rPr>
            </w:pPr>
          </w:p>
        </w:tc>
        <w:tc>
          <w:tcPr>
            <w:tcW w:w="1559" w:type="dxa"/>
            <w:shd w:val="clear" w:color="auto" w:fill="auto"/>
          </w:tcPr>
          <w:p w14:paraId="6E05F0B5" w14:textId="77777777" w:rsidR="004F5959" w:rsidRPr="00A7073B" w:rsidRDefault="004F5959" w:rsidP="00D7330B">
            <w:pPr>
              <w:spacing w:after="100" w:afterAutospacing="1"/>
              <w:rPr>
                <w:sz w:val="20"/>
                <w:lang w:val="fr-BE"/>
              </w:rPr>
            </w:pPr>
          </w:p>
        </w:tc>
        <w:tc>
          <w:tcPr>
            <w:tcW w:w="1417" w:type="dxa"/>
            <w:shd w:val="clear" w:color="auto" w:fill="auto"/>
          </w:tcPr>
          <w:p w14:paraId="74F04A69" w14:textId="77777777" w:rsidR="004F5959" w:rsidRPr="00A7073B" w:rsidRDefault="004F5959" w:rsidP="00D7330B">
            <w:pPr>
              <w:spacing w:after="100" w:afterAutospacing="1"/>
              <w:rPr>
                <w:sz w:val="20"/>
                <w:lang w:val="fr-BE"/>
              </w:rPr>
            </w:pPr>
          </w:p>
        </w:tc>
        <w:tc>
          <w:tcPr>
            <w:tcW w:w="1984" w:type="dxa"/>
            <w:shd w:val="clear" w:color="auto" w:fill="auto"/>
          </w:tcPr>
          <w:p w14:paraId="41638552" w14:textId="77777777" w:rsidR="004F5959" w:rsidRPr="00A7073B" w:rsidRDefault="004F5959" w:rsidP="00D7330B">
            <w:pPr>
              <w:spacing w:after="100" w:afterAutospacing="1"/>
              <w:rPr>
                <w:sz w:val="20"/>
                <w:lang w:val="fr-BE"/>
              </w:rPr>
            </w:pPr>
          </w:p>
        </w:tc>
        <w:tc>
          <w:tcPr>
            <w:tcW w:w="1135" w:type="dxa"/>
            <w:shd w:val="clear" w:color="auto" w:fill="auto"/>
          </w:tcPr>
          <w:p w14:paraId="21FE7947" w14:textId="77777777" w:rsidR="004F5959" w:rsidRPr="00A7073B" w:rsidRDefault="004F5959" w:rsidP="00D7330B">
            <w:pPr>
              <w:spacing w:after="100" w:afterAutospacing="1"/>
              <w:rPr>
                <w:sz w:val="20"/>
                <w:lang w:val="fr-BE"/>
              </w:rPr>
            </w:pPr>
          </w:p>
        </w:tc>
        <w:tc>
          <w:tcPr>
            <w:tcW w:w="1559" w:type="dxa"/>
          </w:tcPr>
          <w:p w14:paraId="3A7F4E25" w14:textId="77777777" w:rsidR="004F5959" w:rsidRPr="00A7073B" w:rsidRDefault="004F5959" w:rsidP="00D7330B">
            <w:pPr>
              <w:spacing w:after="100" w:afterAutospacing="1"/>
              <w:rPr>
                <w:sz w:val="20"/>
                <w:lang w:val="fr-BE"/>
              </w:rPr>
            </w:pPr>
          </w:p>
        </w:tc>
      </w:tr>
      <w:tr w:rsidR="00A34007" w:rsidRPr="00A7073B" w14:paraId="151CAD76" w14:textId="77777777" w:rsidTr="004A6808">
        <w:trPr>
          <w:trHeight w:val="440"/>
        </w:trPr>
        <w:tc>
          <w:tcPr>
            <w:tcW w:w="2609" w:type="dxa"/>
          </w:tcPr>
          <w:p w14:paraId="4471B751" w14:textId="77777777" w:rsidR="004F5959" w:rsidRPr="00A7073B" w:rsidDel="008F1662" w:rsidRDefault="004F5959" w:rsidP="00D7330B">
            <w:pPr>
              <w:spacing w:after="100" w:afterAutospacing="1"/>
              <w:jc w:val="left"/>
              <w:rPr>
                <w:b/>
                <w:sz w:val="20"/>
              </w:rPr>
            </w:pPr>
            <w:r>
              <w:rPr>
                <w:b/>
                <w:sz w:val="20"/>
              </w:rPr>
              <w:t>EKSRP IAKS SKUPAJ</w:t>
            </w:r>
            <w:r>
              <w:rPr>
                <w:rStyle w:val="FootnoteReference"/>
                <w:rFonts w:ascii="Times New Roman" w:hAnsi="Times New Roman"/>
                <w:b/>
                <w:sz w:val="20"/>
                <w:vertAlign w:val="superscript"/>
              </w:rPr>
              <w:footnoteReference w:id="19"/>
            </w:r>
            <w:r>
              <w:rPr>
                <w:b/>
                <w:sz w:val="20"/>
                <w:vertAlign w:val="superscript"/>
              </w:rPr>
              <w:t xml:space="preserve"> </w:t>
            </w:r>
          </w:p>
        </w:tc>
        <w:tc>
          <w:tcPr>
            <w:tcW w:w="1417" w:type="dxa"/>
          </w:tcPr>
          <w:p w14:paraId="59927604" w14:textId="77777777" w:rsidR="004F5959" w:rsidRPr="00A7073B" w:rsidRDefault="004F5959" w:rsidP="00D7330B">
            <w:pPr>
              <w:spacing w:after="100" w:afterAutospacing="1"/>
              <w:rPr>
                <w:b/>
                <w:sz w:val="20"/>
              </w:rPr>
            </w:pPr>
          </w:p>
        </w:tc>
        <w:tc>
          <w:tcPr>
            <w:tcW w:w="1701" w:type="dxa"/>
          </w:tcPr>
          <w:p w14:paraId="62C65E41" w14:textId="77777777" w:rsidR="004F5959" w:rsidRPr="00A7073B" w:rsidRDefault="004F5959" w:rsidP="00D7330B">
            <w:pPr>
              <w:spacing w:after="100" w:afterAutospacing="1"/>
              <w:rPr>
                <w:b/>
                <w:sz w:val="20"/>
              </w:rPr>
            </w:pPr>
          </w:p>
        </w:tc>
        <w:tc>
          <w:tcPr>
            <w:tcW w:w="1559" w:type="dxa"/>
          </w:tcPr>
          <w:p w14:paraId="6F1AC58B" w14:textId="77777777" w:rsidR="004F5959" w:rsidRPr="00A7073B" w:rsidRDefault="004F5959" w:rsidP="00D7330B">
            <w:pPr>
              <w:spacing w:after="100" w:afterAutospacing="1"/>
              <w:rPr>
                <w:b/>
                <w:sz w:val="20"/>
              </w:rPr>
            </w:pPr>
          </w:p>
        </w:tc>
        <w:tc>
          <w:tcPr>
            <w:tcW w:w="1417" w:type="dxa"/>
          </w:tcPr>
          <w:p w14:paraId="71194ED8" w14:textId="77777777" w:rsidR="004F5959" w:rsidRPr="00A7073B" w:rsidRDefault="004F5959" w:rsidP="00D7330B">
            <w:pPr>
              <w:spacing w:after="100" w:afterAutospacing="1"/>
              <w:rPr>
                <w:b/>
                <w:sz w:val="20"/>
              </w:rPr>
            </w:pPr>
          </w:p>
        </w:tc>
        <w:tc>
          <w:tcPr>
            <w:tcW w:w="1984" w:type="dxa"/>
          </w:tcPr>
          <w:p w14:paraId="72F29D4A" w14:textId="77777777" w:rsidR="004F5959" w:rsidRPr="00A7073B" w:rsidRDefault="004F5959" w:rsidP="00D7330B">
            <w:pPr>
              <w:spacing w:after="100" w:afterAutospacing="1"/>
              <w:rPr>
                <w:b/>
                <w:sz w:val="20"/>
              </w:rPr>
            </w:pPr>
          </w:p>
        </w:tc>
        <w:tc>
          <w:tcPr>
            <w:tcW w:w="1135" w:type="dxa"/>
            <w:shd w:val="clear" w:color="auto" w:fill="7F7F7F"/>
          </w:tcPr>
          <w:p w14:paraId="60892494" w14:textId="77777777" w:rsidR="004F5959" w:rsidRPr="00A7073B" w:rsidRDefault="004F5959" w:rsidP="00D7330B">
            <w:pPr>
              <w:spacing w:after="100" w:afterAutospacing="1"/>
              <w:rPr>
                <w:b/>
                <w:sz w:val="20"/>
              </w:rPr>
            </w:pPr>
          </w:p>
        </w:tc>
        <w:tc>
          <w:tcPr>
            <w:tcW w:w="1559" w:type="dxa"/>
          </w:tcPr>
          <w:p w14:paraId="084D35FC" w14:textId="77777777" w:rsidR="004F5959" w:rsidRPr="00A7073B" w:rsidRDefault="004F5959" w:rsidP="00D7330B">
            <w:pPr>
              <w:spacing w:after="100" w:afterAutospacing="1"/>
              <w:rPr>
                <w:b/>
                <w:sz w:val="20"/>
              </w:rPr>
            </w:pPr>
          </w:p>
        </w:tc>
      </w:tr>
      <w:tr w:rsidR="00A34007" w:rsidRPr="00A7073B" w14:paraId="0D1A2093" w14:textId="77777777" w:rsidTr="004A6808">
        <w:trPr>
          <w:trHeight w:val="440"/>
        </w:trPr>
        <w:tc>
          <w:tcPr>
            <w:tcW w:w="2609" w:type="dxa"/>
            <w:shd w:val="clear" w:color="auto" w:fill="auto"/>
          </w:tcPr>
          <w:p w14:paraId="08374217" w14:textId="77777777" w:rsidR="004F5959" w:rsidRPr="00A7073B" w:rsidRDefault="004F5959" w:rsidP="00E50F89">
            <w:pPr>
              <w:spacing w:after="100" w:afterAutospacing="1"/>
              <w:jc w:val="left"/>
              <w:rPr>
                <w:sz w:val="20"/>
              </w:rPr>
            </w:pPr>
            <w:r>
              <w:rPr>
                <w:sz w:val="20"/>
              </w:rPr>
              <w:lastRenderedPageBreak/>
              <w:t>Prenos znanja in dejavnosti informiranja (ukrep 01)</w:t>
            </w:r>
          </w:p>
        </w:tc>
        <w:tc>
          <w:tcPr>
            <w:tcW w:w="1417" w:type="dxa"/>
          </w:tcPr>
          <w:p w14:paraId="4AEF2500" w14:textId="77777777" w:rsidR="004F5959" w:rsidRPr="00A7073B" w:rsidRDefault="004F5959" w:rsidP="00D7330B">
            <w:pPr>
              <w:spacing w:after="100" w:afterAutospacing="1"/>
              <w:rPr>
                <w:sz w:val="20"/>
              </w:rPr>
            </w:pPr>
          </w:p>
        </w:tc>
        <w:tc>
          <w:tcPr>
            <w:tcW w:w="1701" w:type="dxa"/>
          </w:tcPr>
          <w:p w14:paraId="536B5720" w14:textId="77777777" w:rsidR="004F5959" w:rsidRPr="00A7073B" w:rsidRDefault="004F5959" w:rsidP="00D7330B">
            <w:pPr>
              <w:spacing w:after="100" w:afterAutospacing="1"/>
              <w:rPr>
                <w:sz w:val="20"/>
              </w:rPr>
            </w:pPr>
          </w:p>
        </w:tc>
        <w:tc>
          <w:tcPr>
            <w:tcW w:w="1559" w:type="dxa"/>
            <w:shd w:val="clear" w:color="auto" w:fill="auto"/>
          </w:tcPr>
          <w:p w14:paraId="57FA5691" w14:textId="77777777" w:rsidR="004F5959" w:rsidRPr="00A7073B" w:rsidRDefault="004F5959" w:rsidP="00D7330B">
            <w:pPr>
              <w:spacing w:after="100" w:afterAutospacing="1"/>
              <w:rPr>
                <w:sz w:val="20"/>
              </w:rPr>
            </w:pPr>
          </w:p>
        </w:tc>
        <w:tc>
          <w:tcPr>
            <w:tcW w:w="1417" w:type="dxa"/>
            <w:shd w:val="clear" w:color="auto" w:fill="auto"/>
          </w:tcPr>
          <w:p w14:paraId="39D7E0C0" w14:textId="77777777" w:rsidR="004F5959" w:rsidRPr="00A7073B" w:rsidRDefault="004F5959" w:rsidP="00D7330B">
            <w:pPr>
              <w:spacing w:after="100" w:afterAutospacing="1"/>
              <w:rPr>
                <w:sz w:val="20"/>
              </w:rPr>
            </w:pPr>
          </w:p>
        </w:tc>
        <w:tc>
          <w:tcPr>
            <w:tcW w:w="1984" w:type="dxa"/>
            <w:shd w:val="clear" w:color="auto" w:fill="auto"/>
          </w:tcPr>
          <w:p w14:paraId="29D60B0E" w14:textId="77777777" w:rsidR="004F5959" w:rsidRPr="00A7073B" w:rsidRDefault="004F5959" w:rsidP="00D7330B">
            <w:pPr>
              <w:spacing w:after="100" w:afterAutospacing="1"/>
              <w:rPr>
                <w:sz w:val="20"/>
              </w:rPr>
            </w:pPr>
          </w:p>
        </w:tc>
        <w:tc>
          <w:tcPr>
            <w:tcW w:w="1135" w:type="dxa"/>
            <w:shd w:val="clear" w:color="auto" w:fill="auto"/>
          </w:tcPr>
          <w:p w14:paraId="1372E1BE" w14:textId="77777777" w:rsidR="004F5959" w:rsidRPr="00A7073B" w:rsidRDefault="004F5959" w:rsidP="00D7330B">
            <w:pPr>
              <w:spacing w:after="100" w:afterAutospacing="1"/>
              <w:rPr>
                <w:sz w:val="20"/>
              </w:rPr>
            </w:pPr>
          </w:p>
        </w:tc>
        <w:tc>
          <w:tcPr>
            <w:tcW w:w="1559" w:type="dxa"/>
          </w:tcPr>
          <w:p w14:paraId="394AFEB4" w14:textId="77777777" w:rsidR="004F5959" w:rsidRPr="00A7073B" w:rsidRDefault="004F5959" w:rsidP="00D7330B">
            <w:pPr>
              <w:spacing w:after="100" w:afterAutospacing="1"/>
              <w:rPr>
                <w:sz w:val="20"/>
              </w:rPr>
            </w:pPr>
          </w:p>
        </w:tc>
      </w:tr>
      <w:tr w:rsidR="00A34007" w:rsidRPr="00A7073B" w14:paraId="737CC149" w14:textId="77777777" w:rsidTr="004A6808">
        <w:trPr>
          <w:trHeight w:val="440"/>
        </w:trPr>
        <w:tc>
          <w:tcPr>
            <w:tcW w:w="2609" w:type="dxa"/>
            <w:shd w:val="clear" w:color="auto" w:fill="auto"/>
          </w:tcPr>
          <w:p w14:paraId="3E60716F" w14:textId="77777777" w:rsidR="004F5959" w:rsidRPr="00A7073B" w:rsidRDefault="004F5959" w:rsidP="00E50F89">
            <w:pPr>
              <w:spacing w:after="100" w:afterAutospacing="1"/>
              <w:jc w:val="left"/>
              <w:rPr>
                <w:sz w:val="20"/>
              </w:rPr>
            </w:pPr>
            <w:r>
              <w:rPr>
                <w:sz w:val="20"/>
              </w:rPr>
              <w:t>Službe za svetovanje, službe za pomoč pri upravljanju kmetij in službe za zagotavljanje nadomeščanja na kmetijah (ukrep 02)</w:t>
            </w:r>
          </w:p>
        </w:tc>
        <w:tc>
          <w:tcPr>
            <w:tcW w:w="1417" w:type="dxa"/>
          </w:tcPr>
          <w:p w14:paraId="14EC747C" w14:textId="77777777" w:rsidR="004F5959" w:rsidRPr="00A7073B" w:rsidRDefault="004F5959" w:rsidP="00D7330B">
            <w:pPr>
              <w:spacing w:after="100" w:afterAutospacing="1"/>
              <w:rPr>
                <w:sz w:val="20"/>
              </w:rPr>
            </w:pPr>
          </w:p>
        </w:tc>
        <w:tc>
          <w:tcPr>
            <w:tcW w:w="1701" w:type="dxa"/>
          </w:tcPr>
          <w:p w14:paraId="4E3D85A0" w14:textId="77777777" w:rsidR="004F5959" w:rsidRPr="00A7073B" w:rsidRDefault="004F5959" w:rsidP="00D7330B">
            <w:pPr>
              <w:spacing w:after="100" w:afterAutospacing="1"/>
              <w:rPr>
                <w:sz w:val="20"/>
              </w:rPr>
            </w:pPr>
          </w:p>
        </w:tc>
        <w:tc>
          <w:tcPr>
            <w:tcW w:w="1559" w:type="dxa"/>
            <w:shd w:val="clear" w:color="auto" w:fill="auto"/>
          </w:tcPr>
          <w:p w14:paraId="293C1707" w14:textId="77777777" w:rsidR="004F5959" w:rsidRPr="00A7073B" w:rsidRDefault="004F5959" w:rsidP="00D7330B">
            <w:pPr>
              <w:spacing w:after="100" w:afterAutospacing="1"/>
              <w:rPr>
                <w:sz w:val="20"/>
              </w:rPr>
            </w:pPr>
          </w:p>
        </w:tc>
        <w:tc>
          <w:tcPr>
            <w:tcW w:w="1417" w:type="dxa"/>
            <w:shd w:val="clear" w:color="auto" w:fill="auto"/>
          </w:tcPr>
          <w:p w14:paraId="014C4176" w14:textId="77777777" w:rsidR="004F5959" w:rsidRPr="00A7073B" w:rsidRDefault="004F5959" w:rsidP="00D7330B">
            <w:pPr>
              <w:spacing w:after="100" w:afterAutospacing="1"/>
              <w:rPr>
                <w:sz w:val="20"/>
              </w:rPr>
            </w:pPr>
          </w:p>
        </w:tc>
        <w:tc>
          <w:tcPr>
            <w:tcW w:w="1984" w:type="dxa"/>
            <w:shd w:val="clear" w:color="auto" w:fill="auto"/>
          </w:tcPr>
          <w:p w14:paraId="6577FE24" w14:textId="77777777" w:rsidR="004F5959" w:rsidRPr="00A7073B" w:rsidRDefault="004F5959" w:rsidP="00D7330B">
            <w:pPr>
              <w:spacing w:after="100" w:afterAutospacing="1"/>
              <w:rPr>
                <w:sz w:val="20"/>
              </w:rPr>
            </w:pPr>
          </w:p>
        </w:tc>
        <w:tc>
          <w:tcPr>
            <w:tcW w:w="1135" w:type="dxa"/>
            <w:shd w:val="clear" w:color="auto" w:fill="auto"/>
          </w:tcPr>
          <w:p w14:paraId="475DA6B6" w14:textId="77777777" w:rsidR="004F5959" w:rsidRPr="00A7073B" w:rsidRDefault="004F5959" w:rsidP="00D7330B">
            <w:pPr>
              <w:spacing w:after="100" w:afterAutospacing="1"/>
              <w:rPr>
                <w:sz w:val="20"/>
              </w:rPr>
            </w:pPr>
          </w:p>
        </w:tc>
        <w:tc>
          <w:tcPr>
            <w:tcW w:w="1559" w:type="dxa"/>
          </w:tcPr>
          <w:p w14:paraId="6ED16E2E" w14:textId="77777777" w:rsidR="004F5959" w:rsidRPr="00A7073B" w:rsidRDefault="004F5959" w:rsidP="00D7330B">
            <w:pPr>
              <w:spacing w:after="100" w:afterAutospacing="1"/>
              <w:rPr>
                <w:sz w:val="20"/>
              </w:rPr>
            </w:pPr>
          </w:p>
        </w:tc>
      </w:tr>
      <w:tr w:rsidR="00A34007" w:rsidRPr="00A7073B" w14:paraId="56497B3B" w14:textId="77777777" w:rsidTr="004A6808">
        <w:trPr>
          <w:trHeight w:val="440"/>
        </w:trPr>
        <w:tc>
          <w:tcPr>
            <w:tcW w:w="2609" w:type="dxa"/>
            <w:shd w:val="clear" w:color="auto" w:fill="auto"/>
          </w:tcPr>
          <w:p w14:paraId="141000FD" w14:textId="77777777" w:rsidR="004F5959" w:rsidRPr="00A7073B" w:rsidRDefault="004F5959" w:rsidP="00D7330B">
            <w:pPr>
              <w:spacing w:after="100" w:afterAutospacing="1"/>
              <w:jc w:val="left"/>
              <w:rPr>
                <w:sz w:val="20"/>
              </w:rPr>
            </w:pPr>
            <w:r>
              <w:rPr>
                <w:sz w:val="20"/>
              </w:rPr>
              <w:t>……..</w:t>
            </w:r>
          </w:p>
        </w:tc>
        <w:tc>
          <w:tcPr>
            <w:tcW w:w="1417" w:type="dxa"/>
          </w:tcPr>
          <w:p w14:paraId="450299F0" w14:textId="77777777" w:rsidR="004F5959" w:rsidRPr="00A7073B" w:rsidRDefault="004F5959" w:rsidP="00D7330B">
            <w:pPr>
              <w:spacing w:after="100" w:afterAutospacing="1"/>
              <w:rPr>
                <w:sz w:val="20"/>
              </w:rPr>
            </w:pPr>
          </w:p>
        </w:tc>
        <w:tc>
          <w:tcPr>
            <w:tcW w:w="1701" w:type="dxa"/>
          </w:tcPr>
          <w:p w14:paraId="0FD87697" w14:textId="77777777" w:rsidR="004F5959" w:rsidRPr="00A7073B" w:rsidRDefault="004F5959" w:rsidP="00D7330B">
            <w:pPr>
              <w:spacing w:after="100" w:afterAutospacing="1"/>
              <w:rPr>
                <w:sz w:val="20"/>
              </w:rPr>
            </w:pPr>
          </w:p>
        </w:tc>
        <w:tc>
          <w:tcPr>
            <w:tcW w:w="1559" w:type="dxa"/>
            <w:shd w:val="clear" w:color="auto" w:fill="auto"/>
          </w:tcPr>
          <w:p w14:paraId="7E4A2FA1" w14:textId="77777777" w:rsidR="004F5959" w:rsidRPr="00A7073B" w:rsidRDefault="004F5959" w:rsidP="00D7330B">
            <w:pPr>
              <w:spacing w:after="100" w:afterAutospacing="1"/>
              <w:rPr>
                <w:sz w:val="20"/>
              </w:rPr>
            </w:pPr>
          </w:p>
        </w:tc>
        <w:tc>
          <w:tcPr>
            <w:tcW w:w="1417" w:type="dxa"/>
            <w:shd w:val="clear" w:color="auto" w:fill="auto"/>
          </w:tcPr>
          <w:p w14:paraId="7F123D34" w14:textId="77777777" w:rsidR="004F5959" w:rsidRPr="00A7073B" w:rsidRDefault="004F5959" w:rsidP="00D7330B">
            <w:pPr>
              <w:spacing w:after="100" w:afterAutospacing="1"/>
              <w:rPr>
                <w:sz w:val="20"/>
              </w:rPr>
            </w:pPr>
          </w:p>
        </w:tc>
        <w:tc>
          <w:tcPr>
            <w:tcW w:w="1984" w:type="dxa"/>
            <w:shd w:val="clear" w:color="auto" w:fill="auto"/>
          </w:tcPr>
          <w:p w14:paraId="79C2EEB2" w14:textId="77777777" w:rsidR="004F5959" w:rsidRPr="00A7073B" w:rsidRDefault="004F5959" w:rsidP="00D7330B">
            <w:pPr>
              <w:spacing w:after="100" w:afterAutospacing="1"/>
              <w:rPr>
                <w:sz w:val="20"/>
              </w:rPr>
            </w:pPr>
          </w:p>
        </w:tc>
        <w:tc>
          <w:tcPr>
            <w:tcW w:w="1135" w:type="dxa"/>
            <w:shd w:val="clear" w:color="auto" w:fill="auto"/>
          </w:tcPr>
          <w:p w14:paraId="464C17C7" w14:textId="77777777" w:rsidR="004F5959" w:rsidRPr="00A7073B" w:rsidRDefault="004F5959" w:rsidP="00D7330B">
            <w:pPr>
              <w:spacing w:after="100" w:afterAutospacing="1"/>
              <w:rPr>
                <w:sz w:val="20"/>
              </w:rPr>
            </w:pPr>
          </w:p>
        </w:tc>
        <w:tc>
          <w:tcPr>
            <w:tcW w:w="1559" w:type="dxa"/>
          </w:tcPr>
          <w:p w14:paraId="70390388" w14:textId="77777777" w:rsidR="004F5959" w:rsidRPr="00A7073B" w:rsidRDefault="004F5959" w:rsidP="00D7330B">
            <w:pPr>
              <w:spacing w:after="100" w:afterAutospacing="1"/>
              <w:rPr>
                <w:sz w:val="20"/>
              </w:rPr>
            </w:pPr>
          </w:p>
        </w:tc>
      </w:tr>
      <w:tr w:rsidR="00A34007" w:rsidRPr="00A7073B" w14:paraId="361CB35C" w14:textId="77777777" w:rsidTr="004A6808">
        <w:trPr>
          <w:trHeight w:val="440"/>
        </w:trPr>
        <w:tc>
          <w:tcPr>
            <w:tcW w:w="2609" w:type="dxa"/>
            <w:shd w:val="clear" w:color="auto" w:fill="auto"/>
          </w:tcPr>
          <w:p w14:paraId="5C0965F7" w14:textId="77777777" w:rsidR="004F5959" w:rsidRPr="00A7073B" w:rsidRDefault="004F5959" w:rsidP="00D7330B">
            <w:pPr>
              <w:spacing w:after="100" w:afterAutospacing="1"/>
              <w:jc w:val="left"/>
              <w:rPr>
                <w:sz w:val="20"/>
              </w:rPr>
            </w:pPr>
            <w:r>
              <w:rPr>
                <w:sz w:val="20"/>
              </w:rPr>
              <w:t>…………</w:t>
            </w:r>
          </w:p>
        </w:tc>
        <w:tc>
          <w:tcPr>
            <w:tcW w:w="1417" w:type="dxa"/>
          </w:tcPr>
          <w:p w14:paraId="6F99A545" w14:textId="77777777" w:rsidR="004F5959" w:rsidRPr="00A7073B" w:rsidRDefault="004F5959" w:rsidP="00D7330B">
            <w:pPr>
              <w:spacing w:after="100" w:afterAutospacing="1"/>
              <w:rPr>
                <w:sz w:val="20"/>
              </w:rPr>
            </w:pPr>
          </w:p>
        </w:tc>
        <w:tc>
          <w:tcPr>
            <w:tcW w:w="1701" w:type="dxa"/>
          </w:tcPr>
          <w:p w14:paraId="74664186" w14:textId="77777777" w:rsidR="004F5959" w:rsidRPr="00A7073B" w:rsidRDefault="004F5959" w:rsidP="00D7330B">
            <w:pPr>
              <w:spacing w:after="100" w:afterAutospacing="1"/>
              <w:rPr>
                <w:sz w:val="20"/>
              </w:rPr>
            </w:pPr>
          </w:p>
        </w:tc>
        <w:tc>
          <w:tcPr>
            <w:tcW w:w="1559" w:type="dxa"/>
            <w:shd w:val="clear" w:color="auto" w:fill="auto"/>
          </w:tcPr>
          <w:p w14:paraId="11EC9C75" w14:textId="77777777" w:rsidR="004F5959" w:rsidRPr="00A7073B" w:rsidRDefault="004F5959" w:rsidP="00D7330B">
            <w:pPr>
              <w:spacing w:after="100" w:afterAutospacing="1"/>
              <w:rPr>
                <w:sz w:val="20"/>
              </w:rPr>
            </w:pPr>
          </w:p>
        </w:tc>
        <w:tc>
          <w:tcPr>
            <w:tcW w:w="1417" w:type="dxa"/>
            <w:shd w:val="clear" w:color="auto" w:fill="auto"/>
          </w:tcPr>
          <w:p w14:paraId="3D3AE1D6" w14:textId="77777777" w:rsidR="004F5959" w:rsidRPr="00A7073B" w:rsidRDefault="004F5959" w:rsidP="00D7330B">
            <w:pPr>
              <w:spacing w:after="100" w:afterAutospacing="1"/>
              <w:rPr>
                <w:sz w:val="20"/>
              </w:rPr>
            </w:pPr>
          </w:p>
        </w:tc>
        <w:tc>
          <w:tcPr>
            <w:tcW w:w="1984" w:type="dxa"/>
            <w:shd w:val="clear" w:color="auto" w:fill="auto"/>
          </w:tcPr>
          <w:p w14:paraId="16F6A477" w14:textId="77777777" w:rsidR="004F5959" w:rsidRPr="00A7073B" w:rsidRDefault="004F5959" w:rsidP="00D7330B">
            <w:pPr>
              <w:spacing w:after="100" w:afterAutospacing="1"/>
              <w:rPr>
                <w:sz w:val="20"/>
              </w:rPr>
            </w:pPr>
          </w:p>
        </w:tc>
        <w:tc>
          <w:tcPr>
            <w:tcW w:w="1135" w:type="dxa"/>
            <w:shd w:val="clear" w:color="auto" w:fill="auto"/>
          </w:tcPr>
          <w:p w14:paraId="0F1014EB" w14:textId="77777777" w:rsidR="004F5959" w:rsidRPr="00A7073B" w:rsidRDefault="004F5959" w:rsidP="00D7330B">
            <w:pPr>
              <w:spacing w:after="100" w:afterAutospacing="1"/>
              <w:rPr>
                <w:sz w:val="20"/>
              </w:rPr>
            </w:pPr>
          </w:p>
        </w:tc>
        <w:tc>
          <w:tcPr>
            <w:tcW w:w="1559" w:type="dxa"/>
          </w:tcPr>
          <w:p w14:paraId="76FF2ADF" w14:textId="77777777" w:rsidR="004F5959" w:rsidRPr="00A7073B" w:rsidRDefault="004F5959" w:rsidP="00D7330B">
            <w:pPr>
              <w:spacing w:after="100" w:afterAutospacing="1"/>
              <w:rPr>
                <w:sz w:val="20"/>
              </w:rPr>
            </w:pPr>
          </w:p>
        </w:tc>
      </w:tr>
      <w:tr w:rsidR="00A34007" w:rsidRPr="00A7073B" w14:paraId="4F58F550" w14:textId="77777777" w:rsidTr="004A6808">
        <w:trPr>
          <w:trHeight w:val="440"/>
        </w:trPr>
        <w:tc>
          <w:tcPr>
            <w:tcW w:w="2609" w:type="dxa"/>
            <w:shd w:val="clear" w:color="auto" w:fill="auto"/>
          </w:tcPr>
          <w:p w14:paraId="06199E20" w14:textId="77777777" w:rsidR="004F5959" w:rsidRPr="00A7073B" w:rsidRDefault="004F5959" w:rsidP="00D7330B">
            <w:pPr>
              <w:spacing w:after="100" w:afterAutospacing="1"/>
              <w:jc w:val="left"/>
              <w:rPr>
                <w:sz w:val="20"/>
              </w:rPr>
            </w:pPr>
            <w:r>
              <w:rPr>
                <w:sz w:val="20"/>
              </w:rPr>
              <w:t>…………..</w:t>
            </w:r>
          </w:p>
        </w:tc>
        <w:tc>
          <w:tcPr>
            <w:tcW w:w="1417" w:type="dxa"/>
          </w:tcPr>
          <w:p w14:paraId="1FD3F2F7" w14:textId="77777777" w:rsidR="004F5959" w:rsidRPr="00A7073B" w:rsidRDefault="004F5959" w:rsidP="00D7330B">
            <w:pPr>
              <w:spacing w:after="100" w:afterAutospacing="1"/>
              <w:rPr>
                <w:sz w:val="20"/>
              </w:rPr>
            </w:pPr>
          </w:p>
        </w:tc>
        <w:tc>
          <w:tcPr>
            <w:tcW w:w="1701" w:type="dxa"/>
          </w:tcPr>
          <w:p w14:paraId="211CB032" w14:textId="77777777" w:rsidR="004F5959" w:rsidRPr="00A7073B" w:rsidRDefault="004F5959" w:rsidP="00D7330B">
            <w:pPr>
              <w:spacing w:after="100" w:afterAutospacing="1"/>
              <w:rPr>
                <w:sz w:val="20"/>
              </w:rPr>
            </w:pPr>
          </w:p>
        </w:tc>
        <w:tc>
          <w:tcPr>
            <w:tcW w:w="1559" w:type="dxa"/>
            <w:shd w:val="clear" w:color="auto" w:fill="auto"/>
          </w:tcPr>
          <w:p w14:paraId="64A0260F" w14:textId="77777777" w:rsidR="004F5959" w:rsidRPr="00A7073B" w:rsidRDefault="004F5959" w:rsidP="00D7330B">
            <w:pPr>
              <w:spacing w:after="100" w:afterAutospacing="1"/>
              <w:rPr>
                <w:sz w:val="20"/>
              </w:rPr>
            </w:pPr>
          </w:p>
        </w:tc>
        <w:tc>
          <w:tcPr>
            <w:tcW w:w="1417" w:type="dxa"/>
            <w:shd w:val="clear" w:color="auto" w:fill="auto"/>
          </w:tcPr>
          <w:p w14:paraId="6EE0FA9E" w14:textId="77777777" w:rsidR="004F5959" w:rsidRPr="00A7073B" w:rsidRDefault="004F5959" w:rsidP="00D7330B">
            <w:pPr>
              <w:spacing w:after="100" w:afterAutospacing="1"/>
              <w:rPr>
                <w:sz w:val="20"/>
              </w:rPr>
            </w:pPr>
          </w:p>
        </w:tc>
        <w:tc>
          <w:tcPr>
            <w:tcW w:w="1984" w:type="dxa"/>
            <w:shd w:val="clear" w:color="auto" w:fill="auto"/>
          </w:tcPr>
          <w:p w14:paraId="47FB7230" w14:textId="77777777" w:rsidR="004F5959" w:rsidRPr="00A7073B" w:rsidRDefault="004F5959" w:rsidP="00D7330B">
            <w:pPr>
              <w:spacing w:after="100" w:afterAutospacing="1"/>
              <w:rPr>
                <w:sz w:val="20"/>
              </w:rPr>
            </w:pPr>
          </w:p>
        </w:tc>
        <w:tc>
          <w:tcPr>
            <w:tcW w:w="1135" w:type="dxa"/>
            <w:shd w:val="clear" w:color="auto" w:fill="auto"/>
          </w:tcPr>
          <w:p w14:paraId="14587FC5" w14:textId="77777777" w:rsidR="004F5959" w:rsidRPr="00A7073B" w:rsidRDefault="004F5959" w:rsidP="00D7330B">
            <w:pPr>
              <w:spacing w:after="100" w:afterAutospacing="1"/>
              <w:rPr>
                <w:sz w:val="20"/>
              </w:rPr>
            </w:pPr>
          </w:p>
        </w:tc>
        <w:tc>
          <w:tcPr>
            <w:tcW w:w="1559" w:type="dxa"/>
          </w:tcPr>
          <w:p w14:paraId="222A645D" w14:textId="77777777" w:rsidR="004F5959" w:rsidRPr="00A7073B" w:rsidRDefault="004F5959" w:rsidP="00D7330B">
            <w:pPr>
              <w:spacing w:after="100" w:afterAutospacing="1"/>
              <w:rPr>
                <w:sz w:val="20"/>
              </w:rPr>
            </w:pPr>
          </w:p>
        </w:tc>
      </w:tr>
      <w:tr w:rsidR="00A34007" w:rsidRPr="00E50F89" w14:paraId="1ECDEB8D" w14:textId="77777777" w:rsidTr="004A6808">
        <w:trPr>
          <w:trHeight w:val="440"/>
        </w:trPr>
        <w:tc>
          <w:tcPr>
            <w:tcW w:w="2609" w:type="dxa"/>
          </w:tcPr>
          <w:p w14:paraId="22C7DA60" w14:textId="77777777" w:rsidR="004F5959" w:rsidRPr="004A6808" w:rsidDel="008F1662" w:rsidRDefault="004F5959" w:rsidP="00E50F89">
            <w:pPr>
              <w:spacing w:after="100" w:afterAutospacing="1"/>
              <w:jc w:val="left"/>
              <w:rPr>
                <w:b/>
                <w:sz w:val="20"/>
              </w:rPr>
            </w:pPr>
            <w:r>
              <w:rPr>
                <w:b/>
                <w:sz w:val="20"/>
              </w:rPr>
              <w:t>EKSRP ne-IAKS SKUPAJ</w:t>
            </w:r>
            <w:r>
              <w:rPr>
                <w:rStyle w:val="FootnoteReference"/>
                <w:rFonts w:ascii="Times New Roman" w:hAnsi="Times New Roman"/>
                <w:b/>
                <w:sz w:val="20"/>
                <w:vertAlign w:val="superscript"/>
              </w:rPr>
              <w:footnoteReference w:id="20"/>
            </w:r>
          </w:p>
        </w:tc>
        <w:tc>
          <w:tcPr>
            <w:tcW w:w="1417" w:type="dxa"/>
          </w:tcPr>
          <w:p w14:paraId="68116652" w14:textId="77777777" w:rsidR="004F5959" w:rsidRPr="00E50F89" w:rsidRDefault="004F5959" w:rsidP="00D7330B">
            <w:pPr>
              <w:spacing w:after="100" w:afterAutospacing="1"/>
              <w:rPr>
                <w:b/>
                <w:sz w:val="20"/>
              </w:rPr>
            </w:pPr>
          </w:p>
        </w:tc>
        <w:tc>
          <w:tcPr>
            <w:tcW w:w="1701" w:type="dxa"/>
          </w:tcPr>
          <w:p w14:paraId="7E8F42A2" w14:textId="77777777" w:rsidR="004F5959" w:rsidRPr="00E50F89" w:rsidRDefault="004F5959" w:rsidP="00D7330B">
            <w:pPr>
              <w:spacing w:after="100" w:afterAutospacing="1"/>
              <w:rPr>
                <w:b/>
                <w:sz w:val="20"/>
              </w:rPr>
            </w:pPr>
          </w:p>
        </w:tc>
        <w:tc>
          <w:tcPr>
            <w:tcW w:w="1559" w:type="dxa"/>
          </w:tcPr>
          <w:p w14:paraId="58FC41CD" w14:textId="77777777" w:rsidR="004F5959" w:rsidRPr="004A6808" w:rsidRDefault="004F5959" w:rsidP="00D7330B">
            <w:pPr>
              <w:spacing w:after="100" w:afterAutospacing="1"/>
              <w:rPr>
                <w:b/>
                <w:sz w:val="20"/>
              </w:rPr>
            </w:pPr>
          </w:p>
        </w:tc>
        <w:tc>
          <w:tcPr>
            <w:tcW w:w="1417" w:type="dxa"/>
          </w:tcPr>
          <w:p w14:paraId="6075468A" w14:textId="77777777" w:rsidR="004F5959" w:rsidRPr="004A6808" w:rsidRDefault="004F5959" w:rsidP="00D7330B">
            <w:pPr>
              <w:spacing w:after="100" w:afterAutospacing="1"/>
              <w:rPr>
                <w:b/>
                <w:sz w:val="20"/>
              </w:rPr>
            </w:pPr>
          </w:p>
        </w:tc>
        <w:tc>
          <w:tcPr>
            <w:tcW w:w="1984" w:type="dxa"/>
          </w:tcPr>
          <w:p w14:paraId="0E1FF9A6" w14:textId="77777777" w:rsidR="004F5959" w:rsidRPr="004A6808" w:rsidRDefault="004F5959" w:rsidP="00D7330B">
            <w:pPr>
              <w:spacing w:after="100" w:afterAutospacing="1"/>
              <w:rPr>
                <w:b/>
                <w:sz w:val="20"/>
              </w:rPr>
            </w:pPr>
          </w:p>
        </w:tc>
        <w:tc>
          <w:tcPr>
            <w:tcW w:w="1135" w:type="dxa"/>
            <w:shd w:val="clear" w:color="auto" w:fill="7F7F7F"/>
          </w:tcPr>
          <w:p w14:paraId="7BB8FCCA" w14:textId="77777777" w:rsidR="004F5959" w:rsidRPr="004A6808" w:rsidRDefault="004F5959" w:rsidP="00D7330B">
            <w:pPr>
              <w:spacing w:after="100" w:afterAutospacing="1"/>
              <w:rPr>
                <w:b/>
                <w:sz w:val="20"/>
              </w:rPr>
            </w:pPr>
          </w:p>
        </w:tc>
        <w:tc>
          <w:tcPr>
            <w:tcW w:w="1559" w:type="dxa"/>
          </w:tcPr>
          <w:p w14:paraId="02C6C706" w14:textId="77777777" w:rsidR="004F5959" w:rsidRPr="00E50F89" w:rsidRDefault="004F5959" w:rsidP="00D7330B">
            <w:pPr>
              <w:spacing w:after="100" w:afterAutospacing="1"/>
              <w:rPr>
                <w:b/>
                <w:sz w:val="20"/>
              </w:rPr>
            </w:pPr>
          </w:p>
        </w:tc>
      </w:tr>
    </w:tbl>
    <w:p w14:paraId="5CD246CE" w14:textId="77777777" w:rsidR="006A4908" w:rsidRPr="00FD4529" w:rsidRDefault="006A4908" w:rsidP="001C3C37">
      <w:pPr>
        <w:rPr>
          <w:szCs w:val="24"/>
        </w:rPr>
      </w:pPr>
    </w:p>
    <w:p w14:paraId="09F341BA" w14:textId="77777777" w:rsidR="00185E68" w:rsidRDefault="00185E68" w:rsidP="001C3C37">
      <w:pPr>
        <w:rPr>
          <w:szCs w:val="24"/>
        </w:rPr>
        <w:sectPr w:rsidR="00185E68" w:rsidSect="007F240D">
          <w:pgSz w:w="16840" w:h="11907" w:orient="landscape" w:code="9"/>
          <w:pgMar w:top="992" w:right="992" w:bottom="992" w:left="992" w:header="567" w:footer="567" w:gutter="0"/>
          <w:cols w:space="720"/>
          <w:titlePg/>
          <w:docGrid w:linePitch="326"/>
        </w:sectPr>
      </w:pPr>
    </w:p>
    <w:p w14:paraId="542D3DD5" w14:textId="77777777" w:rsidR="00DD7358" w:rsidRPr="00A7073B" w:rsidRDefault="00DD7358" w:rsidP="004A6808">
      <w:pPr>
        <w:pStyle w:val="Heading1"/>
        <w:numPr>
          <w:ilvl w:val="0"/>
          <w:numId w:val="0"/>
        </w:numPr>
        <w:spacing w:before="360"/>
      </w:pPr>
      <w:bookmarkStart w:id="59" w:name="_Toc142904017"/>
      <w:r>
        <w:lastRenderedPageBreak/>
        <w:t>PRILOGA VI:</w:t>
      </w:r>
      <w:r>
        <w:tab/>
      </w:r>
      <w:r>
        <w:rPr>
          <w:smallCaps w:val="0"/>
        </w:rPr>
        <w:t>Analiza stopenj napak na populacijo</w:t>
      </w:r>
      <w:bookmarkEnd w:id="59"/>
    </w:p>
    <w:p w14:paraId="66A9F63C" w14:textId="77777777" w:rsidR="00E50F89" w:rsidRPr="00A7073B" w:rsidRDefault="000C61A9" w:rsidP="001C3C37">
      <w:pPr>
        <w:rPr>
          <w:szCs w:val="24"/>
        </w:rPr>
      </w:pPr>
      <w:r>
        <w:t>Od direktorja plačilne agencije se zahteva, da predloži analizo stopenj napak (vključno z vsemi kontrolami na drugi stopnji</w:t>
      </w:r>
      <w:r>
        <w:rPr>
          <w:rStyle w:val="FootnoteReference"/>
          <w:szCs w:val="24"/>
        </w:rPr>
        <w:footnoteReference w:id="21"/>
      </w:r>
      <w:r>
        <w:t xml:space="preserve">), tako da izpolni spodnji preglednici. Ta analiza mora vključevati: </w:t>
      </w:r>
    </w:p>
    <w:p w14:paraId="21583E2E" w14:textId="77777777" w:rsidR="00E50F89" w:rsidRPr="00A7073B" w:rsidRDefault="003B1E68" w:rsidP="001C3C37">
      <w:pPr>
        <w:rPr>
          <w:szCs w:val="24"/>
        </w:rPr>
      </w:pPr>
      <w:r>
        <w:t xml:space="preserve">(1) splošno oceno kakovosti kontrolne statistike in </w:t>
      </w:r>
    </w:p>
    <w:p w14:paraId="51563125" w14:textId="77777777" w:rsidR="0022551E" w:rsidRPr="00A7073B" w:rsidRDefault="003B1E68" w:rsidP="00E50F89">
      <w:pPr>
        <w:rPr>
          <w:szCs w:val="24"/>
        </w:rPr>
      </w:pPr>
      <w:r>
        <w:t xml:space="preserve">(2) pregled stopenj napak, izračunanih na populacijo, in sicer kot tehtano povprečje (vsota stolpca „e“ na populacijo se deli z vsoto stolpca „a“ na populacijo). </w:t>
      </w:r>
    </w:p>
    <w:p w14:paraId="72A82863" w14:textId="77777777" w:rsidR="00E50F89" w:rsidRPr="00A7073B" w:rsidRDefault="009E02C4" w:rsidP="00E50F89">
      <w:pPr>
        <w:rPr>
          <w:szCs w:val="24"/>
        </w:rPr>
      </w:pPr>
      <w:r>
        <w:t xml:space="preserve">Vključevati mora tudi primerjavo s stanjem, sporočenim v predhodnem proračunskem letu (stolpec „g“). Če stopnja napak za predhodno proračunsko leto ni izračunana kot tehtano povprečje, jo je treba ponovno izračunati in letos vključiti v preglednico za primerjavo. </w:t>
      </w:r>
    </w:p>
    <w:p w14:paraId="382256E6" w14:textId="77777777" w:rsidR="00E50F89" w:rsidRPr="00A7073B" w:rsidRDefault="00E50F89" w:rsidP="001C3C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961EC8" w:rsidRPr="00A7073B" w14:paraId="2ECD826B" w14:textId="77777777" w:rsidTr="00A448CD">
        <w:tc>
          <w:tcPr>
            <w:tcW w:w="14722" w:type="dxa"/>
            <w:shd w:val="clear" w:color="auto" w:fill="auto"/>
          </w:tcPr>
          <w:p w14:paraId="186C95FD" w14:textId="77777777" w:rsidR="00961EC8" w:rsidRPr="00A7073B" w:rsidRDefault="00961EC8" w:rsidP="00CB1F21">
            <w:pPr>
              <w:pStyle w:val="ListNumber"/>
              <w:numPr>
                <w:ilvl w:val="0"/>
                <w:numId w:val="8"/>
              </w:numPr>
            </w:pPr>
            <w:r>
              <w:t>Splošna ocena kakovosti kontrolne statistike (vključno s primerjavo s stanjem v predhodnem proračunskem letu):</w:t>
            </w:r>
          </w:p>
          <w:p w14:paraId="18C2DBFC" w14:textId="77777777" w:rsidR="00E50F89" w:rsidRPr="00A7073B" w:rsidRDefault="00E50F89" w:rsidP="004A6808">
            <w:pPr>
              <w:pStyle w:val="ListNumber"/>
              <w:numPr>
                <w:ilvl w:val="0"/>
                <w:numId w:val="0"/>
              </w:numPr>
              <w:ind w:left="709"/>
            </w:pPr>
          </w:p>
          <w:p w14:paraId="067E1A8F" w14:textId="77777777" w:rsidR="00961EC8" w:rsidRPr="00A7073B" w:rsidRDefault="00887CC5" w:rsidP="00887CC5">
            <w:r>
              <w:t>Rezultati kontrol na drugi stopnji</w:t>
            </w:r>
            <w:r>
              <w:tab/>
              <w:t>:</w:t>
            </w:r>
          </w:p>
        </w:tc>
      </w:tr>
    </w:tbl>
    <w:p w14:paraId="1D110BA1" w14:textId="77777777" w:rsidR="00E50F89" w:rsidRPr="00A7073B" w:rsidRDefault="00E50F89" w:rsidP="006C281C">
      <w:pPr>
        <w:spacing w:after="60"/>
        <w:rPr>
          <w:szCs w:val="24"/>
        </w:rPr>
      </w:pPr>
    </w:p>
    <w:p w14:paraId="31F7E147" w14:textId="77777777" w:rsidR="006C281C" w:rsidRPr="00A7073B" w:rsidRDefault="006C281C" w:rsidP="006C281C">
      <w:pPr>
        <w:spacing w:after="60"/>
        <w:rPr>
          <w:szCs w:val="24"/>
        </w:rPr>
      </w:pPr>
      <w:r>
        <w:t>Dodatne razlage in analiza glavnih razlogov ter vsi sprejeti popravni ukrepi se pričakujejo le v naslednjih primerih (glej razlage v spodnji preglednici):</w:t>
      </w:r>
    </w:p>
    <w:p w14:paraId="0D8A26B4" w14:textId="77777777" w:rsidR="006C281C" w:rsidRPr="00A7073B" w:rsidRDefault="006C281C" w:rsidP="006C281C">
      <w:pPr>
        <w:pStyle w:val="ListBullet"/>
        <w:numPr>
          <w:ilvl w:val="0"/>
          <w:numId w:val="4"/>
        </w:numPr>
        <w:spacing w:after="60"/>
        <w:ind w:left="284" w:hanging="284"/>
      </w:pPr>
      <w:r>
        <w:t xml:space="preserve">stopnja napak na ravni populacije za tekoče proračunsko leto je višja od 2 % ali </w:t>
      </w:r>
    </w:p>
    <w:p w14:paraId="07FB8CEE" w14:textId="77777777" w:rsidR="006C281C" w:rsidRPr="00A7073B" w:rsidRDefault="006C281C" w:rsidP="006C281C">
      <w:pPr>
        <w:pStyle w:val="ListBullet"/>
        <w:numPr>
          <w:ilvl w:val="0"/>
          <w:numId w:val="4"/>
        </w:numPr>
        <w:spacing w:after="60"/>
        <w:ind w:left="284" w:hanging="284"/>
      </w:pPr>
      <w:r>
        <w:t xml:space="preserve">primerjava s stanjem v predhodnem proračunskem letu kaže, da </w:t>
      </w:r>
      <w:r>
        <w:rPr>
          <w:u w:val="single"/>
        </w:rPr>
        <w:t>poslabšanje</w:t>
      </w:r>
      <w:r>
        <w:t xml:space="preserve"> niha za več kot 100 % v relativnem smislu ali za 0,5 % v absolutnem smislu (opredeljeno kot „znatno“), ali </w:t>
      </w:r>
    </w:p>
    <w:p w14:paraId="585A2927" w14:textId="77777777" w:rsidR="006C281C" w:rsidRPr="00A7073B" w:rsidRDefault="006C281C" w:rsidP="006C281C">
      <w:pPr>
        <w:pStyle w:val="ListBullet"/>
        <w:numPr>
          <w:ilvl w:val="0"/>
          <w:numId w:val="4"/>
        </w:numPr>
        <w:ind w:left="284" w:hanging="284"/>
      </w:pPr>
      <w:r>
        <w:t xml:space="preserve">stopnja napak na ravni populacije za tekoče proračunsko leto je neverjetno nizka. </w:t>
      </w:r>
    </w:p>
    <w:p w14:paraId="15E99AD5" w14:textId="77777777" w:rsidR="00E55130" w:rsidRPr="00A7073B" w:rsidRDefault="00E30E1B" w:rsidP="00E30E1B">
      <w:r>
        <w:t xml:space="preserve">Kadar je stopnja napak na ravni populacije nižja od 2 % in se v preteklih letih ni spreminjala, se nadaljnja analiza ne zahteva. </w:t>
      </w:r>
    </w:p>
    <w:p w14:paraId="3DE592CE" w14:textId="77777777" w:rsidR="003D0777" w:rsidRPr="00A7073B" w:rsidRDefault="002C7BAF" w:rsidP="00E30E1B">
      <w:r>
        <w:t xml:space="preserve">Stopnje napak je treba sporočiti le za populacije, za katere so bili v proračunskem letu plačani odhodki. </w:t>
      </w:r>
    </w:p>
    <w:p w14:paraId="2B3DAFDF" w14:textId="77777777" w:rsidR="00366920" w:rsidRPr="00A7073B" w:rsidRDefault="00366920" w:rsidP="00E30E1B"/>
    <w:p w14:paraId="7890B8FA" w14:textId="77777777" w:rsidR="00366920" w:rsidRPr="00A7073B" w:rsidRDefault="00366920" w:rsidP="00E30E1B"/>
    <w:p w14:paraId="63154D26" w14:textId="77777777" w:rsidR="00366920" w:rsidRPr="00A7073B" w:rsidRDefault="00366920" w:rsidP="00E30E1B"/>
    <w:p w14:paraId="433D8E3C" w14:textId="77777777" w:rsidR="00E30E1B" w:rsidRPr="00A7073B" w:rsidRDefault="00E30E1B" w:rsidP="00E30E1B">
      <w:pPr>
        <w:rPr>
          <w:szCs w:val="24"/>
        </w:rPr>
      </w:pPr>
    </w:p>
    <w:tbl>
      <w:tblPr>
        <w:tblW w:w="1026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559"/>
        <w:gridCol w:w="1449"/>
        <w:gridCol w:w="4595"/>
      </w:tblGrid>
      <w:tr w:rsidR="00185E68" w:rsidRPr="00A7073B" w14:paraId="1AEA99F2" w14:textId="77777777" w:rsidTr="009C3B11">
        <w:trPr>
          <w:trHeight w:val="440"/>
          <w:tblHeader/>
        </w:trPr>
        <w:tc>
          <w:tcPr>
            <w:tcW w:w="2660" w:type="dxa"/>
            <w:shd w:val="clear" w:color="auto" w:fill="auto"/>
          </w:tcPr>
          <w:p w14:paraId="2B866F10" w14:textId="77777777" w:rsidR="00185E68" w:rsidRPr="00A7073B" w:rsidRDefault="00185E68" w:rsidP="00A448CD">
            <w:pPr>
              <w:pStyle w:val="ListNumber"/>
              <w:numPr>
                <w:ilvl w:val="0"/>
                <w:numId w:val="5"/>
              </w:numPr>
              <w:jc w:val="left"/>
            </w:pPr>
            <w:r>
              <w:lastRenderedPageBreak/>
              <w:t>Populacija</w:t>
            </w:r>
          </w:p>
        </w:tc>
        <w:tc>
          <w:tcPr>
            <w:tcW w:w="1559" w:type="dxa"/>
            <w:shd w:val="clear" w:color="auto" w:fill="auto"/>
            <w:tcMar>
              <w:top w:w="113" w:type="dxa"/>
              <w:left w:w="57" w:type="dxa"/>
              <w:bottom w:w="113" w:type="dxa"/>
              <w:right w:w="57" w:type="dxa"/>
            </w:tcMar>
          </w:tcPr>
          <w:p w14:paraId="5F5F756E" w14:textId="77777777" w:rsidR="00185E68" w:rsidRPr="00A7073B" w:rsidRDefault="00185E68" w:rsidP="00A448CD">
            <w:pPr>
              <w:pStyle w:val="ListNumber"/>
              <w:numPr>
                <w:ilvl w:val="0"/>
                <w:numId w:val="0"/>
              </w:numPr>
              <w:jc w:val="center"/>
            </w:pPr>
            <w:r>
              <w:t xml:space="preserve">Stopnja napak v proračunskem letu 202X </w:t>
            </w:r>
            <w:r>
              <w:br/>
            </w:r>
          </w:p>
          <w:p w14:paraId="6C28D4C6" w14:textId="77777777" w:rsidR="00185E68" w:rsidRPr="00A7073B" w:rsidRDefault="00185E68" w:rsidP="00A448CD">
            <w:pPr>
              <w:pStyle w:val="ListNumber"/>
              <w:numPr>
                <w:ilvl w:val="0"/>
                <w:numId w:val="0"/>
              </w:numPr>
              <w:jc w:val="center"/>
            </w:pPr>
          </w:p>
          <w:p w14:paraId="7577ABA2" w14:textId="77777777" w:rsidR="00185E68" w:rsidRPr="00A7073B" w:rsidRDefault="00185E68" w:rsidP="00A448CD">
            <w:pPr>
              <w:pStyle w:val="ListNumber"/>
              <w:numPr>
                <w:ilvl w:val="0"/>
                <w:numId w:val="0"/>
              </w:numPr>
              <w:jc w:val="center"/>
            </w:pPr>
            <w:r>
              <w:t>[v %]</w:t>
            </w:r>
          </w:p>
        </w:tc>
        <w:tc>
          <w:tcPr>
            <w:tcW w:w="1449" w:type="dxa"/>
            <w:shd w:val="clear" w:color="auto" w:fill="auto"/>
            <w:tcMar>
              <w:top w:w="113" w:type="dxa"/>
              <w:left w:w="57" w:type="dxa"/>
              <w:bottom w:w="113" w:type="dxa"/>
              <w:right w:w="57" w:type="dxa"/>
            </w:tcMar>
          </w:tcPr>
          <w:p w14:paraId="0B0061DD" w14:textId="77777777" w:rsidR="00185E68" w:rsidRPr="00A7073B" w:rsidRDefault="00185E68" w:rsidP="00A448CD">
            <w:pPr>
              <w:pStyle w:val="ListNumber"/>
              <w:numPr>
                <w:ilvl w:val="0"/>
                <w:numId w:val="0"/>
              </w:numPr>
              <w:jc w:val="center"/>
            </w:pPr>
            <w:r>
              <w:t xml:space="preserve">Stopnja napak v predhodnem proračunskem letu  </w:t>
            </w:r>
            <w:r>
              <w:br/>
            </w:r>
          </w:p>
          <w:p w14:paraId="28B70014" w14:textId="77777777" w:rsidR="00185E68" w:rsidRPr="00A7073B" w:rsidRDefault="00185E68" w:rsidP="00A448CD">
            <w:pPr>
              <w:pStyle w:val="ListNumber"/>
              <w:numPr>
                <w:ilvl w:val="0"/>
                <w:numId w:val="0"/>
              </w:numPr>
              <w:spacing w:after="0"/>
              <w:jc w:val="center"/>
            </w:pPr>
          </w:p>
          <w:p w14:paraId="0F8AB9DD" w14:textId="77777777" w:rsidR="00185E68" w:rsidRPr="00A7073B" w:rsidRDefault="00185E68" w:rsidP="00A448CD">
            <w:pPr>
              <w:pStyle w:val="ListNumber"/>
              <w:numPr>
                <w:ilvl w:val="0"/>
                <w:numId w:val="0"/>
              </w:numPr>
              <w:jc w:val="center"/>
            </w:pPr>
            <w:r>
              <w:t>[v %]</w:t>
            </w:r>
          </w:p>
        </w:tc>
        <w:tc>
          <w:tcPr>
            <w:tcW w:w="4595" w:type="dxa"/>
            <w:shd w:val="clear" w:color="auto" w:fill="auto"/>
            <w:tcMar>
              <w:top w:w="113" w:type="dxa"/>
              <w:left w:w="57" w:type="dxa"/>
              <w:bottom w:w="113" w:type="dxa"/>
              <w:right w:w="57" w:type="dxa"/>
            </w:tcMar>
          </w:tcPr>
          <w:p w14:paraId="58090868" w14:textId="77777777" w:rsidR="00185E68" w:rsidRPr="00A7073B" w:rsidRDefault="00185E68" w:rsidP="00A448CD">
            <w:pPr>
              <w:pStyle w:val="ListNumber"/>
              <w:numPr>
                <w:ilvl w:val="0"/>
                <w:numId w:val="0"/>
              </w:numPr>
            </w:pPr>
            <w:r>
              <w:t xml:space="preserve">Kot razlago v treh primerih, ki so opredeljeni zgoraj, navedite: </w:t>
            </w:r>
          </w:p>
          <w:p w14:paraId="6D9475AA" w14:textId="77777777" w:rsidR="00185E68" w:rsidRPr="00A7073B" w:rsidRDefault="00185E68" w:rsidP="00A448CD">
            <w:pPr>
              <w:pStyle w:val="ListNumber"/>
              <w:numPr>
                <w:ilvl w:val="0"/>
                <w:numId w:val="0"/>
              </w:numPr>
            </w:pPr>
            <w:r>
              <w:t>(a) razloge za vsako znatno poslabšanje na ravni napake:</w:t>
            </w:r>
          </w:p>
          <w:p w14:paraId="7372EC92" w14:textId="77777777" w:rsidR="00185E68" w:rsidRPr="00A7073B" w:rsidRDefault="00185E68" w:rsidP="00A448CD">
            <w:pPr>
              <w:pStyle w:val="ListDash"/>
              <w:numPr>
                <w:ilvl w:val="0"/>
                <w:numId w:val="0"/>
              </w:numPr>
            </w:pPr>
            <w:r>
              <w:t>(b) popravne ukrepe, ki so bili ali bodo sprejeti na ravni plačilne agencije:</w:t>
            </w:r>
          </w:p>
        </w:tc>
      </w:tr>
      <w:tr w:rsidR="00185E68" w:rsidRPr="00A7073B" w14:paraId="473A66E3" w14:textId="77777777" w:rsidTr="009C3B11">
        <w:trPr>
          <w:trHeight w:val="157"/>
          <w:tblHeader/>
        </w:trPr>
        <w:tc>
          <w:tcPr>
            <w:tcW w:w="2660" w:type="dxa"/>
            <w:shd w:val="clear" w:color="auto" w:fill="auto"/>
          </w:tcPr>
          <w:p w14:paraId="3520AAF6" w14:textId="77777777" w:rsidR="00185E68" w:rsidRPr="00A7073B" w:rsidRDefault="00185E68" w:rsidP="00A448CD">
            <w:pPr>
              <w:pStyle w:val="ListNumber"/>
              <w:numPr>
                <w:ilvl w:val="0"/>
                <w:numId w:val="0"/>
              </w:numPr>
              <w:spacing w:after="0"/>
              <w:jc w:val="left"/>
            </w:pPr>
          </w:p>
        </w:tc>
        <w:tc>
          <w:tcPr>
            <w:tcW w:w="1559" w:type="dxa"/>
            <w:shd w:val="clear" w:color="auto" w:fill="auto"/>
            <w:tcMar>
              <w:top w:w="113" w:type="dxa"/>
              <w:left w:w="57" w:type="dxa"/>
              <w:bottom w:w="113" w:type="dxa"/>
              <w:right w:w="57" w:type="dxa"/>
            </w:tcMar>
          </w:tcPr>
          <w:p w14:paraId="414B753C" w14:textId="77777777" w:rsidR="00185E68" w:rsidRPr="00A7073B" w:rsidRDefault="0022551E" w:rsidP="0022551E">
            <w:pPr>
              <w:pStyle w:val="ListNumber"/>
              <w:numPr>
                <w:ilvl w:val="0"/>
                <w:numId w:val="0"/>
              </w:numPr>
              <w:spacing w:after="0"/>
              <w:jc w:val="center"/>
            </w:pPr>
            <w:r>
              <w:t>f = e/a</w:t>
            </w:r>
          </w:p>
        </w:tc>
        <w:tc>
          <w:tcPr>
            <w:tcW w:w="1449" w:type="dxa"/>
            <w:shd w:val="clear" w:color="auto" w:fill="auto"/>
            <w:tcMar>
              <w:top w:w="113" w:type="dxa"/>
              <w:left w:w="57" w:type="dxa"/>
              <w:bottom w:w="113" w:type="dxa"/>
              <w:right w:w="57" w:type="dxa"/>
            </w:tcMar>
          </w:tcPr>
          <w:p w14:paraId="06DD5EC9" w14:textId="77777777" w:rsidR="00185E68" w:rsidRPr="00A7073B" w:rsidRDefault="0022551E" w:rsidP="00A448CD">
            <w:pPr>
              <w:pStyle w:val="ListNumber"/>
              <w:numPr>
                <w:ilvl w:val="0"/>
                <w:numId w:val="0"/>
              </w:numPr>
              <w:spacing w:after="0"/>
              <w:jc w:val="center"/>
            </w:pPr>
            <w:r>
              <w:t>g</w:t>
            </w:r>
          </w:p>
        </w:tc>
        <w:tc>
          <w:tcPr>
            <w:tcW w:w="4595" w:type="dxa"/>
            <w:shd w:val="clear" w:color="auto" w:fill="auto"/>
            <w:tcMar>
              <w:top w:w="113" w:type="dxa"/>
              <w:left w:w="57" w:type="dxa"/>
              <w:bottom w:w="113" w:type="dxa"/>
              <w:right w:w="57" w:type="dxa"/>
            </w:tcMar>
          </w:tcPr>
          <w:p w14:paraId="7589EC47" w14:textId="77777777" w:rsidR="00185E68" w:rsidRPr="00A7073B" w:rsidRDefault="00185E68" w:rsidP="00A448CD">
            <w:pPr>
              <w:pStyle w:val="ListNumber"/>
              <w:numPr>
                <w:ilvl w:val="0"/>
                <w:numId w:val="0"/>
              </w:numPr>
              <w:spacing w:after="0"/>
            </w:pPr>
            <w:r>
              <w:t>–</w:t>
            </w:r>
          </w:p>
        </w:tc>
      </w:tr>
      <w:tr w:rsidR="00185E68" w:rsidRPr="00A7073B" w14:paraId="3698FAD7" w14:textId="77777777" w:rsidTr="009C3B11">
        <w:trPr>
          <w:trHeight w:val="440"/>
        </w:trPr>
        <w:tc>
          <w:tcPr>
            <w:tcW w:w="2660" w:type="dxa"/>
            <w:shd w:val="clear" w:color="auto" w:fill="auto"/>
          </w:tcPr>
          <w:p w14:paraId="2689FF7D" w14:textId="77777777" w:rsidR="00185E68" w:rsidRPr="00A7073B" w:rsidDel="008F1662" w:rsidRDefault="00185E68" w:rsidP="00A448CD">
            <w:pPr>
              <w:spacing w:after="100" w:afterAutospacing="1"/>
              <w:jc w:val="left"/>
            </w:pPr>
            <w:r>
              <w:t>EKJS IAKS</w:t>
            </w:r>
          </w:p>
        </w:tc>
        <w:tc>
          <w:tcPr>
            <w:tcW w:w="1559" w:type="dxa"/>
            <w:shd w:val="clear" w:color="auto" w:fill="auto"/>
          </w:tcPr>
          <w:p w14:paraId="171B1CE7" w14:textId="77777777" w:rsidR="00185E68" w:rsidRPr="00A7073B" w:rsidRDefault="00185E68" w:rsidP="00A448CD">
            <w:pPr>
              <w:spacing w:after="100" w:afterAutospacing="1"/>
            </w:pPr>
          </w:p>
        </w:tc>
        <w:tc>
          <w:tcPr>
            <w:tcW w:w="1449" w:type="dxa"/>
            <w:shd w:val="clear" w:color="auto" w:fill="auto"/>
          </w:tcPr>
          <w:p w14:paraId="06309021" w14:textId="77777777" w:rsidR="00185E68" w:rsidRPr="00A7073B" w:rsidRDefault="00185E68" w:rsidP="00A448CD">
            <w:pPr>
              <w:spacing w:after="100" w:afterAutospacing="1"/>
            </w:pPr>
          </w:p>
        </w:tc>
        <w:tc>
          <w:tcPr>
            <w:tcW w:w="4595" w:type="dxa"/>
            <w:shd w:val="clear" w:color="auto" w:fill="auto"/>
          </w:tcPr>
          <w:p w14:paraId="1015FD09" w14:textId="77777777" w:rsidR="00185E68" w:rsidRPr="00A7073B" w:rsidRDefault="00185E68" w:rsidP="00A448CD">
            <w:pPr>
              <w:spacing w:after="100" w:afterAutospacing="1"/>
            </w:pPr>
          </w:p>
        </w:tc>
      </w:tr>
      <w:tr w:rsidR="00185E68" w:rsidRPr="00A7073B" w14:paraId="7F6B8BED" w14:textId="77777777" w:rsidTr="009C3B11">
        <w:trPr>
          <w:trHeight w:val="440"/>
        </w:trPr>
        <w:tc>
          <w:tcPr>
            <w:tcW w:w="2660" w:type="dxa"/>
            <w:shd w:val="clear" w:color="auto" w:fill="auto"/>
          </w:tcPr>
          <w:p w14:paraId="25DBE944" w14:textId="77777777" w:rsidR="00185E68" w:rsidRPr="00A7073B" w:rsidDel="008F1662" w:rsidRDefault="00185E68" w:rsidP="00A448CD">
            <w:pPr>
              <w:tabs>
                <w:tab w:val="left" w:pos="516"/>
              </w:tabs>
              <w:spacing w:before="60" w:after="60"/>
              <w:jc w:val="left"/>
            </w:pPr>
            <w:r>
              <w:t xml:space="preserve">EKJS ne-IAKS </w:t>
            </w:r>
          </w:p>
        </w:tc>
        <w:tc>
          <w:tcPr>
            <w:tcW w:w="1559" w:type="dxa"/>
            <w:shd w:val="clear" w:color="auto" w:fill="auto"/>
          </w:tcPr>
          <w:p w14:paraId="0090A368" w14:textId="77777777" w:rsidR="00185E68" w:rsidRPr="00A7073B" w:rsidRDefault="00185E68" w:rsidP="00A448CD">
            <w:pPr>
              <w:spacing w:after="100" w:afterAutospacing="1"/>
            </w:pPr>
          </w:p>
        </w:tc>
        <w:tc>
          <w:tcPr>
            <w:tcW w:w="1449" w:type="dxa"/>
            <w:shd w:val="clear" w:color="auto" w:fill="auto"/>
          </w:tcPr>
          <w:p w14:paraId="47D98E1E" w14:textId="77777777" w:rsidR="00185E68" w:rsidRPr="00A7073B" w:rsidRDefault="00185E68" w:rsidP="00A448CD">
            <w:pPr>
              <w:spacing w:after="100" w:afterAutospacing="1"/>
            </w:pPr>
          </w:p>
        </w:tc>
        <w:tc>
          <w:tcPr>
            <w:tcW w:w="4595" w:type="dxa"/>
            <w:shd w:val="clear" w:color="auto" w:fill="auto"/>
          </w:tcPr>
          <w:p w14:paraId="002DFDBA" w14:textId="77777777" w:rsidR="00185E68" w:rsidRPr="00A7073B" w:rsidRDefault="00185E68" w:rsidP="00A448CD">
            <w:pPr>
              <w:spacing w:after="100" w:afterAutospacing="1"/>
            </w:pPr>
          </w:p>
        </w:tc>
      </w:tr>
      <w:tr w:rsidR="00185E68" w:rsidRPr="00A7073B" w14:paraId="0D0A2B37" w14:textId="77777777" w:rsidTr="009C3B11">
        <w:trPr>
          <w:trHeight w:val="440"/>
        </w:trPr>
        <w:tc>
          <w:tcPr>
            <w:tcW w:w="2660" w:type="dxa"/>
            <w:shd w:val="clear" w:color="auto" w:fill="auto"/>
          </w:tcPr>
          <w:p w14:paraId="5BE40E9D" w14:textId="77777777" w:rsidR="00185E68" w:rsidRPr="00A7073B" w:rsidDel="008F1662" w:rsidRDefault="00185E68" w:rsidP="0044780C">
            <w:pPr>
              <w:spacing w:after="100" w:afterAutospacing="1"/>
              <w:jc w:val="left"/>
            </w:pPr>
            <w:r>
              <w:t xml:space="preserve">EKSRP IAKS  </w:t>
            </w:r>
          </w:p>
        </w:tc>
        <w:tc>
          <w:tcPr>
            <w:tcW w:w="1559" w:type="dxa"/>
            <w:shd w:val="clear" w:color="auto" w:fill="auto"/>
          </w:tcPr>
          <w:p w14:paraId="57118D80" w14:textId="77777777" w:rsidR="00185E68" w:rsidRPr="00A7073B" w:rsidRDefault="00185E68" w:rsidP="00A448CD">
            <w:pPr>
              <w:spacing w:after="100" w:afterAutospacing="1"/>
            </w:pPr>
          </w:p>
        </w:tc>
        <w:tc>
          <w:tcPr>
            <w:tcW w:w="1449" w:type="dxa"/>
            <w:shd w:val="clear" w:color="auto" w:fill="auto"/>
          </w:tcPr>
          <w:p w14:paraId="576E59FD" w14:textId="77777777" w:rsidR="00185E68" w:rsidRPr="00A7073B" w:rsidRDefault="00185E68" w:rsidP="00A448CD">
            <w:pPr>
              <w:spacing w:after="100" w:afterAutospacing="1"/>
            </w:pPr>
          </w:p>
        </w:tc>
        <w:tc>
          <w:tcPr>
            <w:tcW w:w="4595" w:type="dxa"/>
            <w:shd w:val="clear" w:color="auto" w:fill="auto"/>
          </w:tcPr>
          <w:p w14:paraId="3F7F2DBB" w14:textId="77777777" w:rsidR="00185E68" w:rsidRPr="00A7073B" w:rsidRDefault="00185E68" w:rsidP="00A448CD">
            <w:pPr>
              <w:spacing w:after="100" w:afterAutospacing="1"/>
            </w:pPr>
          </w:p>
        </w:tc>
      </w:tr>
      <w:tr w:rsidR="00185E68" w:rsidRPr="00FD4529" w14:paraId="1DCA9E3F" w14:textId="77777777" w:rsidTr="009C3B11">
        <w:trPr>
          <w:trHeight w:val="440"/>
        </w:trPr>
        <w:tc>
          <w:tcPr>
            <w:tcW w:w="2660" w:type="dxa"/>
            <w:shd w:val="clear" w:color="auto" w:fill="auto"/>
          </w:tcPr>
          <w:p w14:paraId="5A288D02" w14:textId="77777777" w:rsidR="00185E68" w:rsidRPr="0044780C" w:rsidDel="008F1662" w:rsidRDefault="00185E68" w:rsidP="0044780C">
            <w:pPr>
              <w:spacing w:after="100" w:afterAutospacing="1"/>
              <w:jc w:val="left"/>
            </w:pPr>
            <w:r>
              <w:t xml:space="preserve">EKSRP ne-IAKS </w:t>
            </w:r>
          </w:p>
        </w:tc>
        <w:tc>
          <w:tcPr>
            <w:tcW w:w="1559" w:type="dxa"/>
            <w:shd w:val="clear" w:color="auto" w:fill="auto"/>
          </w:tcPr>
          <w:p w14:paraId="60B67020" w14:textId="77777777" w:rsidR="00185E68" w:rsidRPr="00FD4529" w:rsidRDefault="00185E68" w:rsidP="00A448CD">
            <w:pPr>
              <w:spacing w:after="100" w:afterAutospacing="1"/>
            </w:pPr>
          </w:p>
        </w:tc>
        <w:tc>
          <w:tcPr>
            <w:tcW w:w="1449" w:type="dxa"/>
            <w:shd w:val="clear" w:color="auto" w:fill="auto"/>
          </w:tcPr>
          <w:p w14:paraId="51F852C4" w14:textId="77777777" w:rsidR="00185E68" w:rsidRPr="00FD4529" w:rsidRDefault="00185E68" w:rsidP="00A448CD">
            <w:pPr>
              <w:spacing w:after="100" w:afterAutospacing="1"/>
            </w:pPr>
          </w:p>
        </w:tc>
        <w:tc>
          <w:tcPr>
            <w:tcW w:w="4595" w:type="dxa"/>
            <w:shd w:val="clear" w:color="auto" w:fill="auto"/>
          </w:tcPr>
          <w:p w14:paraId="3E8C0C8F" w14:textId="77777777" w:rsidR="00185E68" w:rsidRPr="00FD4529" w:rsidRDefault="00185E68" w:rsidP="00A448CD">
            <w:pPr>
              <w:spacing w:after="100" w:afterAutospacing="1"/>
            </w:pPr>
          </w:p>
        </w:tc>
      </w:tr>
    </w:tbl>
    <w:p w14:paraId="012597A1" w14:textId="77777777" w:rsidR="008D4696" w:rsidRDefault="008D4696" w:rsidP="001C3C37">
      <w:pPr>
        <w:rPr>
          <w:szCs w:val="24"/>
        </w:rPr>
      </w:pPr>
    </w:p>
    <w:p w14:paraId="1A36AC92" w14:textId="77777777" w:rsidR="008D4696" w:rsidRPr="008D4696" w:rsidRDefault="008D4696" w:rsidP="008D4696">
      <w:pPr>
        <w:rPr>
          <w:szCs w:val="24"/>
        </w:rPr>
      </w:pPr>
    </w:p>
    <w:p w14:paraId="3E870F8B" w14:textId="77777777" w:rsidR="008D4696" w:rsidRDefault="008D4696" w:rsidP="004A6808">
      <w:pPr>
        <w:tabs>
          <w:tab w:val="left" w:pos="3905"/>
        </w:tabs>
        <w:rPr>
          <w:szCs w:val="24"/>
        </w:rPr>
      </w:pPr>
      <w:r>
        <w:tab/>
      </w:r>
    </w:p>
    <w:p w14:paraId="5E6C16CE" w14:textId="77777777" w:rsidR="008D4696" w:rsidRDefault="008D4696" w:rsidP="008D4696">
      <w:pPr>
        <w:rPr>
          <w:szCs w:val="24"/>
        </w:rPr>
      </w:pPr>
    </w:p>
    <w:p w14:paraId="73B3D41E" w14:textId="77777777" w:rsidR="004D313E" w:rsidRDefault="004D313E" w:rsidP="00C47F65">
      <w:pPr>
        <w:pStyle w:val="Heading1"/>
        <w:numPr>
          <w:ilvl w:val="0"/>
          <w:numId w:val="0"/>
        </w:numPr>
        <w:spacing w:before="360"/>
      </w:pPr>
    </w:p>
    <w:p w14:paraId="54DD89B2" w14:textId="77777777" w:rsidR="004D313E" w:rsidRPr="008D4696" w:rsidRDefault="004D313E" w:rsidP="008D4696">
      <w:pPr>
        <w:rPr>
          <w:szCs w:val="24"/>
        </w:rPr>
        <w:sectPr w:rsidR="004D313E" w:rsidRPr="008D4696" w:rsidSect="004A6808">
          <w:headerReference w:type="even" r:id="rId18"/>
          <w:headerReference w:type="default" r:id="rId19"/>
          <w:footerReference w:type="default" r:id="rId20"/>
          <w:headerReference w:type="first" r:id="rId21"/>
          <w:footerReference w:type="first" r:id="rId22"/>
          <w:pgSz w:w="11907" w:h="16840" w:code="9"/>
          <w:pgMar w:top="992" w:right="1701" w:bottom="992" w:left="992" w:header="0" w:footer="0" w:gutter="0"/>
          <w:cols w:space="720"/>
          <w:titlePg/>
          <w:docGrid w:linePitch="326"/>
        </w:sectPr>
      </w:pPr>
    </w:p>
    <w:p w14:paraId="51F842D0" w14:textId="77777777" w:rsidR="001A542D" w:rsidRPr="00C47F65" w:rsidRDefault="001A542D" w:rsidP="00C47F65">
      <w:pPr>
        <w:pStyle w:val="Title"/>
        <w:rPr>
          <w:rFonts w:ascii="Times New Roman" w:hAnsi="Times New Roman"/>
          <w:sz w:val="28"/>
          <w:szCs w:val="28"/>
        </w:rPr>
      </w:pPr>
      <w:bookmarkStart w:id="60" w:name="_Toc142904018"/>
      <w:r>
        <w:rPr>
          <w:rFonts w:ascii="Times New Roman" w:hAnsi="Times New Roman"/>
          <w:sz w:val="28"/>
        </w:rPr>
        <w:lastRenderedPageBreak/>
        <w:t>ODDELEK B: IZJAVA O UPRAVLJANJU – USKLAJEVALNI ORGAN</w:t>
      </w:r>
      <w:bookmarkEnd w:id="60"/>
    </w:p>
    <w:p w14:paraId="3C27F48A" w14:textId="77777777" w:rsidR="001A542D" w:rsidRPr="007A041E" w:rsidRDefault="001A542D" w:rsidP="001A542D">
      <w:pPr>
        <w:rPr>
          <w:b/>
        </w:rPr>
      </w:pPr>
      <w:r>
        <w:rPr>
          <w:b/>
        </w:rPr>
        <w:t>Namen</w:t>
      </w:r>
    </w:p>
    <w:p w14:paraId="63DD16D7" w14:textId="77777777" w:rsidR="001A542D" w:rsidRPr="00FD4529" w:rsidRDefault="001A542D" w:rsidP="001A542D">
      <w:pPr>
        <w:rPr>
          <w:szCs w:val="24"/>
        </w:rPr>
      </w:pPr>
      <w:r>
        <w:t>Ta dokument vsebuje napotke o izjavi o upravljanju, ki jo mora sestaviti vsak direktor usklajevalnega organa v skladu s členom 10(3) Uredbe (EU) 2021/2116 Evropskega parlamenta in Sveta</w:t>
      </w:r>
      <w:r>
        <w:rPr>
          <w:rStyle w:val="FootnoteReference"/>
          <w:szCs w:val="24"/>
        </w:rPr>
        <w:footnoteReference w:id="22"/>
      </w:r>
      <w:r>
        <w:t>. Določa veljavne pravne določbe in zagotavlja priporočila služb Komisije, da se zagotovi, da so izjave o upravljanju pripravljene na podlagi primerljivih meril.</w:t>
      </w:r>
    </w:p>
    <w:p w14:paraId="33C2259A" w14:textId="77777777" w:rsidR="001A542D" w:rsidRPr="00FD4529" w:rsidRDefault="001A542D" w:rsidP="001A542D">
      <w:pPr>
        <w:rPr>
          <w:szCs w:val="24"/>
        </w:rPr>
      </w:pPr>
      <w:r>
        <w:t>Dokument je le priporočilo in ne izraža dvoma o tem, da je direktor usklajevalnega organa odgovoren za pripravo izjave o upravljanju in zlasti, da odloča o tem, ali je treba v izjavi navesti kakršne koli pridržke.</w:t>
      </w:r>
    </w:p>
    <w:p w14:paraId="3A294336" w14:textId="77777777" w:rsidR="001A542D" w:rsidRPr="00FD4529" w:rsidRDefault="001A542D" w:rsidP="00CB1F21">
      <w:pPr>
        <w:pStyle w:val="Heading1"/>
        <w:numPr>
          <w:ilvl w:val="0"/>
          <w:numId w:val="26"/>
        </w:numPr>
        <w:spacing w:before="360"/>
      </w:pPr>
      <w:bookmarkStart w:id="61" w:name="_Toc142904019"/>
      <w:r>
        <w:t>Ozadje</w:t>
      </w:r>
      <w:bookmarkEnd w:id="61"/>
    </w:p>
    <w:p w14:paraId="5C044648" w14:textId="77777777" w:rsidR="001A542D" w:rsidRPr="00FD4529" w:rsidRDefault="001A542D" w:rsidP="001A542D">
      <w:pPr>
        <w:pStyle w:val="Heading2"/>
      </w:pPr>
      <w:bookmarkStart w:id="62" w:name="_Toc142904020"/>
      <w:r>
        <w:t>Zakonodajno okolje</w:t>
      </w:r>
      <w:bookmarkEnd w:id="62"/>
    </w:p>
    <w:p w14:paraId="2B0925EE" w14:textId="1BCF2B9D" w:rsidR="001A542D" w:rsidRPr="00FD4529" w:rsidRDefault="001A542D" w:rsidP="001A542D">
      <w:pPr>
        <w:rPr>
          <w:szCs w:val="24"/>
        </w:rPr>
      </w:pPr>
      <w:r>
        <w:t>Če je imenovan usklajevalni organ, morajo države članice v skladu s členom 10(3) Uredbe (EU) 2021/2116 Evropskega parlamenta in Sveta Komisiji poslati letno poročilo o smotrnosti iz odstavka 1, točka (b), tega člena skupaj z izjavo o upravljanju, ki jo predloži usklajevalni organ in ki se nanaša na pripravo celotnega poročila.</w:t>
      </w:r>
    </w:p>
    <w:p w14:paraId="1900D2E9" w14:textId="75C8E233" w:rsidR="001A542D" w:rsidRPr="00605293" w:rsidRDefault="3BD46615" w:rsidP="614BA28D">
      <w:pPr>
        <w:rPr>
          <w:b/>
          <w:bCs/>
        </w:rPr>
      </w:pPr>
      <w:r>
        <w:t xml:space="preserve"> Kot je navedeno v členu 10(3) Uredbe (EU) 2021/2116, se letno poročilo o smotrnosti obravnava v mnenju iz člena 12(2) in se predloži Komisiji skupaj z izjavo o upravljanju, ki se nanaša na pripravo celotnega poročila. V skladu s členom 4(1) Izvedbene uredbe Komisije (EU) 2022/128 se izjava o upravljanju, ki jo predloži usklajevalni organ, pripravi pravočasno, da lahko certifikacijski organ izda mnenje.</w:t>
      </w:r>
    </w:p>
    <w:p w14:paraId="4FA7F801" w14:textId="369AB943" w:rsidR="001A542D" w:rsidRPr="00605293" w:rsidRDefault="5422AE96" w:rsidP="614BA28D">
      <w:r>
        <w:t>Opozoriti je treba, da v izjavi o upravljanju, ki jo predloži usklajevalni organ, ni treba povzeti pridržkov glede resnih pomanjkljivostih in/ali sistemskih vprašanj, sporočenih na ravni plačilne agencije v izjavah o upravljanju. Vendar če resna pomanjkljivost povzroči odstopanja v kazalnikih, sporočenih v letnem poročilu o smotrnosti na nacionalni ravni, jo bo usklajevalni organ moral upoštevati pri pripravi izjave o upravljanju. Prav tako mora imeti izjava obliko, določeno v Prilogi II k Uredbi (EU) 2022/128. Lahko vsebuje pridržke, v katerih je količinsko opredeljen možni finančni vpliv. Če so izraženi pridržki, se v izjavo vključi akcijski načrt za odpravo pomanjkljivosti in natančen časovni okvir za njegovo izvajanje.</w:t>
      </w:r>
    </w:p>
    <w:p w14:paraId="79E22383" w14:textId="77777777" w:rsidR="001A542D" w:rsidRPr="00FD4529" w:rsidRDefault="001A542D" w:rsidP="001A542D">
      <w:pPr>
        <w:pStyle w:val="Heading2"/>
      </w:pPr>
      <w:bookmarkStart w:id="63" w:name="_Toc142904021"/>
      <w:r>
        <w:t>Rok za predložitev</w:t>
      </w:r>
      <w:bookmarkEnd w:id="63"/>
    </w:p>
    <w:p w14:paraId="73796108" w14:textId="77777777" w:rsidR="001A542D" w:rsidRPr="00FD4529" w:rsidRDefault="001A542D" w:rsidP="001A542D">
      <w:pPr>
        <w:rPr>
          <w:szCs w:val="24"/>
        </w:rPr>
      </w:pPr>
      <w:r>
        <w:t>V skladu s členom 33 Izvedbene uredbe Komisije (EU) 2022/128 se dokumenti pošljejo Komisiji do 15. februarja v letu, ki sledi koncu proračunskega leta, na katero se nanašajo.</w:t>
      </w:r>
    </w:p>
    <w:p w14:paraId="128C6745" w14:textId="77777777" w:rsidR="001A542D" w:rsidRPr="00FD4529" w:rsidRDefault="001A542D" w:rsidP="001A542D">
      <w:pPr>
        <w:pStyle w:val="Heading2"/>
      </w:pPr>
      <w:bookmarkStart w:id="64" w:name="_Toc142904022"/>
      <w:r>
        <w:t>Podpis</w:t>
      </w:r>
      <w:bookmarkEnd w:id="64"/>
    </w:p>
    <w:p w14:paraId="2F62832E" w14:textId="77777777" w:rsidR="001A542D" w:rsidRPr="00FD4529" w:rsidRDefault="755FB992" w:rsidP="001A542D">
      <w:r>
        <w:t xml:space="preserve">Izjavo o upravljanju, ki jo predloži usklajevalni organ, in vse pridržke podpiše direktor usklajevalnega organa. Te naloge ni mogoče prenesti. Potreben je le podpis direktorja usklajevalnega organa. Ni treba, da bi različne dele izjave o upravljanju podpisala oseba, ki </w:t>
      </w:r>
      <w:r>
        <w:lastRenderedPageBreak/>
        <w:t xml:space="preserve">je za te del odgovorna znotraj usklajevalnega organa. Če je usklajevalni organ med proračunskim letom ali po njem dobil novega direktorja, mora izjavo o upravljanju podpisati le direktor, ki je vodil usklajevalni organ ob podpisu izjave o upravljanju, tj. najpozneje 15. februarja. </w:t>
      </w:r>
    </w:p>
    <w:p w14:paraId="714F4FA1" w14:textId="77777777" w:rsidR="001A542D" w:rsidRPr="00776EAA" w:rsidRDefault="001A542D" w:rsidP="001A542D">
      <w:pPr>
        <w:pStyle w:val="Heading2"/>
      </w:pPr>
      <w:bookmarkStart w:id="65" w:name="_Toc142904023"/>
      <w:r>
        <w:t>Posredovanje in oblika</w:t>
      </w:r>
      <w:bookmarkEnd w:id="65"/>
    </w:p>
    <w:p w14:paraId="0AAEBE1D" w14:textId="77FB08DE" w:rsidR="001A542D" w:rsidRDefault="001A542D" w:rsidP="001A542D">
      <w:pPr>
        <w:spacing w:after="120"/>
      </w:pPr>
      <w:r>
        <w:t xml:space="preserve">Izjavo o upravljanju je treba poimenovati „MD_XY00.*“, pri čemer XY00 označuje kodo usklajevalnega organa države članice (npr. MS00). Dokument mora vključevati izjavo o upravljanju ter Prilogo I „Dokumenti in izvedena dela, ki so podlaga za izjavo o upravljanju“ in Prilogo II „Pridržki in spremljanje napredka pri izvajanju akcijskih načrtov“. “. </w:t>
      </w:r>
    </w:p>
    <w:p w14:paraId="6CC0244A" w14:textId="77777777" w:rsidR="001A542D" w:rsidRPr="00C47F65" w:rsidRDefault="001A542D" w:rsidP="001A542D">
      <w:pPr>
        <w:pStyle w:val="Text2"/>
        <w:ind w:left="0"/>
        <w:rPr>
          <w:lang w:val="en-IE"/>
        </w:rPr>
      </w:pPr>
    </w:p>
    <w:p w14:paraId="223D2F35" w14:textId="77777777" w:rsidR="001A542D" w:rsidRPr="00215E88" w:rsidRDefault="001A542D" w:rsidP="001A542D">
      <w:pPr>
        <w:pStyle w:val="Heading2"/>
      </w:pPr>
      <w:bookmarkStart w:id="66" w:name="_Toc142904024"/>
      <w:r>
        <w:t>Besedilo izjave o upravljanju (usklajevalni organ)</w:t>
      </w:r>
      <w:bookmarkEnd w:id="66"/>
    </w:p>
    <w:p w14:paraId="2048D5B4" w14:textId="77777777" w:rsidR="001A542D" w:rsidRDefault="001A542D" w:rsidP="001A542D">
      <w:pPr>
        <w:rPr>
          <w:i/>
        </w:rPr>
      </w:pPr>
    </w:p>
    <w:p w14:paraId="253B1EE1" w14:textId="77777777" w:rsidR="001A542D" w:rsidRDefault="001A542D" w:rsidP="001A542D">
      <w:pPr>
        <w:jc w:val="center"/>
        <w:rPr>
          <w:i/>
        </w:rPr>
      </w:pPr>
      <w:r>
        <w:rPr>
          <w:i/>
        </w:rPr>
        <w:t xml:space="preserve">IZJAVA O UPRAVLJANJU – usklajevalni organ </w:t>
      </w:r>
    </w:p>
    <w:p w14:paraId="681C51F6" w14:textId="77777777" w:rsidR="001A542D" w:rsidRPr="00EE270F" w:rsidRDefault="001A542D" w:rsidP="001A542D">
      <w:pPr>
        <w:jc w:val="center"/>
        <w:rPr>
          <w:i/>
        </w:rPr>
      </w:pPr>
      <w:r>
        <w:rPr>
          <w:i/>
        </w:rPr>
        <w:t>Kakor je navedeno v členu 4</w:t>
      </w:r>
    </w:p>
    <w:p w14:paraId="21813B5C" w14:textId="77777777" w:rsidR="001A542D" w:rsidRPr="00EE270F" w:rsidRDefault="001A542D" w:rsidP="001A542D">
      <w:pPr>
        <w:rPr>
          <w:i/>
        </w:rPr>
      </w:pPr>
    </w:p>
    <w:p w14:paraId="75CF0EF6" w14:textId="77777777" w:rsidR="001A542D" w:rsidRPr="00EE270F" w:rsidRDefault="001A542D" w:rsidP="001A542D">
      <w:pPr>
        <w:rPr>
          <w:i/>
        </w:rPr>
      </w:pPr>
      <w:r>
        <w:rPr>
          <w:i/>
        </w:rPr>
        <w:t>Spodaj podpisani/-a …, direktor/-ica usklajevalnega organa …., predlagam letno poročilo o smotrnosti za ……… (država članica) za proračunsko leto od 16. oktobra </w:t>
      </w:r>
      <w:proofErr w:type="spellStart"/>
      <w:r>
        <w:rPr>
          <w:i/>
        </w:rPr>
        <w:t>xxxx</w:t>
      </w:r>
      <w:proofErr w:type="spellEnd"/>
      <w:r>
        <w:rPr>
          <w:i/>
        </w:rPr>
        <w:t xml:space="preserve"> do 15. oktobra </w:t>
      </w:r>
      <w:proofErr w:type="spellStart"/>
      <w:r>
        <w:rPr>
          <w:i/>
        </w:rPr>
        <w:t>xxxx</w:t>
      </w:r>
      <w:proofErr w:type="spellEnd"/>
      <w:r>
        <w:rPr>
          <w:i/>
        </w:rPr>
        <w:t> + 1.</w:t>
      </w:r>
    </w:p>
    <w:p w14:paraId="237DEBB4" w14:textId="77777777" w:rsidR="001A542D" w:rsidRPr="00EE270F" w:rsidRDefault="001A542D" w:rsidP="001A542D">
      <w:pPr>
        <w:rPr>
          <w:i/>
        </w:rPr>
      </w:pPr>
      <w:r>
        <w:rPr>
          <w:i/>
        </w:rPr>
        <w:t>Po lastni presoji in informacijah, ki so mi na voljo in ki med drugim vključujejo tudi rezultate dela usklajevalnega organa, izjavljam, da:</w:t>
      </w:r>
    </w:p>
    <w:p w14:paraId="30C82771" w14:textId="77777777" w:rsidR="001A542D" w:rsidRPr="00EE270F" w:rsidRDefault="001A542D" w:rsidP="001A542D">
      <w:pPr>
        <w:rPr>
          <w:i/>
        </w:rPr>
      </w:pPr>
      <w:r>
        <w:rPr>
          <w:i/>
        </w:rPr>
        <w:t>– je bilo letno poročilo o smotrnosti iz člena 54(1) Uredbe (EU) 2021/2116 in člena 134 Uredbe (EU) 2021/2115 pripravljeno v skladu z akreditiranim postopkom in sistemi, ki veljajo pri usklajevalnem organu, ter osnovano na potrjenih podatkih plačilnih agencij (… seznam) v ……… (država članica).</w:t>
      </w:r>
    </w:p>
    <w:p w14:paraId="099DE5BB" w14:textId="77777777" w:rsidR="001A542D" w:rsidRPr="00EE270F" w:rsidRDefault="001A542D" w:rsidP="001A542D">
      <w:pPr>
        <w:rPr>
          <w:i/>
        </w:rPr>
      </w:pPr>
      <w:r>
        <w:rPr>
          <w:i/>
        </w:rPr>
        <w:t>Vendar za to zagotovilo veljajo naslednji pridržki:</w:t>
      </w:r>
    </w:p>
    <w:p w14:paraId="0982FBF2" w14:textId="77777777" w:rsidR="001A542D" w:rsidRPr="00EE270F" w:rsidRDefault="001A542D" w:rsidP="001A542D">
      <w:pPr>
        <w:rPr>
          <w:i/>
        </w:rPr>
      </w:pPr>
      <w:r>
        <w:rPr>
          <w:i/>
        </w:rPr>
        <w:t>Nazadnje potrjujem, da nisem seznanjen/-a z nobenimi nerazkritimi podatki, ki bi lahko škodili finančnim interesom Unije.</w:t>
      </w:r>
    </w:p>
    <w:p w14:paraId="0108318F" w14:textId="77777777" w:rsidR="001A542D" w:rsidRDefault="001A542D" w:rsidP="001A542D">
      <w:pPr>
        <w:rPr>
          <w:i/>
        </w:rPr>
      </w:pPr>
      <w:r>
        <w:rPr>
          <w:i/>
        </w:rPr>
        <w:t>Podpis</w:t>
      </w:r>
    </w:p>
    <w:p w14:paraId="3261E8BB" w14:textId="77777777" w:rsidR="001A542D" w:rsidRPr="00FD4529" w:rsidRDefault="001A542D" w:rsidP="001A542D">
      <w:pPr>
        <w:rPr>
          <w:szCs w:val="24"/>
        </w:rPr>
      </w:pPr>
      <w:r>
        <w:t>Izjava o upravljanju, kot je navedena zgoraj, mora vsebovati naslednje podatke:</w:t>
      </w:r>
    </w:p>
    <w:p w14:paraId="712A2719" w14:textId="77777777" w:rsidR="001A542D" w:rsidRPr="00FD4529" w:rsidRDefault="001A542D" w:rsidP="001A542D">
      <w:pPr>
        <w:pStyle w:val="ListDash"/>
      </w:pPr>
      <w:r>
        <w:t>ime direktorja in naziv usklajevalnega organa. Zlasti je pomembno, da se v besedilu pojavi le ime direktorja in da je on edini, ki dejansko podpiše izjavo o upravljanju;</w:t>
      </w:r>
    </w:p>
    <w:p w14:paraId="792AD544" w14:textId="77777777" w:rsidR="001A542D" w:rsidRPr="00FD4529" w:rsidRDefault="001A542D" w:rsidP="001A542D">
      <w:pPr>
        <w:pStyle w:val="ListDash"/>
      </w:pPr>
      <w:r>
        <w:t>zadevno proračunsko leto.</w:t>
      </w:r>
    </w:p>
    <w:p w14:paraId="7B447894" w14:textId="77777777" w:rsidR="001A542D" w:rsidRPr="00FD4529" w:rsidRDefault="001A542D" w:rsidP="001A542D">
      <w:pPr>
        <w:pStyle w:val="Heading1"/>
        <w:spacing w:before="360"/>
      </w:pPr>
      <w:bookmarkStart w:id="67" w:name="_Toc142904025"/>
      <w:r>
        <w:t>Podlaga za izjavo o upravljanju</w:t>
      </w:r>
      <w:bookmarkEnd w:id="67"/>
    </w:p>
    <w:p w14:paraId="0CD2AEBE" w14:textId="77777777" w:rsidR="001A542D" w:rsidRPr="00042EC3" w:rsidRDefault="001A542D" w:rsidP="614BA28D">
      <w:r>
        <w:t xml:space="preserve">Kot je navedeno zgoraj in v členu 4(2) Uredbe (EU) 2022/128, izjava o upravljanju, ki jo predloži usklajevalni organ, temelji na učinkovitem nadzoru obstoječega sistema upravljanja in kontrole, vzpostavljenega za pripravo letnega poročila. V zvezi s tem mora usklajevalni </w:t>
      </w:r>
      <w:r>
        <w:lastRenderedPageBreak/>
        <w:t xml:space="preserve">organ opozoriti na kakršne koli resne pomanjkljivosti, ki vplivajo na sisteme upravljanja, vzpostavljene na ravni držav članic, in povzročajo odstopanja v letnem poročilu o smotrnosti. </w:t>
      </w:r>
    </w:p>
    <w:p w14:paraId="098674EF" w14:textId="77777777" w:rsidR="001A542D" w:rsidRDefault="001A542D" w:rsidP="001A542D">
      <w:r>
        <w:t xml:space="preserve">Direktor usklajevalnega organa je odgovoren za vzpostavitev notranje strukture usklajevalnega organa, ki zagotavlja, da pravočasno prejme vse pomembne podatke, da lahko pripravi zahtevano izjavo. Upoštevajo se lahko vse ugotovitve, ki vplivajo na pripravo letnega poročila o smotrnosti in ki se sporočijo med delom certifikacijskih organov na ravni usklajevalnega organa. Zanesljiv vir informacij za pripravo izjave o upravljanju so zlasti ukrepi, ki jih je sprejel usklajevalni organ, in sklepi certifikacijskih organov v zvezi s prejšnjimi leti. </w:t>
      </w:r>
    </w:p>
    <w:p w14:paraId="0640BA5D" w14:textId="74902A00" w:rsidR="001A542D" w:rsidRPr="00093571" w:rsidRDefault="001A542D" w:rsidP="001A542D">
      <w:pPr>
        <w:rPr>
          <w:szCs w:val="24"/>
        </w:rPr>
      </w:pPr>
      <w:r>
        <w:t>V skladu s členom 10(1), točka (b), Uredbe (EU) 2021/2116 Evropskega parlamenta in Sveta oseba, odgovorna za akreditirani usklajevalni organ, do 15. februarja v letu, ki sledi zadevnemu proračunskemu letu, Komisiji predloži letno poročilo o smotrnosti iz člena 54(1) Uredbe (EU) 2021/2116 in člena 134 Uredbe (EU) 2021/2115. Letno poročilo o smotrnosti se Komisiji predloži skupaj z izjavo o upravljanju, ki se nanaša na pripravo celotnega poročila.</w:t>
      </w:r>
    </w:p>
    <w:p w14:paraId="7C3A2479" w14:textId="77777777" w:rsidR="001A542D" w:rsidRPr="000B28A4" w:rsidRDefault="001A542D" w:rsidP="001A542D">
      <w:pPr>
        <w:pStyle w:val="Heading1"/>
        <w:spacing w:before="360"/>
      </w:pPr>
      <w:bookmarkStart w:id="68" w:name="_Toc142904026"/>
      <w:r>
        <w:t>Pridržki</w:t>
      </w:r>
      <w:bookmarkEnd w:id="68"/>
    </w:p>
    <w:p w14:paraId="5D9639FB" w14:textId="77777777" w:rsidR="001A542D" w:rsidRPr="00FD4529" w:rsidRDefault="001A542D" w:rsidP="001A542D">
      <w:pPr>
        <w:pStyle w:val="Heading2"/>
      </w:pPr>
      <w:bookmarkStart w:id="69" w:name="_Toc142904027"/>
      <w:r>
        <w:t>Splošne zahteve</w:t>
      </w:r>
      <w:bookmarkEnd w:id="69"/>
    </w:p>
    <w:p w14:paraId="673B2E1E" w14:textId="77777777" w:rsidR="00D64A8A" w:rsidRDefault="001A542D" w:rsidP="00C47F65">
      <w:r>
        <w:t>Kot je navedeno zgoraj, je direktor usklajevalnega organa izključno odgovoren za opredelitev in razkritje meril, ki se uporabijo pri odločanju o tem, ali se v izjavi o upravljanju navedejo pridržki.</w:t>
      </w:r>
    </w:p>
    <w:p w14:paraId="6465303A" w14:textId="77777777" w:rsidR="001A542D" w:rsidRPr="00FD4529" w:rsidRDefault="755FB992" w:rsidP="00C47F65">
      <w:r>
        <w:t xml:space="preserve">Vendar je pridržke treba upoštevati, če obstajajo resne pomanjkljivosti v sistemu poročanja o smotrnosti, ne glede na to, ali so bile slabosti ugotovljene v okviru sistemov spremljanja usklajevalnega organa ali revizij Evropske komisije ali Računskega sodišča, in je tveganje, ki izhaja iz tega, veliko. </w:t>
      </w:r>
    </w:p>
    <w:p w14:paraId="18F82087" w14:textId="77777777" w:rsidR="001A542D" w:rsidRDefault="001A542D" w:rsidP="001A542D">
      <w:pPr>
        <w:rPr>
          <w:b/>
        </w:rPr>
      </w:pPr>
      <w:r>
        <w:t>Če direktor usklajevalnega organa ob koncu zadevnega proračunskega leta predvideva, da bo verjetno izrazil pridržek, je pozvan, da o svoji nameri obvesti Komisijo že na začetku novembra, ki sledi koncu zadevnega proračunskega leta. Službe Komisije bodo nato zagotovile nadaljnje napotke in organizirale izmenjavo mnenj z zadevnim usklajevalnim organom. Vendar ti napotki in izmenjava mnenj nikakor ne smejo vplivati na dejstvo, da je direktor agencije edini odgovoren za odločitev o tem, ali se v izjavi o upravljanju navedejo pridržki.</w:t>
      </w:r>
    </w:p>
    <w:p w14:paraId="02048D66" w14:textId="77777777" w:rsidR="001A542D" w:rsidRDefault="001A542D" w:rsidP="001A542D">
      <w:r>
        <w:t>V primeru pridržka mora direktor pripraviti načrt ukrepov za odpravo slabosti, zaradi katerih je bil izražen pridržek, pri čemer navede predvideni datum izvedbe popravnih ukrepov. Akcijske načrte v zvezi s pridržki, ki jih je navedel direktor, in pridržki, navedenimi v letnem poročilu o dejavnostih GD za kmetijstvo in razvoj podeželja, je treba vključiti v Prilogo II k izjavi o upravljanju. Ta priloga mora vključevati tudi informacije o napredku, doseženem pri izvajanju popravnih ukrepov, in o vseh morebitnih zamudah.</w:t>
      </w:r>
    </w:p>
    <w:p w14:paraId="03B137EF" w14:textId="77777777" w:rsidR="00D25A9D" w:rsidRPr="00FD4529" w:rsidRDefault="00D25A9D" w:rsidP="001A542D"/>
    <w:p w14:paraId="40BB6FF1" w14:textId="77777777" w:rsidR="001A542D" w:rsidRPr="00C47F65" w:rsidRDefault="008E1FCB" w:rsidP="001A542D">
      <w:pPr>
        <w:pStyle w:val="Heading2"/>
      </w:pPr>
      <w:bookmarkStart w:id="70" w:name="_Toc142904028"/>
      <w:r>
        <w:t>Vidiki, ki jih je treba upoštevati pri pridržkih</w:t>
      </w:r>
      <w:bookmarkEnd w:id="70"/>
      <w:r>
        <w:t xml:space="preserve"> </w:t>
      </w:r>
    </w:p>
    <w:p w14:paraId="71C25026" w14:textId="77777777" w:rsidR="008E1FCB" w:rsidRPr="009642AC" w:rsidRDefault="001A542D" w:rsidP="614BA28D">
      <w:r>
        <w:t>Pridržke je treba upoštevati v primeru resnih pomanjkljivosti:</w:t>
      </w:r>
    </w:p>
    <w:p w14:paraId="4689AA08" w14:textId="77777777" w:rsidR="008E1FCB" w:rsidRPr="009642AC" w:rsidRDefault="001A542D" w:rsidP="00CB1F21">
      <w:pPr>
        <w:numPr>
          <w:ilvl w:val="0"/>
          <w:numId w:val="27"/>
        </w:numPr>
      </w:pPr>
      <w:r>
        <w:lastRenderedPageBreak/>
        <w:t>pri pripravi letnega poročila o smotrnosti,</w:t>
      </w:r>
    </w:p>
    <w:p w14:paraId="2A4CC1DC" w14:textId="77777777" w:rsidR="001A542D" w:rsidRPr="00E273FB" w:rsidRDefault="008E1FCB" w:rsidP="00CB1F21">
      <w:pPr>
        <w:numPr>
          <w:ilvl w:val="0"/>
          <w:numId w:val="27"/>
        </w:numPr>
      </w:pPr>
      <w:r>
        <w:t>v sistemu poročanja, vzpostavljenem v državi članici, pri čemer sestavni deli, ki jih je treba upoštevati v tem okviru, vključujejo tudi splošne zahteve v zvezi z akreditacijo usklajevalnega organa v skladu s Smernico št. 1 o akreditaciji</w:t>
      </w:r>
      <w:r>
        <w:rPr>
          <w:rStyle w:val="FootnoteReference"/>
        </w:rPr>
        <w:footnoteReference w:id="23"/>
      </w:r>
      <w:r>
        <w:t>,</w:t>
      </w:r>
    </w:p>
    <w:p w14:paraId="5DB5DD4D" w14:textId="59A83DDB" w:rsidR="008E1FCB" w:rsidRPr="00E273FB" w:rsidRDefault="5BC23EE3" w:rsidP="012E423D">
      <w:pPr>
        <w:numPr>
          <w:ilvl w:val="0"/>
          <w:numId w:val="27"/>
        </w:numPr>
      </w:pPr>
      <w:r>
        <w:t>v sistemih upravljanja plačilnih agencij, prizadetih na nacionalni ravni, npr. vsaka resna pomanjkljivost v sistemu upravljanja na nacionalni ravni, s katero je usklajevalni organ seznanjen in ki vpliva na pripravo letnega poročila o smotrnosti,</w:t>
      </w:r>
    </w:p>
    <w:p w14:paraId="24F7BEA6" w14:textId="2659DE24" w:rsidR="27EAABA3" w:rsidRPr="00E273FB" w:rsidRDefault="27EAABA3" w:rsidP="012E423D">
      <w:pPr>
        <w:numPr>
          <w:ilvl w:val="0"/>
          <w:numId w:val="27"/>
        </w:numPr>
      </w:pPr>
      <w:r>
        <w:t>pri izvajanju strateškega načrta SKP, kar povzroča odstopanja v smotrnosti, kot je navedeno v letnem poročilu o smotrnosti na podlagi podatkov, ki jih zbere usklajevalni organ.</w:t>
      </w:r>
    </w:p>
    <w:p w14:paraId="4F599A74" w14:textId="77777777" w:rsidR="001A542D" w:rsidRPr="009642AC" w:rsidRDefault="001A542D" w:rsidP="614BA28D">
      <w:r>
        <w:t>Pri ocenjevanju, kako znatne so pomanjkljivosti, je treba upoštevati naslednje dejavnike:</w:t>
      </w:r>
    </w:p>
    <w:p w14:paraId="3B873E2A" w14:textId="77777777" w:rsidR="001A542D" w:rsidRPr="009642AC" w:rsidRDefault="001A542D" w:rsidP="614BA28D">
      <w:pPr>
        <w:pStyle w:val="ListDash"/>
        <w:numPr>
          <w:ilvl w:val="0"/>
          <w:numId w:val="3"/>
        </w:numPr>
      </w:pPr>
      <w:r>
        <w:t>število takšnih pomanjkljivosti,</w:t>
      </w:r>
    </w:p>
    <w:p w14:paraId="4E68ABEC" w14:textId="77777777" w:rsidR="001A542D" w:rsidRPr="009642AC" w:rsidRDefault="001A542D" w:rsidP="614BA28D">
      <w:pPr>
        <w:pStyle w:val="ListDash"/>
        <w:numPr>
          <w:ilvl w:val="0"/>
          <w:numId w:val="3"/>
        </w:numPr>
      </w:pPr>
      <w:r>
        <w:t>trajanje takšnih pomanjkljivosti,</w:t>
      </w:r>
    </w:p>
    <w:p w14:paraId="20984E55" w14:textId="77777777" w:rsidR="001A542D" w:rsidRPr="009642AC" w:rsidRDefault="001A542D" w:rsidP="614BA28D">
      <w:pPr>
        <w:pStyle w:val="ListDash"/>
        <w:numPr>
          <w:ilvl w:val="0"/>
          <w:numId w:val="3"/>
        </w:numPr>
      </w:pPr>
      <w:r>
        <w:t>obstoj izravnalnih ukrepov na nacionalni ravni, ki učinkovito zmanjšujejo ugotovljeno tveganje.</w:t>
      </w:r>
    </w:p>
    <w:p w14:paraId="0E01E54E" w14:textId="77777777" w:rsidR="001A542D" w:rsidRPr="009642AC" w:rsidRDefault="001A542D" w:rsidP="614BA28D">
      <w:pPr>
        <w:pStyle w:val="Heading2"/>
      </w:pPr>
      <w:bookmarkStart w:id="71" w:name="_Toc142904029"/>
      <w:r>
        <w:t>Popravni ukrepi</w:t>
      </w:r>
      <w:bookmarkEnd w:id="71"/>
    </w:p>
    <w:p w14:paraId="79C68D51" w14:textId="77777777" w:rsidR="00604DA2" w:rsidRPr="008D5E4B" w:rsidRDefault="00604DA2" w:rsidP="614BA28D">
      <w:r>
        <w:t>V skladu s členom 10(1), točka (c), Uredbe (EU) 2021/2116 se usklajevalnemu organu dodeli naloga, da sprejme ali usklajuje ukrepe za odpravo morebitnih splošnih pomanjkljivosti, kadar obstaja več kot ena plačilna agencija.</w:t>
      </w:r>
    </w:p>
    <w:p w14:paraId="51284E2B" w14:textId="77777777" w:rsidR="001A542D" w:rsidRPr="008D5E4B" w:rsidRDefault="001A542D" w:rsidP="614BA28D">
      <w:r>
        <w:t xml:space="preserve">Če se odkrijejo pomanjkljivosti, je treba na ustrezni ravni izvesti popravne ukrepe, da se uravnoteži vpliv teh pomanjkljivosti. O pridržku je treba razmisliti, če popravni ukrepi za pomanjkljivosti, ki vplivajo na pripravo letnega poročila o smotrnosti, niso uspešni, na primer zaradi pomanjkanja časa. </w:t>
      </w:r>
    </w:p>
    <w:p w14:paraId="124B9746" w14:textId="77777777" w:rsidR="001A542D" w:rsidRPr="008D5E4B" w:rsidRDefault="001A542D" w:rsidP="614BA28D">
      <w:pPr>
        <w:pStyle w:val="Heading1"/>
        <w:spacing w:before="360"/>
      </w:pPr>
      <w:bookmarkStart w:id="72" w:name="_Toc142904030"/>
      <w:r>
        <w:t>Zahteve za poročanje o pridržkih</w:t>
      </w:r>
      <w:bookmarkEnd w:id="72"/>
      <w:r>
        <w:t xml:space="preserve"> </w:t>
      </w:r>
    </w:p>
    <w:p w14:paraId="78F70F20" w14:textId="77777777" w:rsidR="001A542D" w:rsidRPr="009642AC" w:rsidRDefault="001A542D" w:rsidP="614BA28D">
      <w:r>
        <w:t>Vsak pridržek je treba sporočiti na naslednji način:</w:t>
      </w:r>
    </w:p>
    <w:p w14:paraId="390C2F65" w14:textId="77777777" w:rsidR="001A542D" w:rsidRPr="009642AC" w:rsidRDefault="755FB992" w:rsidP="614BA28D">
      <w:pPr>
        <w:pStyle w:val="ListDash"/>
        <w:numPr>
          <w:ilvl w:val="0"/>
          <w:numId w:val="3"/>
        </w:numPr>
      </w:pPr>
      <w:r>
        <w:t>z jasnim razkritjem meril za izražanje pridržkov;</w:t>
      </w:r>
    </w:p>
    <w:p w14:paraId="2382F768" w14:textId="77777777" w:rsidR="001A542D" w:rsidRPr="009642AC" w:rsidRDefault="755FB992" w:rsidP="614BA28D">
      <w:pPr>
        <w:pStyle w:val="ListDash"/>
        <w:numPr>
          <w:ilvl w:val="0"/>
          <w:numId w:val="3"/>
        </w:numPr>
      </w:pPr>
      <w:r>
        <w:t>s kratko oceno vzroka in možnega vpliva resne pomanjkljivosti na zagotovilo iz izjave o upravljanju,</w:t>
      </w:r>
    </w:p>
    <w:p w14:paraId="725A0FB8" w14:textId="77777777" w:rsidR="001A542D" w:rsidRPr="009642AC" w:rsidRDefault="755FB992" w:rsidP="614BA28D">
      <w:pPr>
        <w:pStyle w:val="ListDash"/>
        <w:numPr>
          <w:ilvl w:val="0"/>
          <w:numId w:val="3"/>
        </w:numPr>
      </w:pPr>
      <w:r>
        <w:t>z načrtom popravnih ukrepov in časovnim okvirom za njegovo izvajanje.</w:t>
      </w:r>
    </w:p>
    <w:p w14:paraId="0419F5DE" w14:textId="77777777" w:rsidR="001A542D" w:rsidRPr="00FD4529" w:rsidRDefault="001A542D" w:rsidP="001A542D">
      <w:r>
        <w:t xml:space="preserve">Kar zadeva časovno razporeditev korektivnih ukrepov, ko pomanjkljivosti ni mogoče odpraviti pred naslednjo izjavo o upravljanju, je treba pridržek ponovno izraziti in poročati o napredku pri odpravljanju pomanjkljivosti. V izjemnih okoliščinah direktor usklajevalnega organa morda ne bo mogel dati zagotovila, ki se zahteva s členom 37(1), točka (b)(ii), </w:t>
      </w:r>
      <w:r>
        <w:lastRenderedPageBreak/>
        <w:t>Uredbe (EU) 2021/2116 Evropskega parlamenta in Sveta ter Izvedbeno uredbo Komisije (EU) 2022/128.</w:t>
      </w:r>
    </w:p>
    <w:p w14:paraId="72F9E80A" w14:textId="77777777" w:rsidR="001A542D" w:rsidRPr="00FD4529" w:rsidRDefault="001A542D" w:rsidP="001A542D">
      <w:pPr>
        <w:pStyle w:val="Heading1"/>
        <w:spacing w:before="360"/>
      </w:pPr>
      <w:bookmarkStart w:id="73" w:name="_Toc142904031"/>
      <w:r>
        <w:t>Dodatne opombe</w:t>
      </w:r>
      <w:bookmarkEnd w:id="73"/>
    </w:p>
    <w:p w14:paraId="7847AFC8" w14:textId="77777777" w:rsidR="001A542D" w:rsidRPr="00FD4529" w:rsidRDefault="001A542D" w:rsidP="001A542D">
      <w:pPr>
        <w:rPr>
          <w:szCs w:val="24"/>
        </w:rPr>
      </w:pPr>
      <w:r>
        <w:t xml:space="preserve">Če se pri pripravi izjave o upravljanju ugotovijo kakršne koli pomanjkljivosti, ki ne izpolnjujejo meril za navedbo pridržka, vendar direktor usklajevalnega organa kljub temu meni, da je treba službe Komisije opozoriti nanje, jih direktor navede in predloži v ločenem dokumentu, priloženem izjavi o upravljanju. </w:t>
      </w:r>
    </w:p>
    <w:p w14:paraId="712F7813" w14:textId="77777777" w:rsidR="001A542D" w:rsidRDefault="001A542D" w:rsidP="001A542D">
      <w:pPr>
        <w:pStyle w:val="Heading1"/>
        <w:numPr>
          <w:ilvl w:val="0"/>
          <w:numId w:val="0"/>
        </w:numPr>
        <w:spacing w:before="360"/>
        <w:sectPr w:rsidR="001A542D" w:rsidSect="0069176B">
          <w:headerReference w:type="even" r:id="rId23"/>
          <w:headerReference w:type="default" r:id="rId24"/>
          <w:footerReference w:type="even" r:id="rId25"/>
          <w:footerReference w:type="default" r:id="rId26"/>
          <w:headerReference w:type="first" r:id="rId27"/>
          <w:footerReference w:type="first" r:id="rId28"/>
          <w:pgSz w:w="11907" w:h="16840" w:code="9"/>
          <w:pgMar w:top="992" w:right="1559" w:bottom="992" w:left="1560" w:header="567" w:footer="567" w:gutter="0"/>
          <w:cols w:space="720"/>
          <w:titlePg/>
        </w:sectPr>
      </w:pPr>
    </w:p>
    <w:p w14:paraId="451E6AD0" w14:textId="77777777" w:rsidR="001A542D" w:rsidRPr="005523DF" w:rsidRDefault="001A542D" w:rsidP="001A542D">
      <w:pPr>
        <w:pStyle w:val="Heading1"/>
        <w:numPr>
          <w:ilvl w:val="0"/>
          <w:numId w:val="0"/>
        </w:numPr>
        <w:spacing w:before="360"/>
        <w:rPr>
          <w:smallCaps w:val="0"/>
        </w:rPr>
      </w:pPr>
      <w:bookmarkStart w:id="74" w:name="_Toc142904032"/>
      <w:r>
        <w:lastRenderedPageBreak/>
        <w:t>Priloga I:</w:t>
      </w:r>
      <w:r>
        <w:tab/>
      </w:r>
      <w:r>
        <w:rPr>
          <w:smallCaps w:val="0"/>
        </w:rPr>
        <w:t>Dokumenti in izvedena dela, ki so podlaga za izjavo o upravljanju</w:t>
      </w:r>
      <w:bookmarkEnd w:id="74"/>
    </w:p>
    <w:p w14:paraId="3AF4756B" w14:textId="77777777" w:rsidR="001A542D" w:rsidRPr="00FD4529" w:rsidRDefault="001A542D" w:rsidP="001A542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1A542D" w:rsidRPr="00FD4529" w14:paraId="4E9FA1FC" w14:textId="77777777" w:rsidTr="005118BF">
        <w:tc>
          <w:tcPr>
            <w:tcW w:w="10139" w:type="dxa"/>
            <w:shd w:val="clear" w:color="auto" w:fill="auto"/>
          </w:tcPr>
          <w:p w14:paraId="4F496B21" w14:textId="77777777" w:rsidR="001A542D" w:rsidRPr="006F19F2" w:rsidRDefault="001A542D" w:rsidP="0050558E">
            <w:pPr>
              <w:pStyle w:val="ListParagraph"/>
              <w:numPr>
                <w:ilvl w:val="0"/>
                <w:numId w:val="37"/>
              </w:numPr>
              <w:rPr>
                <w:szCs w:val="24"/>
              </w:rPr>
            </w:pPr>
            <w:r>
              <w:t>Dokumenti, na podlagi katerih je bila pripravljena izjava o upravljanju</w:t>
            </w:r>
          </w:p>
        </w:tc>
      </w:tr>
      <w:tr w:rsidR="001A542D" w:rsidRPr="00FD4529" w14:paraId="7995F44F" w14:textId="77777777" w:rsidTr="005118BF">
        <w:trPr>
          <w:trHeight w:val="530"/>
        </w:trPr>
        <w:tc>
          <w:tcPr>
            <w:tcW w:w="10139" w:type="dxa"/>
            <w:shd w:val="clear" w:color="auto" w:fill="auto"/>
          </w:tcPr>
          <w:p w14:paraId="5D1627F2" w14:textId="77777777" w:rsidR="001A542D" w:rsidRPr="00FD4529" w:rsidRDefault="001A542D" w:rsidP="005118BF">
            <w:pPr>
              <w:rPr>
                <w:szCs w:val="24"/>
              </w:rPr>
            </w:pPr>
            <w:r>
              <w:t>(a) Naslov dokumenta [kratek opis vsebine]</w:t>
            </w:r>
          </w:p>
          <w:p w14:paraId="3607623B" w14:textId="77777777" w:rsidR="001A542D" w:rsidRPr="00FD4529" w:rsidRDefault="001A542D" w:rsidP="005118BF">
            <w:pPr>
              <w:rPr>
                <w:szCs w:val="24"/>
              </w:rPr>
            </w:pPr>
            <w:r>
              <w:t>(b) Naslov dokumenta [kratek opis vsebine]</w:t>
            </w:r>
          </w:p>
          <w:p w14:paraId="545039D0" w14:textId="77777777" w:rsidR="001A542D" w:rsidRPr="00FD4529" w:rsidRDefault="001A542D" w:rsidP="005118BF">
            <w:pPr>
              <w:rPr>
                <w:szCs w:val="24"/>
              </w:rPr>
            </w:pPr>
            <w:r>
              <w:t>(c) Naslov dokumenta [kratek opis vsebine]</w:t>
            </w:r>
          </w:p>
          <w:p w14:paraId="24C6CC3D" w14:textId="77777777" w:rsidR="001A542D" w:rsidRPr="00FD4529" w:rsidRDefault="001A542D" w:rsidP="005118BF">
            <w:pPr>
              <w:rPr>
                <w:szCs w:val="24"/>
              </w:rPr>
            </w:pPr>
            <w:r>
              <w:t>(d) …</w:t>
            </w:r>
          </w:p>
        </w:tc>
      </w:tr>
      <w:tr w:rsidR="001A542D" w:rsidRPr="006F19F2" w14:paraId="5786E7F2" w14:textId="77777777" w:rsidTr="005118BF">
        <w:tc>
          <w:tcPr>
            <w:tcW w:w="10139" w:type="dxa"/>
            <w:shd w:val="clear" w:color="auto" w:fill="auto"/>
          </w:tcPr>
          <w:p w14:paraId="08CA64BA" w14:textId="77777777" w:rsidR="001A542D" w:rsidRPr="00FD4529" w:rsidRDefault="001A542D" w:rsidP="0050558E">
            <w:pPr>
              <w:pStyle w:val="ListParagraph"/>
              <w:numPr>
                <w:ilvl w:val="0"/>
                <w:numId w:val="37"/>
              </w:numPr>
              <w:rPr>
                <w:szCs w:val="24"/>
              </w:rPr>
            </w:pPr>
            <w:r>
              <w:t xml:space="preserve">Izvedena dela, na podlagi katerih je bila pripravljena izjava o upravljanju </w:t>
            </w:r>
          </w:p>
        </w:tc>
      </w:tr>
      <w:tr w:rsidR="001A542D" w:rsidRPr="00FD4529" w14:paraId="2381145E" w14:textId="77777777" w:rsidTr="005118BF">
        <w:tc>
          <w:tcPr>
            <w:tcW w:w="10139" w:type="dxa"/>
            <w:shd w:val="clear" w:color="auto" w:fill="auto"/>
          </w:tcPr>
          <w:p w14:paraId="6D7D077A" w14:textId="77777777" w:rsidR="001A542D" w:rsidRPr="00FD4529" w:rsidRDefault="001A542D" w:rsidP="005118BF">
            <w:pPr>
              <w:rPr>
                <w:szCs w:val="24"/>
              </w:rPr>
            </w:pPr>
            <w:r>
              <w:t>(a) Izvedena dela [kratek opis izvedenih del]</w:t>
            </w:r>
          </w:p>
          <w:p w14:paraId="7094C7FB" w14:textId="77777777" w:rsidR="001A542D" w:rsidRPr="00FD4529" w:rsidRDefault="001A542D" w:rsidP="005118BF">
            <w:pPr>
              <w:rPr>
                <w:szCs w:val="24"/>
              </w:rPr>
            </w:pPr>
            <w:r>
              <w:t>(b) Izvedena dela [kratek opis izvedenih del]</w:t>
            </w:r>
          </w:p>
          <w:p w14:paraId="16C8E158" w14:textId="77777777" w:rsidR="001A542D" w:rsidRPr="00FD4529" w:rsidRDefault="001A542D" w:rsidP="005118BF">
            <w:pPr>
              <w:rPr>
                <w:szCs w:val="24"/>
              </w:rPr>
            </w:pPr>
            <w:r>
              <w:t>(c) Izvedena dela [kratek opis izvedenih del]</w:t>
            </w:r>
          </w:p>
          <w:p w14:paraId="3379BBDF" w14:textId="77777777" w:rsidR="001A542D" w:rsidRPr="00FD4529" w:rsidRDefault="001A542D" w:rsidP="005118BF">
            <w:pPr>
              <w:rPr>
                <w:szCs w:val="24"/>
              </w:rPr>
            </w:pPr>
            <w:r>
              <w:t>(d) …</w:t>
            </w:r>
          </w:p>
          <w:p w14:paraId="602917C0" w14:textId="77777777" w:rsidR="001A542D" w:rsidRPr="00FD4529" w:rsidRDefault="001A542D" w:rsidP="005118BF">
            <w:pPr>
              <w:rPr>
                <w:szCs w:val="24"/>
              </w:rPr>
            </w:pPr>
          </w:p>
        </w:tc>
      </w:tr>
    </w:tbl>
    <w:p w14:paraId="29F7180A" w14:textId="77777777" w:rsidR="001A542D" w:rsidRPr="00936A61" w:rsidRDefault="001A542D" w:rsidP="001A542D">
      <w:pPr>
        <w:jc w:val="left"/>
      </w:pPr>
    </w:p>
    <w:p w14:paraId="076212D3" w14:textId="77777777" w:rsidR="007A50F4" w:rsidRPr="005523DF" w:rsidRDefault="007A50F4" w:rsidP="007A50F4">
      <w:pPr>
        <w:pStyle w:val="Heading1"/>
        <w:numPr>
          <w:ilvl w:val="0"/>
          <w:numId w:val="0"/>
        </w:numPr>
      </w:pPr>
      <w:r>
        <w:br w:type="page"/>
      </w:r>
      <w:bookmarkStart w:id="75" w:name="_Toc142904033"/>
      <w:r>
        <w:lastRenderedPageBreak/>
        <w:t>PRILOGA II: Letno poročilo o smotrnosti – pridržki</w:t>
      </w:r>
      <w:bookmarkEnd w:id="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109"/>
        <w:gridCol w:w="1559"/>
        <w:gridCol w:w="1830"/>
        <w:gridCol w:w="1230"/>
        <w:gridCol w:w="6367"/>
      </w:tblGrid>
      <w:tr w:rsidR="008D5E4B" w14:paraId="54C81550" w14:textId="77777777" w:rsidTr="008D5E4B">
        <w:tc>
          <w:tcPr>
            <w:tcW w:w="1443" w:type="dxa"/>
            <w:shd w:val="clear" w:color="auto" w:fill="auto"/>
            <w:vAlign w:val="center"/>
          </w:tcPr>
          <w:p w14:paraId="5878DE4D" w14:textId="77777777" w:rsidR="008D5E4B" w:rsidRPr="00890905" w:rsidRDefault="008D5E4B" w:rsidP="00600457">
            <w:pPr>
              <w:spacing w:after="0"/>
              <w:jc w:val="center"/>
              <w:rPr>
                <w:b/>
              </w:rPr>
            </w:pPr>
            <w:r>
              <w:rPr>
                <w:b/>
              </w:rPr>
              <w:t>Pridržek</w:t>
            </w:r>
          </w:p>
        </w:tc>
        <w:tc>
          <w:tcPr>
            <w:tcW w:w="2109" w:type="dxa"/>
          </w:tcPr>
          <w:p w14:paraId="2FF50BE9" w14:textId="77777777" w:rsidR="008D5E4B" w:rsidRPr="00890905" w:rsidRDefault="008D5E4B" w:rsidP="00600457">
            <w:pPr>
              <w:spacing w:after="0"/>
              <w:jc w:val="center"/>
              <w:rPr>
                <w:b/>
              </w:rPr>
            </w:pPr>
            <w:r>
              <w:rPr>
                <w:b/>
              </w:rPr>
              <w:t>Zadevni del letnega poročila o smotrnosti</w:t>
            </w:r>
          </w:p>
        </w:tc>
        <w:tc>
          <w:tcPr>
            <w:tcW w:w="1559" w:type="dxa"/>
            <w:shd w:val="clear" w:color="auto" w:fill="auto"/>
            <w:vAlign w:val="center"/>
          </w:tcPr>
          <w:p w14:paraId="66D6BE9C" w14:textId="77777777" w:rsidR="008D5E4B" w:rsidRPr="00890905" w:rsidRDefault="008D5E4B" w:rsidP="00600457">
            <w:pPr>
              <w:spacing w:after="0"/>
              <w:jc w:val="center"/>
              <w:rPr>
                <w:b/>
              </w:rPr>
            </w:pPr>
            <w:r>
              <w:rPr>
                <w:b/>
              </w:rPr>
              <w:t>Leto prve predložitve</w:t>
            </w:r>
          </w:p>
        </w:tc>
        <w:tc>
          <w:tcPr>
            <w:tcW w:w="1830" w:type="dxa"/>
            <w:shd w:val="clear" w:color="auto" w:fill="auto"/>
            <w:vAlign w:val="center"/>
          </w:tcPr>
          <w:p w14:paraId="575B6620" w14:textId="77777777" w:rsidR="008D5E4B" w:rsidRPr="004B7568" w:rsidRDefault="008D5E4B" w:rsidP="00600457">
            <w:pPr>
              <w:spacing w:after="0"/>
              <w:jc w:val="center"/>
              <w:rPr>
                <w:b/>
              </w:rPr>
            </w:pPr>
            <w:r>
              <w:rPr>
                <w:b/>
              </w:rPr>
              <w:t>Predvideni datum izvedbe</w:t>
            </w:r>
          </w:p>
        </w:tc>
        <w:tc>
          <w:tcPr>
            <w:tcW w:w="1180" w:type="dxa"/>
            <w:shd w:val="clear" w:color="auto" w:fill="auto"/>
            <w:vAlign w:val="center"/>
          </w:tcPr>
          <w:p w14:paraId="6869B257" w14:textId="77777777" w:rsidR="008D5E4B" w:rsidRPr="004B7568" w:rsidRDefault="008D5E4B" w:rsidP="00600457">
            <w:pPr>
              <w:spacing w:after="0"/>
              <w:jc w:val="center"/>
              <w:rPr>
                <w:b/>
              </w:rPr>
            </w:pPr>
            <w:r>
              <w:rPr>
                <w:b/>
              </w:rPr>
              <w:t>Stanje</w:t>
            </w:r>
          </w:p>
          <w:p w14:paraId="39EB8FD8" w14:textId="77777777" w:rsidR="008D5E4B" w:rsidRPr="004B7568" w:rsidRDefault="008D5E4B" w:rsidP="00600457">
            <w:pPr>
              <w:spacing w:after="0"/>
              <w:jc w:val="center"/>
              <w:rPr>
                <w:b/>
              </w:rPr>
            </w:pPr>
            <w:r>
              <w:rPr>
                <w:b/>
              </w:rPr>
              <w:t>(končano/</w:t>
            </w:r>
          </w:p>
          <w:p w14:paraId="1CFA1BF3" w14:textId="77777777" w:rsidR="008D5E4B" w:rsidRPr="004B7568" w:rsidRDefault="008D5E4B" w:rsidP="00600457">
            <w:pPr>
              <w:spacing w:after="0"/>
              <w:jc w:val="center"/>
              <w:rPr>
                <w:b/>
              </w:rPr>
            </w:pPr>
            <w:r>
              <w:rPr>
                <w:b/>
              </w:rPr>
              <w:t>v teku)</w:t>
            </w:r>
          </w:p>
        </w:tc>
        <w:tc>
          <w:tcPr>
            <w:tcW w:w="6367" w:type="dxa"/>
            <w:shd w:val="clear" w:color="auto" w:fill="auto"/>
            <w:vAlign w:val="center"/>
          </w:tcPr>
          <w:p w14:paraId="420F01E2" w14:textId="77777777" w:rsidR="008D5E4B" w:rsidRPr="004B7568" w:rsidRDefault="008D5E4B" w:rsidP="00600457">
            <w:pPr>
              <w:spacing w:after="0"/>
              <w:jc w:val="center"/>
              <w:rPr>
                <w:b/>
              </w:rPr>
            </w:pPr>
            <w:r>
              <w:rPr>
                <w:b/>
              </w:rPr>
              <w:t>Pripombe (če izvajanje popravnih ukrepov še vedno poteka)</w:t>
            </w:r>
          </w:p>
        </w:tc>
      </w:tr>
      <w:tr w:rsidR="008D5E4B" w14:paraId="159EA4CB" w14:textId="77777777" w:rsidTr="008D5E4B">
        <w:tc>
          <w:tcPr>
            <w:tcW w:w="1443" w:type="dxa"/>
            <w:shd w:val="clear" w:color="auto" w:fill="auto"/>
          </w:tcPr>
          <w:p w14:paraId="1AE69294" w14:textId="77777777" w:rsidR="008D5E4B" w:rsidRDefault="008D5E4B" w:rsidP="00600457">
            <w:pPr>
              <w:jc w:val="left"/>
            </w:pPr>
          </w:p>
        </w:tc>
        <w:tc>
          <w:tcPr>
            <w:tcW w:w="2109" w:type="dxa"/>
          </w:tcPr>
          <w:p w14:paraId="1A91FC8D" w14:textId="77777777" w:rsidR="008D5E4B" w:rsidRDefault="008D5E4B" w:rsidP="00600457">
            <w:pPr>
              <w:jc w:val="left"/>
            </w:pPr>
          </w:p>
        </w:tc>
        <w:tc>
          <w:tcPr>
            <w:tcW w:w="1559" w:type="dxa"/>
            <w:shd w:val="clear" w:color="auto" w:fill="auto"/>
          </w:tcPr>
          <w:p w14:paraId="6D927D52" w14:textId="77777777" w:rsidR="008D5E4B" w:rsidRDefault="008D5E4B" w:rsidP="00600457">
            <w:pPr>
              <w:jc w:val="left"/>
            </w:pPr>
          </w:p>
        </w:tc>
        <w:tc>
          <w:tcPr>
            <w:tcW w:w="1830" w:type="dxa"/>
            <w:shd w:val="clear" w:color="auto" w:fill="auto"/>
          </w:tcPr>
          <w:p w14:paraId="27DE934C" w14:textId="77777777" w:rsidR="008D5E4B" w:rsidRDefault="008D5E4B" w:rsidP="00600457">
            <w:pPr>
              <w:jc w:val="left"/>
            </w:pPr>
          </w:p>
        </w:tc>
        <w:tc>
          <w:tcPr>
            <w:tcW w:w="1180" w:type="dxa"/>
            <w:shd w:val="clear" w:color="auto" w:fill="auto"/>
          </w:tcPr>
          <w:p w14:paraId="20C5A2A7" w14:textId="77777777" w:rsidR="008D5E4B" w:rsidRDefault="008D5E4B" w:rsidP="00600457">
            <w:pPr>
              <w:jc w:val="left"/>
            </w:pPr>
          </w:p>
        </w:tc>
        <w:tc>
          <w:tcPr>
            <w:tcW w:w="6367" w:type="dxa"/>
            <w:shd w:val="clear" w:color="auto" w:fill="auto"/>
          </w:tcPr>
          <w:p w14:paraId="58FDA48D" w14:textId="77777777" w:rsidR="008D5E4B" w:rsidRDefault="008D5E4B" w:rsidP="00600457">
            <w:pPr>
              <w:jc w:val="left"/>
            </w:pPr>
          </w:p>
        </w:tc>
      </w:tr>
      <w:tr w:rsidR="008D5E4B" w14:paraId="2260CB8A" w14:textId="77777777" w:rsidTr="008D5E4B">
        <w:tc>
          <w:tcPr>
            <w:tcW w:w="1443" w:type="dxa"/>
            <w:shd w:val="clear" w:color="auto" w:fill="auto"/>
          </w:tcPr>
          <w:p w14:paraId="0224C4FC" w14:textId="77777777" w:rsidR="008D5E4B" w:rsidRDefault="008D5E4B" w:rsidP="00600457">
            <w:pPr>
              <w:jc w:val="left"/>
            </w:pPr>
          </w:p>
        </w:tc>
        <w:tc>
          <w:tcPr>
            <w:tcW w:w="2109" w:type="dxa"/>
          </w:tcPr>
          <w:p w14:paraId="57A5A4BA" w14:textId="77777777" w:rsidR="008D5E4B" w:rsidRDefault="008D5E4B" w:rsidP="00600457">
            <w:pPr>
              <w:jc w:val="left"/>
            </w:pPr>
          </w:p>
        </w:tc>
        <w:tc>
          <w:tcPr>
            <w:tcW w:w="1559" w:type="dxa"/>
            <w:shd w:val="clear" w:color="auto" w:fill="auto"/>
          </w:tcPr>
          <w:p w14:paraId="08AD61B9" w14:textId="77777777" w:rsidR="008D5E4B" w:rsidRDefault="008D5E4B" w:rsidP="00600457">
            <w:pPr>
              <w:jc w:val="left"/>
            </w:pPr>
          </w:p>
        </w:tc>
        <w:tc>
          <w:tcPr>
            <w:tcW w:w="1830" w:type="dxa"/>
            <w:shd w:val="clear" w:color="auto" w:fill="auto"/>
          </w:tcPr>
          <w:p w14:paraId="7E8A9AC5" w14:textId="77777777" w:rsidR="008D5E4B" w:rsidRDefault="008D5E4B" w:rsidP="00600457">
            <w:pPr>
              <w:jc w:val="left"/>
            </w:pPr>
          </w:p>
        </w:tc>
        <w:tc>
          <w:tcPr>
            <w:tcW w:w="1180" w:type="dxa"/>
            <w:shd w:val="clear" w:color="auto" w:fill="auto"/>
          </w:tcPr>
          <w:p w14:paraId="266069FC" w14:textId="77777777" w:rsidR="008D5E4B" w:rsidRDefault="008D5E4B" w:rsidP="00600457">
            <w:pPr>
              <w:jc w:val="left"/>
            </w:pPr>
          </w:p>
        </w:tc>
        <w:tc>
          <w:tcPr>
            <w:tcW w:w="6367" w:type="dxa"/>
            <w:shd w:val="clear" w:color="auto" w:fill="auto"/>
          </w:tcPr>
          <w:p w14:paraId="5BCEAA1C" w14:textId="77777777" w:rsidR="008D5E4B" w:rsidRDefault="008D5E4B" w:rsidP="00600457">
            <w:pPr>
              <w:jc w:val="left"/>
            </w:pPr>
          </w:p>
        </w:tc>
      </w:tr>
      <w:tr w:rsidR="008D5E4B" w14:paraId="5AEEB630" w14:textId="77777777" w:rsidTr="008D5E4B">
        <w:tc>
          <w:tcPr>
            <w:tcW w:w="1443" w:type="dxa"/>
            <w:shd w:val="clear" w:color="auto" w:fill="auto"/>
          </w:tcPr>
          <w:p w14:paraId="766D3F07" w14:textId="77777777" w:rsidR="008D5E4B" w:rsidRDefault="008D5E4B" w:rsidP="00600457">
            <w:pPr>
              <w:jc w:val="left"/>
            </w:pPr>
          </w:p>
        </w:tc>
        <w:tc>
          <w:tcPr>
            <w:tcW w:w="2109" w:type="dxa"/>
          </w:tcPr>
          <w:p w14:paraId="5817DDD6" w14:textId="77777777" w:rsidR="008D5E4B" w:rsidRDefault="008D5E4B" w:rsidP="00600457">
            <w:pPr>
              <w:jc w:val="left"/>
            </w:pPr>
          </w:p>
        </w:tc>
        <w:tc>
          <w:tcPr>
            <w:tcW w:w="1559" w:type="dxa"/>
            <w:shd w:val="clear" w:color="auto" w:fill="auto"/>
          </w:tcPr>
          <w:p w14:paraId="26A642F8" w14:textId="77777777" w:rsidR="008D5E4B" w:rsidRDefault="008D5E4B" w:rsidP="00600457">
            <w:pPr>
              <w:jc w:val="left"/>
            </w:pPr>
          </w:p>
        </w:tc>
        <w:tc>
          <w:tcPr>
            <w:tcW w:w="1830" w:type="dxa"/>
            <w:shd w:val="clear" w:color="auto" w:fill="auto"/>
          </w:tcPr>
          <w:p w14:paraId="5363F0F8" w14:textId="77777777" w:rsidR="008D5E4B" w:rsidRDefault="008D5E4B" w:rsidP="00600457">
            <w:pPr>
              <w:jc w:val="left"/>
            </w:pPr>
          </w:p>
        </w:tc>
        <w:tc>
          <w:tcPr>
            <w:tcW w:w="1180" w:type="dxa"/>
            <w:shd w:val="clear" w:color="auto" w:fill="auto"/>
          </w:tcPr>
          <w:p w14:paraId="3C2041DF" w14:textId="77777777" w:rsidR="008D5E4B" w:rsidRDefault="008D5E4B" w:rsidP="00600457">
            <w:pPr>
              <w:jc w:val="left"/>
            </w:pPr>
          </w:p>
        </w:tc>
        <w:tc>
          <w:tcPr>
            <w:tcW w:w="6367" w:type="dxa"/>
            <w:shd w:val="clear" w:color="auto" w:fill="auto"/>
          </w:tcPr>
          <w:p w14:paraId="3C8BD171" w14:textId="77777777" w:rsidR="008D5E4B" w:rsidRDefault="008D5E4B" w:rsidP="00600457">
            <w:pPr>
              <w:jc w:val="left"/>
            </w:pPr>
          </w:p>
        </w:tc>
      </w:tr>
    </w:tbl>
    <w:p w14:paraId="12D03CFC" w14:textId="77777777" w:rsidR="007A50F4" w:rsidRDefault="007A50F4" w:rsidP="007A50F4">
      <w:pPr>
        <w:jc w:val="left"/>
      </w:pPr>
    </w:p>
    <w:p w14:paraId="59C05873" w14:textId="77777777" w:rsidR="001A542D" w:rsidRDefault="001A542D" w:rsidP="001A542D">
      <w:pPr>
        <w:rPr>
          <w:szCs w:val="24"/>
        </w:rPr>
      </w:pPr>
    </w:p>
    <w:p w14:paraId="430E29DD" w14:textId="77777777" w:rsidR="001A542D" w:rsidRDefault="001A542D" w:rsidP="001A542D">
      <w:pPr>
        <w:rPr>
          <w:szCs w:val="24"/>
        </w:rPr>
      </w:pPr>
    </w:p>
    <w:p w14:paraId="1168E751" w14:textId="77777777" w:rsidR="001A542D" w:rsidRDefault="001A542D" w:rsidP="001A542D">
      <w:pPr>
        <w:rPr>
          <w:szCs w:val="24"/>
        </w:rPr>
      </w:pPr>
    </w:p>
    <w:p w14:paraId="007ED4B6" w14:textId="77777777" w:rsidR="001A542D" w:rsidRDefault="001A542D" w:rsidP="001A542D">
      <w:pPr>
        <w:rPr>
          <w:szCs w:val="24"/>
        </w:rPr>
      </w:pPr>
    </w:p>
    <w:p w14:paraId="1CB30C22" w14:textId="77777777" w:rsidR="00936A61" w:rsidRPr="00936A61" w:rsidRDefault="00936A61" w:rsidP="004B7568">
      <w:pPr>
        <w:jc w:val="left"/>
      </w:pPr>
    </w:p>
    <w:sectPr w:rsidR="00936A61" w:rsidRPr="00936A61" w:rsidSect="00C47F65">
      <w:pgSz w:w="16840" w:h="11907" w:orient="landscape" w:code="9"/>
      <w:pgMar w:top="2127" w:right="992" w:bottom="992" w:left="992"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0EF1" w14:textId="77777777" w:rsidR="00FB0309" w:rsidRDefault="00FB0309">
      <w:r>
        <w:separator/>
      </w:r>
    </w:p>
  </w:endnote>
  <w:endnote w:type="continuationSeparator" w:id="0">
    <w:p w14:paraId="0F97E95A" w14:textId="77777777" w:rsidR="00FB0309" w:rsidRDefault="00FB0309">
      <w:r>
        <w:continuationSeparator/>
      </w:r>
    </w:p>
  </w:endnote>
  <w:endnote w:type="continuationNotice" w:id="1">
    <w:p w14:paraId="11415ED6" w14:textId="77777777" w:rsidR="00FB0309" w:rsidRDefault="00FB03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Malgun Gothic Semi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88FE" w14:textId="77777777" w:rsidR="007B7E11" w:rsidRDefault="007B7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8A2F" w14:textId="77777777" w:rsidR="00C63419" w:rsidRDefault="00C63419">
    <w:pPr>
      <w:pStyle w:val="Footer"/>
      <w:jc w:val="center"/>
    </w:pPr>
    <w:r>
      <w:fldChar w:fldCharType="begin"/>
    </w:r>
    <w:r>
      <w:instrText>PAGE</w:instrText>
    </w:r>
    <w:r>
      <w:fldChar w:fldCharType="separate"/>
    </w:r>
    <w: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FBDF" w14:textId="77777777" w:rsidR="00C63419" w:rsidRDefault="00C63419" w:rsidP="0042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C4A951E" w14:textId="77777777" w:rsidR="00C63419" w:rsidRPr="00CA1F38" w:rsidRDefault="00C63419">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0005" w14:textId="77777777" w:rsidR="00C63419" w:rsidRDefault="00C6341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E874" w14:textId="77777777" w:rsidR="00C63419" w:rsidRDefault="00C63419" w:rsidP="0042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14:paraId="56A881BB" w14:textId="77777777" w:rsidR="00C63419" w:rsidRPr="00CA1F38" w:rsidRDefault="00C63419">
    <w:pPr>
      <w:pStyle w:val="Footer"/>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5720" w14:textId="77777777" w:rsidR="00C63419" w:rsidRDefault="00C634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9F59" w14:textId="77777777" w:rsidR="00C63419" w:rsidRDefault="00C63419">
    <w:pPr>
      <w:pStyle w:val="Footer"/>
      <w:jc w:val="center"/>
    </w:pPr>
    <w:r>
      <w:fldChar w:fldCharType="begin"/>
    </w:r>
    <w:r>
      <w:instrText>PAGE</w:instrText>
    </w:r>
    <w:r>
      <w:fldChar w:fldCharType="separate"/>
    </w:r>
    <w:r>
      <w:t>26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A1DB" w14:textId="77777777" w:rsidR="00C63419" w:rsidRPr="008D5E4B" w:rsidRDefault="00C63419" w:rsidP="0042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14:paraId="50FA85B3" w14:textId="418D1DF1" w:rsidR="00C63419" w:rsidRPr="00CA1F38" w:rsidRDefault="00C63419">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AEEC" w14:textId="77777777" w:rsidR="00FB0309" w:rsidRDefault="00FB0309">
      <w:r>
        <w:separator/>
      </w:r>
    </w:p>
  </w:footnote>
  <w:footnote w:type="continuationSeparator" w:id="0">
    <w:p w14:paraId="42C149DA" w14:textId="77777777" w:rsidR="00FB0309" w:rsidRDefault="00FB0309">
      <w:r>
        <w:continuationSeparator/>
      </w:r>
    </w:p>
  </w:footnote>
  <w:footnote w:type="continuationNotice" w:id="1">
    <w:p w14:paraId="524452B0" w14:textId="77777777" w:rsidR="00FB0309" w:rsidRDefault="00FB0309">
      <w:pPr>
        <w:spacing w:after="0"/>
      </w:pPr>
    </w:p>
  </w:footnote>
  <w:footnote w:id="2">
    <w:p w14:paraId="68ACFA7B" w14:textId="77777777" w:rsidR="00C63419" w:rsidRPr="00C17940" w:rsidRDefault="00C63419">
      <w:pPr>
        <w:pStyle w:val="FootnoteText"/>
      </w:pPr>
      <w:r>
        <w:rPr>
          <w:rStyle w:val="FootnoteReference"/>
        </w:rPr>
        <w:footnoteRef/>
      </w:r>
      <w:r>
        <w:t xml:space="preserve"> </w:t>
      </w:r>
      <w:r>
        <w:tab/>
        <w:t>UL L 435, 6.12.2021, str. 187.</w:t>
      </w:r>
    </w:p>
  </w:footnote>
  <w:footnote w:id="3">
    <w:p w14:paraId="4F124096" w14:textId="77777777" w:rsidR="00C63419" w:rsidRPr="00CB1F21" w:rsidRDefault="00C63419">
      <w:pPr>
        <w:pStyle w:val="FootnoteText"/>
      </w:pPr>
      <w:r>
        <w:rPr>
          <w:rStyle w:val="FootnoteReference"/>
        </w:rPr>
        <w:footnoteRef/>
      </w:r>
      <w:r>
        <w:t xml:space="preserve"> </w:t>
      </w:r>
      <w:r>
        <w:tab/>
        <w:t>Besedilo je bilo 25. aprila 2023 spremenjeno z Uredbo (EU) 2023/860.</w:t>
      </w:r>
    </w:p>
  </w:footnote>
  <w:footnote w:id="4">
    <w:p w14:paraId="0A4496A8" w14:textId="77777777" w:rsidR="00C63419" w:rsidRDefault="00C63419" w:rsidP="00EF7A64">
      <w:pPr>
        <w:pStyle w:val="FootnoteText"/>
        <w:spacing w:after="0"/>
      </w:pPr>
      <w:r>
        <w:rPr>
          <w:rStyle w:val="FootnoteReference"/>
        </w:rPr>
        <w:footnoteRef/>
      </w:r>
      <w:r>
        <w:t xml:space="preserve"> </w:t>
      </w:r>
      <w:r>
        <w:tab/>
        <w:t>Izvedbena uredba (EU) št. 809/2014 je razveljavljena z učinkom od 1. januarja 2023.  Vendar se še naprej uporablja za:</w:t>
      </w:r>
    </w:p>
    <w:p w14:paraId="04546E8C" w14:textId="77777777" w:rsidR="00C63419" w:rsidRDefault="00C63419" w:rsidP="00CB1F21">
      <w:pPr>
        <w:pStyle w:val="FootnoteText"/>
        <w:numPr>
          <w:ilvl w:val="0"/>
          <w:numId w:val="25"/>
        </w:numPr>
        <w:spacing w:after="0"/>
      </w:pPr>
      <w:r>
        <w:t>vloge za pomoč za neposredna plačila, predložene pred 1. januarjem 2023;</w:t>
      </w:r>
    </w:p>
    <w:p w14:paraId="36219739" w14:textId="77777777" w:rsidR="00C63419" w:rsidRDefault="00C63419" w:rsidP="00CB1F21">
      <w:pPr>
        <w:pStyle w:val="FootnoteText"/>
        <w:numPr>
          <w:ilvl w:val="0"/>
          <w:numId w:val="25"/>
        </w:numPr>
        <w:spacing w:after="0"/>
      </w:pPr>
      <w:r>
        <w:t>zahtevke za plačilo v zvezi s podpornimi ukrepi, ki se izvajajo na podlagi Uredbe (EU) št. 1305/2013;</w:t>
      </w:r>
    </w:p>
    <w:p w14:paraId="41B33F8C" w14:textId="77777777" w:rsidR="00C63419" w:rsidRPr="0006308F" w:rsidRDefault="00C63419" w:rsidP="00CB1F21">
      <w:pPr>
        <w:pStyle w:val="FootnoteText"/>
        <w:numPr>
          <w:ilvl w:val="0"/>
          <w:numId w:val="25"/>
        </w:numPr>
        <w:spacing w:after="0"/>
      </w:pPr>
      <w:r>
        <w:t>kontrolni sistem in upravne sankcije v zvezi s pravili o navzkrižni skladnosti.</w:t>
      </w:r>
    </w:p>
  </w:footnote>
  <w:footnote w:id="5">
    <w:p w14:paraId="1499AF89" w14:textId="77777777" w:rsidR="00C63419" w:rsidRPr="005C3090" w:rsidRDefault="00C63419" w:rsidP="00EF7A64">
      <w:pPr>
        <w:pStyle w:val="FootnoteText"/>
        <w:spacing w:after="0"/>
      </w:pPr>
      <w:r>
        <w:rPr>
          <w:rStyle w:val="FootnoteReference"/>
        </w:rPr>
        <w:footnoteRef/>
      </w:r>
      <w:r>
        <w:t xml:space="preserve"> </w:t>
      </w:r>
      <w:r>
        <w:tab/>
        <w:t>Npr. kontrole, ki jih opravi in/ali ponovno opravi služba za notranjo revizijo plačilne agencije.</w:t>
      </w:r>
    </w:p>
  </w:footnote>
  <w:footnote w:id="6">
    <w:p w14:paraId="66EFCDCB" w14:textId="77777777" w:rsidR="00C63419" w:rsidRPr="004B7568" w:rsidRDefault="00C63419" w:rsidP="00EF7A64">
      <w:pPr>
        <w:pStyle w:val="FootnoteText"/>
        <w:spacing w:after="0"/>
        <w:rPr>
          <w:highlight w:val="yellow"/>
        </w:rPr>
      </w:pPr>
      <w:r>
        <w:rPr>
          <w:rStyle w:val="FootnoteReference"/>
        </w:rPr>
        <w:footnoteRef/>
      </w:r>
      <w:r>
        <w:t xml:space="preserve"> </w:t>
      </w:r>
      <w:r>
        <w:tab/>
        <w:t xml:space="preserve">Analiza kontrolne statistike mora vključevati vse sheme/ukrepe, izplačane med proračunskim letom. Zato ni omejena na kontrolno statistiko, ki jo je treba predložiti do 15. julija vsako leto v skladu s členom 9 Uredbe (EU) št. 809/2014. Upoštevati je treba tudi ustrezne določbe izvedbenih pravil za tržne ukrepe, npr. člen 19(5) Uredbe (EU) 2016/1150. Ne glede na to, ali se uradna kontrolna statistika predloži GD za kmetijstvo in razvoj podeželja ali ne, je treba upoštevati tudi notranje poročanje. </w:t>
      </w:r>
    </w:p>
  </w:footnote>
  <w:footnote w:id="7">
    <w:p w14:paraId="18B6D956" w14:textId="77777777" w:rsidR="00C63419" w:rsidRPr="00F66910" w:rsidRDefault="00C63419">
      <w:pPr>
        <w:pStyle w:val="FootnoteText"/>
      </w:pPr>
      <w:r>
        <w:rPr>
          <w:rStyle w:val="FootnoteReference"/>
        </w:rPr>
        <w:footnoteRef/>
      </w:r>
      <w:r>
        <w:t xml:space="preserve"> </w:t>
      </w:r>
      <w:r>
        <w:tab/>
        <w:t>Kar zadeva resne pomanjkljivosti, ki vplivajo na osnovne zahteve Unije, glej nove smernice za izračun finančnih popravkov.</w:t>
      </w:r>
    </w:p>
  </w:footnote>
  <w:footnote w:id="8">
    <w:p w14:paraId="39BC83FF" w14:textId="77777777" w:rsidR="00C63419" w:rsidRPr="00CB1F21" w:rsidRDefault="00C63419">
      <w:pPr>
        <w:pStyle w:val="FootnoteText"/>
      </w:pPr>
      <w:r>
        <w:rPr>
          <w:rStyle w:val="FootnoteReference"/>
        </w:rPr>
        <w:footnoteRef/>
      </w:r>
      <w:r>
        <w:t xml:space="preserve"> </w:t>
      </w:r>
      <w:r>
        <w:tab/>
        <w:t>V postopku revizije.</w:t>
      </w:r>
    </w:p>
  </w:footnote>
  <w:footnote w:id="9">
    <w:p w14:paraId="1020999E" w14:textId="77777777" w:rsidR="00C63419" w:rsidRPr="00215E88" w:rsidRDefault="00C63419" w:rsidP="004B7568">
      <w:pPr>
        <w:pStyle w:val="FootnoteText"/>
      </w:pPr>
      <w:r>
        <w:rPr>
          <w:rStyle w:val="FootnoteReference"/>
        </w:rPr>
        <w:footnoteRef/>
      </w:r>
      <w:r>
        <w:tab/>
      </w:r>
      <w:r>
        <w:rPr>
          <w:rStyle w:val="FootnoteReference"/>
          <w:rFonts w:ascii="Times New Roman" w:hAnsi="Times New Roman"/>
          <w:sz w:val="20"/>
        </w:rPr>
        <w:t>Zgolj presežen prag 2 % ne sme samodejno povzročiti pridržka. Upoštevati se morajo vsa merila, navedena v tej smernici: samo primeri, v katerih npr. obstaja znatna pomanjkljivost v sistemu kontrol in posledic te pomanjkljivosti ni mogoče zmanjšati s popravnimi ukrepi, bi morali privesti do pridržka.</w:t>
      </w:r>
    </w:p>
  </w:footnote>
  <w:footnote w:id="10">
    <w:p w14:paraId="4DB1FCEB" w14:textId="5DC27945" w:rsidR="00C63419" w:rsidRPr="0020241A" w:rsidRDefault="00C63419">
      <w:pPr>
        <w:pStyle w:val="FootnoteText"/>
        <w:rPr>
          <w:rStyle w:val="FootnoteReference"/>
          <w:rFonts w:ascii="Times New Roman" w:hAnsi="Times New Roman"/>
          <w:sz w:val="20"/>
        </w:rPr>
      </w:pPr>
      <w:r>
        <w:rPr>
          <w:rStyle w:val="FootnoteReference"/>
        </w:rPr>
        <w:footnoteRef/>
      </w:r>
      <w:r>
        <w:rPr>
          <w:rStyle w:val="FootnoteReference"/>
        </w:rPr>
        <w:t xml:space="preserve"> </w:t>
      </w:r>
      <w:r>
        <w:tab/>
      </w:r>
      <w:r>
        <w:rPr>
          <w:rStyle w:val="FootnoteReference"/>
          <w:rFonts w:ascii="Times New Roman" w:hAnsi="Times New Roman"/>
          <w:sz w:val="20"/>
        </w:rPr>
        <w:t>Smernica št. 2 o letni certifikacijski reviziji za proračunsko leto 2022.</w:t>
      </w:r>
    </w:p>
  </w:footnote>
  <w:footnote w:id="11">
    <w:p w14:paraId="404097E4" w14:textId="77777777" w:rsidR="00C63419" w:rsidRPr="00CB1F21" w:rsidRDefault="00C63419">
      <w:pPr>
        <w:pStyle w:val="FootnoteText"/>
      </w:pPr>
      <w:r>
        <w:rPr>
          <w:rStyle w:val="FootnoteReference"/>
        </w:rPr>
        <w:footnoteRef/>
      </w:r>
      <w:r>
        <w:t xml:space="preserve"> </w:t>
      </w:r>
      <w:r>
        <w:tab/>
        <w:t>V postopku revizije.</w:t>
      </w:r>
    </w:p>
  </w:footnote>
  <w:footnote w:id="12">
    <w:p w14:paraId="090FDB7A" w14:textId="77777777" w:rsidR="00C63419" w:rsidRDefault="00C63419" w:rsidP="00B86BD6">
      <w:pPr>
        <w:pStyle w:val="FootnoteText"/>
        <w:spacing w:after="0"/>
      </w:pPr>
      <w:r>
        <w:rPr>
          <w:rStyle w:val="FootnoteReference"/>
        </w:rPr>
        <w:footnoteRef/>
      </w:r>
      <w:r>
        <w:t xml:space="preserve"> </w:t>
      </w:r>
      <w:r>
        <w:tab/>
        <w:t>Kot končno poročilo je treba na primer upoštevati dopis Komisije z ugotovitvami.</w:t>
      </w:r>
    </w:p>
  </w:footnote>
  <w:footnote w:id="13">
    <w:p w14:paraId="40637C09" w14:textId="77777777" w:rsidR="00C63419" w:rsidRPr="00215E88" w:rsidRDefault="00C63419" w:rsidP="008C2D8E">
      <w:pPr>
        <w:pStyle w:val="FootnoteText"/>
      </w:pPr>
      <w:r>
        <w:rPr>
          <w:rStyle w:val="FootnoteReference"/>
        </w:rPr>
        <w:footnoteRef/>
      </w:r>
      <w:r>
        <w:t xml:space="preserve"> </w:t>
      </w:r>
      <w:r>
        <w:tab/>
        <w:t xml:space="preserve">Če naključni vzorec ni na voljo, mora analiza temeljiti na zanesljivem vzorcu (ki ga je treba navesti v opombi). Podatki/rezultati morajo biti primerljivi s tistimi, ki so bili sporočeni GD AGRI v zadevni kontrolni statistiki. </w:t>
      </w:r>
    </w:p>
  </w:footnote>
  <w:footnote w:id="14">
    <w:p w14:paraId="439A3F42" w14:textId="77777777" w:rsidR="00C63419" w:rsidRDefault="00C63419" w:rsidP="007F240D">
      <w:pPr>
        <w:pStyle w:val="FootnoteText"/>
      </w:pPr>
      <w:r>
        <w:rPr>
          <w:rStyle w:val="FootnoteReference"/>
        </w:rPr>
        <w:footnoteRef/>
      </w:r>
      <w:r>
        <w:t xml:space="preserve"> </w:t>
      </w:r>
      <w:r>
        <w:tab/>
        <w:t>Vsota neplačanih zneskov, ki izhajajo iz pregledov na kraju samem (brez kazni) v okviru naključnega izbora za pregled na kraju samem.</w:t>
      </w:r>
    </w:p>
  </w:footnote>
  <w:footnote w:id="15">
    <w:p w14:paraId="0F79A697" w14:textId="77777777" w:rsidR="00C63419" w:rsidRPr="004A6808" w:rsidRDefault="00C63419">
      <w:pPr>
        <w:pStyle w:val="FootnoteText"/>
        <w:rPr>
          <w:b/>
        </w:rPr>
      </w:pPr>
      <w:r>
        <w:rPr>
          <w:rStyle w:val="FootnoteReference"/>
        </w:rPr>
        <w:footnoteRef/>
      </w:r>
      <w:r>
        <w:t xml:space="preserve"> </w:t>
      </w:r>
      <w:r>
        <w:tab/>
        <w:t>Sheme pomoči v okviru EKJS, ki so zajete v IAKS, tj. sheme podpor v okviru EKJS v skladu s Prilogo I k Uredbi (EU) št. 1307/2013 Evropskega parlamenta in Sveta, kot določa člen 67 Uredbe (EU) št. 1306/2013 Evropskega parlamenta in Sveta.</w:t>
      </w:r>
    </w:p>
  </w:footnote>
  <w:footnote w:id="16">
    <w:p w14:paraId="48F899A4" w14:textId="77777777" w:rsidR="00C63419" w:rsidRDefault="00C63419">
      <w:pPr>
        <w:pStyle w:val="FootnoteText"/>
      </w:pPr>
      <w:r>
        <w:rPr>
          <w:rStyle w:val="FootnoteReference"/>
        </w:rPr>
        <w:footnoteRef/>
      </w:r>
      <w:r>
        <w:t xml:space="preserve"> </w:t>
      </w:r>
      <w:r>
        <w:tab/>
        <w:t>Če se shema EKJS ne-IAKS ne nadzoruje naključno, je treba sporočiti celoten znesek, ki ga zajemajo pregledi na kraju samem.</w:t>
      </w:r>
    </w:p>
    <w:p w14:paraId="042AF78E" w14:textId="77777777" w:rsidR="00C63419" w:rsidRPr="0019504A" w:rsidRDefault="00C63419">
      <w:pPr>
        <w:pStyle w:val="FootnoteText"/>
      </w:pPr>
      <w:r>
        <w:tab/>
        <w:t xml:space="preserve">V primerih, ko posamezni ukrep omogoča samo pregled odstotnega deleža (vzorec računov) odhodkov, za katere se opravi pregled na kraju samem (vino – promocija v tretjih državah, promocija), mora ta stolpec zajemati vse odhodke projekta (tudi račune, ki niso bili preverjeni pri pregledih na kraju samem). Glede na to mora stolpec C zajemati ekstrapolacijo napake, odkrite v vzorcu, na celotne odhodke projekta. </w:t>
      </w:r>
    </w:p>
  </w:footnote>
  <w:footnote w:id="17">
    <w:p w14:paraId="7F67C74B" w14:textId="77777777" w:rsidR="00C63419" w:rsidRPr="00A50B25" w:rsidRDefault="00C63419">
      <w:pPr>
        <w:pStyle w:val="FootnoteText"/>
      </w:pPr>
      <w:r>
        <w:rPr>
          <w:rStyle w:val="FootnoteReference"/>
        </w:rPr>
        <w:footnoteRef/>
      </w:r>
      <w:r>
        <w:t xml:space="preserve"> </w:t>
      </w:r>
      <w:r>
        <w:tab/>
        <w:t>Izredne podporne ukrepe, izvedene med proračunskim letom, je treba prav tako sporočiti za vsak ukrep, tudi če z njimi ni povezana nobena kontrolna statistika.</w:t>
      </w:r>
    </w:p>
  </w:footnote>
  <w:footnote w:id="18">
    <w:p w14:paraId="4B5577BD" w14:textId="77777777" w:rsidR="00C63419" w:rsidRDefault="00C63419">
      <w:pPr>
        <w:pStyle w:val="FootnoteText"/>
      </w:pPr>
      <w:r>
        <w:rPr>
          <w:rStyle w:val="FootnoteReference"/>
        </w:rPr>
        <w:footnoteRef/>
      </w:r>
      <w:r>
        <w:t xml:space="preserve"> </w:t>
      </w:r>
      <w:r>
        <w:tab/>
        <w:t xml:space="preserve">Sheme pomoči v okviru EKJS, ki niso zajete v IAKS, tj. katere koli druge sheme podpor v okviru EKJS. </w:t>
      </w:r>
    </w:p>
  </w:footnote>
  <w:footnote w:id="19">
    <w:p w14:paraId="28DF724A" w14:textId="77777777" w:rsidR="00C63419" w:rsidRDefault="00C63419">
      <w:pPr>
        <w:pStyle w:val="FootnoteText"/>
      </w:pPr>
      <w:r>
        <w:rPr>
          <w:rStyle w:val="FootnoteReference"/>
        </w:rPr>
        <w:footnoteRef/>
      </w:r>
      <w:r>
        <w:t xml:space="preserve"> </w:t>
      </w:r>
      <w:r>
        <w:tab/>
        <w:t xml:space="preserve">Sheme pomoči v okviru EKSRP, ki so </w:t>
      </w:r>
      <w:r>
        <w:rPr>
          <w:u w:val="single"/>
        </w:rPr>
        <w:t>zajete v IAKS</w:t>
      </w:r>
      <w:r>
        <w:t>, tj. podpora, dodeljena v skladu s členom 2(1) (točka 6) Delegirane uredbe Komisije (EU) št. 640/2014. V skladu s členom 67 Uredbe (EU) št. 1306/2013 Evropskega parlamenta in Sveta se IAKS ne uporablja za ukrepe iz člena 28(9) Uredbe (EU) št. 1305/2013. Prav tako se ne uporablja za ukrepe iz člena 21(1)(a) in (b) navedene uredbe, kar zadeva stroške vzpostavitve.</w:t>
      </w:r>
    </w:p>
  </w:footnote>
  <w:footnote w:id="20">
    <w:p w14:paraId="1F30588D" w14:textId="77777777" w:rsidR="00C63419" w:rsidRDefault="00C63419">
      <w:pPr>
        <w:pStyle w:val="FootnoteText"/>
      </w:pPr>
      <w:r>
        <w:rPr>
          <w:rStyle w:val="FootnoteReference"/>
        </w:rPr>
        <w:footnoteRef/>
      </w:r>
      <w:r>
        <w:t xml:space="preserve"> </w:t>
      </w:r>
      <w:r>
        <w:tab/>
        <w:t xml:space="preserve">Sheme pomoči v okviru EKSRP, ki </w:t>
      </w:r>
      <w:r>
        <w:rPr>
          <w:u w:val="single"/>
        </w:rPr>
        <w:t>niso zajete v IAKS</w:t>
      </w:r>
      <w:r>
        <w:t>, tj. sheme podpor v okviru EKSRP v skladu s Prilogo IV k Uredbi (EU) št. 1305/2013 Evropskega parlamenta in Sveta, razen ukrepa iz točke 3, zajetega v IAKS.</w:t>
      </w:r>
    </w:p>
  </w:footnote>
  <w:footnote w:id="21">
    <w:p w14:paraId="1CC1E0A2" w14:textId="08B33A4A" w:rsidR="00C63419" w:rsidRPr="00215E88" w:rsidRDefault="00C63419">
      <w:pPr>
        <w:pStyle w:val="FootnoteText"/>
      </w:pPr>
      <w:r>
        <w:rPr>
          <w:rStyle w:val="FootnoteReference"/>
        </w:rPr>
        <w:footnoteRef/>
      </w:r>
      <w:r>
        <w:t xml:space="preserve"> </w:t>
      </w:r>
      <w:r>
        <w:tab/>
        <w:t>Glej opombo 4: Npr. kontrole, ki jih opravi in/ali ponovno opravi služba za notranjo revizijo plačilne agencije.</w:t>
      </w:r>
    </w:p>
  </w:footnote>
  <w:footnote w:id="22">
    <w:p w14:paraId="54D35E4C" w14:textId="77777777" w:rsidR="00C63419" w:rsidRPr="00C17940" w:rsidRDefault="00C63419" w:rsidP="00952D30">
      <w:pPr>
        <w:pStyle w:val="FootnoteText"/>
      </w:pPr>
      <w:r>
        <w:rPr>
          <w:rStyle w:val="FootnoteReference"/>
        </w:rPr>
        <w:footnoteRef/>
      </w:r>
      <w:r>
        <w:t xml:space="preserve"> </w:t>
      </w:r>
      <w:r>
        <w:tab/>
        <w:t>UL L 435, 6.12.2021, str. 187.</w:t>
      </w:r>
    </w:p>
  </w:footnote>
  <w:footnote w:id="23">
    <w:p w14:paraId="4BD57355" w14:textId="77777777" w:rsidR="00C63419" w:rsidRPr="00C47F65" w:rsidRDefault="00C63419" w:rsidP="008E1FCB">
      <w:pPr>
        <w:pStyle w:val="FootnoteText"/>
      </w:pPr>
      <w:r>
        <w:rPr>
          <w:rStyle w:val="FootnoteReference"/>
        </w:rPr>
        <w:footnoteRef/>
      </w:r>
      <w:r>
        <w:t xml:space="preserve"> </w:t>
      </w:r>
      <w:r>
        <w:tab/>
        <w:t>Smernica za akreditacijo (plačilna agencija in usklajevalni organ) – Ares(2023)104350 z dne 6. januarja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32AC" w14:textId="77777777" w:rsidR="007B7E11" w:rsidRDefault="007B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F9EC" w14:textId="77777777" w:rsidR="007B7E11" w:rsidRDefault="007B7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F6D" w14:textId="77777777" w:rsidR="007B7E11" w:rsidRDefault="007B7E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FC5D" w14:textId="77777777" w:rsidR="00C63419" w:rsidRDefault="00C634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71B6" w14:textId="77777777" w:rsidR="00C63419" w:rsidRDefault="00C634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CBB0" w14:textId="77777777" w:rsidR="00C63419" w:rsidRDefault="00C634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133B" w14:textId="77777777" w:rsidR="00C63419" w:rsidRDefault="00C634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CE8B" w14:textId="77777777" w:rsidR="00C63419" w:rsidRDefault="00C6341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3F9B" w14:textId="77777777" w:rsidR="00C63419" w:rsidRDefault="00C63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346A842"/>
    <w:lvl w:ilvl="0">
      <w:start w:val="1"/>
      <w:numFmt w:val="decimal"/>
      <w:pStyle w:val="Heading1"/>
      <w:lvlText w:val="%1."/>
      <w:legacy w:legacy="1" w:legacySpace="0" w:legacyIndent="482"/>
      <w:lvlJc w:val="left"/>
      <w:pPr>
        <w:ind w:left="482" w:hanging="482"/>
      </w:pPr>
    </w:lvl>
    <w:lvl w:ilvl="1">
      <w:start w:val="1"/>
      <w:numFmt w:val="decimal"/>
      <w:pStyle w:val="Heading2"/>
      <w:lvlText w:val="%1.%2."/>
      <w:legacy w:legacy="1" w:legacySpace="0" w:legacyIndent="595"/>
      <w:lvlJc w:val="left"/>
      <w:pPr>
        <w:ind w:left="1077" w:hanging="595"/>
      </w:pPr>
    </w:lvl>
    <w:lvl w:ilvl="2">
      <w:start w:val="1"/>
      <w:numFmt w:val="decimal"/>
      <w:pStyle w:val="Heading3"/>
      <w:lvlText w:val="%1.%2.%3."/>
      <w:legacy w:legacy="1" w:legacySpace="0" w:legacyIndent="839"/>
      <w:lvlJc w:val="left"/>
      <w:pPr>
        <w:ind w:left="1916" w:hanging="839"/>
      </w:pPr>
    </w:lvl>
    <w:lvl w:ilvl="3">
      <w:start w:val="1"/>
      <w:numFmt w:val="decimal"/>
      <w:pStyle w:val="Heading4"/>
      <w:lvlText w:val="%1.%2.%3.%4."/>
      <w:legacy w:legacy="1" w:legacySpace="0" w:legacyIndent="708"/>
      <w:lvlJc w:val="left"/>
      <w:pPr>
        <w:ind w:left="2880" w:hanging="708"/>
      </w:pPr>
    </w:lvl>
    <w:lvl w:ilvl="4">
      <w:start w:val="1"/>
      <w:numFmt w:val="decimal"/>
      <w:pStyle w:val="Heading5"/>
      <w:lvlText w:val="%1.%2.%3.%4.%5."/>
      <w:legacy w:legacy="1" w:legacySpace="0" w:legacyIndent="708"/>
      <w:lvlJc w:val="left"/>
      <w:pPr>
        <w:ind w:left="3332" w:hanging="708"/>
      </w:pPr>
    </w:lvl>
    <w:lvl w:ilvl="5">
      <w:start w:val="1"/>
      <w:numFmt w:val="decimal"/>
      <w:pStyle w:val="Heading6"/>
      <w:lvlText w:val="%1.%2.%3.%4.%5.%6."/>
      <w:legacy w:legacy="1" w:legacySpace="0" w:legacyIndent="708"/>
      <w:lvlJc w:val="left"/>
      <w:pPr>
        <w:ind w:left="4040" w:hanging="708"/>
      </w:pPr>
    </w:lvl>
    <w:lvl w:ilvl="6">
      <w:start w:val="1"/>
      <w:numFmt w:val="decimal"/>
      <w:pStyle w:val="Heading7"/>
      <w:lvlText w:val="%1.%2.%3.%4.%5.%6.%7."/>
      <w:legacy w:legacy="1" w:legacySpace="0" w:legacyIndent="708"/>
      <w:lvlJc w:val="left"/>
      <w:pPr>
        <w:ind w:left="4748" w:hanging="708"/>
      </w:pPr>
    </w:lvl>
    <w:lvl w:ilvl="7">
      <w:start w:val="1"/>
      <w:numFmt w:val="decimal"/>
      <w:pStyle w:val="Heading8"/>
      <w:lvlText w:val="%1.%2.%3.%4.%5.%6.%7.%8."/>
      <w:legacy w:legacy="1" w:legacySpace="0" w:legacyIndent="708"/>
      <w:lvlJc w:val="left"/>
      <w:pPr>
        <w:ind w:left="5456" w:hanging="708"/>
      </w:pPr>
    </w:lvl>
    <w:lvl w:ilvl="8">
      <w:start w:val="1"/>
      <w:numFmt w:val="decimal"/>
      <w:pStyle w:val="Heading9"/>
      <w:lvlText w:val="%1.%2.%3.%4.%5.%6.%7.%8.%9."/>
      <w:legacy w:legacy="1" w:legacySpace="0" w:legacyIndent="708"/>
      <w:lvlJc w:val="left"/>
      <w:pPr>
        <w:ind w:left="6164" w:hanging="708"/>
      </w:p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11001"/>
    <w:multiLevelType w:val="hybridMultilevel"/>
    <w:tmpl w:val="5082075A"/>
    <w:lvl w:ilvl="0" w:tplc="080C001B">
      <w:start w:val="1"/>
      <w:numFmt w:val="lowerRoman"/>
      <w:lvlText w:val="%1."/>
      <w:lvlJc w:val="righ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3317832"/>
    <w:multiLevelType w:val="hybridMultilevel"/>
    <w:tmpl w:val="3CE0E65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6364601"/>
    <w:multiLevelType w:val="hybridMultilevel"/>
    <w:tmpl w:val="CA1062BA"/>
    <w:lvl w:ilvl="0" w:tplc="6A06D3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8762D"/>
    <w:multiLevelType w:val="multilevel"/>
    <w:tmpl w:val="C6D44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15:restartNumberingAfterBreak="0">
    <w:nsid w:val="325B1236"/>
    <w:multiLevelType w:val="hybridMultilevel"/>
    <w:tmpl w:val="B09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E55B4D"/>
    <w:multiLevelType w:val="hybridMultilevel"/>
    <w:tmpl w:val="E10077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3675AC3"/>
    <w:multiLevelType w:val="multilevel"/>
    <w:tmpl w:val="365A917C"/>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62B5C67"/>
    <w:multiLevelType w:val="singleLevel"/>
    <w:tmpl w:val="40D2097A"/>
    <w:lvl w:ilvl="0">
      <w:start w:val="1"/>
      <w:numFmt w:val="bullet"/>
      <w:pStyle w:val="ListDash"/>
      <w:lvlText w:val="–"/>
      <w:lvlJc w:val="left"/>
      <w:pPr>
        <w:tabs>
          <w:tab w:val="num" w:pos="567"/>
        </w:tabs>
        <w:ind w:left="567" w:hanging="283"/>
      </w:pPr>
      <w:rPr>
        <w:rFonts w:ascii="Times New Roman" w:hAnsi="Times New Roman"/>
      </w:rPr>
    </w:lvl>
  </w:abstractNum>
  <w:abstractNum w:abstractNumId="2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3" w15:restartNumberingAfterBreak="0">
    <w:nsid w:val="721F58A6"/>
    <w:multiLevelType w:val="hybridMultilevel"/>
    <w:tmpl w:val="0FBE2E6A"/>
    <w:lvl w:ilvl="0" w:tplc="CF6046F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80967062">
    <w:abstractNumId w:val="0"/>
  </w:num>
  <w:num w:numId="2" w16cid:durableId="874076843">
    <w:abstractNumId w:val="12"/>
  </w:num>
  <w:num w:numId="3" w16cid:durableId="206994006">
    <w:abstractNumId w:val="19"/>
  </w:num>
  <w:num w:numId="4" w16cid:durableId="598106169">
    <w:abstractNumId w:val="18"/>
  </w:num>
  <w:num w:numId="5" w16cid:durableId="465973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502316">
    <w:abstractNumId w:val="17"/>
  </w:num>
  <w:num w:numId="7" w16cid:durableId="1712923612">
    <w:abstractNumId w:val="10"/>
  </w:num>
  <w:num w:numId="8" w16cid:durableId="1966235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919608">
    <w:abstractNumId w:val="18"/>
  </w:num>
  <w:num w:numId="10" w16cid:durableId="859010043">
    <w:abstractNumId w:val="11"/>
  </w:num>
  <w:num w:numId="11" w16cid:durableId="1459495411">
    <w:abstractNumId w:val="9"/>
  </w:num>
  <w:num w:numId="12" w16cid:durableId="478962035">
    <w:abstractNumId w:val="5"/>
  </w:num>
  <w:num w:numId="13" w16cid:durableId="1830050405">
    <w:abstractNumId w:val="3"/>
  </w:num>
  <w:num w:numId="14" w16cid:durableId="1529290926">
    <w:abstractNumId w:val="19"/>
  </w:num>
  <w:num w:numId="15" w16cid:durableId="1267881131">
    <w:abstractNumId w:val="21"/>
  </w:num>
  <w:num w:numId="16" w16cid:durableId="328482323">
    <w:abstractNumId w:val="20"/>
  </w:num>
  <w:num w:numId="17" w16cid:durableId="1579368421">
    <w:abstractNumId w:val="22"/>
  </w:num>
  <w:num w:numId="18" w16cid:durableId="1834687287">
    <w:abstractNumId w:val="8"/>
  </w:num>
  <w:num w:numId="19" w16cid:durableId="186336061">
    <w:abstractNumId w:val="12"/>
  </w:num>
  <w:num w:numId="20" w16cid:durableId="1454009697">
    <w:abstractNumId w:val="14"/>
  </w:num>
  <w:num w:numId="21" w16cid:durableId="2023587222">
    <w:abstractNumId w:val="13"/>
  </w:num>
  <w:num w:numId="22" w16cid:durableId="1858619301">
    <w:abstractNumId w:val="1"/>
  </w:num>
  <w:num w:numId="23" w16cid:durableId="1477140795">
    <w:abstractNumId w:val="15"/>
  </w:num>
  <w:num w:numId="24" w16cid:durableId="1616323720">
    <w:abstractNumId w:val="2"/>
  </w:num>
  <w:num w:numId="25" w16cid:durableId="1615668172">
    <w:abstractNumId w:val="23"/>
  </w:num>
  <w:num w:numId="26" w16cid:durableId="298583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8685063">
    <w:abstractNumId w:val="16"/>
  </w:num>
  <w:num w:numId="28" w16cid:durableId="280383628">
    <w:abstractNumId w:val="4"/>
  </w:num>
  <w:num w:numId="29" w16cid:durableId="1884098999">
    <w:abstractNumId w:val="7"/>
  </w:num>
  <w:num w:numId="30" w16cid:durableId="1281840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1751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4312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1394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6722811">
    <w:abstractNumId w:val="0"/>
  </w:num>
  <w:num w:numId="35" w16cid:durableId="2057656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173199">
    <w:abstractNumId w:val="12"/>
  </w:num>
  <w:num w:numId="37" w16cid:durableId="1973099326">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0"/>
  <w:activeWritingStyle w:appName="MSWord" w:lang="it-IT"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hu-HU" w:vendorID="64" w:dllVersion="0"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o:allowincell="f"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NOT"/>
    <w:docVar w:name="EurolookLanguage" w:val="2057"/>
    <w:docVar w:name="EurolookVersion" w:val="3.7"/>
    <w:docVar w:name="LW_DocType" w:val="NOT"/>
  </w:docVars>
  <w:rsids>
    <w:rsidRoot w:val="00890614"/>
    <w:rsid w:val="0000141A"/>
    <w:rsid w:val="0000304F"/>
    <w:rsid w:val="00004755"/>
    <w:rsid w:val="00006EA6"/>
    <w:rsid w:val="000120D7"/>
    <w:rsid w:val="00012F59"/>
    <w:rsid w:val="00013559"/>
    <w:rsid w:val="00013BBE"/>
    <w:rsid w:val="00014A68"/>
    <w:rsid w:val="000200CA"/>
    <w:rsid w:val="00020FDB"/>
    <w:rsid w:val="0002238C"/>
    <w:rsid w:val="00023A55"/>
    <w:rsid w:val="00024C3E"/>
    <w:rsid w:val="0002545A"/>
    <w:rsid w:val="000305E0"/>
    <w:rsid w:val="00030AE4"/>
    <w:rsid w:val="0003222C"/>
    <w:rsid w:val="0003322F"/>
    <w:rsid w:val="00033EB2"/>
    <w:rsid w:val="000359BF"/>
    <w:rsid w:val="000364DE"/>
    <w:rsid w:val="00036B8A"/>
    <w:rsid w:val="000373BA"/>
    <w:rsid w:val="00042EC3"/>
    <w:rsid w:val="00043AFE"/>
    <w:rsid w:val="000445D1"/>
    <w:rsid w:val="00044639"/>
    <w:rsid w:val="000448E7"/>
    <w:rsid w:val="00044A11"/>
    <w:rsid w:val="000462C9"/>
    <w:rsid w:val="00051A88"/>
    <w:rsid w:val="00053058"/>
    <w:rsid w:val="00054331"/>
    <w:rsid w:val="00060A1D"/>
    <w:rsid w:val="00060AE0"/>
    <w:rsid w:val="00060C2A"/>
    <w:rsid w:val="0006161E"/>
    <w:rsid w:val="00061C05"/>
    <w:rsid w:val="0006308F"/>
    <w:rsid w:val="00063CF6"/>
    <w:rsid w:val="00064EE2"/>
    <w:rsid w:val="00065659"/>
    <w:rsid w:val="00065AD0"/>
    <w:rsid w:val="000676D6"/>
    <w:rsid w:val="00070FD6"/>
    <w:rsid w:val="00072B58"/>
    <w:rsid w:val="00074456"/>
    <w:rsid w:val="00075F7A"/>
    <w:rsid w:val="00075FD8"/>
    <w:rsid w:val="000771DC"/>
    <w:rsid w:val="000808FE"/>
    <w:rsid w:val="00081835"/>
    <w:rsid w:val="00083DA6"/>
    <w:rsid w:val="000840D7"/>
    <w:rsid w:val="00084EFF"/>
    <w:rsid w:val="00092C57"/>
    <w:rsid w:val="00092E37"/>
    <w:rsid w:val="00093571"/>
    <w:rsid w:val="00093E60"/>
    <w:rsid w:val="00096091"/>
    <w:rsid w:val="000968CF"/>
    <w:rsid w:val="00097A3C"/>
    <w:rsid w:val="00097B82"/>
    <w:rsid w:val="000A088E"/>
    <w:rsid w:val="000A0D10"/>
    <w:rsid w:val="000A19D8"/>
    <w:rsid w:val="000A2E8B"/>
    <w:rsid w:val="000A3209"/>
    <w:rsid w:val="000A4A01"/>
    <w:rsid w:val="000A4DEB"/>
    <w:rsid w:val="000A57DD"/>
    <w:rsid w:val="000A6162"/>
    <w:rsid w:val="000A6449"/>
    <w:rsid w:val="000A6F22"/>
    <w:rsid w:val="000A7159"/>
    <w:rsid w:val="000A7D1B"/>
    <w:rsid w:val="000B07BC"/>
    <w:rsid w:val="000B28A4"/>
    <w:rsid w:val="000B31D0"/>
    <w:rsid w:val="000B3DB0"/>
    <w:rsid w:val="000B4BB1"/>
    <w:rsid w:val="000B575E"/>
    <w:rsid w:val="000B5A63"/>
    <w:rsid w:val="000B7A34"/>
    <w:rsid w:val="000B7D8E"/>
    <w:rsid w:val="000C0EFA"/>
    <w:rsid w:val="000C151C"/>
    <w:rsid w:val="000C315D"/>
    <w:rsid w:val="000C3EA3"/>
    <w:rsid w:val="000C4A93"/>
    <w:rsid w:val="000C4ECF"/>
    <w:rsid w:val="000C61A9"/>
    <w:rsid w:val="000C6343"/>
    <w:rsid w:val="000C66DF"/>
    <w:rsid w:val="000C682E"/>
    <w:rsid w:val="000C707C"/>
    <w:rsid w:val="000C76ED"/>
    <w:rsid w:val="000C7E5D"/>
    <w:rsid w:val="000D077B"/>
    <w:rsid w:val="000D0C45"/>
    <w:rsid w:val="000D181C"/>
    <w:rsid w:val="000D19DC"/>
    <w:rsid w:val="000D39F7"/>
    <w:rsid w:val="000D7E46"/>
    <w:rsid w:val="000E205A"/>
    <w:rsid w:val="000E2CCC"/>
    <w:rsid w:val="000E3B60"/>
    <w:rsid w:val="000E4934"/>
    <w:rsid w:val="000E5BBE"/>
    <w:rsid w:val="000E5E08"/>
    <w:rsid w:val="000E6ECC"/>
    <w:rsid w:val="000F1C04"/>
    <w:rsid w:val="000F2A77"/>
    <w:rsid w:val="000F3FAD"/>
    <w:rsid w:val="000F4272"/>
    <w:rsid w:val="000F455F"/>
    <w:rsid w:val="000F4A44"/>
    <w:rsid w:val="000F4D70"/>
    <w:rsid w:val="000F5572"/>
    <w:rsid w:val="000F5C8F"/>
    <w:rsid w:val="000F7EB9"/>
    <w:rsid w:val="001007AA"/>
    <w:rsid w:val="00100D50"/>
    <w:rsid w:val="001030A2"/>
    <w:rsid w:val="00105CF5"/>
    <w:rsid w:val="001112E3"/>
    <w:rsid w:val="00111591"/>
    <w:rsid w:val="0011193A"/>
    <w:rsid w:val="00111FD9"/>
    <w:rsid w:val="00113FBA"/>
    <w:rsid w:val="00115802"/>
    <w:rsid w:val="001162EF"/>
    <w:rsid w:val="00117563"/>
    <w:rsid w:val="00117BA2"/>
    <w:rsid w:val="001231F5"/>
    <w:rsid w:val="001303DD"/>
    <w:rsid w:val="00130802"/>
    <w:rsid w:val="00132F00"/>
    <w:rsid w:val="00134F3D"/>
    <w:rsid w:val="001376B8"/>
    <w:rsid w:val="001377E4"/>
    <w:rsid w:val="0013792E"/>
    <w:rsid w:val="001402C0"/>
    <w:rsid w:val="0014071C"/>
    <w:rsid w:val="00140767"/>
    <w:rsid w:val="0014198C"/>
    <w:rsid w:val="00141D16"/>
    <w:rsid w:val="00142292"/>
    <w:rsid w:val="00142B85"/>
    <w:rsid w:val="0014380A"/>
    <w:rsid w:val="00145189"/>
    <w:rsid w:val="00145F89"/>
    <w:rsid w:val="0014778C"/>
    <w:rsid w:val="00147D74"/>
    <w:rsid w:val="00152FB3"/>
    <w:rsid w:val="00154043"/>
    <w:rsid w:val="00154D59"/>
    <w:rsid w:val="00155754"/>
    <w:rsid w:val="00155E52"/>
    <w:rsid w:val="00156393"/>
    <w:rsid w:val="0015766B"/>
    <w:rsid w:val="00161230"/>
    <w:rsid w:val="0016152D"/>
    <w:rsid w:val="001617EC"/>
    <w:rsid w:val="001643D8"/>
    <w:rsid w:val="00164FDD"/>
    <w:rsid w:val="0017170F"/>
    <w:rsid w:val="00171750"/>
    <w:rsid w:val="00171C3C"/>
    <w:rsid w:val="00172EB1"/>
    <w:rsid w:val="00173A34"/>
    <w:rsid w:val="00174739"/>
    <w:rsid w:val="00175A9A"/>
    <w:rsid w:val="001762E2"/>
    <w:rsid w:val="001779BC"/>
    <w:rsid w:val="00180F2D"/>
    <w:rsid w:val="00181EFC"/>
    <w:rsid w:val="00182846"/>
    <w:rsid w:val="00183334"/>
    <w:rsid w:val="00183692"/>
    <w:rsid w:val="0018438E"/>
    <w:rsid w:val="00184F43"/>
    <w:rsid w:val="00185E68"/>
    <w:rsid w:val="00185F66"/>
    <w:rsid w:val="001906C1"/>
    <w:rsid w:val="001926C6"/>
    <w:rsid w:val="00192E40"/>
    <w:rsid w:val="00193361"/>
    <w:rsid w:val="001936D3"/>
    <w:rsid w:val="00194BAD"/>
    <w:rsid w:val="0019504A"/>
    <w:rsid w:val="001954E2"/>
    <w:rsid w:val="00196B5D"/>
    <w:rsid w:val="001A1D9D"/>
    <w:rsid w:val="001A2303"/>
    <w:rsid w:val="001A37FA"/>
    <w:rsid w:val="001A3A4F"/>
    <w:rsid w:val="001A3FD0"/>
    <w:rsid w:val="001A417D"/>
    <w:rsid w:val="001A4A7D"/>
    <w:rsid w:val="001A542D"/>
    <w:rsid w:val="001A7589"/>
    <w:rsid w:val="001B015E"/>
    <w:rsid w:val="001B1093"/>
    <w:rsid w:val="001B19B9"/>
    <w:rsid w:val="001B1FC9"/>
    <w:rsid w:val="001B202A"/>
    <w:rsid w:val="001B2A68"/>
    <w:rsid w:val="001B4A2F"/>
    <w:rsid w:val="001B4FD7"/>
    <w:rsid w:val="001B66B4"/>
    <w:rsid w:val="001B66F9"/>
    <w:rsid w:val="001B744E"/>
    <w:rsid w:val="001B7CA4"/>
    <w:rsid w:val="001B7F27"/>
    <w:rsid w:val="001C0426"/>
    <w:rsid w:val="001C0CA8"/>
    <w:rsid w:val="001C135A"/>
    <w:rsid w:val="001C17C3"/>
    <w:rsid w:val="001C1914"/>
    <w:rsid w:val="001C2195"/>
    <w:rsid w:val="001C2840"/>
    <w:rsid w:val="001C3881"/>
    <w:rsid w:val="001C3C37"/>
    <w:rsid w:val="001C4BE9"/>
    <w:rsid w:val="001C5686"/>
    <w:rsid w:val="001C56FE"/>
    <w:rsid w:val="001C5C8A"/>
    <w:rsid w:val="001C5CD5"/>
    <w:rsid w:val="001C68EC"/>
    <w:rsid w:val="001C6B4E"/>
    <w:rsid w:val="001C6FCF"/>
    <w:rsid w:val="001D1D04"/>
    <w:rsid w:val="001D1D2C"/>
    <w:rsid w:val="001D3599"/>
    <w:rsid w:val="001D3B56"/>
    <w:rsid w:val="001D4916"/>
    <w:rsid w:val="001D4CE8"/>
    <w:rsid w:val="001D66BB"/>
    <w:rsid w:val="001D742E"/>
    <w:rsid w:val="001E0A6B"/>
    <w:rsid w:val="001E0BC0"/>
    <w:rsid w:val="001E2074"/>
    <w:rsid w:val="001E2FB8"/>
    <w:rsid w:val="001E3408"/>
    <w:rsid w:val="001E3782"/>
    <w:rsid w:val="001E3E58"/>
    <w:rsid w:val="001E41BD"/>
    <w:rsid w:val="001E437B"/>
    <w:rsid w:val="001E6042"/>
    <w:rsid w:val="001E6AC9"/>
    <w:rsid w:val="001F0F1C"/>
    <w:rsid w:val="001F1125"/>
    <w:rsid w:val="001F1410"/>
    <w:rsid w:val="001F19B8"/>
    <w:rsid w:val="001F1D9D"/>
    <w:rsid w:val="001F21AE"/>
    <w:rsid w:val="001F3A44"/>
    <w:rsid w:val="001F3CF9"/>
    <w:rsid w:val="001F4283"/>
    <w:rsid w:val="001F51F2"/>
    <w:rsid w:val="001F65A3"/>
    <w:rsid w:val="001F6A6B"/>
    <w:rsid w:val="00201213"/>
    <w:rsid w:val="0020241A"/>
    <w:rsid w:val="00203DF7"/>
    <w:rsid w:val="002051D7"/>
    <w:rsid w:val="00206CE8"/>
    <w:rsid w:val="00207173"/>
    <w:rsid w:val="00210119"/>
    <w:rsid w:val="00210396"/>
    <w:rsid w:val="0021099C"/>
    <w:rsid w:val="002115DB"/>
    <w:rsid w:val="00211F75"/>
    <w:rsid w:val="00213397"/>
    <w:rsid w:val="00213687"/>
    <w:rsid w:val="00214335"/>
    <w:rsid w:val="00215E6C"/>
    <w:rsid w:val="00215E88"/>
    <w:rsid w:val="0021723D"/>
    <w:rsid w:val="0021771F"/>
    <w:rsid w:val="00220B28"/>
    <w:rsid w:val="00223E7A"/>
    <w:rsid w:val="0022474E"/>
    <w:rsid w:val="0022551E"/>
    <w:rsid w:val="00225C26"/>
    <w:rsid w:val="00225C46"/>
    <w:rsid w:val="002274B4"/>
    <w:rsid w:val="002300F3"/>
    <w:rsid w:val="00230627"/>
    <w:rsid w:val="0023068F"/>
    <w:rsid w:val="00231186"/>
    <w:rsid w:val="00231A46"/>
    <w:rsid w:val="00233468"/>
    <w:rsid w:val="00234531"/>
    <w:rsid w:val="002359ED"/>
    <w:rsid w:val="00236047"/>
    <w:rsid w:val="002363C7"/>
    <w:rsid w:val="0024106A"/>
    <w:rsid w:val="00241C72"/>
    <w:rsid w:val="002420F8"/>
    <w:rsid w:val="0024285D"/>
    <w:rsid w:val="0024419D"/>
    <w:rsid w:val="002446C2"/>
    <w:rsid w:val="002470AD"/>
    <w:rsid w:val="00247639"/>
    <w:rsid w:val="00250CDD"/>
    <w:rsid w:val="00251AAB"/>
    <w:rsid w:val="00251FA5"/>
    <w:rsid w:val="0025324B"/>
    <w:rsid w:val="00254044"/>
    <w:rsid w:val="00255612"/>
    <w:rsid w:val="002563BC"/>
    <w:rsid w:val="00256434"/>
    <w:rsid w:val="0025755B"/>
    <w:rsid w:val="002576DB"/>
    <w:rsid w:val="00257CC8"/>
    <w:rsid w:val="00257FAB"/>
    <w:rsid w:val="00260465"/>
    <w:rsid w:val="00260835"/>
    <w:rsid w:val="00260FA1"/>
    <w:rsid w:val="00263823"/>
    <w:rsid w:val="0026488E"/>
    <w:rsid w:val="00267BD9"/>
    <w:rsid w:val="0027011A"/>
    <w:rsid w:val="002715BE"/>
    <w:rsid w:val="002731AA"/>
    <w:rsid w:val="002750E3"/>
    <w:rsid w:val="0027634C"/>
    <w:rsid w:val="002765A2"/>
    <w:rsid w:val="002769EE"/>
    <w:rsid w:val="00277A8A"/>
    <w:rsid w:val="00277B07"/>
    <w:rsid w:val="00277D89"/>
    <w:rsid w:val="00280A11"/>
    <w:rsid w:val="002814DB"/>
    <w:rsid w:val="00282000"/>
    <w:rsid w:val="0028251D"/>
    <w:rsid w:val="00282EAD"/>
    <w:rsid w:val="00284FBB"/>
    <w:rsid w:val="0028525D"/>
    <w:rsid w:val="002867B0"/>
    <w:rsid w:val="00286CCB"/>
    <w:rsid w:val="002878E2"/>
    <w:rsid w:val="002914A5"/>
    <w:rsid w:val="0029307A"/>
    <w:rsid w:val="00293459"/>
    <w:rsid w:val="00293633"/>
    <w:rsid w:val="00296043"/>
    <w:rsid w:val="002968B7"/>
    <w:rsid w:val="00297245"/>
    <w:rsid w:val="00297957"/>
    <w:rsid w:val="002A1EAB"/>
    <w:rsid w:val="002A4A6A"/>
    <w:rsid w:val="002A5657"/>
    <w:rsid w:val="002A57DB"/>
    <w:rsid w:val="002A6512"/>
    <w:rsid w:val="002A67F1"/>
    <w:rsid w:val="002B183C"/>
    <w:rsid w:val="002B30B3"/>
    <w:rsid w:val="002B372E"/>
    <w:rsid w:val="002B49F0"/>
    <w:rsid w:val="002B5367"/>
    <w:rsid w:val="002B6197"/>
    <w:rsid w:val="002B6C7C"/>
    <w:rsid w:val="002C0158"/>
    <w:rsid w:val="002C3A69"/>
    <w:rsid w:val="002C43D5"/>
    <w:rsid w:val="002C4D25"/>
    <w:rsid w:val="002C4FD5"/>
    <w:rsid w:val="002C7BAF"/>
    <w:rsid w:val="002D0971"/>
    <w:rsid w:val="002D14F8"/>
    <w:rsid w:val="002D5373"/>
    <w:rsid w:val="002D732E"/>
    <w:rsid w:val="002D7A59"/>
    <w:rsid w:val="002D7A9E"/>
    <w:rsid w:val="002E0054"/>
    <w:rsid w:val="002E229B"/>
    <w:rsid w:val="002E5A1B"/>
    <w:rsid w:val="002E5B52"/>
    <w:rsid w:val="002E69AB"/>
    <w:rsid w:val="002E6AC6"/>
    <w:rsid w:val="002E7AFB"/>
    <w:rsid w:val="002F0440"/>
    <w:rsid w:val="002F06A9"/>
    <w:rsid w:val="002F1030"/>
    <w:rsid w:val="002F1637"/>
    <w:rsid w:val="002F1ECD"/>
    <w:rsid w:val="002F2408"/>
    <w:rsid w:val="002F284B"/>
    <w:rsid w:val="002F5BFA"/>
    <w:rsid w:val="002F609C"/>
    <w:rsid w:val="002F71A9"/>
    <w:rsid w:val="002F73B7"/>
    <w:rsid w:val="00301866"/>
    <w:rsid w:val="0030272D"/>
    <w:rsid w:val="003028BC"/>
    <w:rsid w:val="00302B7B"/>
    <w:rsid w:val="00302CE8"/>
    <w:rsid w:val="0030320B"/>
    <w:rsid w:val="0030353E"/>
    <w:rsid w:val="003039B0"/>
    <w:rsid w:val="00303B05"/>
    <w:rsid w:val="00303D93"/>
    <w:rsid w:val="00304CC8"/>
    <w:rsid w:val="00305F3C"/>
    <w:rsid w:val="00306141"/>
    <w:rsid w:val="00310636"/>
    <w:rsid w:val="00310801"/>
    <w:rsid w:val="0031349B"/>
    <w:rsid w:val="00315586"/>
    <w:rsid w:val="003155A0"/>
    <w:rsid w:val="003163D4"/>
    <w:rsid w:val="00316AAE"/>
    <w:rsid w:val="00316D58"/>
    <w:rsid w:val="0031710F"/>
    <w:rsid w:val="0032193C"/>
    <w:rsid w:val="00323510"/>
    <w:rsid w:val="00323DD8"/>
    <w:rsid w:val="00323EBA"/>
    <w:rsid w:val="0032464D"/>
    <w:rsid w:val="00324C6B"/>
    <w:rsid w:val="0032514E"/>
    <w:rsid w:val="00326848"/>
    <w:rsid w:val="00326959"/>
    <w:rsid w:val="0032712C"/>
    <w:rsid w:val="00327FD8"/>
    <w:rsid w:val="00331EF9"/>
    <w:rsid w:val="00332865"/>
    <w:rsid w:val="00333806"/>
    <w:rsid w:val="003344B3"/>
    <w:rsid w:val="00335C10"/>
    <w:rsid w:val="00335FC6"/>
    <w:rsid w:val="00336EB3"/>
    <w:rsid w:val="00337DA5"/>
    <w:rsid w:val="00340420"/>
    <w:rsid w:val="00341B31"/>
    <w:rsid w:val="0034290F"/>
    <w:rsid w:val="00344163"/>
    <w:rsid w:val="003445FF"/>
    <w:rsid w:val="003457BA"/>
    <w:rsid w:val="00345DEA"/>
    <w:rsid w:val="00346933"/>
    <w:rsid w:val="00346986"/>
    <w:rsid w:val="00346A07"/>
    <w:rsid w:val="003505A9"/>
    <w:rsid w:val="003511DB"/>
    <w:rsid w:val="003513F4"/>
    <w:rsid w:val="00352EC1"/>
    <w:rsid w:val="00354671"/>
    <w:rsid w:val="003548D6"/>
    <w:rsid w:val="00355BB5"/>
    <w:rsid w:val="0035680D"/>
    <w:rsid w:val="003579D7"/>
    <w:rsid w:val="00361FB7"/>
    <w:rsid w:val="00362BCC"/>
    <w:rsid w:val="00365925"/>
    <w:rsid w:val="00366920"/>
    <w:rsid w:val="00366DA5"/>
    <w:rsid w:val="00367A74"/>
    <w:rsid w:val="00367AE7"/>
    <w:rsid w:val="00371385"/>
    <w:rsid w:val="0037233E"/>
    <w:rsid w:val="00372A3B"/>
    <w:rsid w:val="003748B1"/>
    <w:rsid w:val="003754E1"/>
    <w:rsid w:val="00375CA1"/>
    <w:rsid w:val="00376AFB"/>
    <w:rsid w:val="00377146"/>
    <w:rsid w:val="003772CF"/>
    <w:rsid w:val="00377B68"/>
    <w:rsid w:val="00380491"/>
    <w:rsid w:val="003805A7"/>
    <w:rsid w:val="0038071C"/>
    <w:rsid w:val="00380794"/>
    <w:rsid w:val="00380D87"/>
    <w:rsid w:val="003810E5"/>
    <w:rsid w:val="0038188B"/>
    <w:rsid w:val="00381916"/>
    <w:rsid w:val="003820FD"/>
    <w:rsid w:val="00382EB1"/>
    <w:rsid w:val="003830A3"/>
    <w:rsid w:val="00383221"/>
    <w:rsid w:val="003865A6"/>
    <w:rsid w:val="00386DA4"/>
    <w:rsid w:val="00390076"/>
    <w:rsid w:val="003905B7"/>
    <w:rsid w:val="0039100E"/>
    <w:rsid w:val="0039210E"/>
    <w:rsid w:val="00393F37"/>
    <w:rsid w:val="00394252"/>
    <w:rsid w:val="00394EF4"/>
    <w:rsid w:val="00396F26"/>
    <w:rsid w:val="003A1E5B"/>
    <w:rsid w:val="003A4ACB"/>
    <w:rsid w:val="003A534E"/>
    <w:rsid w:val="003A5BB4"/>
    <w:rsid w:val="003B18CB"/>
    <w:rsid w:val="003B1E68"/>
    <w:rsid w:val="003B36C2"/>
    <w:rsid w:val="003B3D0C"/>
    <w:rsid w:val="003B3E1C"/>
    <w:rsid w:val="003B740D"/>
    <w:rsid w:val="003B7BB0"/>
    <w:rsid w:val="003C15CD"/>
    <w:rsid w:val="003C2124"/>
    <w:rsid w:val="003C219F"/>
    <w:rsid w:val="003C30C5"/>
    <w:rsid w:val="003C3F16"/>
    <w:rsid w:val="003C4126"/>
    <w:rsid w:val="003D0777"/>
    <w:rsid w:val="003D19A2"/>
    <w:rsid w:val="003D24BB"/>
    <w:rsid w:val="003D2F45"/>
    <w:rsid w:val="003D379F"/>
    <w:rsid w:val="003D3DAD"/>
    <w:rsid w:val="003D4046"/>
    <w:rsid w:val="003D4156"/>
    <w:rsid w:val="003D44DC"/>
    <w:rsid w:val="003D4DEF"/>
    <w:rsid w:val="003D6F9B"/>
    <w:rsid w:val="003D7D30"/>
    <w:rsid w:val="003E00CD"/>
    <w:rsid w:val="003E121F"/>
    <w:rsid w:val="003E1B05"/>
    <w:rsid w:val="003E323F"/>
    <w:rsid w:val="003E4CEB"/>
    <w:rsid w:val="003E59D3"/>
    <w:rsid w:val="003E65E5"/>
    <w:rsid w:val="003E68E4"/>
    <w:rsid w:val="003E6AC4"/>
    <w:rsid w:val="003E72D5"/>
    <w:rsid w:val="003E72E8"/>
    <w:rsid w:val="003E7852"/>
    <w:rsid w:val="003F0A32"/>
    <w:rsid w:val="003F164A"/>
    <w:rsid w:val="003F1DBC"/>
    <w:rsid w:val="003F3B71"/>
    <w:rsid w:val="003F4A47"/>
    <w:rsid w:val="003F4B4E"/>
    <w:rsid w:val="003F518E"/>
    <w:rsid w:val="003F5FAE"/>
    <w:rsid w:val="003F61B2"/>
    <w:rsid w:val="003F71B9"/>
    <w:rsid w:val="003F7336"/>
    <w:rsid w:val="003F7EAE"/>
    <w:rsid w:val="0040261B"/>
    <w:rsid w:val="00402659"/>
    <w:rsid w:val="004043B2"/>
    <w:rsid w:val="00406BA1"/>
    <w:rsid w:val="00406F0C"/>
    <w:rsid w:val="00407CF8"/>
    <w:rsid w:val="00410429"/>
    <w:rsid w:val="004105BC"/>
    <w:rsid w:val="00410B38"/>
    <w:rsid w:val="00411FAD"/>
    <w:rsid w:val="0041285F"/>
    <w:rsid w:val="00414008"/>
    <w:rsid w:val="00414512"/>
    <w:rsid w:val="00414D19"/>
    <w:rsid w:val="00415059"/>
    <w:rsid w:val="00416365"/>
    <w:rsid w:val="004164D3"/>
    <w:rsid w:val="00416695"/>
    <w:rsid w:val="00417A55"/>
    <w:rsid w:val="00417E6A"/>
    <w:rsid w:val="004203E6"/>
    <w:rsid w:val="00421284"/>
    <w:rsid w:val="00421752"/>
    <w:rsid w:val="004228C4"/>
    <w:rsid w:val="004237B0"/>
    <w:rsid w:val="00423AB7"/>
    <w:rsid w:val="0042416E"/>
    <w:rsid w:val="004252EA"/>
    <w:rsid w:val="00426145"/>
    <w:rsid w:val="0042721F"/>
    <w:rsid w:val="00427711"/>
    <w:rsid w:val="00427EC9"/>
    <w:rsid w:val="00430BB1"/>
    <w:rsid w:val="00432F45"/>
    <w:rsid w:val="004343F5"/>
    <w:rsid w:val="004350BA"/>
    <w:rsid w:val="0043565D"/>
    <w:rsid w:val="00435FE2"/>
    <w:rsid w:val="00441F10"/>
    <w:rsid w:val="00443035"/>
    <w:rsid w:val="00444DC8"/>
    <w:rsid w:val="00445FA9"/>
    <w:rsid w:val="00445FC0"/>
    <w:rsid w:val="004461C3"/>
    <w:rsid w:val="0044780C"/>
    <w:rsid w:val="00451500"/>
    <w:rsid w:val="0045276C"/>
    <w:rsid w:val="0045368C"/>
    <w:rsid w:val="004537BB"/>
    <w:rsid w:val="00453DE0"/>
    <w:rsid w:val="0045434D"/>
    <w:rsid w:val="004569B4"/>
    <w:rsid w:val="00460404"/>
    <w:rsid w:val="00460781"/>
    <w:rsid w:val="00462E61"/>
    <w:rsid w:val="00463637"/>
    <w:rsid w:val="00463B6C"/>
    <w:rsid w:val="00464348"/>
    <w:rsid w:val="0046497C"/>
    <w:rsid w:val="00465457"/>
    <w:rsid w:val="00465AFF"/>
    <w:rsid w:val="00465DA9"/>
    <w:rsid w:val="004672B5"/>
    <w:rsid w:val="004679E0"/>
    <w:rsid w:val="00467AF2"/>
    <w:rsid w:val="0047022C"/>
    <w:rsid w:val="00470564"/>
    <w:rsid w:val="004707A8"/>
    <w:rsid w:val="0047086A"/>
    <w:rsid w:val="004719FB"/>
    <w:rsid w:val="00472B1D"/>
    <w:rsid w:val="00476F3A"/>
    <w:rsid w:val="00477445"/>
    <w:rsid w:val="00482E1F"/>
    <w:rsid w:val="00484688"/>
    <w:rsid w:val="004847BF"/>
    <w:rsid w:val="00484B9B"/>
    <w:rsid w:val="0048508B"/>
    <w:rsid w:val="00491E35"/>
    <w:rsid w:val="00492858"/>
    <w:rsid w:val="004929BF"/>
    <w:rsid w:val="00493AD8"/>
    <w:rsid w:val="004973EB"/>
    <w:rsid w:val="004A063E"/>
    <w:rsid w:val="004A154D"/>
    <w:rsid w:val="004A2930"/>
    <w:rsid w:val="004A2C47"/>
    <w:rsid w:val="004A3101"/>
    <w:rsid w:val="004A3F99"/>
    <w:rsid w:val="004A4021"/>
    <w:rsid w:val="004A42DE"/>
    <w:rsid w:val="004A6808"/>
    <w:rsid w:val="004A7607"/>
    <w:rsid w:val="004B0839"/>
    <w:rsid w:val="004B3672"/>
    <w:rsid w:val="004B3E20"/>
    <w:rsid w:val="004B4680"/>
    <w:rsid w:val="004B492E"/>
    <w:rsid w:val="004B50B0"/>
    <w:rsid w:val="004B5732"/>
    <w:rsid w:val="004B5E74"/>
    <w:rsid w:val="004B6364"/>
    <w:rsid w:val="004B6956"/>
    <w:rsid w:val="004B7568"/>
    <w:rsid w:val="004B7822"/>
    <w:rsid w:val="004C08E6"/>
    <w:rsid w:val="004C1851"/>
    <w:rsid w:val="004C2481"/>
    <w:rsid w:val="004C46CA"/>
    <w:rsid w:val="004C4E0D"/>
    <w:rsid w:val="004C5C08"/>
    <w:rsid w:val="004C78F2"/>
    <w:rsid w:val="004D0220"/>
    <w:rsid w:val="004D0F13"/>
    <w:rsid w:val="004D225D"/>
    <w:rsid w:val="004D2AF7"/>
    <w:rsid w:val="004D313E"/>
    <w:rsid w:val="004D5218"/>
    <w:rsid w:val="004D6FDE"/>
    <w:rsid w:val="004E0F76"/>
    <w:rsid w:val="004E1B4F"/>
    <w:rsid w:val="004E33F4"/>
    <w:rsid w:val="004E4A75"/>
    <w:rsid w:val="004E677B"/>
    <w:rsid w:val="004F3186"/>
    <w:rsid w:val="004F5959"/>
    <w:rsid w:val="004F6132"/>
    <w:rsid w:val="004F721B"/>
    <w:rsid w:val="005008E8"/>
    <w:rsid w:val="00501010"/>
    <w:rsid w:val="0050104D"/>
    <w:rsid w:val="005024CE"/>
    <w:rsid w:val="00503F1A"/>
    <w:rsid w:val="005052D7"/>
    <w:rsid w:val="0050558E"/>
    <w:rsid w:val="00510498"/>
    <w:rsid w:val="00510ECC"/>
    <w:rsid w:val="00511552"/>
    <w:rsid w:val="005118BF"/>
    <w:rsid w:val="00512D1A"/>
    <w:rsid w:val="005138D6"/>
    <w:rsid w:val="00516131"/>
    <w:rsid w:val="005175FB"/>
    <w:rsid w:val="005205FC"/>
    <w:rsid w:val="005238E7"/>
    <w:rsid w:val="00524740"/>
    <w:rsid w:val="0052621C"/>
    <w:rsid w:val="005263F0"/>
    <w:rsid w:val="00530055"/>
    <w:rsid w:val="00530C38"/>
    <w:rsid w:val="00535AE7"/>
    <w:rsid w:val="00536A0A"/>
    <w:rsid w:val="00537FA7"/>
    <w:rsid w:val="0054115C"/>
    <w:rsid w:val="00541F21"/>
    <w:rsid w:val="0054333B"/>
    <w:rsid w:val="00547015"/>
    <w:rsid w:val="0054702C"/>
    <w:rsid w:val="00547B94"/>
    <w:rsid w:val="00547CF9"/>
    <w:rsid w:val="0055186D"/>
    <w:rsid w:val="005520D9"/>
    <w:rsid w:val="005523DF"/>
    <w:rsid w:val="00552BBC"/>
    <w:rsid w:val="005536F7"/>
    <w:rsid w:val="00554AC4"/>
    <w:rsid w:val="00556BBB"/>
    <w:rsid w:val="00560D02"/>
    <w:rsid w:val="00560E2B"/>
    <w:rsid w:val="00561B22"/>
    <w:rsid w:val="00563852"/>
    <w:rsid w:val="00563AAF"/>
    <w:rsid w:val="00566029"/>
    <w:rsid w:val="00566769"/>
    <w:rsid w:val="00566905"/>
    <w:rsid w:val="00566CCC"/>
    <w:rsid w:val="00567A9D"/>
    <w:rsid w:val="00570F5A"/>
    <w:rsid w:val="00571D9B"/>
    <w:rsid w:val="00572169"/>
    <w:rsid w:val="00572A83"/>
    <w:rsid w:val="00573727"/>
    <w:rsid w:val="0057421C"/>
    <w:rsid w:val="005747FA"/>
    <w:rsid w:val="005817F8"/>
    <w:rsid w:val="00581D5A"/>
    <w:rsid w:val="0058230B"/>
    <w:rsid w:val="00582525"/>
    <w:rsid w:val="00585B3A"/>
    <w:rsid w:val="005919DF"/>
    <w:rsid w:val="00592A5E"/>
    <w:rsid w:val="00593CBE"/>
    <w:rsid w:val="00594A6F"/>
    <w:rsid w:val="0059514C"/>
    <w:rsid w:val="0059619C"/>
    <w:rsid w:val="00597044"/>
    <w:rsid w:val="005975C1"/>
    <w:rsid w:val="005A07F3"/>
    <w:rsid w:val="005A1228"/>
    <w:rsid w:val="005A147E"/>
    <w:rsid w:val="005A1D6C"/>
    <w:rsid w:val="005A272D"/>
    <w:rsid w:val="005A2EFA"/>
    <w:rsid w:val="005A314F"/>
    <w:rsid w:val="005A3D02"/>
    <w:rsid w:val="005A4393"/>
    <w:rsid w:val="005A45C7"/>
    <w:rsid w:val="005A5EDE"/>
    <w:rsid w:val="005A7032"/>
    <w:rsid w:val="005A781B"/>
    <w:rsid w:val="005A7847"/>
    <w:rsid w:val="005A7854"/>
    <w:rsid w:val="005B0373"/>
    <w:rsid w:val="005B04B6"/>
    <w:rsid w:val="005B0EA0"/>
    <w:rsid w:val="005B0F0C"/>
    <w:rsid w:val="005B1B51"/>
    <w:rsid w:val="005B1C38"/>
    <w:rsid w:val="005B271F"/>
    <w:rsid w:val="005B37D1"/>
    <w:rsid w:val="005B4DFF"/>
    <w:rsid w:val="005B4E60"/>
    <w:rsid w:val="005B548B"/>
    <w:rsid w:val="005B58F5"/>
    <w:rsid w:val="005B5F3B"/>
    <w:rsid w:val="005C11A2"/>
    <w:rsid w:val="005C1A7B"/>
    <w:rsid w:val="005C2FA5"/>
    <w:rsid w:val="005C3090"/>
    <w:rsid w:val="005C3C22"/>
    <w:rsid w:val="005C47B8"/>
    <w:rsid w:val="005C4E47"/>
    <w:rsid w:val="005C6F6E"/>
    <w:rsid w:val="005D0BB6"/>
    <w:rsid w:val="005D2967"/>
    <w:rsid w:val="005D3452"/>
    <w:rsid w:val="005D6EAD"/>
    <w:rsid w:val="005D7ACA"/>
    <w:rsid w:val="005E54ED"/>
    <w:rsid w:val="005E5890"/>
    <w:rsid w:val="005E6593"/>
    <w:rsid w:val="005F4262"/>
    <w:rsid w:val="005F5900"/>
    <w:rsid w:val="005F676A"/>
    <w:rsid w:val="005F6D75"/>
    <w:rsid w:val="005F7010"/>
    <w:rsid w:val="00600457"/>
    <w:rsid w:val="00600E3E"/>
    <w:rsid w:val="00602B3B"/>
    <w:rsid w:val="00602FAF"/>
    <w:rsid w:val="006040F5"/>
    <w:rsid w:val="006048E7"/>
    <w:rsid w:val="00604C78"/>
    <w:rsid w:val="00604DA2"/>
    <w:rsid w:val="00605087"/>
    <w:rsid w:val="00605293"/>
    <w:rsid w:val="00605CD3"/>
    <w:rsid w:val="006067FF"/>
    <w:rsid w:val="0061136C"/>
    <w:rsid w:val="006113EC"/>
    <w:rsid w:val="00612B56"/>
    <w:rsid w:val="00613DDF"/>
    <w:rsid w:val="0061597A"/>
    <w:rsid w:val="006160A9"/>
    <w:rsid w:val="00617151"/>
    <w:rsid w:val="00617799"/>
    <w:rsid w:val="006178AA"/>
    <w:rsid w:val="00617EC9"/>
    <w:rsid w:val="00620B47"/>
    <w:rsid w:val="0062148E"/>
    <w:rsid w:val="00621719"/>
    <w:rsid w:val="00622875"/>
    <w:rsid w:val="00623EB1"/>
    <w:rsid w:val="006250C3"/>
    <w:rsid w:val="00625EE9"/>
    <w:rsid w:val="00626249"/>
    <w:rsid w:val="0062789E"/>
    <w:rsid w:val="00630207"/>
    <w:rsid w:val="0063099F"/>
    <w:rsid w:val="00630C33"/>
    <w:rsid w:val="00632F6B"/>
    <w:rsid w:val="00633067"/>
    <w:rsid w:val="00633411"/>
    <w:rsid w:val="0063446F"/>
    <w:rsid w:val="00634778"/>
    <w:rsid w:val="00634DD8"/>
    <w:rsid w:val="0063683E"/>
    <w:rsid w:val="00640121"/>
    <w:rsid w:val="00641100"/>
    <w:rsid w:val="006414B6"/>
    <w:rsid w:val="00641AF5"/>
    <w:rsid w:val="00642AF1"/>
    <w:rsid w:val="00643EBF"/>
    <w:rsid w:val="00645B75"/>
    <w:rsid w:val="00645C88"/>
    <w:rsid w:val="00647806"/>
    <w:rsid w:val="006479D3"/>
    <w:rsid w:val="00647F06"/>
    <w:rsid w:val="0065186D"/>
    <w:rsid w:val="00652815"/>
    <w:rsid w:val="00656BDC"/>
    <w:rsid w:val="00657840"/>
    <w:rsid w:val="00660269"/>
    <w:rsid w:val="0066192C"/>
    <w:rsid w:val="00661DE6"/>
    <w:rsid w:val="00661FC8"/>
    <w:rsid w:val="00662325"/>
    <w:rsid w:val="00662AEC"/>
    <w:rsid w:val="00664A1D"/>
    <w:rsid w:val="00666103"/>
    <w:rsid w:val="0066676D"/>
    <w:rsid w:val="00667196"/>
    <w:rsid w:val="00667EA8"/>
    <w:rsid w:val="00670352"/>
    <w:rsid w:val="00670C57"/>
    <w:rsid w:val="006716F9"/>
    <w:rsid w:val="00672D65"/>
    <w:rsid w:val="00673FC7"/>
    <w:rsid w:val="006746AE"/>
    <w:rsid w:val="0067561B"/>
    <w:rsid w:val="006812BB"/>
    <w:rsid w:val="006846EC"/>
    <w:rsid w:val="00685C7B"/>
    <w:rsid w:val="00686CD2"/>
    <w:rsid w:val="0069018A"/>
    <w:rsid w:val="00690381"/>
    <w:rsid w:val="0069042A"/>
    <w:rsid w:val="00690519"/>
    <w:rsid w:val="0069174A"/>
    <w:rsid w:val="0069176B"/>
    <w:rsid w:val="00692E4F"/>
    <w:rsid w:val="00693125"/>
    <w:rsid w:val="00693639"/>
    <w:rsid w:val="006936D4"/>
    <w:rsid w:val="00695331"/>
    <w:rsid w:val="00695C67"/>
    <w:rsid w:val="006979E6"/>
    <w:rsid w:val="00697CF0"/>
    <w:rsid w:val="006A0A17"/>
    <w:rsid w:val="006A2853"/>
    <w:rsid w:val="006A3AC5"/>
    <w:rsid w:val="006A42FF"/>
    <w:rsid w:val="006A4908"/>
    <w:rsid w:val="006A53EB"/>
    <w:rsid w:val="006A5D7B"/>
    <w:rsid w:val="006A6A68"/>
    <w:rsid w:val="006A6B23"/>
    <w:rsid w:val="006A6FAD"/>
    <w:rsid w:val="006A7BED"/>
    <w:rsid w:val="006A7EBE"/>
    <w:rsid w:val="006B02B3"/>
    <w:rsid w:val="006B02B9"/>
    <w:rsid w:val="006B0690"/>
    <w:rsid w:val="006B1516"/>
    <w:rsid w:val="006B1B47"/>
    <w:rsid w:val="006B31D6"/>
    <w:rsid w:val="006B3339"/>
    <w:rsid w:val="006B455A"/>
    <w:rsid w:val="006B73A0"/>
    <w:rsid w:val="006B770C"/>
    <w:rsid w:val="006C0AD7"/>
    <w:rsid w:val="006C2815"/>
    <w:rsid w:val="006C281C"/>
    <w:rsid w:val="006C2A18"/>
    <w:rsid w:val="006C5FA8"/>
    <w:rsid w:val="006C670E"/>
    <w:rsid w:val="006C701C"/>
    <w:rsid w:val="006C7421"/>
    <w:rsid w:val="006D1BAE"/>
    <w:rsid w:val="006D1C23"/>
    <w:rsid w:val="006D49CC"/>
    <w:rsid w:val="006D57EE"/>
    <w:rsid w:val="006D667D"/>
    <w:rsid w:val="006D7F9C"/>
    <w:rsid w:val="006E04AE"/>
    <w:rsid w:val="006E060B"/>
    <w:rsid w:val="006E249B"/>
    <w:rsid w:val="006E314E"/>
    <w:rsid w:val="006E375F"/>
    <w:rsid w:val="006E4ECC"/>
    <w:rsid w:val="006E6D25"/>
    <w:rsid w:val="006E76AF"/>
    <w:rsid w:val="006F0C42"/>
    <w:rsid w:val="006F19F2"/>
    <w:rsid w:val="006F1B12"/>
    <w:rsid w:val="006F262A"/>
    <w:rsid w:val="006F3682"/>
    <w:rsid w:val="006F4A6A"/>
    <w:rsid w:val="006F4C43"/>
    <w:rsid w:val="006F6BB5"/>
    <w:rsid w:val="00700211"/>
    <w:rsid w:val="007010C5"/>
    <w:rsid w:val="00701EA6"/>
    <w:rsid w:val="00703A0B"/>
    <w:rsid w:val="007054BB"/>
    <w:rsid w:val="00705807"/>
    <w:rsid w:val="00706916"/>
    <w:rsid w:val="00706BEE"/>
    <w:rsid w:val="007071CF"/>
    <w:rsid w:val="007074F1"/>
    <w:rsid w:val="00707AEC"/>
    <w:rsid w:val="00711D22"/>
    <w:rsid w:val="00713DAD"/>
    <w:rsid w:val="007152E3"/>
    <w:rsid w:val="00715B4A"/>
    <w:rsid w:val="00716367"/>
    <w:rsid w:val="00717D65"/>
    <w:rsid w:val="007203A9"/>
    <w:rsid w:val="00720A71"/>
    <w:rsid w:val="007216EA"/>
    <w:rsid w:val="00721AA6"/>
    <w:rsid w:val="007238A5"/>
    <w:rsid w:val="0072418F"/>
    <w:rsid w:val="00724578"/>
    <w:rsid w:val="007265EE"/>
    <w:rsid w:val="007311C3"/>
    <w:rsid w:val="007324F7"/>
    <w:rsid w:val="00733903"/>
    <w:rsid w:val="00733AD1"/>
    <w:rsid w:val="0073502B"/>
    <w:rsid w:val="00737CFB"/>
    <w:rsid w:val="0074034B"/>
    <w:rsid w:val="0074154B"/>
    <w:rsid w:val="007416F5"/>
    <w:rsid w:val="00741C3F"/>
    <w:rsid w:val="00744C4E"/>
    <w:rsid w:val="007530DB"/>
    <w:rsid w:val="00753171"/>
    <w:rsid w:val="007535C9"/>
    <w:rsid w:val="007560F4"/>
    <w:rsid w:val="007561CC"/>
    <w:rsid w:val="00760544"/>
    <w:rsid w:val="00760D8D"/>
    <w:rsid w:val="007613C9"/>
    <w:rsid w:val="00761590"/>
    <w:rsid w:val="00761CF7"/>
    <w:rsid w:val="0076423B"/>
    <w:rsid w:val="0076511C"/>
    <w:rsid w:val="007654B4"/>
    <w:rsid w:val="00765AF5"/>
    <w:rsid w:val="00766453"/>
    <w:rsid w:val="00766735"/>
    <w:rsid w:val="00770AA8"/>
    <w:rsid w:val="00771379"/>
    <w:rsid w:val="007720FB"/>
    <w:rsid w:val="00772C4E"/>
    <w:rsid w:val="00772CE4"/>
    <w:rsid w:val="00773CA1"/>
    <w:rsid w:val="00773CAF"/>
    <w:rsid w:val="007743E0"/>
    <w:rsid w:val="00776E30"/>
    <w:rsid w:val="00776EAA"/>
    <w:rsid w:val="007824E9"/>
    <w:rsid w:val="00782EC5"/>
    <w:rsid w:val="00783DCF"/>
    <w:rsid w:val="00784BB8"/>
    <w:rsid w:val="00784FA3"/>
    <w:rsid w:val="00784FB4"/>
    <w:rsid w:val="00786ABA"/>
    <w:rsid w:val="00786F0F"/>
    <w:rsid w:val="00790CD4"/>
    <w:rsid w:val="0079249E"/>
    <w:rsid w:val="007929C9"/>
    <w:rsid w:val="007953CD"/>
    <w:rsid w:val="00795D7F"/>
    <w:rsid w:val="00795E79"/>
    <w:rsid w:val="00795EFF"/>
    <w:rsid w:val="00796389"/>
    <w:rsid w:val="007964D9"/>
    <w:rsid w:val="007979F8"/>
    <w:rsid w:val="007A041E"/>
    <w:rsid w:val="007A0C1D"/>
    <w:rsid w:val="007A161A"/>
    <w:rsid w:val="007A205D"/>
    <w:rsid w:val="007A2518"/>
    <w:rsid w:val="007A276F"/>
    <w:rsid w:val="007A2A74"/>
    <w:rsid w:val="007A50F4"/>
    <w:rsid w:val="007A678A"/>
    <w:rsid w:val="007A760A"/>
    <w:rsid w:val="007A79A1"/>
    <w:rsid w:val="007B0B2F"/>
    <w:rsid w:val="007B169C"/>
    <w:rsid w:val="007B1D36"/>
    <w:rsid w:val="007B2B67"/>
    <w:rsid w:val="007B6289"/>
    <w:rsid w:val="007B7E11"/>
    <w:rsid w:val="007C1183"/>
    <w:rsid w:val="007C1F5B"/>
    <w:rsid w:val="007C3159"/>
    <w:rsid w:val="007C760A"/>
    <w:rsid w:val="007D19E4"/>
    <w:rsid w:val="007D2B73"/>
    <w:rsid w:val="007D2E0D"/>
    <w:rsid w:val="007D3ED4"/>
    <w:rsid w:val="007D606F"/>
    <w:rsid w:val="007E1B0D"/>
    <w:rsid w:val="007E2300"/>
    <w:rsid w:val="007E45FA"/>
    <w:rsid w:val="007E46FC"/>
    <w:rsid w:val="007E5435"/>
    <w:rsid w:val="007E5658"/>
    <w:rsid w:val="007E5AFC"/>
    <w:rsid w:val="007E6C61"/>
    <w:rsid w:val="007F240D"/>
    <w:rsid w:val="007F3BA2"/>
    <w:rsid w:val="007F5716"/>
    <w:rsid w:val="007F6F38"/>
    <w:rsid w:val="007F79FD"/>
    <w:rsid w:val="007F7C11"/>
    <w:rsid w:val="00801214"/>
    <w:rsid w:val="008018C5"/>
    <w:rsid w:val="00802E39"/>
    <w:rsid w:val="00802ED2"/>
    <w:rsid w:val="00803FB2"/>
    <w:rsid w:val="00804AD3"/>
    <w:rsid w:val="00804EE2"/>
    <w:rsid w:val="00804F8B"/>
    <w:rsid w:val="0080603B"/>
    <w:rsid w:val="00806CEB"/>
    <w:rsid w:val="0080768D"/>
    <w:rsid w:val="00811DBE"/>
    <w:rsid w:val="008128D3"/>
    <w:rsid w:val="00812BBF"/>
    <w:rsid w:val="00813040"/>
    <w:rsid w:val="00813D35"/>
    <w:rsid w:val="00813F45"/>
    <w:rsid w:val="00814275"/>
    <w:rsid w:val="00814DF5"/>
    <w:rsid w:val="00814F94"/>
    <w:rsid w:val="00816095"/>
    <w:rsid w:val="0081630A"/>
    <w:rsid w:val="00817050"/>
    <w:rsid w:val="008173FF"/>
    <w:rsid w:val="00824D23"/>
    <w:rsid w:val="0082521B"/>
    <w:rsid w:val="008259CA"/>
    <w:rsid w:val="00825C65"/>
    <w:rsid w:val="008266F0"/>
    <w:rsid w:val="00826E39"/>
    <w:rsid w:val="00830A7F"/>
    <w:rsid w:val="00830B55"/>
    <w:rsid w:val="00830F90"/>
    <w:rsid w:val="008357FF"/>
    <w:rsid w:val="00835A4E"/>
    <w:rsid w:val="00836A38"/>
    <w:rsid w:val="00836D4E"/>
    <w:rsid w:val="00837CE3"/>
    <w:rsid w:val="00837EF5"/>
    <w:rsid w:val="008403A6"/>
    <w:rsid w:val="008431AC"/>
    <w:rsid w:val="00843B4A"/>
    <w:rsid w:val="00843DC1"/>
    <w:rsid w:val="00845BBA"/>
    <w:rsid w:val="00846C55"/>
    <w:rsid w:val="0084705D"/>
    <w:rsid w:val="00847861"/>
    <w:rsid w:val="00851122"/>
    <w:rsid w:val="00851685"/>
    <w:rsid w:val="008523B3"/>
    <w:rsid w:val="0085283E"/>
    <w:rsid w:val="008537DC"/>
    <w:rsid w:val="00853AFE"/>
    <w:rsid w:val="00854583"/>
    <w:rsid w:val="00854742"/>
    <w:rsid w:val="00855063"/>
    <w:rsid w:val="00855674"/>
    <w:rsid w:val="00855A6E"/>
    <w:rsid w:val="00856A43"/>
    <w:rsid w:val="00857732"/>
    <w:rsid w:val="00860328"/>
    <w:rsid w:val="0086185F"/>
    <w:rsid w:val="008640C8"/>
    <w:rsid w:val="00865D60"/>
    <w:rsid w:val="00867077"/>
    <w:rsid w:val="00870E5B"/>
    <w:rsid w:val="0087104A"/>
    <w:rsid w:val="00872786"/>
    <w:rsid w:val="00872855"/>
    <w:rsid w:val="00873BBE"/>
    <w:rsid w:val="008768D7"/>
    <w:rsid w:val="008803BD"/>
    <w:rsid w:val="00881246"/>
    <w:rsid w:val="00882088"/>
    <w:rsid w:val="008828EA"/>
    <w:rsid w:val="00883A70"/>
    <w:rsid w:val="008840F4"/>
    <w:rsid w:val="00884D81"/>
    <w:rsid w:val="00886B31"/>
    <w:rsid w:val="00887CC5"/>
    <w:rsid w:val="00890614"/>
    <w:rsid w:val="00890905"/>
    <w:rsid w:val="00890BC7"/>
    <w:rsid w:val="00891707"/>
    <w:rsid w:val="008922C8"/>
    <w:rsid w:val="00894360"/>
    <w:rsid w:val="00896974"/>
    <w:rsid w:val="00897F04"/>
    <w:rsid w:val="008A02B5"/>
    <w:rsid w:val="008A0CA7"/>
    <w:rsid w:val="008A1934"/>
    <w:rsid w:val="008A36E3"/>
    <w:rsid w:val="008A4228"/>
    <w:rsid w:val="008A4306"/>
    <w:rsid w:val="008A5F27"/>
    <w:rsid w:val="008A60E2"/>
    <w:rsid w:val="008A69CB"/>
    <w:rsid w:val="008B1793"/>
    <w:rsid w:val="008B2169"/>
    <w:rsid w:val="008B2DE8"/>
    <w:rsid w:val="008B3500"/>
    <w:rsid w:val="008B43B5"/>
    <w:rsid w:val="008B47D2"/>
    <w:rsid w:val="008B47DB"/>
    <w:rsid w:val="008B526A"/>
    <w:rsid w:val="008B7FAB"/>
    <w:rsid w:val="008C0257"/>
    <w:rsid w:val="008C031A"/>
    <w:rsid w:val="008C2075"/>
    <w:rsid w:val="008C2D8E"/>
    <w:rsid w:val="008C3201"/>
    <w:rsid w:val="008C36FB"/>
    <w:rsid w:val="008C41C2"/>
    <w:rsid w:val="008C4360"/>
    <w:rsid w:val="008C436B"/>
    <w:rsid w:val="008C656E"/>
    <w:rsid w:val="008C7547"/>
    <w:rsid w:val="008C79D5"/>
    <w:rsid w:val="008D13B1"/>
    <w:rsid w:val="008D1627"/>
    <w:rsid w:val="008D36B8"/>
    <w:rsid w:val="008D4696"/>
    <w:rsid w:val="008D5E4B"/>
    <w:rsid w:val="008D6742"/>
    <w:rsid w:val="008D6CD6"/>
    <w:rsid w:val="008E1FCB"/>
    <w:rsid w:val="008E2DD9"/>
    <w:rsid w:val="008E3540"/>
    <w:rsid w:val="008E4B6C"/>
    <w:rsid w:val="008E51ED"/>
    <w:rsid w:val="008E5511"/>
    <w:rsid w:val="008E5851"/>
    <w:rsid w:val="008E5D2C"/>
    <w:rsid w:val="008F0190"/>
    <w:rsid w:val="008F1662"/>
    <w:rsid w:val="008F270D"/>
    <w:rsid w:val="008F2FEE"/>
    <w:rsid w:val="008F4193"/>
    <w:rsid w:val="008F43D1"/>
    <w:rsid w:val="008F588B"/>
    <w:rsid w:val="008F624C"/>
    <w:rsid w:val="008F67C1"/>
    <w:rsid w:val="008F7316"/>
    <w:rsid w:val="00900E60"/>
    <w:rsid w:val="009017C5"/>
    <w:rsid w:val="0090236A"/>
    <w:rsid w:val="009026F1"/>
    <w:rsid w:val="00902B53"/>
    <w:rsid w:val="00904662"/>
    <w:rsid w:val="00904683"/>
    <w:rsid w:val="00904A48"/>
    <w:rsid w:val="00904EC4"/>
    <w:rsid w:val="00906F5B"/>
    <w:rsid w:val="009100B1"/>
    <w:rsid w:val="00912638"/>
    <w:rsid w:val="00913588"/>
    <w:rsid w:val="00914A1B"/>
    <w:rsid w:val="00915055"/>
    <w:rsid w:val="00917FA7"/>
    <w:rsid w:val="00921394"/>
    <w:rsid w:val="00921679"/>
    <w:rsid w:val="009258C7"/>
    <w:rsid w:val="0092724F"/>
    <w:rsid w:val="00934396"/>
    <w:rsid w:val="00934EAD"/>
    <w:rsid w:val="00935538"/>
    <w:rsid w:val="00936A61"/>
    <w:rsid w:val="00937673"/>
    <w:rsid w:val="00937B5F"/>
    <w:rsid w:val="00937DA3"/>
    <w:rsid w:val="00940E56"/>
    <w:rsid w:val="00941360"/>
    <w:rsid w:val="009424FB"/>
    <w:rsid w:val="0094339A"/>
    <w:rsid w:val="00943F53"/>
    <w:rsid w:val="0094512B"/>
    <w:rsid w:val="0094580C"/>
    <w:rsid w:val="00946D8A"/>
    <w:rsid w:val="00950651"/>
    <w:rsid w:val="0095243E"/>
    <w:rsid w:val="00952D30"/>
    <w:rsid w:val="00954487"/>
    <w:rsid w:val="009549DD"/>
    <w:rsid w:val="00956163"/>
    <w:rsid w:val="0096015E"/>
    <w:rsid w:val="00960BC2"/>
    <w:rsid w:val="00961EC8"/>
    <w:rsid w:val="00962C7B"/>
    <w:rsid w:val="009631D7"/>
    <w:rsid w:val="009642AC"/>
    <w:rsid w:val="009658CD"/>
    <w:rsid w:val="00965969"/>
    <w:rsid w:val="0097043C"/>
    <w:rsid w:val="009707F6"/>
    <w:rsid w:val="00972004"/>
    <w:rsid w:val="00973A3E"/>
    <w:rsid w:val="0097645D"/>
    <w:rsid w:val="00980EB6"/>
    <w:rsid w:val="0098484C"/>
    <w:rsid w:val="00984F17"/>
    <w:rsid w:val="009855B0"/>
    <w:rsid w:val="00985C60"/>
    <w:rsid w:val="00985D7C"/>
    <w:rsid w:val="009865C1"/>
    <w:rsid w:val="00987865"/>
    <w:rsid w:val="00987FA0"/>
    <w:rsid w:val="009908D2"/>
    <w:rsid w:val="00991064"/>
    <w:rsid w:val="009919D5"/>
    <w:rsid w:val="00991FBB"/>
    <w:rsid w:val="00992F12"/>
    <w:rsid w:val="00995AF0"/>
    <w:rsid w:val="00997557"/>
    <w:rsid w:val="009A1674"/>
    <w:rsid w:val="009A2A69"/>
    <w:rsid w:val="009A3508"/>
    <w:rsid w:val="009A578F"/>
    <w:rsid w:val="009A694E"/>
    <w:rsid w:val="009A7E58"/>
    <w:rsid w:val="009B105C"/>
    <w:rsid w:val="009B1EF7"/>
    <w:rsid w:val="009B2A49"/>
    <w:rsid w:val="009B4130"/>
    <w:rsid w:val="009B5FE9"/>
    <w:rsid w:val="009C104E"/>
    <w:rsid w:val="009C1589"/>
    <w:rsid w:val="009C2399"/>
    <w:rsid w:val="009C2554"/>
    <w:rsid w:val="009C2E2E"/>
    <w:rsid w:val="009C3B11"/>
    <w:rsid w:val="009C560A"/>
    <w:rsid w:val="009C64E5"/>
    <w:rsid w:val="009C7F9D"/>
    <w:rsid w:val="009D2F9C"/>
    <w:rsid w:val="009D3505"/>
    <w:rsid w:val="009D3DC2"/>
    <w:rsid w:val="009D4559"/>
    <w:rsid w:val="009D45FD"/>
    <w:rsid w:val="009D543C"/>
    <w:rsid w:val="009D6024"/>
    <w:rsid w:val="009D664E"/>
    <w:rsid w:val="009E02C4"/>
    <w:rsid w:val="009E0625"/>
    <w:rsid w:val="009E2926"/>
    <w:rsid w:val="009E2B6E"/>
    <w:rsid w:val="009E58BE"/>
    <w:rsid w:val="009E6B42"/>
    <w:rsid w:val="009E71A4"/>
    <w:rsid w:val="009F01B8"/>
    <w:rsid w:val="009F2BD1"/>
    <w:rsid w:val="009F3269"/>
    <w:rsid w:val="009F5C8B"/>
    <w:rsid w:val="009F66C8"/>
    <w:rsid w:val="009F7311"/>
    <w:rsid w:val="00A03845"/>
    <w:rsid w:val="00A041EA"/>
    <w:rsid w:val="00A0683C"/>
    <w:rsid w:val="00A06852"/>
    <w:rsid w:val="00A1169B"/>
    <w:rsid w:val="00A12029"/>
    <w:rsid w:val="00A12305"/>
    <w:rsid w:val="00A14EB2"/>
    <w:rsid w:val="00A157C9"/>
    <w:rsid w:val="00A162B6"/>
    <w:rsid w:val="00A1750B"/>
    <w:rsid w:val="00A2028B"/>
    <w:rsid w:val="00A203BA"/>
    <w:rsid w:val="00A2330E"/>
    <w:rsid w:val="00A23FC8"/>
    <w:rsid w:val="00A26029"/>
    <w:rsid w:val="00A30A99"/>
    <w:rsid w:val="00A32C3C"/>
    <w:rsid w:val="00A34007"/>
    <w:rsid w:val="00A34775"/>
    <w:rsid w:val="00A34F5C"/>
    <w:rsid w:val="00A3554F"/>
    <w:rsid w:val="00A37295"/>
    <w:rsid w:val="00A37B9B"/>
    <w:rsid w:val="00A40632"/>
    <w:rsid w:val="00A40825"/>
    <w:rsid w:val="00A448CD"/>
    <w:rsid w:val="00A4517E"/>
    <w:rsid w:val="00A46058"/>
    <w:rsid w:val="00A466C7"/>
    <w:rsid w:val="00A47919"/>
    <w:rsid w:val="00A50513"/>
    <w:rsid w:val="00A50669"/>
    <w:rsid w:val="00A50909"/>
    <w:rsid w:val="00A50B25"/>
    <w:rsid w:val="00A522E0"/>
    <w:rsid w:val="00A525A1"/>
    <w:rsid w:val="00A541A0"/>
    <w:rsid w:val="00A54277"/>
    <w:rsid w:val="00A551FA"/>
    <w:rsid w:val="00A55214"/>
    <w:rsid w:val="00A60286"/>
    <w:rsid w:val="00A61362"/>
    <w:rsid w:val="00A616C1"/>
    <w:rsid w:val="00A61CE6"/>
    <w:rsid w:val="00A62356"/>
    <w:rsid w:val="00A631FA"/>
    <w:rsid w:val="00A644AA"/>
    <w:rsid w:val="00A7073B"/>
    <w:rsid w:val="00A711AE"/>
    <w:rsid w:val="00A717FF"/>
    <w:rsid w:val="00A71879"/>
    <w:rsid w:val="00A7213E"/>
    <w:rsid w:val="00A72357"/>
    <w:rsid w:val="00A724B0"/>
    <w:rsid w:val="00A72AB6"/>
    <w:rsid w:val="00A75121"/>
    <w:rsid w:val="00A75AE9"/>
    <w:rsid w:val="00A830E5"/>
    <w:rsid w:val="00A84332"/>
    <w:rsid w:val="00A85BFF"/>
    <w:rsid w:val="00A85CBB"/>
    <w:rsid w:val="00A862B2"/>
    <w:rsid w:val="00A866AA"/>
    <w:rsid w:val="00A86E75"/>
    <w:rsid w:val="00A87DE1"/>
    <w:rsid w:val="00A903E9"/>
    <w:rsid w:val="00A9099C"/>
    <w:rsid w:val="00A91679"/>
    <w:rsid w:val="00A91F41"/>
    <w:rsid w:val="00A9222E"/>
    <w:rsid w:val="00A94A7D"/>
    <w:rsid w:val="00A95075"/>
    <w:rsid w:val="00A95B51"/>
    <w:rsid w:val="00A96585"/>
    <w:rsid w:val="00A966C4"/>
    <w:rsid w:val="00A967B1"/>
    <w:rsid w:val="00A9735F"/>
    <w:rsid w:val="00A9783D"/>
    <w:rsid w:val="00AA0B0D"/>
    <w:rsid w:val="00AA251B"/>
    <w:rsid w:val="00AA28B9"/>
    <w:rsid w:val="00AA46B1"/>
    <w:rsid w:val="00AA6D5A"/>
    <w:rsid w:val="00AB1902"/>
    <w:rsid w:val="00AB24C6"/>
    <w:rsid w:val="00AB2541"/>
    <w:rsid w:val="00AB31DF"/>
    <w:rsid w:val="00AB3859"/>
    <w:rsid w:val="00AB4784"/>
    <w:rsid w:val="00AB49A3"/>
    <w:rsid w:val="00AB5968"/>
    <w:rsid w:val="00AB605A"/>
    <w:rsid w:val="00AB7579"/>
    <w:rsid w:val="00AB7FEE"/>
    <w:rsid w:val="00AC0914"/>
    <w:rsid w:val="00AC1101"/>
    <w:rsid w:val="00AC37C3"/>
    <w:rsid w:val="00AC396B"/>
    <w:rsid w:val="00AC43D2"/>
    <w:rsid w:val="00AC48BD"/>
    <w:rsid w:val="00AC50AF"/>
    <w:rsid w:val="00AC5712"/>
    <w:rsid w:val="00AC73F3"/>
    <w:rsid w:val="00AD07F0"/>
    <w:rsid w:val="00AD1979"/>
    <w:rsid w:val="00AD6D0D"/>
    <w:rsid w:val="00AD7D63"/>
    <w:rsid w:val="00AE03C4"/>
    <w:rsid w:val="00AE1DA1"/>
    <w:rsid w:val="00AE1FC9"/>
    <w:rsid w:val="00AE4C5D"/>
    <w:rsid w:val="00AE64A2"/>
    <w:rsid w:val="00AE78D3"/>
    <w:rsid w:val="00AF142B"/>
    <w:rsid w:val="00AF1C19"/>
    <w:rsid w:val="00AF263D"/>
    <w:rsid w:val="00AF2833"/>
    <w:rsid w:val="00AF2D6E"/>
    <w:rsid w:val="00AF3B86"/>
    <w:rsid w:val="00AF4392"/>
    <w:rsid w:val="00AF57D1"/>
    <w:rsid w:val="00AF7C9B"/>
    <w:rsid w:val="00AF7E9B"/>
    <w:rsid w:val="00B00368"/>
    <w:rsid w:val="00B008AD"/>
    <w:rsid w:val="00B00C0F"/>
    <w:rsid w:val="00B02A7C"/>
    <w:rsid w:val="00B03085"/>
    <w:rsid w:val="00B045A4"/>
    <w:rsid w:val="00B04F2F"/>
    <w:rsid w:val="00B06030"/>
    <w:rsid w:val="00B064E3"/>
    <w:rsid w:val="00B06A3F"/>
    <w:rsid w:val="00B07123"/>
    <w:rsid w:val="00B07691"/>
    <w:rsid w:val="00B1260F"/>
    <w:rsid w:val="00B12739"/>
    <w:rsid w:val="00B14D1A"/>
    <w:rsid w:val="00B200F7"/>
    <w:rsid w:val="00B205E3"/>
    <w:rsid w:val="00B21894"/>
    <w:rsid w:val="00B2356E"/>
    <w:rsid w:val="00B24375"/>
    <w:rsid w:val="00B24BE1"/>
    <w:rsid w:val="00B265DA"/>
    <w:rsid w:val="00B27D2E"/>
    <w:rsid w:val="00B3094B"/>
    <w:rsid w:val="00B356F8"/>
    <w:rsid w:val="00B35B21"/>
    <w:rsid w:val="00B36816"/>
    <w:rsid w:val="00B37E9B"/>
    <w:rsid w:val="00B405D4"/>
    <w:rsid w:val="00B4179E"/>
    <w:rsid w:val="00B4387C"/>
    <w:rsid w:val="00B442D5"/>
    <w:rsid w:val="00B45E3F"/>
    <w:rsid w:val="00B45F82"/>
    <w:rsid w:val="00B46299"/>
    <w:rsid w:val="00B46D95"/>
    <w:rsid w:val="00B46F8E"/>
    <w:rsid w:val="00B4772D"/>
    <w:rsid w:val="00B500F1"/>
    <w:rsid w:val="00B54883"/>
    <w:rsid w:val="00B5646E"/>
    <w:rsid w:val="00B61EF6"/>
    <w:rsid w:val="00B65C96"/>
    <w:rsid w:val="00B66ACE"/>
    <w:rsid w:val="00B70527"/>
    <w:rsid w:val="00B707EA"/>
    <w:rsid w:val="00B7082D"/>
    <w:rsid w:val="00B70A66"/>
    <w:rsid w:val="00B70FB9"/>
    <w:rsid w:val="00B71CD7"/>
    <w:rsid w:val="00B725FC"/>
    <w:rsid w:val="00B73E02"/>
    <w:rsid w:val="00B7491B"/>
    <w:rsid w:val="00B75313"/>
    <w:rsid w:val="00B760A2"/>
    <w:rsid w:val="00B77916"/>
    <w:rsid w:val="00B802C4"/>
    <w:rsid w:val="00B80A50"/>
    <w:rsid w:val="00B835B8"/>
    <w:rsid w:val="00B84BC9"/>
    <w:rsid w:val="00B84C1F"/>
    <w:rsid w:val="00B84C83"/>
    <w:rsid w:val="00B8672F"/>
    <w:rsid w:val="00B86BD6"/>
    <w:rsid w:val="00B8793F"/>
    <w:rsid w:val="00B91BB6"/>
    <w:rsid w:val="00B92150"/>
    <w:rsid w:val="00B92C89"/>
    <w:rsid w:val="00B92FDB"/>
    <w:rsid w:val="00B937E5"/>
    <w:rsid w:val="00B95CD9"/>
    <w:rsid w:val="00B95FBF"/>
    <w:rsid w:val="00B96B7C"/>
    <w:rsid w:val="00BA1896"/>
    <w:rsid w:val="00BA1958"/>
    <w:rsid w:val="00BA1DDF"/>
    <w:rsid w:val="00BA2151"/>
    <w:rsid w:val="00BA50F2"/>
    <w:rsid w:val="00BA70C5"/>
    <w:rsid w:val="00BA7F0E"/>
    <w:rsid w:val="00BB0B80"/>
    <w:rsid w:val="00BB289A"/>
    <w:rsid w:val="00BB3E2C"/>
    <w:rsid w:val="00BB4227"/>
    <w:rsid w:val="00BB5059"/>
    <w:rsid w:val="00BB541D"/>
    <w:rsid w:val="00BB57AA"/>
    <w:rsid w:val="00BB71E3"/>
    <w:rsid w:val="00BC036D"/>
    <w:rsid w:val="00BC0484"/>
    <w:rsid w:val="00BC07E8"/>
    <w:rsid w:val="00BC0FF9"/>
    <w:rsid w:val="00BC1A85"/>
    <w:rsid w:val="00BC297B"/>
    <w:rsid w:val="00BC354B"/>
    <w:rsid w:val="00BC44CB"/>
    <w:rsid w:val="00BC4665"/>
    <w:rsid w:val="00BC5EEF"/>
    <w:rsid w:val="00BC657E"/>
    <w:rsid w:val="00BC6787"/>
    <w:rsid w:val="00BC79DE"/>
    <w:rsid w:val="00BD1563"/>
    <w:rsid w:val="00BD18D8"/>
    <w:rsid w:val="00BD20E3"/>
    <w:rsid w:val="00BD27A9"/>
    <w:rsid w:val="00BD4B64"/>
    <w:rsid w:val="00BD56C3"/>
    <w:rsid w:val="00BD5BED"/>
    <w:rsid w:val="00BE0102"/>
    <w:rsid w:val="00BE14BA"/>
    <w:rsid w:val="00BE3A36"/>
    <w:rsid w:val="00BE3C07"/>
    <w:rsid w:val="00BE52F6"/>
    <w:rsid w:val="00BE561D"/>
    <w:rsid w:val="00BE643C"/>
    <w:rsid w:val="00BE7510"/>
    <w:rsid w:val="00BF1BFF"/>
    <w:rsid w:val="00BF1C89"/>
    <w:rsid w:val="00BF2D9B"/>
    <w:rsid w:val="00BF492C"/>
    <w:rsid w:val="00BF5723"/>
    <w:rsid w:val="00BF679F"/>
    <w:rsid w:val="00BF792F"/>
    <w:rsid w:val="00C00F36"/>
    <w:rsid w:val="00C01921"/>
    <w:rsid w:val="00C02C1E"/>
    <w:rsid w:val="00C0412E"/>
    <w:rsid w:val="00C048EF"/>
    <w:rsid w:val="00C051A9"/>
    <w:rsid w:val="00C05848"/>
    <w:rsid w:val="00C06848"/>
    <w:rsid w:val="00C072C9"/>
    <w:rsid w:val="00C11141"/>
    <w:rsid w:val="00C13147"/>
    <w:rsid w:val="00C1330A"/>
    <w:rsid w:val="00C136C6"/>
    <w:rsid w:val="00C13C3B"/>
    <w:rsid w:val="00C154E4"/>
    <w:rsid w:val="00C16700"/>
    <w:rsid w:val="00C16D74"/>
    <w:rsid w:val="00C17940"/>
    <w:rsid w:val="00C20212"/>
    <w:rsid w:val="00C20EC9"/>
    <w:rsid w:val="00C2193E"/>
    <w:rsid w:val="00C21F19"/>
    <w:rsid w:val="00C229D0"/>
    <w:rsid w:val="00C22E12"/>
    <w:rsid w:val="00C231DE"/>
    <w:rsid w:val="00C249E2"/>
    <w:rsid w:val="00C25D08"/>
    <w:rsid w:val="00C30064"/>
    <w:rsid w:val="00C30C1F"/>
    <w:rsid w:val="00C31225"/>
    <w:rsid w:val="00C31C6F"/>
    <w:rsid w:val="00C34641"/>
    <w:rsid w:val="00C362D6"/>
    <w:rsid w:val="00C36BCE"/>
    <w:rsid w:val="00C400FC"/>
    <w:rsid w:val="00C41C26"/>
    <w:rsid w:val="00C43944"/>
    <w:rsid w:val="00C44252"/>
    <w:rsid w:val="00C467FF"/>
    <w:rsid w:val="00C46CB2"/>
    <w:rsid w:val="00C477A7"/>
    <w:rsid w:val="00C47F65"/>
    <w:rsid w:val="00C50687"/>
    <w:rsid w:val="00C517C9"/>
    <w:rsid w:val="00C52FA6"/>
    <w:rsid w:val="00C531EA"/>
    <w:rsid w:val="00C5335C"/>
    <w:rsid w:val="00C537B0"/>
    <w:rsid w:val="00C547C1"/>
    <w:rsid w:val="00C54F1F"/>
    <w:rsid w:val="00C55E64"/>
    <w:rsid w:val="00C55FC8"/>
    <w:rsid w:val="00C56081"/>
    <w:rsid w:val="00C56D53"/>
    <w:rsid w:val="00C57118"/>
    <w:rsid w:val="00C611F2"/>
    <w:rsid w:val="00C6145D"/>
    <w:rsid w:val="00C62915"/>
    <w:rsid w:val="00C63419"/>
    <w:rsid w:val="00C63F46"/>
    <w:rsid w:val="00C63F82"/>
    <w:rsid w:val="00C653DD"/>
    <w:rsid w:val="00C666E0"/>
    <w:rsid w:val="00C66894"/>
    <w:rsid w:val="00C66D7F"/>
    <w:rsid w:val="00C67CE7"/>
    <w:rsid w:val="00C73B7D"/>
    <w:rsid w:val="00C74DC9"/>
    <w:rsid w:val="00C7515A"/>
    <w:rsid w:val="00C751E0"/>
    <w:rsid w:val="00C753D8"/>
    <w:rsid w:val="00C75B84"/>
    <w:rsid w:val="00C75DFE"/>
    <w:rsid w:val="00C77CA7"/>
    <w:rsid w:val="00C80D15"/>
    <w:rsid w:val="00C81F35"/>
    <w:rsid w:val="00C81FEB"/>
    <w:rsid w:val="00C85742"/>
    <w:rsid w:val="00C85CD5"/>
    <w:rsid w:val="00C863B9"/>
    <w:rsid w:val="00C86F63"/>
    <w:rsid w:val="00C86FE3"/>
    <w:rsid w:val="00C87343"/>
    <w:rsid w:val="00C904A8"/>
    <w:rsid w:val="00C90A3E"/>
    <w:rsid w:val="00C911F6"/>
    <w:rsid w:val="00C923F6"/>
    <w:rsid w:val="00C94A30"/>
    <w:rsid w:val="00C96E59"/>
    <w:rsid w:val="00C97203"/>
    <w:rsid w:val="00C97664"/>
    <w:rsid w:val="00CA01D2"/>
    <w:rsid w:val="00CA11CF"/>
    <w:rsid w:val="00CA1919"/>
    <w:rsid w:val="00CA1F38"/>
    <w:rsid w:val="00CA3F78"/>
    <w:rsid w:val="00CA7250"/>
    <w:rsid w:val="00CA7E9D"/>
    <w:rsid w:val="00CB08EA"/>
    <w:rsid w:val="00CB0E21"/>
    <w:rsid w:val="00CB1F21"/>
    <w:rsid w:val="00CB36A9"/>
    <w:rsid w:val="00CB51E8"/>
    <w:rsid w:val="00CB5397"/>
    <w:rsid w:val="00CB610F"/>
    <w:rsid w:val="00CB7CF8"/>
    <w:rsid w:val="00CC00F3"/>
    <w:rsid w:val="00CC19EE"/>
    <w:rsid w:val="00CC2FB8"/>
    <w:rsid w:val="00CC38CD"/>
    <w:rsid w:val="00CC3B9B"/>
    <w:rsid w:val="00CC53DD"/>
    <w:rsid w:val="00CC6DF9"/>
    <w:rsid w:val="00CC78CE"/>
    <w:rsid w:val="00CD1804"/>
    <w:rsid w:val="00CD1BD8"/>
    <w:rsid w:val="00CD48C7"/>
    <w:rsid w:val="00CD4B04"/>
    <w:rsid w:val="00CD5455"/>
    <w:rsid w:val="00CD6263"/>
    <w:rsid w:val="00CD6B36"/>
    <w:rsid w:val="00CE160F"/>
    <w:rsid w:val="00CE184F"/>
    <w:rsid w:val="00CE1CF7"/>
    <w:rsid w:val="00CE2C9B"/>
    <w:rsid w:val="00CE3325"/>
    <w:rsid w:val="00CE3459"/>
    <w:rsid w:val="00CE6A01"/>
    <w:rsid w:val="00CE73D6"/>
    <w:rsid w:val="00CF1CB3"/>
    <w:rsid w:val="00CF381A"/>
    <w:rsid w:val="00CF4C22"/>
    <w:rsid w:val="00CF745E"/>
    <w:rsid w:val="00D00221"/>
    <w:rsid w:val="00D01291"/>
    <w:rsid w:val="00D014E1"/>
    <w:rsid w:val="00D020E5"/>
    <w:rsid w:val="00D024A9"/>
    <w:rsid w:val="00D03847"/>
    <w:rsid w:val="00D05D3F"/>
    <w:rsid w:val="00D061C9"/>
    <w:rsid w:val="00D06A0B"/>
    <w:rsid w:val="00D07944"/>
    <w:rsid w:val="00D07D83"/>
    <w:rsid w:val="00D113B3"/>
    <w:rsid w:val="00D11DFF"/>
    <w:rsid w:val="00D11FB0"/>
    <w:rsid w:val="00D1290F"/>
    <w:rsid w:val="00D13452"/>
    <w:rsid w:val="00D1350F"/>
    <w:rsid w:val="00D13ED3"/>
    <w:rsid w:val="00D15165"/>
    <w:rsid w:val="00D15ADD"/>
    <w:rsid w:val="00D210BA"/>
    <w:rsid w:val="00D217D8"/>
    <w:rsid w:val="00D232A5"/>
    <w:rsid w:val="00D246B1"/>
    <w:rsid w:val="00D252A7"/>
    <w:rsid w:val="00D255E9"/>
    <w:rsid w:val="00D25A9D"/>
    <w:rsid w:val="00D270B1"/>
    <w:rsid w:val="00D30C27"/>
    <w:rsid w:val="00D3241D"/>
    <w:rsid w:val="00D34C86"/>
    <w:rsid w:val="00D352AF"/>
    <w:rsid w:val="00D426E3"/>
    <w:rsid w:val="00D4396B"/>
    <w:rsid w:val="00D4403C"/>
    <w:rsid w:val="00D443AE"/>
    <w:rsid w:val="00D4509E"/>
    <w:rsid w:val="00D4775F"/>
    <w:rsid w:val="00D508C2"/>
    <w:rsid w:val="00D5194A"/>
    <w:rsid w:val="00D5220F"/>
    <w:rsid w:val="00D52245"/>
    <w:rsid w:val="00D5302D"/>
    <w:rsid w:val="00D53463"/>
    <w:rsid w:val="00D53908"/>
    <w:rsid w:val="00D53B59"/>
    <w:rsid w:val="00D53BD2"/>
    <w:rsid w:val="00D53D7B"/>
    <w:rsid w:val="00D53F5A"/>
    <w:rsid w:val="00D545BD"/>
    <w:rsid w:val="00D55025"/>
    <w:rsid w:val="00D55988"/>
    <w:rsid w:val="00D56CD9"/>
    <w:rsid w:val="00D604B7"/>
    <w:rsid w:val="00D614EC"/>
    <w:rsid w:val="00D61F9A"/>
    <w:rsid w:val="00D63219"/>
    <w:rsid w:val="00D63DA9"/>
    <w:rsid w:val="00D63F2A"/>
    <w:rsid w:val="00D64A8A"/>
    <w:rsid w:val="00D64F77"/>
    <w:rsid w:val="00D6566D"/>
    <w:rsid w:val="00D65847"/>
    <w:rsid w:val="00D65CF3"/>
    <w:rsid w:val="00D66508"/>
    <w:rsid w:val="00D66A73"/>
    <w:rsid w:val="00D66F2D"/>
    <w:rsid w:val="00D6731E"/>
    <w:rsid w:val="00D711B2"/>
    <w:rsid w:val="00D71FE1"/>
    <w:rsid w:val="00D725A1"/>
    <w:rsid w:val="00D7330B"/>
    <w:rsid w:val="00D73CFC"/>
    <w:rsid w:val="00D73DF4"/>
    <w:rsid w:val="00D763BC"/>
    <w:rsid w:val="00D76477"/>
    <w:rsid w:val="00D76CA2"/>
    <w:rsid w:val="00D77596"/>
    <w:rsid w:val="00D776B9"/>
    <w:rsid w:val="00D82CEE"/>
    <w:rsid w:val="00D85C43"/>
    <w:rsid w:val="00D861AD"/>
    <w:rsid w:val="00D8788B"/>
    <w:rsid w:val="00D87CC2"/>
    <w:rsid w:val="00D87ED5"/>
    <w:rsid w:val="00D902E2"/>
    <w:rsid w:val="00D922F4"/>
    <w:rsid w:val="00D93478"/>
    <w:rsid w:val="00D935AF"/>
    <w:rsid w:val="00D96A4D"/>
    <w:rsid w:val="00D9765F"/>
    <w:rsid w:val="00D97B45"/>
    <w:rsid w:val="00DA0D4C"/>
    <w:rsid w:val="00DA2C74"/>
    <w:rsid w:val="00DA4064"/>
    <w:rsid w:val="00DA570A"/>
    <w:rsid w:val="00DA6055"/>
    <w:rsid w:val="00DA6E2E"/>
    <w:rsid w:val="00DB1340"/>
    <w:rsid w:val="00DB1A5E"/>
    <w:rsid w:val="00DB3792"/>
    <w:rsid w:val="00DB4EEE"/>
    <w:rsid w:val="00DB5AC5"/>
    <w:rsid w:val="00DB5C53"/>
    <w:rsid w:val="00DB6612"/>
    <w:rsid w:val="00DB6B78"/>
    <w:rsid w:val="00DB773E"/>
    <w:rsid w:val="00DC0C38"/>
    <w:rsid w:val="00DC12C4"/>
    <w:rsid w:val="00DC326F"/>
    <w:rsid w:val="00DC449F"/>
    <w:rsid w:val="00DC4758"/>
    <w:rsid w:val="00DC7B26"/>
    <w:rsid w:val="00DD0D24"/>
    <w:rsid w:val="00DD13BC"/>
    <w:rsid w:val="00DD1560"/>
    <w:rsid w:val="00DD2AB0"/>
    <w:rsid w:val="00DD322C"/>
    <w:rsid w:val="00DD3C1A"/>
    <w:rsid w:val="00DD7358"/>
    <w:rsid w:val="00DD7F86"/>
    <w:rsid w:val="00DE05C8"/>
    <w:rsid w:val="00DE280D"/>
    <w:rsid w:val="00DE373F"/>
    <w:rsid w:val="00DE5D26"/>
    <w:rsid w:val="00DE6A79"/>
    <w:rsid w:val="00DF1262"/>
    <w:rsid w:val="00DF248A"/>
    <w:rsid w:val="00DF257E"/>
    <w:rsid w:val="00DF4E6F"/>
    <w:rsid w:val="00DF5A22"/>
    <w:rsid w:val="00DF5DBD"/>
    <w:rsid w:val="00DF65F7"/>
    <w:rsid w:val="00DF7173"/>
    <w:rsid w:val="00DF7975"/>
    <w:rsid w:val="00E04754"/>
    <w:rsid w:val="00E05612"/>
    <w:rsid w:val="00E05617"/>
    <w:rsid w:val="00E05CAE"/>
    <w:rsid w:val="00E104F8"/>
    <w:rsid w:val="00E10C3C"/>
    <w:rsid w:val="00E11688"/>
    <w:rsid w:val="00E14019"/>
    <w:rsid w:val="00E1411C"/>
    <w:rsid w:val="00E14821"/>
    <w:rsid w:val="00E15DCD"/>
    <w:rsid w:val="00E1744D"/>
    <w:rsid w:val="00E17840"/>
    <w:rsid w:val="00E20488"/>
    <w:rsid w:val="00E212A5"/>
    <w:rsid w:val="00E219F6"/>
    <w:rsid w:val="00E23B32"/>
    <w:rsid w:val="00E24B81"/>
    <w:rsid w:val="00E24DBF"/>
    <w:rsid w:val="00E255AE"/>
    <w:rsid w:val="00E26292"/>
    <w:rsid w:val="00E273FB"/>
    <w:rsid w:val="00E3045B"/>
    <w:rsid w:val="00E30579"/>
    <w:rsid w:val="00E30D49"/>
    <w:rsid w:val="00E30E1B"/>
    <w:rsid w:val="00E31F6E"/>
    <w:rsid w:val="00E34DCD"/>
    <w:rsid w:val="00E350E6"/>
    <w:rsid w:val="00E35CED"/>
    <w:rsid w:val="00E36DF0"/>
    <w:rsid w:val="00E371C6"/>
    <w:rsid w:val="00E41CA3"/>
    <w:rsid w:val="00E4395F"/>
    <w:rsid w:val="00E43A87"/>
    <w:rsid w:val="00E43E3F"/>
    <w:rsid w:val="00E44B9F"/>
    <w:rsid w:val="00E45652"/>
    <w:rsid w:val="00E47444"/>
    <w:rsid w:val="00E50F89"/>
    <w:rsid w:val="00E53109"/>
    <w:rsid w:val="00E5322F"/>
    <w:rsid w:val="00E53674"/>
    <w:rsid w:val="00E55130"/>
    <w:rsid w:val="00E5580A"/>
    <w:rsid w:val="00E57739"/>
    <w:rsid w:val="00E60C1F"/>
    <w:rsid w:val="00E61675"/>
    <w:rsid w:val="00E61E71"/>
    <w:rsid w:val="00E62643"/>
    <w:rsid w:val="00E64CB5"/>
    <w:rsid w:val="00E66F0F"/>
    <w:rsid w:val="00E67406"/>
    <w:rsid w:val="00E676EF"/>
    <w:rsid w:val="00E705D2"/>
    <w:rsid w:val="00E7303E"/>
    <w:rsid w:val="00E73137"/>
    <w:rsid w:val="00E75AAE"/>
    <w:rsid w:val="00E75B33"/>
    <w:rsid w:val="00E7643E"/>
    <w:rsid w:val="00E81968"/>
    <w:rsid w:val="00E82B4F"/>
    <w:rsid w:val="00E82C4B"/>
    <w:rsid w:val="00E86B91"/>
    <w:rsid w:val="00E8780C"/>
    <w:rsid w:val="00E909D9"/>
    <w:rsid w:val="00E91124"/>
    <w:rsid w:val="00E91294"/>
    <w:rsid w:val="00E91DE6"/>
    <w:rsid w:val="00E92316"/>
    <w:rsid w:val="00E92827"/>
    <w:rsid w:val="00E9329E"/>
    <w:rsid w:val="00E94BA7"/>
    <w:rsid w:val="00E97607"/>
    <w:rsid w:val="00EA0CBF"/>
    <w:rsid w:val="00EA0CEF"/>
    <w:rsid w:val="00EA276C"/>
    <w:rsid w:val="00EA302A"/>
    <w:rsid w:val="00EA3205"/>
    <w:rsid w:val="00EA5DE4"/>
    <w:rsid w:val="00EA6C8C"/>
    <w:rsid w:val="00EB44D6"/>
    <w:rsid w:val="00EB497C"/>
    <w:rsid w:val="00EB4F52"/>
    <w:rsid w:val="00EB605B"/>
    <w:rsid w:val="00EC12B3"/>
    <w:rsid w:val="00EC1AA4"/>
    <w:rsid w:val="00EC4494"/>
    <w:rsid w:val="00EC495E"/>
    <w:rsid w:val="00EC60A7"/>
    <w:rsid w:val="00EC7427"/>
    <w:rsid w:val="00ED1C89"/>
    <w:rsid w:val="00ED3956"/>
    <w:rsid w:val="00ED9A44"/>
    <w:rsid w:val="00EE0322"/>
    <w:rsid w:val="00EE22FF"/>
    <w:rsid w:val="00EE270F"/>
    <w:rsid w:val="00EE283E"/>
    <w:rsid w:val="00EE2FF1"/>
    <w:rsid w:val="00EE3A90"/>
    <w:rsid w:val="00EE3DDA"/>
    <w:rsid w:val="00EF4430"/>
    <w:rsid w:val="00EF4616"/>
    <w:rsid w:val="00EF6257"/>
    <w:rsid w:val="00EF7A64"/>
    <w:rsid w:val="00F00B21"/>
    <w:rsid w:val="00F00C68"/>
    <w:rsid w:val="00F01CF4"/>
    <w:rsid w:val="00F03AC9"/>
    <w:rsid w:val="00F04C91"/>
    <w:rsid w:val="00F07E18"/>
    <w:rsid w:val="00F1113B"/>
    <w:rsid w:val="00F11BE2"/>
    <w:rsid w:val="00F1233A"/>
    <w:rsid w:val="00F127BA"/>
    <w:rsid w:val="00F130E9"/>
    <w:rsid w:val="00F17C8B"/>
    <w:rsid w:val="00F17E18"/>
    <w:rsid w:val="00F20863"/>
    <w:rsid w:val="00F21369"/>
    <w:rsid w:val="00F2284E"/>
    <w:rsid w:val="00F231BC"/>
    <w:rsid w:val="00F23968"/>
    <w:rsid w:val="00F241E4"/>
    <w:rsid w:val="00F24290"/>
    <w:rsid w:val="00F247EE"/>
    <w:rsid w:val="00F2524C"/>
    <w:rsid w:val="00F252AA"/>
    <w:rsid w:val="00F27539"/>
    <w:rsid w:val="00F276C6"/>
    <w:rsid w:val="00F30524"/>
    <w:rsid w:val="00F3119C"/>
    <w:rsid w:val="00F316E3"/>
    <w:rsid w:val="00F31C85"/>
    <w:rsid w:val="00F33648"/>
    <w:rsid w:val="00F336FC"/>
    <w:rsid w:val="00F338CD"/>
    <w:rsid w:val="00F3421F"/>
    <w:rsid w:val="00F34447"/>
    <w:rsid w:val="00F34836"/>
    <w:rsid w:val="00F36A29"/>
    <w:rsid w:val="00F40751"/>
    <w:rsid w:val="00F40E8C"/>
    <w:rsid w:val="00F4271F"/>
    <w:rsid w:val="00F42939"/>
    <w:rsid w:val="00F443FA"/>
    <w:rsid w:val="00F44B44"/>
    <w:rsid w:val="00F44BC7"/>
    <w:rsid w:val="00F4537A"/>
    <w:rsid w:val="00F456D5"/>
    <w:rsid w:val="00F51E9C"/>
    <w:rsid w:val="00F52914"/>
    <w:rsid w:val="00F5355F"/>
    <w:rsid w:val="00F548F1"/>
    <w:rsid w:val="00F5584D"/>
    <w:rsid w:val="00F5609F"/>
    <w:rsid w:val="00F57675"/>
    <w:rsid w:val="00F57B47"/>
    <w:rsid w:val="00F61308"/>
    <w:rsid w:val="00F617D3"/>
    <w:rsid w:val="00F6197D"/>
    <w:rsid w:val="00F6215A"/>
    <w:rsid w:val="00F627CB"/>
    <w:rsid w:val="00F63049"/>
    <w:rsid w:val="00F647F7"/>
    <w:rsid w:val="00F6534C"/>
    <w:rsid w:val="00F6669D"/>
    <w:rsid w:val="00F66910"/>
    <w:rsid w:val="00F66B5A"/>
    <w:rsid w:val="00F66E01"/>
    <w:rsid w:val="00F67853"/>
    <w:rsid w:val="00F67BDD"/>
    <w:rsid w:val="00F67E34"/>
    <w:rsid w:val="00F710B5"/>
    <w:rsid w:val="00F758F6"/>
    <w:rsid w:val="00F80937"/>
    <w:rsid w:val="00F81C9F"/>
    <w:rsid w:val="00F8334B"/>
    <w:rsid w:val="00F855B5"/>
    <w:rsid w:val="00F85D7C"/>
    <w:rsid w:val="00F85DD2"/>
    <w:rsid w:val="00F86AF5"/>
    <w:rsid w:val="00F87011"/>
    <w:rsid w:val="00F874AD"/>
    <w:rsid w:val="00F907D7"/>
    <w:rsid w:val="00F90B9C"/>
    <w:rsid w:val="00F9231C"/>
    <w:rsid w:val="00F933CF"/>
    <w:rsid w:val="00F9419E"/>
    <w:rsid w:val="00FA495E"/>
    <w:rsid w:val="00FA53BE"/>
    <w:rsid w:val="00FA53E6"/>
    <w:rsid w:val="00FA57A3"/>
    <w:rsid w:val="00FA6E86"/>
    <w:rsid w:val="00FA7438"/>
    <w:rsid w:val="00FA78CF"/>
    <w:rsid w:val="00FB0225"/>
    <w:rsid w:val="00FB0309"/>
    <w:rsid w:val="00FB0CA4"/>
    <w:rsid w:val="00FB116F"/>
    <w:rsid w:val="00FB1A17"/>
    <w:rsid w:val="00FB20F7"/>
    <w:rsid w:val="00FB2AF6"/>
    <w:rsid w:val="00FB4A09"/>
    <w:rsid w:val="00FB4F76"/>
    <w:rsid w:val="00FB50A5"/>
    <w:rsid w:val="00FB5276"/>
    <w:rsid w:val="00FB6198"/>
    <w:rsid w:val="00FB71F0"/>
    <w:rsid w:val="00FC0068"/>
    <w:rsid w:val="00FC1F24"/>
    <w:rsid w:val="00FC2088"/>
    <w:rsid w:val="00FC234D"/>
    <w:rsid w:val="00FC39DA"/>
    <w:rsid w:val="00FC48F6"/>
    <w:rsid w:val="00FC4E05"/>
    <w:rsid w:val="00FC65E1"/>
    <w:rsid w:val="00FC6EF6"/>
    <w:rsid w:val="00FC79C2"/>
    <w:rsid w:val="00FC7F73"/>
    <w:rsid w:val="00FD1C41"/>
    <w:rsid w:val="00FD2B6F"/>
    <w:rsid w:val="00FD34F7"/>
    <w:rsid w:val="00FD3815"/>
    <w:rsid w:val="00FD392C"/>
    <w:rsid w:val="00FD4529"/>
    <w:rsid w:val="00FD4F7E"/>
    <w:rsid w:val="00FD59F9"/>
    <w:rsid w:val="00FD7D14"/>
    <w:rsid w:val="00FE0049"/>
    <w:rsid w:val="00FE15D1"/>
    <w:rsid w:val="00FE3430"/>
    <w:rsid w:val="00FE3668"/>
    <w:rsid w:val="00FE3A77"/>
    <w:rsid w:val="00FE43DA"/>
    <w:rsid w:val="00FE444B"/>
    <w:rsid w:val="00FE5366"/>
    <w:rsid w:val="00FE711C"/>
    <w:rsid w:val="00FE7CCB"/>
    <w:rsid w:val="00FF18AF"/>
    <w:rsid w:val="00FF43BE"/>
    <w:rsid w:val="00FF47C6"/>
    <w:rsid w:val="00FF5DA3"/>
    <w:rsid w:val="00FF76B5"/>
    <w:rsid w:val="012E423D"/>
    <w:rsid w:val="017FF2A0"/>
    <w:rsid w:val="01B9B9E3"/>
    <w:rsid w:val="01F53483"/>
    <w:rsid w:val="030D7979"/>
    <w:rsid w:val="0324BA92"/>
    <w:rsid w:val="0398CDBA"/>
    <w:rsid w:val="03BAB54C"/>
    <w:rsid w:val="047FAE9F"/>
    <w:rsid w:val="04EA5AFA"/>
    <w:rsid w:val="056FEEAA"/>
    <w:rsid w:val="05EDDB0E"/>
    <w:rsid w:val="066DE435"/>
    <w:rsid w:val="06B1AE54"/>
    <w:rsid w:val="072F8190"/>
    <w:rsid w:val="074A9EF9"/>
    <w:rsid w:val="07AE6672"/>
    <w:rsid w:val="08126F4F"/>
    <w:rsid w:val="081535CC"/>
    <w:rsid w:val="086B566D"/>
    <w:rsid w:val="08767C37"/>
    <w:rsid w:val="087E3BA6"/>
    <w:rsid w:val="089F500A"/>
    <w:rsid w:val="0923822C"/>
    <w:rsid w:val="09C62CC5"/>
    <w:rsid w:val="09D84CBC"/>
    <w:rsid w:val="09E1C943"/>
    <w:rsid w:val="09F27E88"/>
    <w:rsid w:val="0A45FBFE"/>
    <w:rsid w:val="0A641A66"/>
    <w:rsid w:val="0A80B892"/>
    <w:rsid w:val="0AAE21DF"/>
    <w:rsid w:val="0B8B04BA"/>
    <w:rsid w:val="0B8E7AE3"/>
    <w:rsid w:val="0C3088DF"/>
    <w:rsid w:val="0CCCD364"/>
    <w:rsid w:val="0D54CB15"/>
    <w:rsid w:val="0DF8EDE1"/>
    <w:rsid w:val="0E138B45"/>
    <w:rsid w:val="0E5BE5F2"/>
    <w:rsid w:val="0E65B9FB"/>
    <w:rsid w:val="0E79EA8A"/>
    <w:rsid w:val="0E8D2D38"/>
    <w:rsid w:val="0E9887E4"/>
    <w:rsid w:val="0F05E66E"/>
    <w:rsid w:val="0F0E3B71"/>
    <w:rsid w:val="0F7F60A5"/>
    <w:rsid w:val="11E3F60F"/>
    <w:rsid w:val="126EE7A1"/>
    <w:rsid w:val="130284D8"/>
    <w:rsid w:val="13973175"/>
    <w:rsid w:val="13A1B5B8"/>
    <w:rsid w:val="13AD14AF"/>
    <w:rsid w:val="13F39FB4"/>
    <w:rsid w:val="1451C81E"/>
    <w:rsid w:val="14798206"/>
    <w:rsid w:val="148D4FBB"/>
    <w:rsid w:val="1491A20D"/>
    <w:rsid w:val="149E5539"/>
    <w:rsid w:val="14B5DF35"/>
    <w:rsid w:val="14FEE293"/>
    <w:rsid w:val="15C1E95E"/>
    <w:rsid w:val="15C4A691"/>
    <w:rsid w:val="15EECE88"/>
    <w:rsid w:val="166A4656"/>
    <w:rsid w:val="167AEFC7"/>
    <w:rsid w:val="169AB2F4"/>
    <w:rsid w:val="1796C99D"/>
    <w:rsid w:val="18757418"/>
    <w:rsid w:val="1877C00D"/>
    <w:rsid w:val="18BF7607"/>
    <w:rsid w:val="18E30FEB"/>
    <w:rsid w:val="19A7160B"/>
    <w:rsid w:val="19A96921"/>
    <w:rsid w:val="1A38DD37"/>
    <w:rsid w:val="1A641497"/>
    <w:rsid w:val="1A7BE172"/>
    <w:rsid w:val="1AF5E75B"/>
    <w:rsid w:val="1B062002"/>
    <w:rsid w:val="1BFD6D4E"/>
    <w:rsid w:val="1CA1F063"/>
    <w:rsid w:val="1CA7D450"/>
    <w:rsid w:val="1CB54D70"/>
    <w:rsid w:val="1CECCFE3"/>
    <w:rsid w:val="1CF70699"/>
    <w:rsid w:val="1E3C7263"/>
    <w:rsid w:val="1FC87129"/>
    <w:rsid w:val="1FF6A9FE"/>
    <w:rsid w:val="202D3DBF"/>
    <w:rsid w:val="204D62C3"/>
    <w:rsid w:val="205DC964"/>
    <w:rsid w:val="20A69F0E"/>
    <w:rsid w:val="214C231D"/>
    <w:rsid w:val="218D6F12"/>
    <w:rsid w:val="219611C7"/>
    <w:rsid w:val="224168D4"/>
    <w:rsid w:val="227242FC"/>
    <w:rsid w:val="22844514"/>
    <w:rsid w:val="23382024"/>
    <w:rsid w:val="238771DE"/>
    <w:rsid w:val="23AB3DA4"/>
    <w:rsid w:val="23DE665A"/>
    <w:rsid w:val="23F4A6C9"/>
    <w:rsid w:val="240BDAAE"/>
    <w:rsid w:val="249E825A"/>
    <w:rsid w:val="24FFFCF6"/>
    <w:rsid w:val="25340FFA"/>
    <w:rsid w:val="2592FADB"/>
    <w:rsid w:val="260445F5"/>
    <w:rsid w:val="2634B9A4"/>
    <w:rsid w:val="269A9359"/>
    <w:rsid w:val="274FFE6C"/>
    <w:rsid w:val="277F4F2D"/>
    <w:rsid w:val="27EAABA3"/>
    <w:rsid w:val="27F40576"/>
    <w:rsid w:val="281E1D03"/>
    <w:rsid w:val="281F2155"/>
    <w:rsid w:val="283D98B0"/>
    <w:rsid w:val="28E8A679"/>
    <w:rsid w:val="2917B24E"/>
    <w:rsid w:val="2A4230E4"/>
    <w:rsid w:val="2A43810E"/>
    <w:rsid w:val="2AB34FDE"/>
    <w:rsid w:val="2B6B50B0"/>
    <w:rsid w:val="2BE8D4C1"/>
    <w:rsid w:val="2C7057AA"/>
    <w:rsid w:val="2CFD9AD2"/>
    <w:rsid w:val="2D225165"/>
    <w:rsid w:val="2DA06B54"/>
    <w:rsid w:val="2DE56E09"/>
    <w:rsid w:val="2DF414BE"/>
    <w:rsid w:val="2E023CF4"/>
    <w:rsid w:val="2E95A6CF"/>
    <w:rsid w:val="2E97CF86"/>
    <w:rsid w:val="2F499FBF"/>
    <w:rsid w:val="2F603866"/>
    <w:rsid w:val="300166E4"/>
    <w:rsid w:val="3089ED5E"/>
    <w:rsid w:val="317712A8"/>
    <w:rsid w:val="320E2D96"/>
    <w:rsid w:val="3218678B"/>
    <w:rsid w:val="3254E3BF"/>
    <w:rsid w:val="3285ED79"/>
    <w:rsid w:val="32D45E79"/>
    <w:rsid w:val="32D8CFF3"/>
    <w:rsid w:val="332F94CB"/>
    <w:rsid w:val="33639B3E"/>
    <w:rsid w:val="33BB527F"/>
    <w:rsid w:val="33D7FBF2"/>
    <w:rsid w:val="33E1EAD8"/>
    <w:rsid w:val="34408D38"/>
    <w:rsid w:val="361FFF10"/>
    <w:rsid w:val="37A1C150"/>
    <w:rsid w:val="37A47A16"/>
    <w:rsid w:val="37F58373"/>
    <w:rsid w:val="3860724C"/>
    <w:rsid w:val="38826A32"/>
    <w:rsid w:val="38FBE9EC"/>
    <w:rsid w:val="398B404B"/>
    <w:rsid w:val="39B4F30F"/>
    <w:rsid w:val="39D0F433"/>
    <w:rsid w:val="39F2DCA6"/>
    <w:rsid w:val="3A04F3D9"/>
    <w:rsid w:val="3A82A33C"/>
    <w:rsid w:val="3AC36474"/>
    <w:rsid w:val="3AC64801"/>
    <w:rsid w:val="3B176B2B"/>
    <w:rsid w:val="3B769ABA"/>
    <w:rsid w:val="3BD46615"/>
    <w:rsid w:val="3BF8E6EE"/>
    <w:rsid w:val="3C5EC2DC"/>
    <w:rsid w:val="3C67AF98"/>
    <w:rsid w:val="3CA8C2FF"/>
    <w:rsid w:val="3D5FD142"/>
    <w:rsid w:val="3D86BA42"/>
    <w:rsid w:val="3DFA933D"/>
    <w:rsid w:val="3E5EB16E"/>
    <w:rsid w:val="3E94F123"/>
    <w:rsid w:val="3F1AC69D"/>
    <w:rsid w:val="3F289D20"/>
    <w:rsid w:val="3FB49489"/>
    <w:rsid w:val="402DE4E5"/>
    <w:rsid w:val="4046D08B"/>
    <w:rsid w:val="40CA944C"/>
    <w:rsid w:val="4107618C"/>
    <w:rsid w:val="419A4F59"/>
    <w:rsid w:val="42085E42"/>
    <w:rsid w:val="42D9476C"/>
    <w:rsid w:val="42E6AEC9"/>
    <w:rsid w:val="42F91F73"/>
    <w:rsid w:val="433188E0"/>
    <w:rsid w:val="44277852"/>
    <w:rsid w:val="444F19DE"/>
    <w:rsid w:val="44852DA1"/>
    <w:rsid w:val="44B59383"/>
    <w:rsid w:val="45C348B3"/>
    <w:rsid w:val="45FAEB78"/>
    <w:rsid w:val="4624B239"/>
    <w:rsid w:val="4645D0E2"/>
    <w:rsid w:val="4715C436"/>
    <w:rsid w:val="47ACB88F"/>
    <w:rsid w:val="48131457"/>
    <w:rsid w:val="489C664B"/>
    <w:rsid w:val="48AD3467"/>
    <w:rsid w:val="48FEFFFE"/>
    <w:rsid w:val="490DDC45"/>
    <w:rsid w:val="49295C75"/>
    <w:rsid w:val="495269C6"/>
    <w:rsid w:val="49B1170B"/>
    <w:rsid w:val="49BE8B77"/>
    <w:rsid w:val="49D83A83"/>
    <w:rsid w:val="4B2A00A3"/>
    <w:rsid w:val="4B9A4587"/>
    <w:rsid w:val="4BF2425B"/>
    <w:rsid w:val="4C025B0E"/>
    <w:rsid w:val="4D89F152"/>
    <w:rsid w:val="4E1BFA13"/>
    <w:rsid w:val="4E262BC4"/>
    <w:rsid w:val="4E580090"/>
    <w:rsid w:val="4E610DE3"/>
    <w:rsid w:val="4E8F98A9"/>
    <w:rsid w:val="4EDEAD07"/>
    <w:rsid w:val="4F25C1B3"/>
    <w:rsid w:val="4FB474EE"/>
    <w:rsid w:val="5009325F"/>
    <w:rsid w:val="505D79AF"/>
    <w:rsid w:val="508A7784"/>
    <w:rsid w:val="50EC4216"/>
    <w:rsid w:val="51539AD5"/>
    <w:rsid w:val="51D4CBFB"/>
    <w:rsid w:val="52316112"/>
    <w:rsid w:val="524EEB29"/>
    <w:rsid w:val="52BDB49D"/>
    <w:rsid w:val="537DE303"/>
    <w:rsid w:val="537E4568"/>
    <w:rsid w:val="53F4E0C0"/>
    <w:rsid w:val="540DDA76"/>
    <w:rsid w:val="54136E41"/>
    <w:rsid w:val="5422AE96"/>
    <w:rsid w:val="54AE6742"/>
    <w:rsid w:val="555F47A1"/>
    <w:rsid w:val="557E3BA4"/>
    <w:rsid w:val="55B5AD06"/>
    <w:rsid w:val="55E63193"/>
    <w:rsid w:val="564AF05F"/>
    <w:rsid w:val="5705B971"/>
    <w:rsid w:val="5714946D"/>
    <w:rsid w:val="572D4214"/>
    <w:rsid w:val="577CFB0A"/>
    <w:rsid w:val="58603AB5"/>
    <w:rsid w:val="58612374"/>
    <w:rsid w:val="586548AF"/>
    <w:rsid w:val="586C66F0"/>
    <w:rsid w:val="58D96705"/>
    <w:rsid w:val="59619E90"/>
    <w:rsid w:val="59F03EB8"/>
    <w:rsid w:val="5A394750"/>
    <w:rsid w:val="5A4C352F"/>
    <w:rsid w:val="5AA5CBCB"/>
    <w:rsid w:val="5B618DED"/>
    <w:rsid w:val="5BC23EE3"/>
    <w:rsid w:val="5BCACED9"/>
    <w:rsid w:val="5BD67FF0"/>
    <w:rsid w:val="5BE7AAFD"/>
    <w:rsid w:val="5CA9091F"/>
    <w:rsid w:val="5CB5990D"/>
    <w:rsid w:val="5CD6A14D"/>
    <w:rsid w:val="5D06259E"/>
    <w:rsid w:val="5D70E812"/>
    <w:rsid w:val="5E3A1F41"/>
    <w:rsid w:val="5E44FFD8"/>
    <w:rsid w:val="5F5E3438"/>
    <w:rsid w:val="5F822B92"/>
    <w:rsid w:val="6053729E"/>
    <w:rsid w:val="6092BEEF"/>
    <w:rsid w:val="614BA28D"/>
    <w:rsid w:val="62445935"/>
    <w:rsid w:val="62DE5773"/>
    <w:rsid w:val="64C593BF"/>
    <w:rsid w:val="6527BD6B"/>
    <w:rsid w:val="6548A271"/>
    <w:rsid w:val="65DCC2A2"/>
    <w:rsid w:val="66CE5F53"/>
    <w:rsid w:val="66D23FA0"/>
    <w:rsid w:val="6700D90A"/>
    <w:rsid w:val="687E4381"/>
    <w:rsid w:val="68A4965C"/>
    <w:rsid w:val="68D165A1"/>
    <w:rsid w:val="699AFFB2"/>
    <w:rsid w:val="6A19AD46"/>
    <w:rsid w:val="6A1A51BA"/>
    <w:rsid w:val="6A1EE47B"/>
    <w:rsid w:val="6B697D9C"/>
    <w:rsid w:val="6B9E9BDC"/>
    <w:rsid w:val="6BBD1382"/>
    <w:rsid w:val="6BC35598"/>
    <w:rsid w:val="6C245AB9"/>
    <w:rsid w:val="6CA508D3"/>
    <w:rsid w:val="6CE1161D"/>
    <w:rsid w:val="6D13BF4A"/>
    <w:rsid w:val="6DB6E0BE"/>
    <w:rsid w:val="6DD4580E"/>
    <w:rsid w:val="6E54D179"/>
    <w:rsid w:val="6E6407D0"/>
    <w:rsid w:val="6F83433D"/>
    <w:rsid w:val="6F9F6F84"/>
    <w:rsid w:val="6FAB4818"/>
    <w:rsid w:val="70137B80"/>
    <w:rsid w:val="712FFF5B"/>
    <w:rsid w:val="71522521"/>
    <w:rsid w:val="71B12192"/>
    <w:rsid w:val="72A45045"/>
    <w:rsid w:val="72A5AEEA"/>
    <w:rsid w:val="72B845BA"/>
    <w:rsid w:val="7310EA8D"/>
    <w:rsid w:val="743DEDAE"/>
    <w:rsid w:val="74CCE8BE"/>
    <w:rsid w:val="753F9B23"/>
    <w:rsid w:val="75448F6F"/>
    <w:rsid w:val="75482F79"/>
    <w:rsid w:val="755FB992"/>
    <w:rsid w:val="75A475DD"/>
    <w:rsid w:val="75EB0CF9"/>
    <w:rsid w:val="7635EBD8"/>
    <w:rsid w:val="76807A0B"/>
    <w:rsid w:val="76843B6F"/>
    <w:rsid w:val="774D1CA1"/>
    <w:rsid w:val="77A9E3BF"/>
    <w:rsid w:val="78826E2D"/>
    <w:rsid w:val="78CB75BB"/>
    <w:rsid w:val="794C6DD5"/>
    <w:rsid w:val="79891B81"/>
    <w:rsid w:val="7AC0AC0B"/>
    <w:rsid w:val="7B13C527"/>
    <w:rsid w:val="7B2A60ED"/>
    <w:rsid w:val="7B2D7631"/>
    <w:rsid w:val="7BBE0AFE"/>
    <w:rsid w:val="7C7FAA03"/>
    <w:rsid w:val="7C8AECF6"/>
    <w:rsid w:val="7CF1CCB2"/>
    <w:rsid w:val="7D2D4FD6"/>
    <w:rsid w:val="7D32B505"/>
    <w:rsid w:val="7D7003CC"/>
    <w:rsid w:val="7DD2E875"/>
    <w:rsid w:val="7E080B2A"/>
    <w:rsid w:val="7E0D6B13"/>
    <w:rsid w:val="7E1842C8"/>
    <w:rsid w:val="7E4E2CE6"/>
    <w:rsid w:val="7E6510A7"/>
    <w:rsid w:val="7E83C495"/>
    <w:rsid w:val="7E84F6C7"/>
    <w:rsid w:val="7EEA351F"/>
    <w:rsid w:val="7F8C62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stroke="f">
      <v:fill color="white" on="f"/>
      <v:stroke on="f"/>
    </o:shapedefaults>
    <o:shapelayout v:ext="edit">
      <o:idmap v:ext="edit" data="2"/>
    </o:shapelayout>
  </w:shapeDefaults>
  <w:decimalSymbol w:val="."/>
  <w:listSeparator w:val=","/>
  <w14:docId w14:val="1E056FD6"/>
  <w15:chartTrackingRefBased/>
  <w15:docId w15:val="{0FA66212-1C05-49B8-8891-39B821C3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2C"/>
    <w:pPr>
      <w:overflowPunct w:val="0"/>
      <w:autoSpaceDE w:val="0"/>
      <w:autoSpaceDN w:val="0"/>
      <w:adjustRightInd w:val="0"/>
      <w:spacing w:after="240"/>
      <w:jc w:val="both"/>
      <w:textAlignment w:val="baseline"/>
    </w:pPr>
    <w:rPr>
      <w:sz w:val="24"/>
      <w:lang w:eastAsia="en-GB"/>
    </w:rPr>
  </w:style>
  <w:style w:type="paragraph" w:styleId="Heading1">
    <w:name w:val="heading 1"/>
    <w:basedOn w:val="Normal"/>
    <w:next w:val="Text1"/>
    <w:qFormat/>
    <w:rsid w:val="002E5B52"/>
    <w:pPr>
      <w:keepNext/>
      <w:numPr>
        <w:numId w:val="1"/>
      </w:numPr>
      <w:spacing w:before="240"/>
      <w:outlineLvl w:val="0"/>
    </w:pPr>
    <w:rPr>
      <w:b/>
      <w:smallCaps/>
      <w:szCs w:val="24"/>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rsid w:val="00937B5F"/>
    <w:pPr>
      <w:keepNext/>
      <w:numPr>
        <w:ilvl w:val="2"/>
        <w:numId w:val="1"/>
      </w:numPr>
      <w:outlineLvl w:val="2"/>
    </w:pPr>
    <w:rPr>
      <w:i/>
      <w:sz w:val="20"/>
    </w:rPr>
  </w:style>
  <w:style w:type="paragraph" w:styleId="Heading4">
    <w:name w:val="heading 4"/>
    <w:basedOn w:val="Normal"/>
    <w:next w:val="Text4"/>
    <w:qFormat/>
    <w:rsid w:val="00251FA5"/>
    <w:pPr>
      <w:keepNext/>
      <w:numPr>
        <w:ilvl w:val="3"/>
        <w:numId w:val="1"/>
      </w:numPr>
      <w:ind w:left="1418" w:hanging="851"/>
      <w:jc w:val="left"/>
      <w:outlineLvl w:val="3"/>
    </w:pPr>
    <w:rPr>
      <w:kern w:val="36"/>
      <w:sz w:val="20"/>
    </w:rPr>
  </w:style>
  <w:style w:type="paragraph" w:styleId="Heading5">
    <w:name w:val="heading 5"/>
    <w:basedOn w:val="Normal"/>
    <w:next w:val="Normal"/>
    <w:qFormat/>
    <w:rsid w:val="005A4393"/>
    <w:pPr>
      <w:numPr>
        <w:ilvl w:val="4"/>
        <w:numId w:val="1"/>
      </w:numPr>
      <w:spacing w:before="240" w:after="60"/>
      <w:jc w:val="left"/>
      <w:outlineLvl w:val="4"/>
    </w:pPr>
    <w:rPr>
      <w:szCs w:val="24"/>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numPr>
        <w:ilvl w:val="0"/>
        <w:numId w:val="0"/>
      </w:numPr>
      <w:ind w:left="2880" w:hanging="964"/>
      <w:outlineLvl w:val="9"/>
    </w:pPr>
  </w:style>
  <w:style w:type="paragraph" w:styleId="TOC4">
    <w:name w:val="toc 4"/>
    <w:basedOn w:val="Normal"/>
    <w:next w:val="Normal"/>
    <w:semiHidden/>
    <w:rsid w:val="001C2195"/>
    <w:pPr>
      <w:tabs>
        <w:tab w:val="right" w:leader="dot" w:pos="8641"/>
      </w:tabs>
      <w:overflowPunct/>
      <w:autoSpaceDE/>
      <w:autoSpaceDN/>
      <w:adjustRightInd/>
      <w:spacing w:before="60" w:after="60"/>
      <w:ind w:left="2880" w:right="720" w:hanging="964"/>
      <w:textAlignment w:val="auto"/>
    </w:pPr>
    <w:rPr>
      <w:lang w:eastAsia="en-US"/>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link w:val="FootnoteTextChar"/>
    <w:semiHidden/>
    <w:pPr>
      <w:ind w:left="357" w:hanging="357"/>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numPr>
        <w:numId w:val="0"/>
      </w:numPr>
      <w:spacing w:before="0"/>
      <w:ind w:left="483" w:hanging="483"/>
      <w:outlineLvl w:val="9"/>
    </w:pPr>
    <w:rPr>
      <w:b w:val="0"/>
      <w:smallCaps w:val="0"/>
    </w:rPr>
  </w:style>
  <w:style w:type="paragraph" w:customStyle="1" w:styleId="NumPar2">
    <w:name w:val="NumPar 2"/>
    <w:basedOn w:val="Heading2"/>
    <w:next w:val="Text2"/>
    <w:pPr>
      <w:keepNext w:val="0"/>
      <w:numPr>
        <w:ilvl w:val="0"/>
        <w:numId w:val="0"/>
      </w:numPr>
      <w:ind w:left="1077" w:hanging="595"/>
      <w:outlineLvl w:val="9"/>
    </w:pPr>
    <w:rPr>
      <w:b w:val="0"/>
    </w:rPr>
  </w:style>
  <w:style w:type="paragraph" w:customStyle="1" w:styleId="NumPar3">
    <w:name w:val="NumPar 3"/>
    <w:basedOn w:val="Heading3"/>
    <w:next w:val="Text3"/>
    <w:pPr>
      <w:keepNext w:val="0"/>
      <w:numPr>
        <w:ilvl w:val="0"/>
        <w:numId w:val="0"/>
      </w:numPr>
      <w:ind w:left="1917" w:hanging="840"/>
      <w:outlineLvl w:val="9"/>
    </w:pPr>
    <w:rPr>
      <w:i w:val="0"/>
    </w:rPr>
  </w:style>
  <w:style w:type="paragraph" w:styleId="TOC1">
    <w:name w:val="toc 1"/>
    <w:basedOn w:val="Normal"/>
    <w:next w:val="Normal"/>
    <w:uiPriority w:val="39"/>
    <w:rsid w:val="001C2195"/>
    <w:pPr>
      <w:tabs>
        <w:tab w:val="right" w:leader="dot" w:pos="8640"/>
      </w:tabs>
      <w:overflowPunct/>
      <w:autoSpaceDE/>
      <w:autoSpaceDN/>
      <w:adjustRightInd/>
      <w:spacing w:before="120" w:after="120"/>
      <w:ind w:left="482" w:right="720" w:hanging="482"/>
      <w:textAlignment w:val="auto"/>
    </w:pPr>
    <w:rPr>
      <w:caps/>
      <w:lang w:eastAsia="en-US"/>
    </w:rPr>
  </w:style>
  <w:style w:type="paragraph" w:styleId="TOC2">
    <w:name w:val="toc 2"/>
    <w:basedOn w:val="Normal"/>
    <w:next w:val="Normal"/>
    <w:uiPriority w:val="39"/>
    <w:rsid w:val="001C2195"/>
    <w:pPr>
      <w:tabs>
        <w:tab w:val="right" w:leader="dot" w:pos="8640"/>
      </w:tabs>
      <w:overflowPunct/>
      <w:autoSpaceDE/>
      <w:autoSpaceDN/>
      <w:adjustRightInd/>
      <w:spacing w:before="60" w:after="60"/>
      <w:ind w:left="1077" w:right="720" w:hanging="595"/>
      <w:textAlignment w:val="auto"/>
    </w:pPr>
    <w:rPr>
      <w:lang w:eastAsia="en-US"/>
    </w:rPr>
  </w:style>
  <w:style w:type="paragraph" w:styleId="TOC3">
    <w:name w:val="toc 3"/>
    <w:basedOn w:val="Normal"/>
    <w:next w:val="Normal"/>
    <w:uiPriority w:val="39"/>
    <w:rsid w:val="001C2195"/>
    <w:pPr>
      <w:tabs>
        <w:tab w:val="right" w:leader="dot" w:pos="8640"/>
      </w:tabs>
      <w:overflowPunct/>
      <w:autoSpaceDE/>
      <w:autoSpaceDN/>
      <w:adjustRightInd/>
      <w:spacing w:before="60" w:after="60"/>
      <w:ind w:left="1916" w:right="720" w:hanging="839"/>
      <w:textAlignment w:val="auto"/>
    </w:pPr>
    <w:rPr>
      <w:lang w:eastAsia="en-US"/>
    </w:r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220B28"/>
    <w:pPr>
      <w:overflowPunct/>
      <w:autoSpaceDE/>
      <w:autoSpaceDN/>
      <w:adjustRightInd/>
      <w:spacing w:before="480" w:after="0"/>
      <w:ind w:left="567" w:hanging="567"/>
      <w:jc w:val="left"/>
      <w:textAlignment w:val="auto"/>
    </w:pPr>
    <w:rPr>
      <w:lang w:eastAsia="en-US"/>
    </w:rPr>
  </w:style>
  <w:style w:type="paragraph" w:styleId="ListBullet">
    <w:name w:val="List Bullet"/>
    <w:basedOn w:val="Normal"/>
    <w:rsid w:val="00220B28"/>
    <w:pPr>
      <w:numPr>
        <w:numId w:val="9"/>
      </w:numPr>
      <w:overflowPunct/>
      <w:autoSpaceDE/>
      <w:autoSpaceDN/>
      <w:adjustRightInd/>
      <w:textAlignment w:val="auto"/>
    </w:pPr>
    <w:rPr>
      <w:lang w:eastAsia="en-US"/>
    </w:rPr>
  </w:style>
  <w:style w:type="paragraph" w:customStyle="1" w:styleId="ListBullet1">
    <w:name w:val="List Bullet 1"/>
    <w:basedOn w:val="Text1"/>
    <w:rsid w:val="00220B28"/>
    <w:pPr>
      <w:numPr>
        <w:numId w:val="10"/>
      </w:numPr>
      <w:overflowPunct/>
      <w:autoSpaceDE/>
      <w:autoSpaceDN/>
      <w:adjustRightInd/>
      <w:textAlignment w:val="auto"/>
    </w:pPr>
    <w:rPr>
      <w:lang w:eastAsia="en-US"/>
    </w:rPr>
  </w:style>
  <w:style w:type="paragraph" w:styleId="ListBullet2">
    <w:name w:val="List Bullet 2"/>
    <w:basedOn w:val="Text2"/>
    <w:rsid w:val="00220B28"/>
    <w:pPr>
      <w:numPr>
        <w:numId w:val="11"/>
      </w:numPr>
      <w:tabs>
        <w:tab w:val="clear" w:pos="2161"/>
      </w:tabs>
      <w:overflowPunct/>
      <w:autoSpaceDE/>
      <w:autoSpaceDN/>
      <w:adjustRightInd/>
      <w:textAlignment w:val="auto"/>
    </w:pPr>
    <w:rPr>
      <w:lang w:eastAsia="en-US"/>
    </w:rPr>
  </w:style>
  <w:style w:type="paragraph" w:styleId="ListBullet3">
    <w:name w:val="List Bullet 3"/>
    <w:basedOn w:val="Text3"/>
    <w:rsid w:val="00220B28"/>
    <w:pPr>
      <w:numPr>
        <w:numId w:val="12"/>
      </w:numPr>
      <w:tabs>
        <w:tab w:val="clear" w:pos="2302"/>
      </w:tabs>
      <w:overflowPunct/>
      <w:autoSpaceDE/>
      <w:autoSpaceDN/>
      <w:adjustRightInd/>
      <w:textAlignment w:val="auto"/>
    </w:pPr>
    <w:rPr>
      <w:lang w:eastAsia="en-US"/>
    </w:rPr>
  </w:style>
  <w:style w:type="paragraph" w:styleId="ListBullet4">
    <w:name w:val="List Bullet 4"/>
    <w:basedOn w:val="Text4"/>
    <w:rsid w:val="00220B28"/>
    <w:pPr>
      <w:numPr>
        <w:numId w:val="13"/>
      </w:numPr>
      <w:overflowPunct/>
      <w:autoSpaceDE/>
      <w:autoSpaceDN/>
      <w:adjustRightInd/>
      <w:textAlignment w:val="auto"/>
    </w:pPr>
    <w:rPr>
      <w:lang w:eastAsia="en-US"/>
    </w:rPr>
  </w:style>
  <w:style w:type="paragraph" w:customStyle="1" w:styleId="ListDash">
    <w:name w:val="List Dash"/>
    <w:basedOn w:val="Normal"/>
    <w:rsid w:val="00220B28"/>
    <w:pPr>
      <w:numPr>
        <w:numId w:val="14"/>
      </w:numPr>
      <w:overflowPunct/>
      <w:autoSpaceDE/>
      <w:autoSpaceDN/>
      <w:adjustRightInd/>
      <w:textAlignment w:val="auto"/>
    </w:pPr>
    <w:rPr>
      <w:lang w:eastAsia="en-US"/>
    </w:rPr>
  </w:style>
  <w:style w:type="paragraph" w:customStyle="1" w:styleId="ListDash1">
    <w:name w:val="List Dash 1"/>
    <w:basedOn w:val="Text1"/>
    <w:rsid w:val="00220B28"/>
    <w:pPr>
      <w:numPr>
        <w:numId w:val="15"/>
      </w:numPr>
      <w:overflowPunct/>
      <w:autoSpaceDE/>
      <w:autoSpaceDN/>
      <w:adjustRightInd/>
      <w:textAlignment w:val="auto"/>
    </w:pPr>
    <w:rPr>
      <w:lang w:eastAsia="en-US"/>
    </w:rPr>
  </w:style>
  <w:style w:type="paragraph" w:customStyle="1" w:styleId="ListDash2">
    <w:name w:val="List Dash 2"/>
    <w:basedOn w:val="Text2"/>
    <w:rsid w:val="00220B28"/>
    <w:pPr>
      <w:numPr>
        <w:numId w:val="16"/>
      </w:numPr>
      <w:tabs>
        <w:tab w:val="clear" w:pos="2161"/>
      </w:tabs>
      <w:overflowPunct/>
      <w:autoSpaceDE/>
      <w:autoSpaceDN/>
      <w:adjustRightInd/>
      <w:textAlignment w:val="auto"/>
    </w:pPr>
    <w:rPr>
      <w:lang w:eastAsia="en-US"/>
    </w:rPr>
  </w:style>
  <w:style w:type="paragraph" w:customStyle="1" w:styleId="ListDash3">
    <w:name w:val="List Dash 3"/>
    <w:basedOn w:val="Text3"/>
    <w:rsid w:val="00220B28"/>
    <w:pPr>
      <w:numPr>
        <w:numId w:val="17"/>
      </w:numPr>
      <w:tabs>
        <w:tab w:val="clear" w:pos="2302"/>
      </w:tabs>
      <w:overflowPunct/>
      <w:autoSpaceDE/>
      <w:autoSpaceDN/>
      <w:adjustRightInd/>
      <w:textAlignment w:val="auto"/>
    </w:pPr>
    <w:rPr>
      <w:lang w:eastAsia="en-US"/>
    </w:rPr>
  </w:style>
  <w:style w:type="paragraph" w:customStyle="1" w:styleId="ListDash4">
    <w:name w:val="List Dash 4"/>
    <w:basedOn w:val="Text4"/>
    <w:rsid w:val="00220B28"/>
    <w:pPr>
      <w:numPr>
        <w:numId w:val="18"/>
      </w:numPr>
      <w:overflowPunct/>
      <w:autoSpaceDE/>
      <w:autoSpaceDN/>
      <w:adjustRightInd/>
      <w:textAlignment w:val="auto"/>
    </w:pPr>
    <w:rPr>
      <w:lang w:eastAsia="en-US"/>
    </w:rPr>
  </w:style>
  <w:style w:type="paragraph" w:styleId="ListNumber">
    <w:name w:val="List Number"/>
    <w:basedOn w:val="Normal"/>
    <w:rsid w:val="00220B28"/>
    <w:pPr>
      <w:numPr>
        <w:numId w:val="19"/>
      </w:numPr>
      <w:overflowPunct/>
      <w:autoSpaceDE/>
      <w:autoSpaceDN/>
      <w:adjustRightInd/>
      <w:textAlignment w:val="auto"/>
    </w:pPr>
    <w:rPr>
      <w:lang w:eastAsia="en-US"/>
    </w:rPr>
  </w:style>
  <w:style w:type="paragraph" w:customStyle="1" w:styleId="ListNumber1">
    <w:name w:val="List Number 1"/>
    <w:basedOn w:val="Text1"/>
    <w:link w:val="ListNumber1Char"/>
    <w:rsid w:val="00220B28"/>
    <w:pPr>
      <w:numPr>
        <w:numId w:val="20"/>
      </w:numPr>
      <w:overflowPunct/>
      <w:autoSpaceDE/>
      <w:autoSpaceDN/>
      <w:adjustRightInd/>
      <w:textAlignment w:val="auto"/>
    </w:pPr>
    <w:rPr>
      <w:lang w:eastAsia="en-US"/>
    </w:rPr>
  </w:style>
  <w:style w:type="paragraph" w:styleId="ListNumber2">
    <w:name w:val="List Number 2"/>
    <w:basedOn w:val="Text2"/>
    <w:rsid w:val="00220B28"/>
    <w:pPr>
      <w:numPr>
        <w:numId w:val="21"/>
      </w:numPr>
      <w:tabs>
        <w:tab w:val="clear" w:pos="2161"/>
      </w:tabs>
      <w:overflowPunct/>
      <w:autoSpaceDE/>
      <w:autoSpaceDN/>
      <w:adjustRightInd/>
      <w:textAlignment w:val="auto"/>
    </w:pPr>
    <w:rPr>
      <w:lang w:eastAsia="en-US"/>
    </w:rPr>
  </w:style>
  <w:style w:type="paragraph" w:styleId="ListNumber3">
    <w:name w:val="List Number 3"/>
    <w:basedOn w:val="Text3"/>
    <w:rsid w:val="00220B28"/>
    <w:pPr>
      <w:numPr>
        <w:numId w:val="22"/>
      </w:numPr>
      <w:tabs>
        <w:tab w:val="clear" w:pos="2302"/>
      </w:tabs>
      <w:overflowPunct/>
      <w:autoSpaceDE/>
      <w:autoSpaceDN/>
      <w:adjustRightInd/>
      <w:textAlignment w:val="auto"/>
    </w:pPr>
    <w:rPr>
      <w:lang w:eastAsia="en-US"/>
    </w:rPr>
  </w:style>
  <w:style w:type="paragraph" w:styleId="ListNumber4">
    <w:name w:val="List Number 4"/>
    <w:basedOn w:val="Text4"/>
    <w:rsid w:val="00220B28"/>
    <w:pPr>
      <w:numPr>
        <w:numId w:val="23"/>
      </w:numPr>
      <w:overflowPunct/>
      <w:autoSpaceDE/>
      <w:autoSpaceDN/>
      <w:adjustRightInd/>
      <w:textAlignment w:val="auto"/>
    </w:pPr>
    <w:rPr>
      <w:lang w:eastAsia="en-US"/>
    </w:rPr>
  </w:style>
  <w:style w:type="paragraph" w:customStyle="1" w:styleId="ListNumberLevel2">
    <w:name w:val="List Number (Level 2)"/>
    <w:basedOn w:val="Normal"/>
    <w:rsid w:val="00220B28"/>
    <w:pPr>
      <w:numPr>
        <w:ilvl w:val="1"/>
        <w:numId w:val="19"/>
      </w:numPr>
      <w:overflowPunct/>
      <w:autoSpaceDE/>
      <w:autoSpaceDN/>
      <w:adjustRightInd/>
      <w:textAlignment w:val="auto"/>
    </w:pPr>
    <w:rPr>
      <w:lang w:eastAsia="en-US"/>
    </w:rPr>
  </w:style>
  <w:style w:type="paragraph" w:customStyle="1" w:styleId="ListNumber1Level2">
    <w:name w:val="List Number 1 (Level 2)"/>
    <w:basedOn w:val="Text1"/>
    <w:link w:val="ListNumber1Level2Char"/>
    <w:rsid w:val="00220B28"/>
    <w:pPr>
      <w:numPr>
        <w:ilvl w:val="1"/>
        <w:numId w:val="20"/>
      </w:numPr>
      <w:overflowPunct/>
      <w:autoSpaceDE/>
      <w:autoSpaceDN/>
      <w:adjustRightInd/>
      <w:textAlignment w:val="auto"/>
    </w:pPr>
    <w:rPr>
      <w:lang w:eastAsia="en-US"/>
    </w:rPr>
  </w:style>
  <w:style w:type="paragraph" w:customStyle="1" w:styleId="ListNumber2Level2">
    <w:name w:val="List Number 2 (Level 2)"/>
    <w:basedOn w:val="Text2"/>
    <w:rsid w:val="00220B28"/>
    <w:pPr>
      <w:numPr>
        <w:ilvl w:val="1"/>
        <w:numId w:val="21"/>
      </w:numPr>
      <w:tabs>
        <w:tab w:val="clear" w:pos="2161"/>
      </w:tabs>
      <w:overflowPunct/>
      <w:autoSpaceDE/>
      <w:autoSpaceDN/>
      <w:adjustRightInd/>
      <w:textAlignment w:val="auto"/>
    </w:pPr>
    <w:rPr>
      <w:lang w:eastAsia="en-US"/>
    </w:rPr>
  </w:style>
  <w:style w:type="paragraph" w:customStyle="1" w:styleId="ListNumber3Level2">
    <w:name w:val="List Number 3 (Level 2)"/>
    <w:basedOn w:val="Text3"/>
    <w:rsid w:val="00220B28"/>
    <w:pPr>
      <w:numPr>
        <w:ilvl w:val="1"/>
        <w:numId w:val="22"/>
      </w:numPr>
      <w:tabs>
        <w:tab w:val="clear" w:pos="2302"/>
      </w:tabs>
      <w:overflowPunct/>
      <w:autoSpaceDE/>
      <w:autoSpaceDN/>
      <w:adjustRightInd/>
      <w:textAlignment w:val="auto"/>
    </w:pPr>
    <w:rPr>
      <w:lang w:eastAsia="en-US"/>
    </w:rPr>
  </w:style>
  <w:style w:type="paragraph" w:customStyle="1" w:styleId="ListNumber4Level2">
    <w:name w:val="List Number 4 (Level 2)"/>
    <w:basedOn w:val="Text4"/>
    <w:rsid w:val="00220B28"/>
    <w:pPr>
      <w:numPr>
        <w:ilvl w:val="1"/>
        <w:numId w:val="23"/>
      </w:numPr>
      <w:overflowPunct/>
      <w:autoSpaceDE/>
      <w:autoSpaceDN/>
      <w:adjustRightInd/>
      <w:textAlignment w:val="auto"/>
    </w:pPr>
    <w:rPr>
      <w:lang w:eastAsia="en-US"/>
    </w:rPr>
  </w:style>
  <w:style w:type="paragraph" w:customStyle="1" w:styleId="ListNumberLevel3">
    <w:name w:val="List Number (Level 3)"/>
    <w:basedOn w:val="Normal"/>
    <w:rsid w:val="00220B28"/>
    <w:pPr>
      <w:numPr>
        <w:ilvl w:val="2"/>
        <w:numId w:val="19"/>
      </w:numPr>
      <w:overflowPunct/>
      <w:autoSpaceDE/>
      <w:autoSpaceDN/>
      <w:adjustRightInd/>
      <w:textAlignment w:val="auto"/>
    </w:pPr>
    <w:rPr>
      <w:lang w:eastAsia="en-US"/>
    </w:rPr>
  </w:style>
  <w:style w:type="paragraph" w:customStyle="1" w:styleId="ListNumber1Level3">
    <w:name w:val="List Number 1 (Level 3)"/>
    <w:basedOn w:val="Text1"/>
    <w:rsid w:val="00220B28"/>
    <w:pPr>
      <w:numPr>
        <w:ilvl w:val="2"/>
        <w:numId w:val="20"/>
      </w:numPr>
      <w:overflowPunct/>
      <w:autoSpaceDE/>
      <w:autoSpaceDN/>
      <w:adjustRightInd/>
      <w:textAlignment w:val="auto"/>
    </w:pPr>
    <w:rPr>
      <w:lang w:eastAsia="en-US"/>
    </w:rPr>
  </w:style>
  <w:style w:type="paragraph" w:customStyle="1" w:styleId="ListNumber2Level3">
    <w:name w:val="List Number 2 (Level 3)"/>
    <w:basedOn w:val="Text2"/>
    <w:rsid w:val="00220B28"/>
    <w:pPr>
      <w:numPr>
        <w:ilvl w:val="2"/>
        <w:numId w:val="21"/>
      </w:numPr>
      <w:tabs>
        <w:tab w:val="clear" w:pos="2161"/>
      </w:tabs>
      <w:overflowPunct/>
      <w:autoSpaceDE/>
      <w:autoSpaceDN/>
      <w:adjustRightInd/>
      <w:textAlignment w:val="auto"/>
    </w:pPr>
    <w:rPr>
      <w:lang w:eastAsia="en-US"/>
    </w:rPr>
  </w:style>
  <w:style w:type="paragraph" w:customStyle="1" w:styleId="ListNumber3Level3">
    <w:name w:val="List Number 3 (Level 3)"/>
    <w:basedOn w:val="Text3"/>
    <w:rsid w:val="00220B28"/>
    <w:pPr>
      <w:numPr>
        <w:ilvl w:val="2"/>
        <w:numId w:val="22"/>
      </w:numPr>
      <w:tabs>
        <w:tab w:val="clear" w:pos="2302"/>
      </w:tabs>
      <w:overflowPunct/>
      <w:autoSpaceDE/>
      <w:autoSpaceDN/>
      <w:adjustRightInd/>
      <w:textAlignment w:val="auto"/>
    </w:pPr>
    <w:rPr>
      <w:lang w:eastAsia="en-US"/>
    </w:rPr>
  </w:style>
  <w:style w:type="paragraph" w:customStyle="1" w:styleId="ListNumber4Level3">
    <w:name w:val="List Number 4 (Level 3)"/>
    <w:basedOn w:val="Text4"/>
    <w:rsid w:val="00220B28"/>
    <w:pPr>
      <w:numPr>
        <w:ilvl w:val="2"/>
        <w:numId w:val="23"/>
      </w:numPr>
      <w:overflowPunct/>
      <w:autoSpaceDE/>
      <w:autoSpaceDN/>
      <w:adjustRightInd/>
      <w:textAlignment w:val="auto"/>
    </w:pPr>
    <w:rPr>
      <w:lang w:eastAsia="en-US"/>
    </w:rPr>
  </w:style>
  <w:style w:type="paragraph" w:customStyle="1" w:styleId="ListNumberLevel4">
    <w:name w:val="List Number (Level 4)"/>
    <w:basedOn w:val="Normal"/>
    <w:rsid w:val="00220B28"/>
    <w:pPr>
      <w:numPr>
        <w:ilvl w:val="3"/>
        <w:numId w:val="19"/>
      </w:numPr>
      <w:overflowPunct/>
      <w:autoSpaceDE/>
      <w:autoSpaceDN/>
      <w:adjustRightInd/>
      <w:textAlignment w:val="auto"/>
    </w:pPr>
    <w:rPr>
      <w:lang w:eastAsia="en-US"/>
    </w:rPr>
  </w:style>
  <w:style w:type="paragraph" w:customStyle="1" w:styleId="ListNumber1Level4">
    <w:name w:val="List Number 1 (Level 4)"/>
    <w:basedOn w:val="Text1"/>
    <w:rsid w:val="00220B28"/>
    <w:pPr>
      <w:numPr>
        <w:ilvl w:val="3"/>
        <w:numId w:val="20"/>
      </w:numPr>
      <w:overflowPunct/>
      <w:autoSpaceDE/>
      <w:autoSpaceDN/>
      <w:adjustRightInd/>
      <w:textAlignment w:val="auto"/>
    </w:pPr>
    <w:rPr>
      <w:lang w:eastAsia="en-US"/>
    </w:rPr>
  </w:style>
  <w:style w:type="paragraph" w:customStyle="1" w:styleId="ListNumber2Level4">
    <w:name w:val="List Number 2 (Level 4)"/>
    <w:basedOn w:val="Text2"/>
    <w:rsid w:val="00220B28"/>
    <w:pPr>
      <w:numPr>
        <w:ilvl w:val="3"/>
        <w:numId w:val="21"/>
      </w:numPr>
      <w:tabs>
        <w:tab w:val="clear" w:pos="2161"/>
      </w:tabs>
      <w:overflowPunct/>
      <w:autoSpaceDE/>
      <w:autoSpaceDN/>
      <w:adjustRightInd/>
      <w:textAlignment w:val="auto"/>
    </w:pPr>
    <w:rPr>
      <w:lang w:eastAsia="en-US"/>
    </w:rPr>
  </w:style>
  <w:style w:type="paragraph" w:customStyle="1" w:styleId="ListNumber3Level4">
    <w:name w:val="List Number 3 (Level 4)"/>
    <w:basedOn w:val="Text3"/>
    <w:rsid w:val="00220B28"/>
    <w:pPr>
      <w:numPr>
        <w:ilvl w:val="3"/>
        <w:numId w:val="22"/>
      </w:numPr>
      <w:tabs>
        <w:tab w:val="clear" w:pos="2302"/>
      </w:tabs>
      <w:overflowPunct/>
      <w:autoSpaceDE/>
      <w:autoSpaceDN/>
      <w:adjustRightInd/>
      <w:textAlignment w:val="auto"/>
    </w:pPr>
    <w:rPr>
      <w:lang w:eastAsia="en-US"/>
    </w:rPr>
  </w:style>
  <w:style w:type="paragraph" w:customStyle="1" w:styleId="ListNumber4Level4">
    <w:name w:val="List Number 4 (Level 4)"/>
    <w:basedOn w:val="Text4"/>
    <w:rsid w:val="00220B28"/>
    <w:pPr>
      <w:numPr>
        <w:ilvl w:val="3"/>
        <w:numId w:val="23"/>
      </w:numPr>
      <w:overflowPunct/>
      <w:autoSpaceDE/>
      <w:autoSpaceDN/>
      <w:adjustRightInd/>
      <w:textAlignment w:val="auto"/>
    </w:pPr>
    <w:rPr>
      <w:lang w:eastAsia="en-US"/>
    </w:rPr>
  </w:style>
  <w:style w:type="paragraph" w:styleId="TOC5">
    <w:name w:val="toc 5"/>
    <w:basedOn w:val="Normal"/>
    <w:next w:val="Normal"/>
    <w:semiHidden/>
    <w:rsid w:val="00220B28"/>
    <w:pPr>
      <w:tabs>
        <w:tab w:val="right" w:leader="dot" w:pos="8641"/>
      </w:tabs>
      <w:overflowPunct/>
      <w:autoSpaceDE/>
      <w:autoSpaceDN/>
      <w:adjustRightInd/>
      <w:spacing w:before="240" w:after="120"/>
      <w:ind w:right="720"/>
      <w:textAlignment w:val="auto"/>
    </w:pPr>
    <w:rPr>
      <w:caps/>
      <w:lang w:eastAsia="en-US"/>
    </w:rPr>
  </w:style>
  <w:style w:type="paragraph" w:styleId="TOCHeading">
    <w:name w:val="TOC Heading"/>
    <w:basedOn w:val="Normal"/>
    <w:next w:val="Normal"/>
    <w:qFormat/>
    <w:rsid w:val="00220B28"/>
    <w:pPr>
      <w:keepNext/>
      <w:overflowPunct/>
      <w:autoSpaceDE/>
      <w:autoSpaceDN/>
      <w:adjustRightInd/>
      <w:spacing w:before="240"/>
      <w:jc w:val="center"/>
      <w:textAlignment w:val="auto"/>
    </w:pPr>
    <w:rPr>
      <w:b/>
      <w:lang w:eastAsia="en-US"/>
    </w:rPr>
  </w:style>
  <w:style w:type="character" w:customStyle="1" w:styleId="Text1Char">
    <w:name w:val="Text 1 Char"/>
    <w:link w:val="Text1"/>
    <w:rsid w:val="00206CE8"/>
    <w:rPr>
      <w:sz w:val="24"/>
      <w:lang w:val="sl-SI" w:eastAsia="en-GB" w:bidi="ar-SA"/>
    </w:rPr>
  </w:style>
  <w:style w:type="paragraph" w:customStyle="1" w:styleId="ManualNumPar1">
    <w:name w:val="Manual NumPar 1"/>
    <w:basedOn w:val="Normal"/>
    <w:next w:val="Text1"/>
    <w:rsid w:val="00CB36A9"/>
    <w:pPr>
      <w:overflowPunct/>
      <w:autoSpaceDE/>
      <w:autoSpaceDN/>
      <w:adjustRightInd/>
      <w:spacing w:before="120" w:after="120"/>
      <w:ind w:left="850" w:hanging="850"/>
      <w:textAlignment w:val="auto"/>
    </w:pPr>
  </w:style>
  <w:style w:type="paragraph" w:customStyle="1" w:styleId="CharCharCharChar">
    <w:name w:val="Char Char Char Char"/>
    <w:basedOn w:val="Normal"/>
    <w:rsid w:val="001A1D9D"/>
    <w:pPr>
      <w:overflowPunct/>
      <w:autoSpaceDE/>
      <w:autoSpaceDN/>
      <w:adjustRightInd/>
      <w:spacing w:after="160" w:line="240" w:lineRule="exact"/>
      <w:jc w:val="left"/>
      <w:textAlignment w:val="auto"/>
    </w:pPr>
    <w:rPr>
      <w:rFonts w:ascii="Tahoma" w:hAnsi="Tahoma"/>
      <w:sz w:val="20"/>
      <w:lang w:eastAsia="en-US"/>
    </w:rPr>
  </w:style>
  <w:style w:type="character" w:customStyle="1" w:styleId="ListNumber1Level2Char">
    <w:name w:val="List Number 1 (Level 2) Char"/>
    <w:link w:val="ListNumber1Level2"/>
    <w:rsid w:val="004D0220"/>
    <w:rPr>
      <w:sz w:val="24"/>
      <w:lang w:val="sl-SI" w:eastAsia="en-US"/>
    </w:rPr>
  </w:style>
  <w:style w:type="paragraph" w:styleId="BalloonText">
    <w:name w:val="Balloon Text"/>
    <w:basedOn w:val="Normal"/>
    <w:semiHidden/>
    <w:rsid w:val="00DF5A22"/>
    <w:rPr>
      <w:rFonts w:ascii="Tahoma" w:hAnsi="Tahoma" w:cs="Tahoma"/>
      <w:sz w:val="16"/>
      <w:szCs w:val="16"/>
    </w:rPr>
  </w:style>
  <w:style w:type="table" w:styleId="TableGrid">
    <w:name w:val="Table Grid"/>
    <w:basedOn w:val="TableNormal"/>
    <w:rsid w:val="00484688"/>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Number1Char">
    <w:name w:val="List Number 1 Char"/>
    <w:link w:val="ListNumber1"/>
    <w:rsid w:val="00A06852"/>
    <w:rPr>
      <w:sz w:val="24"/>
      <w:lang w:val="sl-SI" w:eastAsia="en-US"/>
    </w:rPr>
  </w:style>
  <w:style w:type="paragraph" w:styleId="DocumentMap">
    <w:name w:val="Document Map"/>
    <w:basedOn w:val="Normal"/>
    <w:semiHidden/>
    <w:rsid w:val="004105BC"/>
    <w:pPr>
      <w:shd w:val="clear" w:color="auto" w:fill="000080"/>
    </w:pPr>
    <w:rPr>
      <w:rFonts w:ascii="Tahoma" w:hAnsi="Tahoma" w:cs="Tahoma"/>
      <w:sz w:val="20"/>
    </w:rPr>
  </w:style>
  <w:style w:type="character" w:styleId="CommentReference">
    <w:name w:val="annotation reference"/>
    <w:semiHidden/>
    <w:rsid w:val="00C62915"/>
    <w:rPr>
      <w:sz w:val="16"/>
      <w:szCs w:val="16"/>
    </w:rPr>
  </w:style>
  <w:style w:type="paragraph" w:styleId="CommentText">
    <w:name w:val="annotation text"/>
    <w:basedOn w:val="Normal"/>
    <w:semiHidden/>
    <w:rsid w:val="00C62915"/>
    <w:rPr>
      <w:sz w:val="20"/>
    </w:rPr>
  </w:style>
  <w:style w:type="paragraph" w:styleId="CommentSubject">
    <w:name w:val="annotation subject"/>
    <w:basedOn w:val="CommentText"/>
    <w:next w:val="CommentText"/>
    <w:semiHidden/>
    <w:rsid w:val="00C62915"/>
    <w:rPr>
      <w:b/>
      <w:bCs/>
    </w:rPr>
  </w:style>
  <w:style w:type="character" w:styleId="PageNumber">
    <w:name w:val="page number"/>
    <w:basedOn w:val="DefaultParagraphFont"/>
    <w:rsid w:val="008A60E2"/>
  </w:style>
  <w:style w:type="character" w:styleId="FollowedHyperlink">
    <w:name w:val="FollowedHyperlink"/>
    <w:rsid w:val="00A26029"/>
    <w:rPr>
      <w:color w:val="800080"/>
      <w:u w:val="single"/>
    </w:rPr>
  </w:style>
  <w:style w:type="character" w:styleId="Hyperlink">
    <w:name w:val="Hyperlink"/>
    <w:rsid w:val="00A26029"/>
    <w:rPr>
      <w:color w:val="0000FF"/>
      <w:u w:val="single"/>
    </w:rPr>
  </w:style>
  <w:style w:type="character" w:customStyle="1" w:styleId="FootnoteTextChar">
    <w:name w:val="Footnote Text Char"/>
    <w:link w:val="FootnoteText"/>
    <w:semiHidden/>
    <w:rsid w:val="005024CE"/>
  </w:style>
  <w:style w:type="paragraph" w:styleId="EndnoteText">
    <w:name w:val="endnote text"/>
    <w:basedOn w:val="Normal"/>
    <w:link w:val="EndnoteTextChar"/>
    <w:rsid w:val="003E65E5"/>
    <w:rPr>
      <w:sz w:val="20"/>
    </w:rPr>
  </w:style>
  <w:style w:type="character" w:customStyle="1" w:styleId="EndnoteTextChar">
    <w:name w:val="Endnote Text Char"/>
    <w:basedOn w:val="DefaultParagraphFont"/>
    <w:link w:val="EndnoteText"/>
    <w:rsid w:val="003E65E5"/>
  </w:style>
  <w:style w:type="character" w:styleId="EndnoteReference">
    <w:name w:val="endnote reference"/>
    <w:rsid w:val="003E65E5"/>
    <w:rPr>
      <w:vertAlign w:val="superscript"/>
    </w:rPr>
  </w:style>
  <w:style w:type="paragraph" w:customStyle="1" w:styleId="CharCharCharCharCharCharCharCharChar">
    <w:name w:val="Char Char Char Char Char Char Char Char Char"/>
    <w:basedOn w:val="Normal"/>
    <w:rsid w:val="00D763BC"/>
    <w:pPr>
      <w:overflowPunct/>
      <w:autoSpaceDE/>
      <w:autoSpaceDN/>
      <w:adjustRightInd/>
      <w:spacing w:after="160" w:line="240" w:lineRule="exact"/>
      <w:jc w:val="left"/>
      <w:textAlignment w:val="auto"/>
    </w:pPr>
    <w:rPr>
      <w:rFonts w:ascii="Tahoma" w:hAnsi="Tahoma"/>
      <w:sz w:val="20"/>
      <w:lang w:eastAsia="en-US"/>
    </w:rPr>
  </w:style>
  <w:style w:type="character" w:customStyle="1" w:styleId="FooterChar">
    <w:name w:val="Footer Char"/>
    <w:link w:val="Footer"/>
    <w:uiPriority w:val="99"/>
    <w:rsid w:val="0067561B"/>
    <w:rPr>
      <w:rFonts w:ascii="Arial" w:hAnsi="Arial"/>
      <w:sz w:val="16"/>
    </w:rPr>
  </w:style>
  <w:style w:type="paragraph" w:styleId="Revision">
    <w:name w:val="Revision"/>
    <w:hidden/>
    <w:uiPriority w:val="99"/>
    <w:semiHidden/>
    <w:rsid w:val="00A84332"/>
    <w:rPr>
      <w:sz w:val="24"/>
      <w:lang w:eastAsia="en-GB"/>
    </w:rPr>
  </w:style>
  <w:style w:type="paragraph" w:styleId="Title">
    <w:name w:val="Title"/>
    <w:basedOn w:val="Normal"/>
    <w:next w:val="Normal"/>
    <w:link w:val="TitleChar"/>
    <w:qFormat/>
    <w:rsid w:val="00952D3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52D30"/>
    <w:rPr>
      <w:rFonts w:ascii="Calibri Light" w:eastAsia="Times New Roman" w:hAnsi="Calibri Light" w:cs="Times New Roman"/>
      <w:b/>
      <w:bCs/>
      <w:kern w:val="28"/>
      <w:sz w:val="32"/>
      <w:szCs w:val="32"/>
      <w:lang w:val="sl-SI" w:eastAsia="en-GB"/>
    </w:rPr>
  </w:style>
  <w:style w:type="paragraph" w:styleId="ListParagraph">
    <w:name w:val="List Paragraph"/>
    <w:basedOn w:val="Normal"/>
    <w:uiPriority w:val="34"/>
    <w:qFormat/>
    <w:rsid w:val="007B1D3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3436">
      <w:bodyDiv w:val="1"/>
      <w:marLeft w:val="0"/>
      <w:marRight w:val="0"/>
      <w:marTop w:val="0"/>
      <w:marBottom w:val="0"/>
      <w:divBdr>
        <w:top w:val="none" w:sz="0" w:space="0" w:color="auto"/>
        <w:left w:val="none" w:sz="0" w:space="0" w:color="auto"/>
        <w:bottom w:val="none" w:sz="0" w:space="0" w:color="auto"/>
        <w:right w:val="none" w:sz="0" w:space="0" w:color="auto"/>
      </w:divBdr>
    </w:div>
    <w:div w:id="109785183">
      <w:bodyDiv w:val="1"/>
      <w:marLeft w:val="0"/>
      <w:marRight w:val="0"/>
      <w:marTop w:val="0"/>
      <w:marBottom w:val="0"/>
      <w:divBdr>
        <w:top w:val="none" w:sz="0" w:space="0" w:color="auto"/>
        <w:left w:val="none" w:sz="0" w:space="0" w:color="auto"/>
        <w:bottom w:val="none" w:sz="0" w:space="0" w:color="auto"/>
        <w:right w:val="none" w:sz="0" w:space="0" w:color="auto"/>
      </w:divBdr>
    </w:div>
    <w:div w:id="199052940">
      <w:bodyDiv w:val="1"/>
      <w:marLeft w:val="0"/>
      <w:marRight w:val="0"/>
      <w:marTop w:val="0"/>
      <w:marBottom w:val="0"/>
      <w:divBdr>
        <w:top w:val="none" w:sz="0" w:space="0" w:color="auto"/>
        <w:left w:val="none" w:sz="0" w:space="0" w:color="auto"/>
        <w:bottom w:val="none" w:sz="0" w:space="0" w:color="auto"/>
        <w:right w:val="none" w:sz="0" w:space="0" w:color="auto"/>
      </w:divBdr>
    </w:div>
    <w:div w:id="308705443">
      <w:bodyDiv w:val="1"/>
      <w:marLeft w:val="0"/>
      <w:marRight w:val="0"/>
      <w:marTop w:val="0"/>
      <w:marBottom w:val="0"/>
      <w:divBdr>
        <w:top w:val="none" w:sz="0" w:space="0" w:color="auto"/>
        <w:left w:val="none" w:sz="0" w:space="0" w:color="auto"/>
        <w:bottom w:val="none" w:sz="0" w:space="0" w:color="auto"/>
        <w:right w:val="none" w:sz="0" w:space="0" w:color="auto"/>
      </w:divBdr>
      <w:divsChild>
        <w:div w:id="1803616680">
          <w:marLeft w:val="0"/>
          <w:marRight w:val="0"/>
          <w:marTop w:val="0"/>
          <w:marBottom w:val="0"/>
          <w:divBdr>
            <w:top w:val="none" w:sz="0" w:space="0" w:color="auto"/>
            <w:left w:val="none" w:sz="0" w:space="0" w:color="auto"/>
            <w:bottom w:val="none" w:sz="0" w:space="0" w:color="auto"/>
            <w:right w:val="none" w:sz="0" w:space="0" w:color="auto"/>
          </w:divBdr>
        </w:div>
      </w:divsChild>
    </w:div>
    <w:div w:id="508057652">
      <w:bodyDiv w:val="1"/>
      <w:marLeft w:val="0"/>
      <w:marRight w:val="0"/>
      <w:marTop w:val="0"/>
      <w:marBottom w:val="0"/>
      <w:divBdr>
        <w:top w:val="none" w:sz="0" w:space="0" w:color="auto"/>
        <w:left w:val="none" w:sz="0" w:space="0" w:color="auto"/>
        <w:bottom w:val="none" w:sz="0" w:space="0" w:color="auto"/>
        <w:right w:val="none" w:sz="0" w:space="0" w:color="auto"/>
      </w:divBdr>
    </w:div>
    <w:div w:id="818232112">
      <w:bodyDiv w:val="1"/>
      <w:marLeft w:val="0"/>
      <w:marRight w:val="0"/>
      <w:marTop w:val="0"/>
      <w:marBottom w:val="0"/>
      <w:divBdr>
        <w:top w:val="none" w:sz="0" w:space="0" w:color="auto"/>
        <w:left w:val="none" w:sz="0" w:space="0" w:color="auto"/>
        <w:bottom w:val="none" w:sz="0" w:space="0" w:color="auto"/>
        <w:right w:val="none" w:sz="0" w:space="0" w:color="auto"/>
      </w:divBdr>
    </w:div>
    <w:div w:id="975910867">
      <w:bodyDiv w:val="1"/>
      <w:marLeft w:val="0"/>
      <w:marRight w:val="0"/>
      <w:marTop w:val="0"/>
      <w:marBottom w:val="0"/>
      <w:divBdr>
        <w:top w:val="none" w:sz="0" w:space="0" w:color="auto"/>
        <w:left w:val="none" w:sz="0" w:space="0" w:color="auto"/>
        <w:bottom w:val="none" w:sz="0" w:space="0" w:color="auto"/>
        <w:right w:val="none" w:sz="0" w:space="0" w:color="auto"/>
      </w:divBdr>
    </w:div>
    <w:div w:id="1039164497">
      <w:bodyDiv w:val="1"/>
      <w:marLeft w:val="0"/>
      <w:marRight w:val="0"/>
      <w:marTop w:val="0"/>
      <w:marBottom w:val="0"/>
      <w:divBdr>
        <w:top w:val="none" w:sz="0" w:space="0" w:color="auto"/>
        <w:left w:val="none" w:sz="0" w:space="0" w:color="auto"/>
        <w:bottom w:val="none" w:sz="0" w:space="0" w:color="auto"/>
        <w:right w:val="none" w:sz="0" w:space="0" w:color="auto"/>
      </w:divBdr>
      <w:divsChild>
        <w:div w:id="637226882">
          <w:marLeft w:val="0"/>
          <w:marRight w:val="0"/>
          <w:marTop w:val="0"/>
          <w:marBottom w:val="0"/>
          <w:divBdr>
            <w:top w:val="none" w:sz="0" w:space="0" w:color="auto"/>
            <w:left w:val="none" w:sz="0" w:space="0" w:color="auto"/>
            <w:bottom w:val="none" w:sz="0" w:space="0" w:color="auto"/>
            <w:right w:val="none" w:sz="0" w:space="0" w:color="auto"/>
          </w:divBdr>
        </w:div>
      </w:divsChild>
    </w:div>
    <w:div w:id="1360669132">
      <w:bodyDiv w:val="1"/>
      <w:marLeft w:val="0"/>
      <w:marRight w:val="0"/>
      <w:marTop w:val="0"/>
      <w:marBottom w:val="0"/>
      <w:divBdr>
        <w:top w:val="none" w:sz="0" w:space="0" w:color="auto"/>
        <w:left w:val="none" w:sz="0" w:space="0" w:color="auto"/>
        <w:bottom w:val="none" w:sz="0" w:space="0" w:color="auto"/>
        <w:right w:val="none" w:sz="0" w:space="0" w:color="auto"/>
      </w:divBdr>
    </w:div>
    <w:div w:id="1534267205">
      <w:bodyDiv w:val="1"/>
      <w:marLeft w:val="0"/>
      <w:marRight w:val="0"/>
      <w:marTop w:val="0"/>
      <w:marBottom w:val="0"/>
      <w:divBdr>
        <w:top w:val="none" w:sz="0" w:space="0" w:color="auto"/>
        <w:left w:val="none" w:sz="0" w:space="0" w:color="auto"/>
        <w:bottom w:val="none" w:sz="0" w:space="0" w:color="auto"/>
        <w:right w:val="none" w:sz="0" w:space="0" w:color="auto"/>
      </w:divBdr>
      <w:divsChild>
        <w:div w:id="18009493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93284177">
      <w:bodyDiv w:val="1"/>
      <w:marLeft w:val="0"/>
      <w:marRight w:val="0"/>
      <w:marTop w:val="0"/>
      <w:marBottom w:val="0"/>
      <w:divBdr>
        <w:top w:val="none" w:sz="0" w:space="0" w:color="auto"/>
        <w:left w:val="none" w:sz="0" w:space="0" w:color="auto"/>
        <w:bottom w:val="none" w:sz="0" w:space="0" w:color="auto"/>
        <w:right w:val="none" w:sz="0" w:space="0" w:color="auto"/>
      </w:divBdr>
    </w:div>
    <w:div w:id="1854831115">
      <w:bodyDiv w:val="1"/>
      <w:marLeft w:val="0"/>
      <w:marRight w:val="0"/>
      <w:marTop w:val="0"/>
      <w:marBottom w:val="0"/>
      <w:divBdr>
        <w:top w:val="none" w:sz="0" w:space="0" w:color="auto"/>
        <w:left w:val="none" w:sz="0" w:space="0" w:color="auto"/>
        <w:bottom w:val="none" w:sz="0" w:space="0" w:color="auto"/>
        <w:right w:val="none" w:sz="0" w:space="0" w:color="auto"/>
      </w:divBdr>
    </w:div>
    <w:div w:id="1921209508">
      <w:bodyDiv w:val="1"/>
      <w:marLeft w:val="0"/>
      <w:marRight w:val="0"/>
      <w:marTop w:val="0"/>
      <w:marBottom w:val="0"/>
      <w:divBdr>
        <w:top w:val="none" w:sz="0" w:space="0" w:color="auto"/>
        <w:left w:val="none" w:sz="0" w:space="0" w:color="auto"/>
        <w:bottom w:val="none" w:sz="0" w:space="0" w:color="auto"/>
        <w:right w:val="none" w:sz="0" w:space="0" w:color="auto"/>
      </w:divBdr>
    </w:div>
    <w:div w:id="1985425842">
      <w:bodyDiv w:val="1"/>
      <w:marLeft w:val="0"/>
      <w:marRight w:val="0"/>
      <w:marTop w:val="0"/>
      <w:marBottom w:val="0"/>
      <w:divBdr>
        <w:top w:val="none" w:sz="0" w:space="0" w:color="auto"/>
        <w:left w:val="none" w:sz="0" w:space="0" w:color="auto"/>
        <w:bottom w:val="none" w:sz="0" w:space="0" w:color="auto"/>
        <w:right w:val="none" w:sz="0" w:space="0" w:color="auto"/>
      </w:divBdr>
    </w:div>
    <w:div w:id="21128901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389862-8822-4f5b-b306-df79f3f1f689">
      <UserInfo>
        <DisplayName>ERLANDSSON Maria (AGRI)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5B48FF0CC296458A06F45EF4467227" ma:contentTypeVersion="6" ma:contentTypeDescription="Create a new document." ma:contentTypeScope="" ma:versionID="cb83346ac03d7250b065d50171c87643">
  <xsd:schema xmlns:xsd="http://www.w3.org/2001/XMLSchema" xmlns:xs="http://www.w3.org/2001/XMLSchema" xmlns:p="http://schemas.microsoft.com/office/2006/metadata/properties" xmlns:ns2="d5375bd6-41ca-4bd6-bd15-cc491fe67d56" xmlns:ns3="ca389862-8822-4f5b-b306-df79f3f1f689" targetNamespace="http://schemas.microsoft.com/office/2006/metadata/properties" ma:root="true" ma:fieldsID="c2e5e7fd1e738ed69e1af2ed5551cd04" ns2:_="" ns3:_="">
    <xsd:import namespace="d5375bd6-41ca-4bd6-bd15-cc491fe67d56"/>
    <xsd:import namespace="ca389862-8822-4f5b-b306-df79f3f1f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75bd6-41ca-4bd6-bd15-cc491fe6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89862-8822-4f5b-b306-df79f3f1f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82F7-971C-4134-9573-F09CFC9E10A5}">
  <ds:schemaRefs>
    <ds:schemaRef ds:uri="http://schemas.microsoft.com/office/2006/metadata/properties"/>
    <ds:schemaRef ds:uri="http://schemas.microsoft.com/office/infopath/2007/PartnerControls"/>
    <ds:schemaRef ds:uri="ca389862-8822-4f5b-b306-df79f3f1f689"/>
  </ds:schemaRefs>
</ds:datastoreItem>
</file>

<file path=customXml/itemProps2.xml><?xml version="1.0" encoding="utf-8"?>
<ds:datastoreItem xmlns:ds="http://schemas.openxmlformats.org/officeDocument/2006/customXml" ds:itemID="{270311BA-5913-4ED4-9942-3711B8502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75bd6-41ca-4bd6-bd15-cc491fe67d56"/>
    <ds:schemaRef ds:uri="ca389862-8822-4f5b-b306-df79f3f1f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C497D-2106-45AD-964E-AEEB99EA3655}">
  <ds:schemaRefs>
    <ds:schemaRef ds:uri="http://schemas.microsoft.com/sharepoint/v3/contenttype/forms"/>
  </ds:schemaRefs>
</ds:datastoreItem>
</file>

<file path=customXml/itemProps4.xml><?xml version="1.0" encoding="utf-8"?>
<ds:datastoreItem xmlns:ds="http://schemas.openxmlformats.org/officeDocument/2006/customXml" ds:itemID="{1F4300D5-CA48-449A-8BDF-015DC569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7</TotalTime>
  <Pages>31</Pages>
  <Words>6112</Words>
  <Characters>36622</Characters>
  <Application>Microsoft Office Word</Application>
  <DocSecurity>0</DocSecurity>
  <Lines>1181</Lines>
  <Paragraphs>431</Paragraphs>
  <ScaleCrop>false</ScaleCrop>
  <HeadingPairs>
    <vt:vector size="2" baseType="variant">
      <vt:variant>
        <vt:lpstr>Title</vt:lpstr>
      </vt:variant>
      <vt:variant>
        <vt:i4>1</vt:i4>
      </vt:variant>
    </vt:vector>
  </HeadingPairs>
  <TitlesOfParts>
    <vt:vector size="1" baseType="lpstr">
      <vt:lpstr>Accreditaion guideline</vt:lpstr>
    </vt:vector>
  </TitlesOfParts>
  <Company>European Commission</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Accreditaion guideline</dc:title>
  <dc:subject/>
  <dc:creator>Mariya Ilieva</dc:creator>
  <cp:keywords>EL3</cp:keywords>
  <cp:lastModifiedBy>BABIC Matjaz (DGT)</cp:lastModifiedBy>
  <cp:revision>5</cp:revision>
  <cp:lastPrinted>2023-07-05T08:16:00Z</cp:lastPrinted>
  <dcterms:created xsi:type="dcterms:W3CDTF">2023-08-08T11:47:00Z</dcterms:created>
  <dcterms:modified xsi:type="dcterms:W3CDTF">2023-08-14T09:16:00Z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NewReviewCycle">
    <vt:lpwstr/>
  </property>
  <property fmtid="{D5CDD505-2E9C-101B-9397-08002B2CF9AE}" pid="7" name="ELDocType">
    <vt:lpwstr>NOT.DOT</vt:lpwstr>
  </property>
  <property fmtid="{D5CDD505-2E9C-101B-9397-08002B2CF9AE}" pid="8" name="ContentTypeId">
    <vt:lpwstr>0x010100355B48FF0CC296458A06F45EF4467227</vt:lpwstr>
  </property>
  <property fmtid="{D5CDD505-2E9C-101B-9397-08002B2CF9AE}" pid="9" name="MSIP_Label_6bd9ddd1-4d20-43f6-abfa-fc3c07406f94_Enabled">
    <vt:lpwstr>true</vt:lpwstr>
  </property>
  <property fmtid="{D5CDD505-2E9C-101B-9397-08002B2CF9AE}" pid="10" name="MSIP_Label_6bd9ddd1-4d20-43f6-abfa-fc3c07406f94_SetDate">
    <vt:lpwstr>2023-05-11T10:11:29Z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2fec054d-2371-47c0-a2eb-0c72935e44c7</vt:lpwstr>
  </property>
  <property fmtid="{D5CDD505-2E9C-101B-9397-08002B2CF9AE}" pid="15" name="MSIP_Label_6bd9ddd1-4d20-43f6-abfa-fc3c07406f94_ContentBits">
    <vt:lpwstr>0</vt:lpwstr>
  </property>
</Properties>
</file>