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79263D" w14:paraId="3D8C7543" w14:textId="77777777">
        <w:trPr>
          <w:trHeight w:val="1440"/>
        </w:trPr>
        <w:tc>
          <w:tcPr>
            <w:tcW w:w="2381" w:type="dxa"/>
            <w:tcBorders>
              <w:top w:val="nil"/>
              <w:left w:val="nil"/>
              <w:bottom w:val="nil"/>
              <w:right w:val="nil"/>
            </w:tcBorders>
          </w:tcPr>
          <w:p w14:paraId="3D8C753C" w14:textId="77777777" w:rsidR="0079263D" w:rsidRDefault="00035E3D">
            <w:pPr>
              <w:pStyle w:val="ZCom"/>
              <w:rPr>
                <w:rFonts w:ascii="Times New Roman" w:hAnsi="Times New Roman"/>
              </w:rPr>
            </w:pPr>
            <w:r>
              <w:rPr>
                <w:rFonts w:ascii="Times New Roman" w:hAnsi="Times New Roman"/>
                <w:noProof/>
                <w:sz w:val="20"/>
                <w:lang w:val="en-US" w:eastAsia="en-US"/>
              </w:rPr>
              <w:drawing>
                <wp:inline distT="0" distB="0" distL="0" distR="0" wp14:anchorId="3D8C7722" wp14:editId="3D8C7723">
                  <wp:extent cx="1356360" cy="680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360" cy="680085"/>
                          </a:xfrm>
                          <a:prstGeom prst="rect">
                            <a:avLst/>
                          </a:prstGeom>
                          <a:noFill/>
                          <a:ln>
                            <a:noFill/>
                          </a:ln>
                        </pic:spPr>
                      </pic:pic>
                    </a:graphicData>
                  </a:graphic>
                </wp:inline>
              </w:drawing>
            </w:r>
          </w:p>
        </w:tc>
        <w:tc>
          <w:tcPr>
            <w:tcW w:w="7087" w:type="dxa"/>
            <w:tcBorders>
              <w:top w:val="nil"/>
              <w:left w:val="nil"/>
              <w:bottom w:val="nil"/>
              <w:right w:val="nil"/>
            </w:tcBorders>
          </w:tcPr>
          <w:p w14:paraId="3D8C753D" w14:textId="77777777" w:rsidR="0079263D" w:rsidRDefault="00035E3D">
            <w:pPr>
              <w:pStyle w:val="ZCom"/>
              <w:spacing w:before="90"/>
              <w:rPr>
                <w:rFonts w:ascii="Times New Roman" w:hAnsi="Times New Roman"/>
              </w:rPr>
            </w:pPr>
            <w:r>
              <w:rPr>
                <w:rFonts w:ascii="Times New Roman" w:hAnsi="Times New Roman"/>
              </w:rPr>
              <w:t>EVROPSKA KOMISIJA</w:t>
            </w:r>
          </w:p>
          <w:p w14:paraId="3D8C753E" w14:textId="77777777" w:rsidR="0079263D" w:rsidRDefault="00035E3D">
            <w:pPr>
              <w:pStyle w:val="ZDGName"/>
              <w:rPr>
                <w:rFonts w:ascii="Times New Roman" w:hAnsi="Times New Roman"/>
              </w:rPr>
            </w:pPr>
            <w:r>
              <w:rPr>
                <w:rFonts w:ascii="Times New Roman" w:hAnsi="Times New Roman"/>
              </w:rPr>
              <w:t>GENERALNI DIREKTORAT ZA KMETIJSTVO IN RAZVOJ PODEŽELJA</w:t>
            </w:r>
          </w:p>
          <w:p w14:paraId="3D8C753F" w14:textId="77777777" w:rsidR="0079263D" w:rsidRDefault="00035E3D">
            <w:pPr>
              <w:pStyle w:val="ZDGName"/>
              <w:rPr>
                <w:rFonts w:ascii="Times New Roman" w:hAnsi="Times New Roman"/>
              </w:rPr>
            </w:pPr>
            <w:r>
              <w:rPr>
                <w:rFonts w:ascii="Times New Roman" w:hAnsi="Times New Roman"/>
              </w:rPr>
              <w:t xml:space="preserve"> </w:t>
            </w:r>
          </w:p>
          <w:p w14:paraId="3D8C7540" w14:textId="77777777" w:rsidR="0079263D" w:rsidRDefault="00035E3D">
            <w:pPr>
              <w:pStyle w:val="ZDGName"/>
              <w:rPr>
                <w:rFonts w:ascii="Times New Roman" w:hAnsi="Times New Roman"/>
              </w:rPr>
            </w:pPr>
            <w:r>
              <w:rPr>
                <w:rFonts w:ascii="Times New Roman" w:hAnsi="Times New Roman"/>
              </w:rPr>
              <w:t>Direktorat H – Revizijska zagotovila in revizija</w:t>
            </w:r>
          </w:p>
          <w:p w14:paraId="3D8C7541" w14:textId="77777777" w:rsidR="0079263D" w:rsidRDefault="00035E3D">
            <w:pPr>
              <w:pStyle w:val="ZDGName"/>
              <w:rPr>
                <w:rFonts w:ascii="Times New Roman" w:hAnsi="Times New Roman"/>
              </w:rPr>
            </w:pPr>
            <w:r>
              <w:rPr>
                <w:rFonts w:ascii="Times New Roman" w:hAnsi="Times New Roman"/>
                <w:b/>
              </w:rPr>
              <w:t>H.5 – Revizijska zagotovila in finančna revizija</w:t>
            </w:r>
          </w:p>
          <w:p w14:paraId="3D8C7542" w14:textId="77777777" w:rsidR="0079263D" w:rsidRDefault="0079263D">
            <w:pPr>
              <w:pStyle w:val="ZDGName"/>
              <w:rPr>
                <w:rFonts w:ascii="Times New Roman" w:hAnsi="Times New Roman"/>
              </w:rPr>
            </w:pPr>
          </w:p>
        </w:tc>
      </w:tr>
    </w:tbl>
    <w:p w14:paraId="3D8C7544" w14:textId="77777777" w:rsidR="0079263D" w:rsidRDefault="0079263D">
      <w:pPr>
        <w:pStyle w:val="Date"/>
        <w:rPr>
          <w:sz w:val="20"/>
        </w:rPr>
      </w:pPr>
    </w:p>
    <w:p w14:paraId="3D8C7545" w14:textId="77777777" w:rsidR="0079263D" w:rsidRDefault="00035E3D">
      <w:pPr>
        <w:pStyle w:val="References"/>
      </w:pPr>
      <w:r>
        <w:rPr>
          <w:sz w:val="24"/>
        </w:rPr>
        <w:t xml:space="preserve">           Brusel</w:t>
      </w:r>
      <w:r>
        <w:t xml:space="preserve">j, </w:t>
      </w:r>
      <w:r>
        <w:br/>
      </w:r>
      <w:r>
        <w:tab/>
        <w:t>agri.h.5(2022)7893845</w:t>
      </w:r>
      <w:r>
        <w:tab/>
        <w:t xml:space="preserve"> </w:t>
      </w:r>
    </w:p>
    <w:p w14:paraId="3D8C7546" w14:textId="77777777" w:rsidR="0079263D" w:rsidRDefault="0079263D">
      <w:pPr>
        <w:pStyle w:val="NoteHead"/>
        <w:spacing w:before="480"/>
        <w:outlineLvl w:val="0"/>
        <w:rPr>
          <w:sz w:val="40"/>
          <w:szCs w:val="40"/>
        </w:rPr>
      </w:pPr>
    </w:p>
    <w:p w14:paraId="3D8C7547" w14:textId="77777777" w:rsidR="0079263D" w:rsidRDefault="00035E3D">
      <w:pPr>
        <w:pStyle w:val="NoteHead"/>
        <w:spacing w:before="480"/>
        <w:outlineLvl w:val="0"/>
        <w:rPr>
          <w:sz w:val="40"/>
          <w:szCs w:val="40"/>
        </w:rPr>
      </w:pPr>
      <w:bookmarkStart w:id="0" w:name="_Toc105763204"/>
      <w:bookmarkStart w:id="1" w:name="_Toc108446572"/>
      <w:bookmarkStart w:id="2" w:name="_Toc127268829"/>
      <w:r>
        <w:rPr>
          <w:sz w:val="40"/>
        </w:rPr>
        <w:t>Smernica št. 1</w:t>
      </w:r>
      <w:bookmarkEnd w:id="0"/>
      <w:bookmarkEnd w:id="1"/>
      <w:bookmarkEnd w:id="2"/>
    </w:p>
    <w:p w14:paraId="3D8C7548" w14:textId="77777777" w:rsidR="0079263D" w:rsidRDefault="00035E3D">
      <w:pPr>
        <w:jc w:val="center"/>
      </w:pPr>
      <w:r>
        <w:rPr>
          <w:b/>
        </w:rPr>
        <w:t xml:space="preserve">SMERNICE ZA CERTIFIKACIJSKO REVIZIJO OBRAČUNOV </w:t>
      </w:r>
      <w:r>
        <w:rPr>
          <w:b/>
          <w:sz w:val="32"/>
        </w:rPr>
        <w:t>EKJS/EKSRP</w:t>
      </w:r>
    </w:p>
    <w:p w14:paraId="3D8C7549" w14:textId="77777777" w:rsidR="0079263D" w:rsidRDefault="00035E3D">
      <w:pPr>
        <w:pStyle w:val="NoteHead"/>
        <w:spacing w:before="480" w:after="0"/>
        <w:rPr>
          <w:sz w:val="28"/>
          <w:szCs w:val="28"/>
        </w:rPr>
      </w:pPr>
      <w:r>
        <w:rPr>
          <w:sz w:val="28"/>
        </w:rPr>
        <w:t xml:space="preserve">Smernica za akreditacijo </w:t>
      </w:r>
    </w:p>
    <w:p w14:paraId="3D8C754A" w14:textId="77777777" w:rsidR="0079263D" w:rsidRDefault="00035E3D">
      <w:pPr>
        <w:pStyle w:val="NoteHead"/>
        <w:spacing w:before="480" w:after="0"/>
        <w:rPr>
          <w:sz w:val="28"/>
          <w:szCs w:val="28"/>
        </w:rPr>
      </w:pPr>
      <w:r>
        <w:rPr>
          <w:sz w:val="28"/>
        </w:rPr>
        <w:t xml:space="preserve">(Plačilna agencija in usklajevalni organ) </w:t>
      </w:r>
    </w:p>
    <w:p w14:paraId="3D8C754B" w14:textId="77777777" w:rsidR="0079263D" w:rsidRDefault="00035E3D">
      <w:pPr>
        <w:ind w:left="1418" w:hanging="1418"/>
        <w:rPr>
          <w:b/>
          <w:sz w:val="20"/>
        </w:rPr>
      </w:pPr>
      <w:r>
        <w:br w:type="page"/>
      </w:r>
    </w:p>
    <w:p w14:paraId="3D8C754C" w14:textId="77777777" w:rsidR="0079263D" w:rsidRDefault="00035E3D">
      <w:pPr>
        <w:pStyle w:val="TOCHeading"/>
        <w:spacing w:before="120" w:after="120"/>
        <w:rPr>
          <w:sz w:val="20"/>
        </w:rPr>
      </w:pPr>
      <w:r>
        <w:rPr>
          <w:sz w:val="20"/>
        </w:rPr>
        <w:lastRenderedPageBreak/>
        <w:t>KAZALO</w:t>
      </w:r>
    </w:p>
    <w:p w14:paraId="3D8C754D" w14:textId="77777777" w:rsidR="0079263D" w:rsidRDefault="0079263D">
      <w:pPr>
        <w:rPr>
          <w:lang w:eastAsia="en-US"/>
        </w:rPr>
      </w:pPr>
    </w:p>
    <w:sdt>
      <w:sdtPr>
        <w:rPr>
          <w:b/>
          <w:caps w:val="0"/>
        </w:rPr>
        <w:id w:val="2030914419"/>
        <w:docPartObj>
          <w:docPartGallery w:val="Table of Contents"/>
          <w:docPartUnique/>
        </w:docPartObj>
      </w:sdtPr>
      <w:sdtEndPr>
        <w:rPr>
          <w:b w:val="0"/>
          <w:bCs/>
          <w:caps/>
        </w:rPr>
      </w:sdtEndPr>
      <w:sdtContent>
        <w:bookmarkStart w:id="3" w:name="_GoBack" w:displacedByCustomXml="prev"/>
        <w:bookmarkEnd w:id="3" w:displacedByCustomXml="prev"/>
        <w:p w14:paraId="60904208" w14:textId="224C1491" w:rsidR="00E20B32" w:rsidRDefault="00035E3D">
          <w:pPr>
            <w:pStyle w:val="TOC1"/>
            <w:rPr>
              <w:rFonts w:asciiTheme="minorHAnsi" w:eastAsiaTheme="minorEastAsia" w:hAnsiTheme="minorHAnsi" w:cstheme="minorBidi"/>
              <w:caps w:val="0"/>
              <w:noProof/>
              <w:sz w:val="22"/>
              <w:szCs w:val="22"/>
              <w:lang w:val="en-US"/>
            </w:rPr>
          </w:pPr>
          <w:r>
            <w:rPr>
              <w:caps w:val="0"/>
            </w:rPr>
            <w:fldChar w:fldCharType="begin"/>
          </w:r>
          <w:r>
            <w:instrText xml:space="preserve"> TOC \o "1-3" \h \z \u </w:instrText>
          </w:r>
          <w:r>
            <w:rPr>
              <w:caps w:val="0"/>
            </w:rPr>
            <w:fldChar w:fldCharType="separate"/>
          </w:r>
          <w:hyperlink w:anchor="_Toc127268829" w:history="1">
            <w:r w:rsidR="00E20B32" w:rsidRPr="00B67719">
              <w:rPr>
                <w:rStyle w:val="Hyperlink"/>
                <w:noProof/>
              </w:rPr>
              <w:t>Smernica št. 1</w:t>
            </w:r>
            <w:r w:rsidR="00E20B32">
              <w:rPr>
                <w:noProof/>
                <w:webHidden/>
              </w:rPr>
              <w:tab/>
            </w:r>
            <w:r w:rsidR="00E20B32">
              <w:rPr>
                <w:noProof/>
                <w:webHidden/>
              </w:rPr>
              <w:fldChar w:fldCharType="begin"/>
            </w:r>
            <w:r w:rsidR="00E20B32">
              <w:rPr>
                <w:noProof/>
                <w:webHidden/>
              </w:rPr>
              <w:instrText xml:space="preserve"> PAGEREF _Toc127268829 \h </w:instrText>
            </w:r>
            <w:r w:rsidR="00E20B32">
              <w:rPr>
                <w:noProof/>
                <w:webHidden/>
              </w:rPr>
            </w:r>
            <w:r w:rsidR="00E20B32">
              <w:rPr>
                <w:noProof/>
                <w:webHidden/>
              </w:rPr>
              <w:fldChar w:fldCharType="separate"/>
            </w:r>
            <w:r w:rsidR="00E20B32">
              <w:rPr>
                <w:noProof/>
                <w:webHidden/>
              </w:rPr>
              <w:t>1</w:t>
            </w:r>
            <w:r w:rsidR="00E20B32">
              <w:rPr>
                <w:noProof/>
                <w:webHidden/>
              </w:rPr>
              <w:fldChar w:fldCharType="end"/>
            </w:r>
          </w:hyperlink>
        </w:p>
        <w:p w14:paraId="19420CD1" w14:textId="3280F126" w:rsidR="00E20B32" w:rsidRDefault="00E20B32">
          <w:pPr>
            <w:pStyle w:val="TOC1"/>
            <w:rPr>
              <w:rFonts w:asciiTheme="minorHAnsi" w:eastAsiaTheme="minorEastAsia" w:hAnsiTheme="minorHAnsi" w:cstheme="minorBidi"/>
              <w:caps w:val="0"/>
              <w:noProof/>
              <w:sz w:val="22"/>
              <w:szCs w:val="22"/>
              <w:lang w:val="en-US"/>
            </w:rPr>
          </w:pPr>
          <w:hyperlink w:anchor="_Toc127268830" w:history="1">
            <w:r w:rsidRPr="00B67719">
              <w:rPr>
                <w:rStyle w:val="Hyperlink"/>
                <w:noProof/>
              </w:rPr>
              <w:t>1.</w:t>
            </w:r>
            <w:r>
              <w:rPr>
                <w:rFonts w:asciiTheme="minorHAnsi" w:eastAsiaTheme="minorEastAsia" w:hAnsiTheme="minorHAnsi" w:cstheme="minorBidi"/>
                <w:caps w:val="0"/>
                <w:noProof/>
                <w:sz w:val="22"/>
                <w:szCs w:val="22"/>
                <w:lang w:val="en-US"/>
              </w:rPr>
              <w:tab/>
            </w:r>
            <w:r w:rsidRPr="00B67719">
              <w:rPr>
                <w:rStyle w:val="Hyperlink"/>
                <w:noProof/>
              </w:rPr>
              <w:t>Uvod</w:t>
            </w:r>
            <w:r>
              <w:rPr>
                <w:noProof/>
                <w:webHidden/>
              </w:rPr>
              <w:tab/>
            </w:r>
            <w:r>
              <w:rPr>
                <w:noProof/>
                <w:webHidden/>
              </w:rPr>
              <w:fldChar w:fldCharType="begin"/>
            </w:r>
            <w:r>
              <w:rPr>
                <w:noProof/>
                <w:webHidden/>
              </w:rPr>
              <w:instrText xml:space="preserve"> PAGEREF _Toc127268830 \h </w:instrText>
            </w:r>
            <w:r>
              <w:rPr>
                <w:noProof/>
                <w:webHidden/>
              </w:rPr>
            </w:r>
            <w:r>
              <w:rPr>
                <w:noProof/>
                <w:webHidden/>
              </w:rPr>
              <w:fldChar w:fldCharType="separate"/>
            </w:r>
            <w:r>
              <w:rPr>
                <w:noProof/>
                <w:webHidden/>
              </w:rPr>
              <w:t>4</w:t>
            </w:r>
            <w:r>
              <w:rPr>
                <w:noProof/>
                <w:webHidden/>
              </w:rPr>
              <w:fldChar w:fldCharType="end"/>
            </w:r>
          </w:hyperlink>
        </w:p>
        <w:p w14:paraId="15F27496" w14:textId="403224EB" w:rsidR="00E20B32" w:rsidRDefault="00E20B32">
          <w:pPr>
            <w:pStyle w:val="TOC1"/>
            <w:rPr>
              <w:rFonts w:asciiTheme="minorHAnsi" w:eastAsiaTheme="minorEastAsia" w:hAnsiTheme="minorHAnsi" w:cstheme="minorBidi"/>
              <w:caps w:val="0"/>
              <w:noProof/>
              <w:sz w:val="22"/>
              <w:szCs w:val="22"/>
              <w:lang w:val="en-US"/>
            </w:rPr>
          </w:pPr>
          <w:hyperlink w:anchor="_Toc127268831" w:history="1">
            <w:r w:rsidRPr="00B67719">
              <w:rPr>
                <w:rStyle w:val="Hyperlink"/>
                <w:noProof/>
              </w:rPr>
              <w:t>2.</w:t>
            </w:r>
            <w:r>
              <w:rPr>
                <w:rFonts w:asciiTheme="minorHAnsi" w:eastAsiaTheme="minorEastAsia" w:hAnsiTheme="minorHAnsi" w:cstheme="minorBidi"/>
                <w:caps w:val="0"/>
                <w:noProof/>
                <w:sz w:val="22"/>
                <w:szCs w:val="22"/>
                <w:lang w:val="en-US"/>
              </w:rPr>
              <w:tab/>
            </w:r>
            <w:r w:rsidRPr="00B67719">
              <w:rPr>
                <w:rStyle w:val="Hyperlink"/>
                <w:noProof/>
              </w:rPr>
              <w:t>Ozadje</w:t>
            </w:r>
            <w:r>
              <w:rPr>
                <w:noProof/>
                <w:webHidden/>
              </w:rPr>
              <w:tab/>
            </w:r>
            <w:r>
              <w:rPr>
                <w:noProof/>
                <w:webHidden/>
              </w:rPr>
              <w:fldChar w:fldCharType="begin"/>
            </w:r>
            <w:r>
              <w:rPr>
                <w:noProof/>
                <w:webHidden/>
              </w:rPr>
              <w:instrText xml:space="preserve"> PAGEREF _Toc127268831 \h </w:instrText>
            </w:r>
            <w:r>
              <w:rPr>
                <w:noProof/>
                <w:webHidden/>
              </w:rPr>
            </w:r>
            <w:r>
              <w:rPr>
                <w:noProof/>
                <w:webHidden/>
              </w:rPr>
              <w:fldChar w:fldCharType="separate"/>
            </w:r>
            <w:r>
              <w:rPr>
                <w:noProof/>
                <w:webHidden/>
              </w:rPr>
              <w:t>4</w:t>
            </w:r>
            <w:r>
              <w:rPr>
                <w:noProof/>
                <w:webHidden/>
              </w:rPr>
              <w:fldChar w:fldCharType="end"/>
            </w:r>
          </w:hyperlink>
        </w:p>
        <w:p w14:paraId="116F5CFC" w14:textId="2B459968"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32" w:history="1">
            <w:r w:rsidRPr="00B67719">
              <w:rPr>
                <w:rStyle w:val="Hyperlink"/>
                <w:noProof/>
              </w:rPr>
              <w:t>2.1.</w:t>
            </w:r>
            <w:r>
              <w:rPr>
                <w:rFonts w:asciiTheme="minorHAnsi" w:eastAsiaTheme="minorEastAsia" w:hAnsiTheme="minorHAnsi" w:cstheme="minorBidi"/>
                <w:noProof/>
                <w:sz w:val="22"/>
                <w:szCs w:val="22"/>
                <w:lang w:val="en-US"/>
              </w:rPr>
              <w:tab/>
            </w:r>
            <w:r w:rsidRPr="00B67719">
              <w:rPr>
                <w:rStyle w:val="Hyperlink"/>
                <w:noProof/>
              </w:rPr>
              <w:t>PLAČILNA AGENCIJA</w:t>
            </w:r>
            <w:r>
              <w:rPr>
                <w:noProof/>
                <w:webHidden/>
              </w:rPr>
              <w:tab/>
            </w:r>
            <w:r>
              <w:rPr>
                <w:noProof/>
                <w:webHidden/>
              </w:rPr>
              <w:fldChar w:fldCharType="begin"/>
            </w:r>
            <w:r>
              <w:rPr>
                <w:noProof/>
                <w:webHidden/>
              </w:rPr>
              <w:instrText xml:space="preserve"> PAGEREF _Toc127268832 \h </w:instrText>
            </w:r>
            <w:r>
              <w:rPr>
                <w:noProof/>
                <w:webHidden/>
              </w:rPr>
            </w:r>
            <w:r>
              <w:rPr>
                <w:noProof/>
                <w:webHidden/>
              </w:rPr>
              <w:fldChar w:fldCharType="separate"/>
            </w:r>
            <w:r>
              <w:rPr>
                <w:noProof/>
                <w:webHidden/>
              </w:rPr>
              <w:t>4</w:t>
            </w:r>
            <w:r>
              <w:rPr>
                <w:noProof/>
                <w:webHidden/>
              </w:rPr>
              <w:fldChar w:fldCharType="end"/>
            </w:r>
          </w:hyperlink>
        </w:p>
        <w:p w14:paraId="784EF5C0" w14:textId="348421B3"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33" w:history="1">
            <w:r w:rsidRPr="00B67719">
              <w:rPr>
                <w:rStyle w:val="Hyperlink"/>
                <w:noProof/>
              </w:rPr>
              <w:t>2.2.</w:t>
            </w:r>
            <w:r>
              <w:rPr>
                <w:rFonts w:asciiTheme="minorHAnsi" w:eastAsiaTheme="minorEastAsia" w:hAnsiTheme="minorHAnsi" w:cstheme="minorBidi"/>
                <w:noProof/>
                <w:sz w:val="22"/>
                <w:szCs w:val="22"/>
                <w:lang w:val="en-US"/>
              </w:rPr>
              <w:tab/>
            </w:r>
            <w:r w:rsidRPr="00B67719">
              <w:rPr>
                <w:rStyle w:val="Hyperlink"/>
                <w:noProof/>
              </w:rPr>
              <w:t>USKLAJEVALNI ORGAN</w:t>
            </w:r>
            <w:r>
              <w:rPr>
                <w:noProof/>
                <w:webHidden/>
              </w:rPr>
              <w:tab/>
            </w:r>
            <w:r>
              <w:rPr>
                <w:noProof/>
                <w:webHidden/>
              </w:rPr>
              <w:fldChar w:fldCharType="begin"/>
            </w:r>
            <w:r>
              <w:rPr>
                <w:noProof/>
                <w:webHidden/>
              </w:rPr>
              <w:instrText xml:space="preserve"> PAGEREF _Toc127268833 \h </w:instrText>
            </w:r>
            <w:r>
              <w:rPr>
                <w:noProof/>
                <w:webHidden/>
              </w:rPr>
            </w:r>
            <w:r>
              <w:rPr>
                <w:noProof/>
                <w:webHidden/>
              </w:rPr>
              <w:fldChar w:fldCharType="separate"/>
            </w:r>
            <w:r>
              <w:rPr>
                <w:noProof/>
                <w:webHidden/>
              </w:rPr>
              <w:t>4</w:t>
            </w:r>
            <w:r>
              <w:rPr>
                <w:noProof/>
                <w:webHidden/>
              </w:rPr>
              <w:fldChar w:fldCharType="end"/>
            </w:r>
          </w:hyperlink>
        </w:p>
        <w:p w14:paraId="0836CE86" w14:textId="63A96F19"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34" w:history="1">
            <w:r w:rsidRPr="00B67719">
              <w:rPr>
                <w:rStyle w:val="Hyperlink"/>
                <w:noProof/>
              </w:rPr>
              <w:t>2.3.</w:t>
            </w:r>
            <w:r>
              <w:rPr>
                <w:rFonts w:asciiTheme="minorHAnsi" w:eastAsiaTheme="minorEastAsia" w:hAnsiTheme="minorHAnsi" w:cstheme="minorBidi"/>
                <w:noProof/>
                <w:sz w:val="22"/>
                <w:szCs w:val="22"/>
                <w:lang w:val="en-US"/>
              </w:rPr>
              <w:tab/>
            </w:r>
            <w:r w:rsidRPr="00B67719">
              <w:rPr>
                <w:rStyle w:val="Hyperlink"/>
                <w:noProof/>
              </w:rPr>
              <w:t>STRATEŠKI NAČRTI SKP</w:t>
            </w:r>
            <w:r>
              <w:rPr>
                <w:noProof/>
                <w:webHidden/>
              </w:rPr>
              <w:tab/>
            </w:r>
            <w:r>
              <w:rPr>
                <w:noProof/>
                <w:webHidden/>
              </w:rPr>
              <w:fldChar w:fldCharType="begin"/>
            </w:r>
            <w:r>
              <w:rPr>
                <w:noProof/>
                <w:webHidden/>
              </w:rPr>
              <w:instrText xml:space="preserve"> PAGEREF _Toc127268834 \h </w:instrText>
            </w:r>
            <w:r>
              <w:rPr>
                <w:noProof/>
                <w:webHidden/>
              </w:rPr>
            </w:r>
            <w:r>
              <w:rPr>
                <w:noProof/>
                <w:webHidden/>
              </w:rPr>
              <w:fldChar w:fldCharType="separate"/>
            </w:r>
            <w:r>
              <w:rPr>
                <w:noProof/>
                <w:webHidden/>
              </w:rPr>
              <w:t>5</w:t>
            </w:r>
            <w:r>
              <w:rPr>
                <w:noProof/>
                <w:webHidden/>
              </w:rPr>
              <w:fldChar w:fldCharType="end"/>
            </w:r>
          </w:hyperlink>
        </w:p>
        <w:p w14:paraId="399DA340" w14:textId="1745FFC4"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35" w:history="1">
            <w:r w:rsidRPr="00B67719">
              <w:rPr>
                <w:rStyle w:val="Hyperlink"/>
                <w:noProof/>
              </w:rPr>
              <w:t>2.4.</w:t>
            </w:r>
            <w:r>
              <w:rPr>
                <w:rFonts w:asciiTheme="minorHAnsi" w:eastAsiaTheme="minorEastAsia" w:hAnsiTheme="minorHAnsi" w:cstheme="minorBidi"/>
                <w:noProof/>
                <w:sz w:val="22"/>
                <w:szCs w:val="22"/>
                <w:lang w:val="en-US"/>
              </w:rPr>
              <w:tab/>
            </w:r>
            <w:r w:rsidRPr="00B67719">
              <w:rPr>
                <w:rStyle w:val="Hyperlink"/>
                <w:noProof/>
              </w:rPr>
              <w:t>DRUGE INTERVENCIJE, KI NISO VKLJUČENE V STRATEŠKI NAČRT SKP</w:t>
            </w:r>
            <w:r>
              <w:rPr>
                <w:noProof/>
                <w:webHidden/>
              </w:rPr>
              <w:tab/>
            </w:r>
            <w:r>
              <w:rPr>
                <w:noProof/>
                <w:webHidden/>
              </w:rPr>
              <w:fldChar w:fldCharType="begin"/>
            </w:r>
            <w:r>
              <w:rPr>
                <w:noProof/>
                <w:webHidden/>
              </w:rPr>
              <w:instrText xml:space="preserve"> PAGEREF _Toc127268835 \h </w:instrText>
            </w:r>
            <w:r>
              <w:rPr>
                <w:noProof/>
                <w:webHidden/>
              </w:rPr>
            </w:r>
            <w:r>
              <w:rPr>
                <w:noProof/>
                <w:webHidden/>
              </w:rPr>
              <w:fldChar w:fldCharType="separate"/>
            </w:r>
            <w:r>
              <w:rPr>
                <w:noProof/>
                <w:webHidden/>
              </w:rPr>
              <w:t>6</w:t>
            </w:r>
            <w:r>
              <w:rPr>
                <w:noProof/>
                <w:webHidden/>
              </w:rPr>
              <w:fldChar w:fldCharType="end"/>
            </w:r>
          </w:hyperlink>
        </w:p>
        <w:p w14:paraId="6F8CAD68" w14:textId="42587430" w:rsidR="00E20B32" w:rsidRDefault="00E20B32">
          <w:pPr>
            <w:pStyle w:val="TOC1"/>
            <w:rPr>
              <w:rFonts w:asciiTheme="minorHAnsi" w:eastAsiaTheme="minorEastAsia" w:hAnsiTheme="minorHAnsi" w:cstheme="minorBidi"/>
              <w:caps w:val="0"/>
              <w:noProof/>
              <w:sz w:val="22"/>
              <w:szCs w:val="22"/>
              <w:lang w:val="en-US"/>
            </w:rPr>
          </w:pPr>
          <w:hyperlink w:anchor="_Toc127268836" w:history="1">
            <w:r w:rsidRPr="00B67719">
              <w:rPr>
                <w:rStyle w:val="Hyperlink"/>
                <w:noProof/>
              </w:rPr>
              <w:t>3.</w:t>
            </w:r>
            <w:r>
              <w:rPr>
                <w:rFonts w:asciiTheme="minorHAnsi" w:eastAsiaTheme="minorEastAsia" w:hAnsiTheme="minorHAnsi" w:cstheme="minorBidi"/>
                <w:caps w:val="0"/>
                <w:noProof/>
                <w:sz w:val="22"/>
                <w:szCs w:val="22"/>
                <w:lang w:val="en-US"/>
              </w:rPr>
              <w:tab/>
            </w:r>
            <w:r w:rsidRPr="00B67719">
              <w:rPr>
                <w:rStyle w:val="Hyperlink"/>
                <w:noProof/>
              </w:rPr>
              <w:t>Odgovornosti različnih organov držav članic</w:t>
            </w:r>
            <w:r>
              <w:rPr>
                <w:noProof/>
                <w:webHidden/>
              </w:rPr>
              <w:tab/>
            </w:r>
            <w:r>
              <w:rPr>
                <w:noProof/>
                <w:webHidden/>
              </w:rPr>
              <w:fldChar w:fldCharType="begin"/>
            </w:r>
            <w:r>
              <w:rPr>
                <w:noProof/>
                <w:webHidden/>
              </w:rPr>
              <w:instrText xml:space="preserve"> PAGEREF _Toc127268836 \h </w:instrText>
            </w:r>
            <w:r>
              <w:rPr>
                <w:noProof/>
                <w:webHidden/>
              </w:rPr>
            </w:r>
            <w:r>
              <w:rPr>
                <w:noProof/>
                <w:webHidden/>
              </w:rPr>
              <w:fldChar w:fldCharType="separate"/>
            </w:r>
            <w:r>
              <w:rPr>
                <w:noProof/>
                <w:webHidden/>
              </w:rPr>
              <w:t>7</w:t>
            </w:r>
            <w:r>
              <w:rPr>
                <w:noProof/>
                <w:webHidden/>
              </w:rPr>
              <w:fldChar w:fldCharType="end"/>
            </w:r>
          </w:hyperlink>
        </w:p>
        <w:p w14:paraId="02E562D9" w14:textId="066AEB52"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37" w:history="1">
            <w:r w:rsidRPr="00B67719">
              <w:rPr>
                <w:rStyle w:val="Hyperlink"/>
                <w:noProof/>
              </w:rPr>
              <w:t>3.1.</w:t>
            </w:r>
            <w:r>
              <w:rPr>
                <w:rFonts w:asciiTheme="minorHAnsi" w:eastAsiaTheme="minorEastAsia" w:hAnsiTheme="minorHAnsi" w:cstheme="minorBidi"/>
                <w:noProof/>
                <w:sz w:val="22"/>
                <w:szCs w:val="22"/>
                <w:lang w:val="en-US"/>
              </w:rPr>
              <w:tab/>
            </w:r>
            <w:r w:rsidRPr="00B67719">
              <w:rPr>
                <w:rStyle w:val="Hyperlink"/>
                <w:noProof/>
              </w:rPr>
              <w:t>Pristojni organ</w:t>
            </w:r>
            <w:r>
              <w:rPr>
                <w:noProof/>
                <w:webHidden/>
              </w:rPr>
              <w:tab/>
            </w:r>
            <w:r>
              <w:rPr>
                <w:noProof/>
                <w:webHidden/>
              </w:rPr>
              <w:fldChar w:fldCharType="begin"/>
            </w:r>
            <w:r>
              <w:rPr>
                <w:noProof/>
                <w:webHidden/>
              </w:rPr>
              <w:instrText xml:space="preserve"> PAGEREF _Toc127268837 \h </w:instrText>
            </w:r>
            <w:r>
              <w:rPr>
                <w:noProof/>
                <w:webHidden/>
              </w:rPr>
            </w:r>
            <w:r>
              <w:rPr>
                <w:noProof/>
                <w:webHidden/>
              </w:rPr>
              <w:fldChar w:fldCharType="separate"/>
            </w:r>
            <w:r>
              <w:rPr>
                <w:noProof/>
                <w:webHidden/>
              </w:rPr>
              <w:t>7</w:t>
            </w:r>
            <w:r>
              <w:rPr>
                <w:noProof/>
                <w:webHidden/>
              </w:rPr>
              <w:fldChar w:fldCharType="end"/>
            </w:r>
          </w:hyperlink>
        </w:p>
        <w:p w14:paraId="350DE03F" w14:textId="7A9D7CD5"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38" w:history="1">
            <w:r w:rsidRPr="00B67719">
              <w:rPr>
                <w:rStyle w:val="Hyperlink"/>
                <w:noProof/>
                <w14:scene3d>
                  <w14:camera w14:prst="orthographicFront"/>
                  <w14:lightRig w14:rig="threePt" w14:dir="t">
                    <w14:rot w14:lat="0" w14:lon="0" w14:rev="0"/>
                  </w14:lightRig>
                </w14:scene3d>
              </w:rPr>
              <w:t>3.1.1.</w:t>
            </w:r>
            <w:r>
              <w:rPr>
                <w:rFonts w:asciiTheme="minorHAnsi" w:eastAsiaTheme="minorEastAsia" w:hAnsiTheme="minorHAnsi" w:cstheme="minorBidi"/>
                <w:noProof/>
                <w:sz w:val="22"/>
                <w:szCs w:val="22"/>
                <w:lang w:val="en-US"/>
              </w:rPr>
              <w:tab/>
            </w:r>
            <w:r w:rsidRPr="00B67719">
              <w:rPr>
                <w:rStyle w:val="Hyperlink"/>
                <w:noProof/>
              </w:rPr>
              <w:t>Opis</w:t>
            </w:r>
            <w:r>
              <w:rPr>
                <w:noProof/>
                <w:webHidden/>
              </w:rPr>
              <w:tab/>
            </w:r>
            <w:r>
              <w:rPr>
                <w:noProof/>
                <w:webHidden/>
              </w:rPr>
              <w:fldChar w:fldCharType="begin"/>
            </w:r>
            <w:r>
              <w:rPr>
                <w:noProof/>
                <w:webHidden/>
              </w:rPr>
              <w:instrText xml:space="preserve"> PAGEREF _Toc127268838 \h </w:instrText>
            </w:r>
            <w:r>
              <w:rPr>
                <w:noProof/>
                <w:webHidden/>
              </w:rPr>
            </w:r>
            <w:r>
              <w:rPr>
                <w:noProof/>
                <w:webHidden/>
              </w:rPr>
              <w:fldChar w:fldCharType="separate"/>
            </w:r>
            <w:r>
              <w:rPr>
                <w:noProof/>
                <w:webHidden/>
              </w:rPr>
              <w:t>7</w:t>
            </w:r>
            <w:r>
              <w:rPr>
                <w:noProof/>
                <w:webHidden/>
              </w:rPr>
              <w:fldChar w:fldCharType="end"/>
            </w:r>
          </w:hyperlink>
        </w:p>
        <w:p w14:paraId="70609A51" w14:textId="4738757A"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39" w:history="1">
            <w:r w:rsidRPr="00B67719">
              <w:rPr>
                <w:rStyle w:val="Hyperlink"/>
                <w:noProof/>
                <w14:scene3d>
                  <w14:camera w14:prst="orthographicFront"/>
                  <w14:lightRig w14:rig="threePt" w14:dir="t">
                    <w14:rot w14:lat="0" w14:lon="0" w14:rev="0"/>
                  </w14:lightRig>
                </w14:scene3d>
              </w:rPr>
              <w:t>3.1.2.</w:t>
            </w:r>
            <w:r>
              <w:rPr>
                <w:rFonts w:asciiTheme="minorHAnsi" w:eastAsiaTheme="minorEastAsia" w:hAnsiTheme="minorHAnsi" w:cstheme="minorBidi"/>
                <w:noProof/>
                <w:sz w:val="22"/>
                <w:szCs w:val="22"/>
                <w:lang w:val="en-US"/>
              </w:rPr>
              <w:tab/>
            </w:r>
            <w:r w:rsidRPr="00B67719">
              <w:rPr>
                <w:rStyle w:val="Hyperlink"/>
                <w:noProof/>
              </w:rPr>
              <w:t>Vloga</w:t>
            </w:r>
            <w:r>
              <w:rPr>
                <w:noProof/>
                <w:webHidden/>
              </w:rPr>
              <w:tab/>
            </w:r>
            <w:r>
              <w:rPr>
                <w:noProof/>
                <w:webHidden/>
              </w:rPr>
              <w:fldChar w:fldCharType="begin"/>
            </w:r>
            <w:r>
              <w:rPr>
                <w:noProof/>
                <w:webHidden/>
              </w:rPr>
              <w:instrText xml:space="preserve"> PAGEREF _Toc127268839 \h </w:instrText>
            </w:r>
            <w:r>
              <w:rPr>
                <w:noProof/>
                <w:webHidden/>
              </w:rPr>
            </w:r>
            <w:r>
              <w:rPr>
                <w:noProof/>
                <w:webHidden/>
              </w:rPr>
              <w:fldChar w:fldCharType="separate"/>
            </w:r>
            <w:r>
              <w:rPr>
                <w:noProof/>
                <w:webHidden/>
              </w:rPr>
              <w:t>7</w:t>
            </w:r>
            <w:r>
              <w:rPr>
                <w:noProof/>
                <w:webHidden/>
              </w:rPr>
              <w:fldChar w:fldCharType="end"/>
            </w:r>
          </w:hyperlink>
        </w:p>
        <w:p w14:paraId="450D0691" w14:textId="66FE7FD5"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0" w:history="1">
            <w:r w:rsidRPr="00B67719">
              <w:rPr>
                <w:rStyle w:val="Hyperlink"/>
                <w:noProof/>
                <w14:scene3d>
                  <w14:camera w14:prst="orthographicFront"/>
                  <w14:lightRig w14:rig="threePt" w14:dir="t">
                    <w14:rot w14:lat="0" w14:lon="0" w14:rev="0"/>
                  </w14:lightRig>
                </w14:scene3d>
              </w:rPr>
              <w:t>3.1.3.</w:t>
            </w:r>
            <w:r>
              <w:rPr>
                <w:rFonts w:asciiTheme="minorHAnsi" w:eastAsiaTheme="minorEastAsia" w:hAnsiTheme="minorHAnsi" w:cstheme="minorBidi"/>
                <w:noProof/>
                <w:sz w:val="22"/>
                <w:szCs w:val="22"/>
                <w:lang w:val="en-US"/>
              </w:rPr>
              <w:tab/>
            </w:r>
            <w:r w:rsidRPr="00B67719">
              <w:rPr>
                <w:rStyle w:val="Hyperlink"/>
                <w:noProof/>
              </w:rPr>
              <w:t>Naloge</w:t>
            </w:r>
            <w:r>
              <w:rPr>
                <w:noProof/>
                <w:webHidden/>
              </w:rPr>
              <w:tab/>
            </w:r>
            <w:r>
              <w:rPr>
                <w:noProof/>
                <w:webHidden/>
              </w:rPr>
              <w:fldChar w:fldCharType="begin"/>
            </w:r>
            <w:r>
              <w:rPr>
                <w:noProof/>
                <w:webHidden/>
              </w:rPr>
              <w:instrText xml:space="preserve"> PAGEREF _Toc127268840 \h </w:instrText>
            </w:r>
            <w:r>
              <w:rPr>
                <w:noProof/>
                <w:webHidden/>
              </w:rPr>
            </w:r>
            <w:r>
              <w:rPr>
                <w:noProof/>
                <w:webHidden/>
              </w:rPr>
              <w:fldChar w:fldCharType="separate"/>
            </w:r>
            <w:r>
              <w:rPr>
                <w:noProof/>
                <w:webHidden/>
              </w:rPr>
              <w:t>7</w:t>
            </w:r>
            <w:r>
              <w:rPr>
                <w:noProof/>
                <w:webHidden/>
              </w:rPr>
              <w:fldChar w:fldCharType="end"/>
            </w:r>
          </w:hyperlink>
        </w:p>
        <w:p w14:paraId="1FC1CD4F" w14:textId="75884B73"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41" w:history="1">
            <w:r w:rsidRPr="00B67719">
              <w:rPr>
                <w:rStyle w:val="Hyperlink"/>
                <w:noProof/>
              </w:rPr>
              <w:t>3.2.</w:t>
            </w:r>
            <w:r>
              <w:rPr>
                <w:rFonts w:asciiTheme="minorHAnsi" w:eastAsiaTheme="minorEastAsia" w:hAnsiTheme="minorHAnsi" w:cstheme="minorBidi"/>
                <w:noProof/>
                <w:sz w:val="22"/>
                <w:szCs w:val="22"/>
                <w:lang w:val="en-US"/>
              </w:rPr>
              <w:tab/>
            </w:r>
            <w:r w:rsidRPr="00B67719">
              <w:rPr>
                <w:rStyle w:val="Hyperlink"/>
                <w:noProof/>
              </w:rPr>
              <w:t>Plačilna agencija</w:t>
            </w:r>
            <w:r>
              <w:rPr>
                <w:noProof/>
                <w:webHidden/>
              </w:rPr>
              <w:tab/>
            </w:r>
            <w:r>
              <w:rPr>
                <w:noProof/>
                <w:webHidden/>
              </w:rPr>
              <w:fldChar w:fldCharType="begin"/>
            </w:r>
            <w:r>
              <w:rPr>
                <w:noProof/>
                <w:webHidden/>
              </w:rPr>
              <w:instrText xml:space="preserve"> PAGEREF _Toc127268841 \h </w:instrText>
            </w:r>
            <w:r>
              <w:rPr>
                <w:noProof/>
                <w:webHidden/>
              </w:rPr>
            </w:r>
            <w:r>
              <w:rPr>
                <w:noProof/>
                <w:webHidden/>
              </w:rPr>
              <w:fldChar w:fldCharType="separate"/>
            </w:r>
            <w:r>
              <w:rPr>
                <w:noProof/>
                <w:webHidden/>
              </w:rPr>
              <w:t>9</w:t>
            </w:r>
            <w:r>
              <w:rPr>
                <w:noProof/>
                <w:webHidden/>
              </w:rPr>
              <w:fldChar w:fldCharType="end"/>
            </w:r>
          </w:hyperlink>
        </w:p>
        <w:p w14:paraId="68EE0100" w14:textId="7CAAF76A"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2" w:history="1">
            <w:r w:rsidRPr="00B67719">
              <w:rPr>
                <w:rStyle w:val="Hyperlink"/>
                <w:noProof/>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lang w:val="en-US"/>
              </w:rPr>
              <w:tab/>
            </w:r>
            <w:r w:rsidRPr="00B67719">
              <w:rPr>
                <w:rStyle w:val="Hyperlink"/>
                <w:noProof/>
              </w:rPr>
              <w:t>Opis</w:t>
            </w:r>
            <w:r>
              <w:rPr>
                <w:noProof/>
                <w:webHidden/>
              </w:rPr>
              <w:tab/>
            </w:r>
            <w:r>
              <w:rPr>
                <w:noProof/>
                <w:webHidden/>
              </w:rPr>
              <w:fldChar w:fldCharType="begin"/>
            </w:r>
            <w:r>
              <w:rPr>
                <w:noProof/>
                <w:webHidden/>
              </w:rPr>
              <w:instrText xml:space="preserve"> PAGEREF _Toc127268842 \h </w:instrText>
            </w:r>
            <w:r>
              <w:rPr>
                <w:noProof/>
                <w:webHidden/>
              </w:rPr>
            </w:r>
            <w:r>
              <w:rPr>
                <w:noProof/>
                <w:webHidden/>
              </w:rPr>
              <w:fldChar w:fldCharType="separate"/>
            </w:r>
            <w:r>
              <w:rPr>
                <w:noProof/>
                <w:webHidden/>
              </w:rPr>
              <w:t>9</w:t>
            </w:r>
            <w:r>
              <w:rPr>
                <w:noProof/>
                <w:webHidden/>
              </w:rPr>
              <w:fldChar w:fldCharType="end"/>
            </w:r>
          </w:hyperlink>
        </w:p>
        <w:p w14:paraId="0DA94AC6" w14:textId="7FF603AE"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3" w:history="1">
            <w:r w:rsidRPr="00B67719">
              <w:rPr>
                <w:rStyle w:val="Hyperlink"/>
                <w:noProof/>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lang w:val="en-US"/>
              </w:rPr>
              <w:tab/>
            </w:r>
            <w:r w:rsidRPr="00B67719">
              <w:rPr>
                <w:rStyle w:val="Hyperlink"/>
                <w:noProof/>
              </w:rPr>
              <w:t>Vloga</w:t>
            </w:r>
            <w:r>
              <w:rPr>
                <w:noProof/>
                <w:webHidden/>
              </w:rPr>
              <w:tab/>
            </w:r>
            <w:r>
              <w:rPr>
                <w:noProof/>
                <w:webHidden/>
              </w:rPr>
              <w:fldChar w:fldCharType="begin"/>
            </w:r>
            <w:r>
              <w:rPr>
                <w:noProof/>
                <w:webHidden/>
              </w:rPr>
              <w:instrText xml:space="preserve"> PAGEREF _Toc127268843 \h </w:instrText>
            </w:r>
            <w:r>
              <w:rPr>
                <w:noProof/>
                <w:webHidden/>
              </w:rPr>
            </w:r>
            <w:r>
              <w:rPr>
                <w:noProof/>
                <w:webHidden/>
              </w:rPr>
              <w:fldChar w:fldCharType="separate"/>
            </w:r>
            <w:r>
              <w:rPr>
                <w:noProof/>
                <w:webHidden/>
              </w:rPr>
              <w:t>9</w:t>
            </w:r>
            <w:r>
              <w:rPr>
                <w:noProof/>
                <w:webHidden/>
              </w:rPr>
              <w:fldChar w:fldCharType="end"/>
            </w:r>
          </w:hyperlink>
        </w:p>
        <w:p w14:paraId="32A64561" w14:textId="4CCBF578"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4" w:history="1">
            <w:r w:rsidRPr="00B67719">
              <w:rPr>
                <w:rStyle w:val="Hyperlink"/>
                <w:noProof/>
                <w14:scene3d>
                  <w14:camera w14:prst="orthographicFront"/>
                  <w14:lightRig w14:rig="threePt" w14:dir="t">
                    <w14:rot w14:lat="0" w14:lon="0" w14:rev="0"/>
                  </w14:lightRig>
                </w14:scene3d>
              </w:rPr>
              <w:t>3.2.3.</w:t>
            </w:r>
            <w:r>
              <w:rPr>
                <w:rFonts w:asciiTheme="minorHAnsi" w:eastAsiaTheme="minorEastAsia" w:hAnsiTheme="minorHAnsi" w:cstheme="minorBidi"/>
                <w:noProof/>
                <w:sz w:val="22"/>
                <w:szCs w:val="22"/>
                <w:lang w:val="en-US"/>
              </w:rPr>
              <w:tab/>
            </w:r>
            <w:r w:rsidRPr="00B67719">
              <w:rPr>
                <w:rStyle w:val="Hyperlink"/>
                <w:noProof/>
              </w:rPr>
              <w:t>Naloge</w:t>
            </w:r>
            <w:r>
              <w:rPr>
                <w:noProof/>
                <w:webHidden/>
              </w:rPr>
              <w:tab/>
            </w:r>
            <w:r>
              <w:rPr>
                <w:noProof/>
                <w:webHidden/>
              </w:rPr>
              <w:fldChar w:fldCharType="begin"/>
            </w:r>
            <w:r>
              <w:rPr>
                <w:noProof/>
                <w:webHidden/>
              </w:rPr>
              <w:instrText xml:space="preserve"> PAGEREF _Toc127268844 \h </w:instrText>
            </w:r>
            <w:r>
              <w:rPr>
                <w:noProof/>
                <w:webHidden/>
              </w:rPr>
            </w:r>
            <w:r>
              <w:rPr>
                <w:noProof/>
                <w:webHidden/>
              </w:rPr>
              <w:fldChar w:fldCharType="separate"/>
            </w:r>
            <w:r>
              <w:rPr>
                <w:noProof/>
                <w:webHidden/>
              </w:rPr>
              <w:t>9</w:t>
            </w:r>
            <w:r>
              <w:rPr>
                <w:noProof/>
                <w:webHidden/>
              </w:rPr>
              <w:fldChar w:fldCharType="end"/>
            </w:r>
          </w:hyperlink>
        </w:p>
        <w:p w14:paraId="2FC05D9A" w14:textId="270A6F02"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45" w:history="1">
            <w:r w:rsidRPr="00B67719">
              <w:rPr>
                <w:rStyle w:val="Hyperlink"/>
                <w:noProof/>
              </w:rPr>
              <w:t>3.3.</w:t>
            </w:r>
            <w:r>
              <w:rPr>
                <w:rFonts w:asciiTheme="minorHAnsi" w:eastAsiaTheme="minorEastAsia" w:hAnsiTheme="minorHAnsi" w:cstheme="minorBidi"/>
                <w:noProof/>
                <w:sz w:val="22"/>
                <w:szCs w:val="22"/>
                <w:lang w:val="en-US"/>
              </w:rPr>
              <w:tab/>
            </w:r>
            <w:r w:rsidRPr="00B67719">
              <w:rPr>
                <w:rStyle w:val="Hyperlink"/>
                <w:noProof/>
              </w:rPr>
              <w:t>Usklajevalni organ</w:t>
            </w:r>
            <w:r>
              <w:rPr>
                <w:noProof/>
                <w:webHidden/>
              </w:rPr>
              <w:tab/>
            </w:r>
            <w:r>
              <w:rPr>
                <w:noProof/>
                <w:webHidden/>
              </w:rPr>
              <w:fldChar w:fldCharType="begin"/>
            </w:r>
            <w:r>
              <w:rPr>
                <w:noProof/>
                <w:webHidden/>
              </w:rPr>
              <w:instrText xml:space="preserve"> PAGEREF _Toc127268845 \h </w:instrText>
            </w:r>
            <w:r>
              <w:rPr>
                <w:noProof/>
                <w:webHidden/>
              </w:rPr>
            </w:r>
            <w:r>
              <w:rPr>
                <w:noProof/>
                <w:webHidden/>
              </w:rPr>
              <w:fldChar w:fldCharType="separate"/>
            </w:r>
            <w:r>
              <w:rPr>
                <w:noProof/>
                <w:webHidden/>
              </w:rPr>
              <w:t>10</w:t>
            </w:r>
            <w:r>
              <w:rPr>
                <w:noProof/>
                <w:webHidden/>
              </w:rPr>
              <w:fldChar w:fldCharType="end"/>
            </w:r>
          </w:hyperlink>
        </w:p>
        <w:p w14:paraId="01D39BBD" w14:textId="1E656278"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6" w:history="1">
            <w:r w:rsidRPr="00B67719">
              <w:rPr>
                <w:rStyle w:val="Hyperlink"/>
                <w:noProof/>
                <w14:scene3d>
                  <w14:camera w14:prst="orthographicFront"/>
                  <w14:lightRig w14:rig="threePt" w14:dir="t">
                    <w14:rot w14:lat="0" w14:lon="0" w14:rev="0"/>
                  </w14:lightRig>
                </w14:scene3d>
              </w:rPr>
              <w:t>3.3.1.</w:t>
            </w:r>
            <w:r>
              <w:rPr>
                <w:rFonts w:asciiTheme="minorHAnsi" w:eastAsiaTheme="minorEastAsia" w:hAnsiTheme="minorHAnsi" w:cstheme="minorBidi"/>
                <w:noProof/>
                <w:sz w:val="22"/>
                <w:szCs w:val="22"/>
                <w:lang w:val="en-US"/>
              </w:rPr>
              <w:tab/>
            </w:r>
            <w:r w:rsidRPr="00B67719">
              <w:rPr>
                <w:rStyle w:val="Hyperlink"/>
                <w:noProof/>
              </w:rPr>
              <w:t>Opis</w:t>
            </w:r>
            <w:r>
              <w:rPr>
                <w:noProof/>
                <w:webHidden/>
              </w:rPr>
              <w:tab/>
            </w:r>
            <w:r>
              <w:rPr>
                <w:noProof/>
                <w:webHidden/>
              </w:rPr>
              <w:fldChar w:fldCharType="begin"/>
            </w:r>
            <w:r>
              <w:rPr>
                <w:noProof/>
                <w:webHidden/>
              </w:rPr>
              <w:instrText xml:space="preserve"> PAGEREF _Toc127268846 \h </w:instrText>
            </w:r>
            <w:r>
              <w:rPr>
                <w:noProof/>
                <w:webHidden/>
              </w:rPr>
            </w:r>
            <w:r>
              <w:rPr>
                <w:noProof/>
                <w:webHidden/>
              </w:rPr>
              <w:fldChar w:fldCharType="separate"/>
            </w:r>
            <w:r>
              <w:rPr>
                <w:noProof/>
                <w:webHidden/>
              </w:rPr>
              <w:t>10</w:t>
            </w:r>
            <w:r>
              <w:rPr>
                <w:noProof/>
                <w:webHidden/>
              </w:rPr>
              <w:fldChar w:fldCharType="end"/>
            </w:r>
          </w:hyperlink>
        </w:p>
        <w:p w14:paraId="2E0A5D61" w14:textId="27FD921E"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7" w:history="1">
            <w:r w:rsidRPr="00B67719">
              <w:rPr>
                <w:rStyle w:val="Hyperlink"/>
                <w:noProof/>
                <w14:scene3d>
                  <w14:camera w14:prst="orthographicFront"/>
                  <w14:lightRig w14:rig="threePt" w14:dir="t">
                    <w14:rot w14:lat="0" w14:lon="0" w14:rev="0"/>
                  </w14:lightRig>
                </w14:scene3d>
              </w:rPr>
              <w:t>3.3.2.</w:t>
            </w:r>
            <w:r>
              <w:rPr>
                <w:rFonts w:asciiTheme="minorHAnsi" w:eastAsiaTheme="minorEastAsia" w:hAnsiTheme="minorHAnsi" w:cstheme="minorBidi"/>
                <w:noProof/>
                <w:sz w:val="22"/>
                <w:szCs w:val="22"/>
                <w:lang w:val="en-US"/>
              </w:rPr>
              <w:tab/>
            </w:r>
            <w:r w:rsidRPr="00B67719">
              <w:rPr>
                <w:rStyle w:val="Hyperlink"/>
                <w:noProof/>
              </w:rPr>
              <w:t>Vloga</w:t>
            </w:r>
            <w:r>
              <w:rPr>
                <w:noProof/>
                <w:webHidden/>
              </w:rPr>
              <w:tab/>
            </w:r>
            <w:r>
              <w:rPr>
                <w:noProof/>
                <w:webHidden/>
              </w:rPr>
              <w:fldChar w:fldCharType="begin"/>
            </w:r>
            <w:r>
              <w:rPr>
                <w:noProof/>
                <w:webHidden/>
              </w:rPr>
              <w:instrText xml:space="preserve"> PAGEREF _Toc127268847 \h </w:instrText>
            </w:r>
            <w:r>
              <w:rPr>
                <w:noProof/>
                <w:webHidden/>
              </w:rPr>
            </w:r>
            <w:r>
              <w:rPr>
                <w:noProof/>
                <w:webHidden/>
              </w:rPr>
              <w:fldChar w:fldCharType="separate"/>
            </w:r>
            <w:r>
              <w:rPr>
                <w:noProof/>
                <w:webHidden/>
              </w:rPr>
              <w:t>10</w:t>
            </w:r>
            <w:r>
              <w:rPr>
                <w:noProof/>
                <w:webHidden/>
              </w:rPr>
              <w:fldChar w:fldCharType="end"/>
            </w:r>
          </w:hyperlink>
        </w:p>
        <w:p w14:paraId="5EAD2329" w14:textId="3F743651"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48" w:history="1">
            <w:r w:rsidRPr="00B67719">
              <w:rPr>
                <w:rStyle w:val="Hyperlink"/>
                <w:noProof/>
                <w14:scene3d>
                  <w14:camera w14:prst="orthographicFront"/>
                  <w14:lightRig w14:rig="threePt" w14:dir="t">
                    <w14:rot w14:lat="0" w14:lon="0" w14:rev="0"/>
                  </w14:lightRig>
                </w14:scene3d>
              </w:rPr>
              <w:t>3.3.3.</w:t>
            </w:r>
            <w:r>
              <w:rPr>
                <w:rFonts w:asciiTheme="minorHAnsi" w:eastAsiaTheme="minorEastAsia" w:hAnsiTheme="minorHAnsi" w:cstheme="minorBidi"/>
                <w:noProof/>
                <w:sz w:val="22"/>
                <w:szCs w:val="22"/>
                <w:lang w:val="en-US"/>
              </w:rPr>
              <w:tab/>
            </w:r>
            <w:r w:rsidRPr="00B67719">
              <w:rPr>
                <w:rStyle w:val="Hyperlink"/>
                <w:noProof/>
              </w:rPr>
              <w:t>Naloge</w:t>
            </w:r>
            <w:r>
              <w:rPr>
                <w:noProof/>
                <w:webHidden/>
              </w:rPr>
              <w:tab/>
            </w:r>
            <w:r>
              <w:rPr>
                <w:noProof/>
                <w:webHidden/>
              </w:rPr>
              <w:fldChar w:fldCharType="begin"/>
            </w:r>
            <w:r>
              <w:rPr>
                <w:noProof/>
                <w:webHidden/>
              </w:rPr>
              <w:instrText xml:space="preserve"> PAGEREF _Toc127268848 \h </w:instrText>
            </w:r>
            <w:r>
              <w:rPr>
                <w:noProof/>
                <w:webHidden/>
              </w:rPr>
            </w:r>
            <w:r>
              <w:rPr>
                <w:noProof/>
                <w:webHidden/>
              </w:rPr>
              <w:fldChar w:fldCharType="separate"/>
            </w:r>
            <w:r>
              <w:rPr>
                <w:noProof/>
                <w:webHidden/>
              </w:rPr>
              <w:t>10</w:t>
            </w:r>
            <w:r>
              <w:rPr>
                <w:noProof/>
                <w:webHidden/>
              </w:rPr>
              <w:fldChar w:fldCharType="end"/>
            </w:r>
          </w:hyperlink>
        </w:p>
        <w:p w14:paraId="332AD355" w14:textId="7EE89656"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49" w:history="1">
            <w:r w:rsidRPr="00B67719">
              <w:rPr>
                <w:rStyle w:val="Hyperlink"/>
                <w:noProof/>
              </w:rPr>
              <w:t>3.4.</w:t>
            </w:r>
            <w:r>
              <w:rPr>
                <w:rFonts w:asciiTheme="minorHAnsi" w:eastAsiaTheme="minorEastAsia" w:hAnsiTheme="minorHAnsi" w:cstheme="minorBidi"/>
                <w:noProof/>
                <w:sz w:val="22"/>
                <w:szCs w:val="22"/>
                <w:lang w:val="en-US"/>
              </w:rPr>
              <w:tab/>
            </w:r>
            <w:r w:rsidRPr="00B67719">
              <w:rPr>
                <w:rStyle w:val="Hyperlink"/>
                <w:noProof/>
              </w:rPr>
              <w:t>Certifikacijski organ</w:t>
            </w:r>
            <w:r>
              <w:rPr>
                <w:noProof/>
                <w:webHidden/>
              </w:rPr>
              <w:tab/>
            </w:r>
            <w:r>
              <w:rPr>
                <w:noProof/>
                <w:webHidden/>
              </w:rPr>
              <w:fldChar w:fldCharType="begin"/>
            </w:r>
            <w:r>
              <w:rPr>
                <w:noProof/>
                <w:webHidden/>
              </w:rPr>
              <w:instrText xml:space="preserve"> PAGEREF _Toc127268849 \h </w:instrText>
            </w:r>
            <w:r>
              <w:rPr>
                <w:noProof/>
                <w:webHidden/>
              </w:rPr>
            </w:r>
            <w:r>
              <w:rPr>
                <w:noProof/>
                <w:webHidden/>
              </w:rPr>
              <w:fldChar w:fldCharType="separate"/>
            </w:r>
            <w:r>
              <w:rPr>
                <w:noProof/>
                <w:webHidden/>
              </w:rPr>
              <w:t>10</w:t>
            </w:r>
            <w:r>
              <w:rPr>
                <w:noProof/>
                <w:webHidden/>
              </w:rPr>
              <w:fldChar w:fldCharType="end"/>
            </w:r>
          </w:hyperlink>
        </w:p>
        <w:p w14:paraId="0CFA2BE3" w14:textId="2429AC83"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0" w:history="1">
            <w:r w:rsidRPr="00B67719">
              <w:rPr>
                <w:rStyle w:val="Hyperlink"/>
                <w:noProof/>
                <w14:scene3d>
                  <w14:camera w14:prst="orthographicFront"/>
                  <w14:lightRig w14:rig="threePt" w14:dir="t">
                    <w14:rot w14:lat="0" w14:lon="0" w14:rev="0"/>
                  </w14:lightRig>
                </w14:scene3d>
              </w:rPr>
              <w:t>3.4.1.</w:t>
            </w:r>
            <w:r>
              <w:rPr>
                <w:rFonts w:asciiTheme="minorHAnsi" w:eastAsiaTheme="minorEastAsia" w:hAnsiTheme="minorHAnsi" w:cstheme="minorBidi"/>
                <w:noProof/>
                <w:sz w:val="22"/>
                <w:szCs w:val="22"/>
                <w:lang w:val="en-US"/>
              </w:rPr>
              <w:tab/>
            </w:r>
            <w:r w:rsidRPr="00B67719">
              <w:rPr>
                <w:rStyle w:val="Hyperlink"/>
                <w:noProof/>
              </w:rPr>
              <w:t>Opis</w:t>
            </w:r>
            <w:r>
              <w:rPr>
                <w:noProof/>
                <w:webHidden/>
              </w:rPr>
              <w:tab/>
            </w:r>
            <w:r>
              <w:rPr>
                <w:noProof/>
                <w:webHidden/>
              </w:rPr>
              <w:fldChar w:fldCharType="begin"/>
            </w:r>
            <w:r>
              <w:rPr>
                <w:noProof/>
                <w:webHidden/>
              </w:rPr>
              <w:instrText xml:space="preserve"> PAGEREF _Toc127268850 \h </w:instrText>
            </w:r>
            <w:r>
              <w:rPr>
                <w:noProof/>
                <w:webHidden/>
              </w:rPr>
            </w:r>
            <w:r>
              <w:rPr>
                <w:noProof/>
                <w:webHidden/>
              </w:rPr>
              <w:fldChar w:fldCharType="separate"/>
            </w:r>
            <w:r>
              <w:rPr>
                <w:noProof/>
                <w:webHidden/>
              </w:rPr>
              <w:t>10</w:t>
            </w:r>
            <w:r>
              <w:rPr>
                <w:noProof/>
                <w:webHidden/>
              </w:rPr>
              <w:fldChar w:fldCharType="end"/>
            </w:r>
          </w:hyperlink>
        </w:p>
        <w:p w14:paraId="74726C4B" w14:textId="0318D938"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1" w:history="1">
            <w:r w:rsidRPr="00B67719">
              <w:rPr>
                <w:rStyle w:val="Hyperlink"/>
                <w:noProof/>
                <w14:scene3d>
                  <w14:camera w14:prst="orthographicFront"/>
                  <w14:lightRig w14:rig="threePt" w14:dir="t">
                    <w14:rot w14:lat="0" w14:lon="0" w14:rev="0"/>
                  </w14:lightRig>
                </w14:scene3d>
              </w:rPr>
              <w:t>3.4.2.</w:t>
            </w:r>
            <w:r>
              <w:rPr>
                <w:rFonts w:asciiTheme="minorHAnsi" w:eastAsiaTheme="minorEastAsia" w:hAnsiTheme="minorHAnsi" w:cstheme="minorBidi"/>
                <w:noProof/>
                <w:sz w:val="22"/>
                <w:szCs w:val="22"/>
                <w:lang w:val="en-US"/>
              </w:rPr>
              <w:tab/>
            </w:r>
            <w:r w:rsidRPr="00B67719">
              <w:rPr>
                <w:rStyle w:val="Hyperlink"/>
                <w:noProof/>
              </w:rPr>
              <w:t>Vloga</w:t>
            </w:r>
            <w:r>
              <w:rPr>
                <w:noProof/>
                <w:webHidden/>
              </w:rPr>
              <w:tab/>
            </w:r>
            <w:r>
              <w:rPr>
                <w:noProof/>
                <w:webHidden/>
              </w:rPr>
              <w:fldChar w:fldCharType="begin"/>
            </w:r>
            <w:r>
              <w:rPr>
                <w:noProof/>
                <w:webHidden/>
              </w:rPr>
              <w:instrText xml:space="preserve"> PAGEREF _Toc127268851 \h </w:instrText>
            </w:r>
            <w:r>
              <w:rPr>
                <w:noProof/>
                <w:webHidden/>
              </w:rPr>
            </w:r>
            <w:r>
              <w:rPr>
                <w:noProof/>
                <w:webHidden/>
              </w:rPr>
              <w:fldChar w:fldCharType="separate"/>
            </w:r>
            <w:r>
              <w:rPr>
                <w:noProof/>
                <w:webHidden/>
              </w:rPr>
              <w:t>10</w:t>
            </w:r>
            <w:r>
              <w:rPr>
                <w:noProof/>
                <w:webHidden/>
              </w:rPr>
              <w:fldChar w:fldCharType="end"/>
            </w:r>
          </w:hyperlink>
        </w:p>
        <w:p w14:paraId="64B1685D" w14:textId="116C03AB"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2" w:history="1">
            <w:r w:rsidRPr="00B67719">
              <w:rPr>
                <w:rStyle w:val="Hyperlink"/>
                <w:noProof/>
                <w14:scene3d>
                  <w14:camera w14:prst="orthographicFront"/>
                  <w14:lightRig w14:rig="threePt" w14:dir="t">
                    <w14:rot w14:lat="0" w14:lon="0" w14:rev="0"/>
                  </w14:lightRig>
                </w14:scene3d>
              </w:rPr>
              <w:t>3.4.3.</w:t>
            </w:r>
            <w:r>
              <w:rPr>
                <w:rFonts w:asciiTheme="minorHAnsi" w:eastAsiaTheme="minorEastAsia" w:hAnsiTheme="minorHAnsi" w:cstheme="minorBidi"/>
                <w:noProof/>
                <w:sz w:val="22"/>
                <w:szCs w:val="22"/>
                <w:lang w:val="en-US"/>
              </w:rPr>
              <w:tab/>
            </w:r>
            <w:r w:rsidRPr="00B67719">
              <w:rPr>
                <w:rStyle w:val="Hyperlink"/>
                <w:noProof/>
              </w:rPr>
              <w:t>Naloge</w:t>
            </w:r>
            <w:r>
              <w:rPr>
                <w:noProof/>
                <w:webHidden/>
              </w:rPr>
              <w:tab/>
            </w:r>
            <w:r>
              <w:rPr>
                <w:noProof/>
                <w:webHidden/>
              </w:rPr>
              <w:fldChar w:fldCharType="begin"/>
            </w:r>
            <w:r>
              <w:rPr>
                <w:noProof/>
                <w:webHidden/>
              </w:rPr>
              <w:instrText xml:space="preserve"> PAGEREF _Toc127268852 \h </w:instrText>
            </w:r>
            <w:r>
              <w:rPr>
                <w:noProof/>
                <w:webHidden/>
              </w:rPr>
            </w:r>
            <w:r>
              <w:rPr>
                <w:noProof/>
                <w:webHidden/>
              </w:rPr>
              <w:fldChar w:fldCharType="separate"/>
            </w:r>
            <w:r>
              <w:rPr>
                <w:noProof/>
                <w:webHidden/>
              </w:rPr>
              <w:t>11</w:t>
            </w:r>
            <w:r>
              <w:rPr>
                <w:noProof/>
                <w:webHidden/>
              </w:rPr>
              <w:fldChar w:fldCharType="end"/>
            </w:r>
          </w:hyperlink>
        </w:p>
        <w:p w14:paraId="04FDA004" w14:textId="020FA530"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53" w:history="1">
            <w:r w:rsidRPr="00B67719">
              <w:rPr>
                <w:rStyle w:val="Hyperlink"/>
                <w:noProof/>
              </w:rPr>
              <w:t>3.5.</w:t>
            </w:r>
            <w:r>
              <w:rPr>
                <w:rFonts w:asciiTheme="minorHAnsi" w:eastAsiaTheme="minorEastAsia" w:hAnsiTheme="minorHAnsi" w:cstheme="minorBidi"/>
                <w:noProof/>
                <w:sz w:val="22"/>
                <w:szCs w:val="22"/>
                <w:lang w:val="en-US"/>
              </w:rPr>
              <w:tab/>
            </w:r>
            <w:r w:rsidRPr="00B67719">
              <w:rPr>
                <w:rStyle w:val="Hyperlink"/>
                <w:noProof/>
              </w:rPr>
              <w:t>Organ upravljanja</w:t>
            </w:r>
            <w:r>
              <w:rPr>
                <w:noProof/>
                <w:webHidden/>
              </w:rPr>
              <w:tab/>
            </w:r>
            <w:r>
              <w:rPr>
                <w:noProof/>
                <w:webHidden/>
              </w:rPr>
              <w:fldChar w:fldCharType="begin"/>
            </w:r>
            <w:r>
              <w:rPr>
                <w:noProof/>
                <w:webHidden/>
              </w:rPr>
              <w:instrText xml:space="preserve"> PAGEREF _Toc127268853 \h </w:instrText>
            </w:r>
            <w:r>
              <w:rPr>
                <w:noProof/>
                <w:webHidden/>
              </w:rPr>
            </w:r>
            <w:r>
              <w:rPr>
                <w:noProof/>
                <w:webHidden/>
              </w:rPr>
              <w:fldChar w:fldCharType="separate"/>
            </w:r>
            <w:r>
              <w:rPr>
                <w:noProof/>
                <w:webHidden/>
              </w:rPr>
              <w:t>11</w:t>
            </w:r>
            <w:r>
              <w:rPr>
                <w:noProof/>
                <w:webHidden/>
              </w:rPr>
              <w:fldChar w:fldCharType="end"/>
            </w:r>
          </w:hyperlink>
        </w:p>
        <w:p w14:paraId="10F05FF8" w14:textId="1D5866AF"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4" w:history="1">
            <w:r w:rsidRPr="00B67719">
              <w:rPr>
                <w:rStyle w:val="Hyperlink"/>
                <w:noProof/>
                <w14:scene3d>
                  <w14:camera w14:prst="orthographicFront"/>
                  <w14:lightRig w14:rig="threePt" w14:dir="t">
                    <w14:rot w14:lat="0" w14:lon="0" w14:rev="0"/>
                  </w14:lightRig>
                </w14:scene3d>
              </w:rPr>
              <w:t>3.5.1.</w:t>
            </w:r>
            <w:r>
              <w:rPr>
                <w:rFonts w:asciiTheme="minorHAnsi" w:eastAsiaTheme="minorEastAsia" w:hAnsiTheme="minorHAnsi" w:cstheme="minorBidi"/>
                <w:noProof/>
                <w:sz w:val="22"/>
                <w:szCs w:val="22"/>
                <w:lang w:val="en-US"/>
              </w:rPr>
              <w:tab/>
            </w:r>
            <w:r w:rsidRPr="00B67719">
              <w:rPr>
                <w:rStyle w:val="Hyperlink"/>
                <w:noProof/>
              </w:rPr>
              <w:t>Opis</w:t>
            </w:r>
            <w:r>
              <w:rPr>
                <w:noProof/>
                <w:webHidden/>
              </w:rPr>
              <w:tab/>
            </w:r>
            <w:r>
              <w:rPr>
                <w:noProof/>
                <w:webHidden/>
              </w:rPr>
              <w:fldChar w:fldCharType="begin"/>
            </w:r>
            <w:r>
              <w:rPr>
                <w:noProof/>
                <w:webHidden/>
              </w:rPr>
              <w:instrText xml:space="preserve"> PAGEREF _Toc127268854 \h </w:instrText>
            </w:r>
            <w:r>
              <w:rPr>
                <w:noProof/>
                <w:webHidden/>
              </w:rPr>
            </w:r>
            <w:r>
              <w:rPr>
                <w:noProof/>
                <w:webHidden/>
              </w:rPr>
              <w:fldChar w:fldCharType="separate"/>
            </w:r>
            <w:r>
              <w:rPr>
                <w:noProof/>
                <w:webHidden/>
              </w:rPr>
              <w:t>11</w:t>
            </w:r>
            <w:r>
              <w:rPr>
                <w:noProof/>
                <w:webHidden/>
              </w:rPr>
              <w:fldChar w:fldCharType="end"/>
            </w:r>
          </w:hyperlink>
        </w:p>
        <w:p w14:paraId="709E6E81" w14:textId="1624A7B3"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5" w:history="1">
            <w:r w:rsidRPr="00B67719">
              <w:rPr>
                <w:rStyle w:val="Hyperlink"/>
                <w:noProof/>
                <w14:scene3d>
                  <w14:camera w14:prst="orthographicFront"/>
                  <w14:lightRig w14:rig="threePt" w14:dir="t">
                    <w14:rot w14:lat="0" w14:lon="0" w14:rev="0"/>
                  </w14:lightRig>
                </w14:scene3d>
              </w:rPr>
              <w:t>3.5.2.</w:t>
            </w:r>
            <w:r>
              <w:rPr>
                <w:rFonts w:asciiTheme="minorHAnsi" w:eastAsiaTheme="minorEastAsia" w:hAnsiTheme="minorHAnsi" w:cstheme="minorBidi"/>
                <w:noProof/>
                <w:sz w:val="22"/>
                <w:szCs w:val="22"/>
                <w:lang w:val="en-US"/>
              </w:rPr>
              <w:tab/>
            </w:r>
            <w:r w:rsidRPr="00B67719">
              <w:rPr>
                <w:rStyle w:val="Hyperlink"/>
                <w:noProof/>
              </w:rPr>
              <w:t>Vloga</w:t>
            </w:r>
            <w:r>
              <w:rPr>
                <w:noProof/>
                <w:webHidden/>
              </w:rPr>
              <w:tab/>
            </w:r>
            <w:r>
              <w:rPr>
                <w:noProof/>
                <w:webHidden/>
              </w:rPr>
              <w:fldChar w:fldCharType="begin"/>
            </w:r>
            <w:r>
              <w:rPr>
                <w:noProof/>
                <w:webHidden/>
              </w:rPr>
              <w:instrText xml:space="preserve"> PAGEREF _Toc127268855 \h </w:instrText>
            </w:r>
            <w:r>
              <w:rPr>
                <w:noProof/>
                <w:webHidden/>
              </w:rPr>
            </w:r>
            <w:r>
              <w:rPr>
                <w:noProof/>
                <w:webHidden/>
              </w:rPr>
              <w:fldChar w:fldCharType="separate"/>
            </w:r>
            <w:r>
              <w:rPr>
                <w:noProof/>
                <w:webHidden/>
              </w:rPr>
              <w:t>11</w:t>
            </w:r>
            <w:r>
              <w:rPr>
                <w:noProof/>
                <w:webHidden/>
              </w:rPr>
              <w:fldChar w:fldCharType="end"/>
            </w:r>
          </w:hyperlink>
        </w:p>
        <w:p w14:paraId="09023AA9" w14:textId="764F83AB"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6" w:history="1">
            <w:r w:rsidRPr="00B67719">
              <w:rPr>
                <w:rStyle w:val="Hyperlink"/>
                <w:noProof/>
                <w14:scene3d>
                  <w14:camera w14:prst="orthographicFront"/>
                  <w14:lightRig w14:rig="threePt" w14:dir="t">
                    <w14:rot w14:lat="0" w14:lon="0" w14:rev="0"/>
                  </w14:lightRig>
                </w14:scene3d>
              </w:rPr>
              <w:t>3.5.3.</w:t>
            </w:r>
            <w:r>
              <w:rPr>
                <w:rFonts w:asciiTheme="minorHAnsi" w:eastAsiaTheme="minorEastAsia" w:hAnsiTheme="minorHAnsi" w:cstheme="minorBidi"/>
                <w:noProof/>
                <w:sz w:val="22"/>
                <w:szCs w:val="22"/>
                <w:lang w:val="en-US"/>
              </w:rPr>
              <w:tab/>
            </w:r>
            <w:r w:rsidRPr="00B67719">
              <w:rPr>
                <w:rStyle w:val="Hyperlink"/>
                <w:noProof/>
              </w:rPr>
              <w:t>Naloge</w:t>
            </w:r>
            <w:r>
              <w:rPr>
                <w:noProof/>
                <w:webHidden/>
              </w:rPr>
              <w:tab/>
            </w:r>
            <w:r>
              <w:rPr>
                <w:noProof/>
                <w:webHidden/>
              </w:rPr>
              <w:fldChar w:fldCharType="begin"/>
            </w:r>
            <w:r>
              <w:rPr>
                <w:noProof/>
                <w:webHidden/>
              </w:rPr>
              <w:instrText xml:space="preserve"> PAGEREF _Toc127268856 \h </w:instrText>
            </w:r>
            <w:r>
              <w:rPr>
                <w:noProof/>
                <w:webHidden/>
              </w:rPr>
            </w:r>
            <w:r>
              <w:rPr>
                <w:noProof/>
                <w:webHidden/>
              </w:rPr>
              <w:fldChar w:fldCharType="separate"/>
            </w:r>
            <w:r>
              <w:rPr>
                <w:noProof/>
                <w:webHidden/>
              </w:rPr>
              <w:t>11</w:t>
            </w:r>
            <w:r>
              <w:rPr>
                <w:noProof/>
                <w:webHidden/>
              </w:rPr>
              <w:fldChar w:fldCharType="end"/>
            </w:r>
          </w:hyperlink>
        </w:p>
        <w:p w14:paraId="3591192C" w14:textId="1E761A79" w:rsidR="00E20B32" w:rsidRDefault="00E20B32">
          <w:pPr>
            <w:pStyle w:val="TOC1"/>
            <w:rPr>
              <w:rFonts w:asciiTheme="minorHAnsi" w:eastAsiaTheme="minorEastAsia" w:hAnsiTheme="minorHAnsi" w:cstheme="minorBidi"/>
              <w:caps w:val="0"/>
              <w:noProof/>
              <w:sz w:val="22"/>
              <w:szCs w:val="22"/>
              <w:lang w:val="en-US"/>
            </w:rPr>
          </w:pPr>
          <w:hyperlink w:anchor="_Toc127268857" w:history="1">
            <w:r w:rsidRPr="00B67719">
              <w:rPr>
                <w:rStyle w:val="Hyperlink"/>
                <w:noProof/>
              </w:rPr>
              <w:t>4.</w:t>
            </w:r>
            <w:r>
              <w:rPr>
                <w:rFonts w:asciiTheme="minorHAnsi" w:eastAsiaTheme="minorEastAsia" w:hAnsiTheme="minorHAnsi" w:cstheme="minorBidi"/>
                <w:caps w:val="0"/>
                <w:noProof/>
                <w:sz w:val="22"/>
                <w:szCs w:val="22"/>
                <w:lang w:val="en-US"/>
              </w:rPr>
              <w:tab/>
            </w:r>
            <w:r w:rsidRPr="00B67719">
              <w:rPr>
                <w:rStyle w:val="Hyperlink"/>
                <w:noProof/>
              </w:rPr>
              <w:t>Izpolnjevanje akreditacijskih meril in poročanje (plačilna agencija)</w:t>
            </w:r>
            <w:r>
              <w:rPr>
                <w:noProof/>
                <w:webHidden/>
              </w:rPr>
              <w:tab/>
            </w:r>
            <w:r>
              <w:rPr>
                <w:noProof/>
                <w:webHidden/>
              </w:rPr>
              <w:fldChar w:fldCharType="begin"/>
            </w:r>
            <w:r>
              <w:rPr>
                <w:noProof/>
                <w:webHidden/>
              </w:rPr>
              <w:instrText xml:space="preserve"> PAGEREF _Toc127268857 \h </w:instrText>
            </w:r>
            <w:r>
              <w:rPr>
                <w:noProof/>
                <w:webHidden/>
              </w:rPr>
            </w:r>
            <w:r>
              <w:rPr>
                <w:noProof/>
                <w:webHidden/>
              </w:rPr>
              <w:fldChar w:fldCharType="separate"/>
            </w:r>
            <w:r>
              <w:rPr>
                <w:noProof/>
                <w:webHidden/>
              </w:rPr>
              <w:t>12</w:t>
            </w:r>
            <w:r>
              <w:rPr>
                <w:noProof/>
                <w:webHidden/>
              </w:rPr>
              <w:fldChar w:fldCharType="end"/>
            </w:r>
          </w:hyperlink>
        </w:p>
        <w:p w14:paraId="1A7F742B" w14:textId="57C91537"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58" w:history="1">
            <w:r w:rsidRPr="00B67719">
              <w:rPr>
                <w:rStyle w:val="Hyperlink"/>
                <w:noProof/>
              </w:rPr>
              <w:t>4.1.</w:t>
            </w:r>
            <w:r>
              <w:rPr>
                <w:rFonts w:asciiTheme="minorHAnsi" w:eastAsiaTheme="minorEastAsia" w:hAnsiTheme="minorHAnsi" w:cstheme="minorBidi"/>
                <w:noProof/>
                <w:sz w:val="22"/>
                <w:szCs w:val="22"/>
                <w:lang w:val="en-US"/>
              </w:rPr>
              <w:tab/>
            </w:r>
            <w:r w:rsidRPr="00B67719">
              <w:rPr>
                <w:rStyle w:val="Hyperlink"/>
                <w:noProof/>
              </w:rPr>
              <w:t>Obseg postopkov za odobritev zahtevkov</w:t>
            </w:r>
            <w:r>
              <w:rPr>
                <w:noProof/>
                <w:webHidden/>
              </w:rPr>
              <w:tab/>
            </w:r>
            <w:r>
              <w:rPr>
                <w:noProof/>
                <w:webHidden/>
              </w:rPr>
              <w:fldChar w:fldCharType="begin"/>
            </w:r>
            <w:r>
              <w:rPr>
                <w:noProof/>
                <w:webHidden/>
              </w:rPr>
              <w:instrText xml:space="preserve"> PAGEREF _Toc127268858 \h </w:instrText>
            </w:r>
            <w:r>
              <w:rPr>
                <w:noProof/>
                <w:webHidden/>
              </w:rPr>
            </w:r>
            <w:r>
              <w:rPr>
                <w:noProof/>
                <w:webHidden/>
              </w:rPr>
              <w:fldChar w:fldCharType="separate"/>
            </w:r>
            <w:r>
              <w:rPr>
                <w:noProof/>
                <w:webHidden/>
              </w:rPr>
              <w:t>13</w:t>
            </w:r>
            <w:r>
              <w:rPr>
                <w:noProof/>
                <w:webHidden/>
              </w:rPr>
              <w:fldChar w:fldCharType="end"/>
            </w:r>
          </w:hyperlink>
        </w:p>
        <w:p w14:paraId="26985E87" w14:textId="0005155B"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59" w:history="1">
            <w:r w:rsidRPr="00B67719">
              <w:rPr>
                <w:rStyle w:val="Hyperlink"/>
                <w:noProof/>
                <w14:scene3d>
                  <w14:camera w14:prst="orthographicFront"/>
                  <w14:lightRig w14:rig="threePt" w14:dir="t">
                    <w14:rot w14:lat="0" w14:lon="0" w14:rev="0"/>
                  </w14:lightRig>
                </w14:scene3d>
              </w:rPr>
              <w:t>4.1.1.</w:t>
            </w:r>
            <w:r>
              <w:rPr>
                <w:rFonts w:asciiTheme="minorHAnsi" w:eastAsiaTheme="minorEastAsia" w:hAnsiTheme="minorHAnsi" w:cstheme="minorBidi"/>
                <w:noProof/>
                <w:sz w:val="22"/>
                <w:szCs w:val="22"/>
                <w:lang w:val="en-US"/>
              </w:rPr>
              <w:tab/>
            </w:r>
            <w:r w:rsidRPr="00B67719">
              <w:rPr>
                <w:rStyle w:val="Hyperlink"/>
                <w:noProof/>
              </w:rPr>
              <w:t>Obseg vrednotenja sistemov upravljanja (intervencije strateškega načrta SKP iz Uredbe (EU) 2021/2115)</w:t>
            </w:r>
            <w:r>
              <w:rPr>
                <w:noProof/>
                <w:webHidden/>
              </w:rPr>
              <w:tab/>
            </w:r>
            <w:r>
              <w:rPr>
                <w:noProof/>
                <w:webHidden/>
              </w:rPr>
              <w:fldChar w:fldCharType="begin"/>
            </w:r>
            <w:r>
              <w:rPr>
                <w:noProof/>
                <w:webHidden/>
              </w:rPr>
              <w:instrText xml:space="preserve"> PAGEREF _Toc127268859 \h </w:instrText>
            </w:r>
            <w:r>
              <w:rPr>
                <w:noProof/>
                <w:webHidden/>
              </w:rPr>
            </w:r>
            <w:r>
              <w:rPr>
                <w:noProof/>
                <w:webHidden/>
              </w:rPr>
              <w:fldChar w:fldCharType="separate"/>
            </w:r>
            <w:r>
              <w:rPr>
                <w:noProof/>
                <w:webHidden/>
              </w:rPr>
              <w:t>13</w:t>
            </w:r>
            <w:r>
              <w:rPr>
                <w:noProof/>
                <w:webHidden/>
              </w:rPr>
              <w:fldChar w:fldCharType="end"/>
            </w:r>
          </w:hyperlink>
        </w:p>
        <w:p w14:paraId="3E6F30C4" w14:textId="06184EE0"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60" w:history="1">
            <w:r w:rsidRPr="00B67719">
              <w:rPr>
                <w:rStyle w:val="Hyperlink"/>
                <w:noProof/>
                <w14:scene3d>
                  <w14:camera w14:prst="orthographicFront"/>
                  <w14:lightRig w14:rig="threePt" w14:dir="t">
                    <w14:rot w14:lat="0" w14:lon="0" w14:rev="0"/>
                  </w14:lightRig>
                </w14:scene3d>
              </w:rPr>
              <w:t>4.1.2.</w:t>
            </w:r>
            <w:r>
              <w:rPr>
                <w:rFonts w:asciiTheme="minorHAnsi" w:eastAsiaTheme="minorEastAsia" w:hAnsiTheme="minorHAnsi" w:cstheme="minorBidi"/>
                <w:noProof/>
                <w:sz w:val="22"/>
                <w:szCs w:val="22"/>
                <w:lang w:val="en-US"/>
              </w:rPr>
              <w:tab/>
            </w:r>
            <w:r w:rsidRPr="00B67719">
              <w:rPr>
                <w:rStyle w:val="Hyperlink"/>
                <w:noProof/>
              </w:rPr>
              <w:t>Obseg vrednotenja sistema notranjih kontrol (druge intervencije zunaj strateškega načrta SKP)</w:t>
            </w:r>
            <w:r>
              <w:rPr>
                <w:noProof/>
                <w:webHidden/>
              </w:rPr>
              <w:tab/>
            </w:r>
            <w:r>
              <w:rPr>
                <w:noProof/>
                <w:webHidden/>
              </w:rPr>
              <w:fldChar w:fldCharType="begin"/>
            </w:r>
            <w:r>
              <w:rPr>
                <w:noProof/>
                <w:webHidden/>
              </w:rPr>
              <w:instrText xml:space="preserve"> PAGEREF _Toc127268860 \h </w:instrText>
            </w:r>
            <w:r>
              <w:rPr>
                <w:noProof/>
                <w:webHidden/>
              </w:rPr>
            </w:r>
            <w:r>
              <w:rPr>
                <w:noProof/>
                <w:webHidden/>
              </w:rPr>
              <w:fldChar w:fldCharType="separate"/>
            </w:r>
            <w:r>
              <w:rPr>
                <w:noProof/>
                <w:webHidden/>
              </w:rPr>
              <w:t>13</w:t>
            </w:r>
            <w:r>
              <w:rPr>
                <w:noProof/>
                <w:webHidden/>
              </w:rPr>
              <w:fldChar w:fldCharType="end"/>
            </w:r>
          </w:hyperlink>
        </w:p>
        <w:p w14:paraId="4AAEB33B" w14:textId="734A79A3"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1" w:history="1">
            <w:r w:rsidRPr="00B67719">
              <w:rPr>
                <w:rStyle w:val="Hyperlink"/>
                <w:noProof/>
              </w:rPr>
              <w:t>4.2.</w:t>
            </w:r>
            <w:r>
              <w:rPr>
                <w:rFonts w:asciiTheme="minorHAnsi" w:eastAsiaTheme="minorEastAsia" w:hAnsiTheme="minorHAnsi" w:cstheme="minorBidi"/>
                <w:noProof/>
                <w:sz w:val="22"/>
                <w:szCs w:val="22"/>
                <w:lang w:val="en-US"/>
              </w:rPr>
              <w:tab/>
            </w:r>
            <w:r w:rsidRPr="00B67719">
              <w:rPr>
                <w:rStyle w:val="Hyperlink"/>
                <w:noProof/>
              </w:rPr>
              <w:t>Obseg dejavnosti, povezanih s plačili</w:t>
            </w:r>
            <w:r>
              <w:rPr>
                <w:noProof/>
                <w:webHidden/>
              </w:rPr>
              <w:tab/>
            </w:r>
            <w:r>
              <w:rPr>
                <w:noProof/>
                <w:webHidden/>
              </w:rPr>
              <w:fldChar w:fldCharType="begin"/>
            </w:r>
            <w:r>
              <w:rPr>
                <w:noProof/>
                <w:webHidden/>
              </w:rPr>
              <w:instrText xml:space="preserve"> PAGEREF _Toc127268861 \h </w:instrText>
            </w:r>
            <w:r>
              <w:rPr>
                <w:noProof/>
                <w:webHidden/>
              </w:rPr>
            </w:r>
            <w:r>
              <w:rPr>
                <w:noProof/>
                <w:webHidden/>
              </w:rPr>
              <w:fldChar w:fldCharType="separate"/>
            </w:r>
            <w:r>
              <w:rPr>
                <w:noProof/>
                <w:webHidden/>
              </w:rPr>
              <w:t>13</w:t>
            </w:r>
            <w:r>
              <w:rPr>
                <w:noProof/>
                <w:webHidden/>
              </w:rPr>
              <w:fldChar w:fldCharType="end"/>
            </w:r>
          </w:hyperlink>
        </w:p>
        <w:p w14:paraId="2B1ECB15" w14:textId="6B344EDB"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2" w:history="1">
            <w:r w:rsidRPr="00B67719">
              <w:rPr>
                <w:rStyle w:val="Hyperlink"/>
                <w:noProof/>
              </w:rPr>
              <w:t>4.3.</w:t>
            </w:r>
            <w:r>
              <w:rPr>
                <w:rFonts w:asciiTheme="minorHAnsi" w:eastAsiaTheme="minorEastAsia" w:hAnsiTheme="minorHAnsi" w:cstheme="minorBidi"/>
                <w:noProof/>
                <w:sz w:val="22"/>
                <w:szCs w:val="22"/>
                <w:lang w:val="en-US"/>
              </w:rPr>
              <w:tab/>
            </w:r>
            <w:r w:rsidRPr="00B67719">
              <w:rPr>
                <w:rStyle w:val="Hyperlink"/>
                <w:noProof/>
              </w:rPr>
              <w:t>Obseg poročanja o smotrnosti</w:t>
            </w:r>
            <w:r>
              <w:rPr>
                <w:noProof/>
                <w:webHidden/>
              </w:rPr>
              <w:tab/>
            </w:r>
            <w:r>
              <w:rPr>
                <w:noProof/>
                <w:webHidden/>
              </w:rPr>
              <w:fldChar w:fldCharType="begin"/>
            </w:r>
            <w:r>
              <w:rPr>
                <w:noProof/>
                <w:webHidden/>
              </w:rPr>
              <w:instrText xml:space="preserve"> PAGEREF _Toc127268862 \h </w:instrText>
            </w:r>
            <w:r>
              <w:rPr>
                <w:noProof/>
                <w:webHidden/>
              </w:rPr>
            </w:r>
            <w:r>
              <w:rPr>
                <w:noProof/>
                <w:webHidden/>
              </w:rPr>
              <w:fldChar w:fldCharType="separate"/>
            </w:r>
            <w:r>
              <w:rPr>
                <w:noProof/>
                <w:webHidden/>
              </w:rPr>
              <w:t>13</w:t>
            </w:r>
            <w:r>
              <w:rPr>
                <w:noProof/>
                <w:webHidden/>
              </w:rPr>
              <w:fldChar w:fldCharType="end"/>
            </w:r>
          </w:hyperlink>
        </w:p>
        <w:p w14:paraId="5761A6A4" w14:textId="5ED36D82"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3" w:history="1">
            <w:r w:rsidRPr="00B67719">
              <w:rPr>
                <w:rStyle w:val="Hyperlink"/>
                <w:noProof/>
              </w:rPr>
              <w:t>4.4.</w:t>
            </w:r>
            <w:r>
              <w:rPr>
                <w:rFonts w:asciiTheme="minorHAnsi" w:eastAsiaTheme="minorEastAsia" w:hAnsiTheme="minorHAnsi" w:cstheme="minorBidi"/>
                <w:noProof/>
                <w:sz w:val="22"/>
                <w:szCs w:val="22"/>
                <w:lang w:val="en-US"/>
              </w:rPr>
              <w:tab/>
            </w:r>
            <w:r w:rsidRPr="00B67719">
              <w:rPr>
                <w:rStyle w:val="Hyperlink"/>
                <w:noProof/>
              </w:rPr>
              <w:t>Ocena akreditacijskih meril</w:t>
            </w:r>
            <w:r>
              <w:rPr>
                <w:noProof/>
                <w:webHidden/>
              </w:rPr>
              <w:tab/>
            </w:r>
            <w:r>
              <w:rPr>
                <w:noProof/>
                <w:webHidden/>
              </w:rPr>
              <w:fldChar w:fldCharType="begin"/>
            </w:r>
            <w:r>
              <w:rPr>
                <w:noProof/>
                <w:webHidden/>
              </w:rPr>
              <w:instrText xml:space="preserve"> PAGEREF _Toc127268863 \h </w:instrText>
            </w:r>
            <w:r>
              <w:rPr>
                <w:noProof/>
                <w:webHidden/>
              </w:rPr>
            </w:r>
            <w:r>
              <w:rPr>
                <w:noProof/>
                <w:webHidden/>
              </w:rPr>
              <w:fldChar w:fldCharType="separate"/>
            </w:r>
            <w:r>
              <w:rPr>
                <w:noProof/>
                <w:webHidden/>
              </w:rPr>
              <w:t>14</w:t>
            </w:r>
            <w:r>
              <w:rPr>
                <w:noProof/>
                <w:webHidden/>
              </w:rPr>
              <w:fldChar w:fldCharType="end"/>
            </w:r>
          </w:hyperlink>
        </w:p>
        <w:p w14:paraId="5842BC64" w14:textId="4E1D5EDD"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4" w:history="1">
            <w:r w:rsidRPr="00B67719">
              <w:rPr>
                <w:rStyle w:val="Hyperlink"/>
                <w:noProof/>
              </w:rPr>
              <w:t>4.5.</w:t>
            </w:r>
            <w:r>
              <w:rPr>
                <w:rFonts w:asciiTheme="minorHAnsi" w:eastAsiaTheme="minorEastAsia" w:hAnsiTheme="minorHAnsi" w:cstheme="minorBidi"/>
                <w:noProof/>
                <w:sz w:val="22"/>
                <w:szCs w:val="22"/>
                <w:lang w:val="en-US"/>
              </w:rPr>
              <w:tab/>
            </w:r>
            <w:r w:rsidRPr="00B67719">
              <w:rPr>
                <w:rStyle w:val="Hyperlink"/>
                <w:noProof/>
              </w:rPr>
              <w:t>Skupna ocena za posamezno plačilno agencijo</w:t>
            </w:r>
            <w:r>
              <w:rPr>
                <w:noProof/>
                <w:webHidden/>
              </w:rPr>
              <w:tab/>
            </w:r>
            <w:r>
              <w:rPr>
                <w:noProof/>
                <w:webHidden/>
              </w:rPr>
              <w:fldChar w:fldCharType="begin"/>
            </w:r>
            <w:r>
              <w:rPr>
                <w:noProof/>
                <w:webHidden/>
              </w:rPr>
              <w:instrText xml:space="preserve"> PAGEREF _Toc127268864 \h </w:instrText>
            </w:r>
            <w:r>
              <w:rPr>
                <w:noProof/>
                <w:webHidden/>
              </w:rPr>
            </w:r>
            <w:r>
              <w:rPr>
                <w:noProof/>
                <w:webHidden/>
              </w:rPr>
              <w:fldChar w:fldCharType="separate"/>
            </w:r>
            <w:r>
              <w:rPr>
                <w:noProof/>
                <w:webHidden/>
              </w:rPr>
              <w:t>15</w:t>
            </w:r>
            <w:r>
              <w:rPr>
                <w:noProof/>
                <w:webHidden/>
              </w:rPr>
              <w:fldChar w:fldCharType="end"/>
            </w:r>
          </w:hyperlink>
        </w:p>
        <w:p w14:paraId="134227DD" w14:textId="555FEF7C"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5" w:history="1">
            <w:r w:rsidRPr="00B67719">
              <w:rPr>
                <w:rStyle w:val="Hyperlink"/>
                <w:noProof/>
              </w:rPr>
              <w:t>4.6.</w:t>
            </w:r>
            <w:r>
              <w:rPr>
                <w:rFonts w:asciiTheme="minorHAnsi" w:eastAsiaTheme="minorEastAsia" w:hAnsiTheme="minorHAnsi" w:cstheme="minorBidi"/>
                <w:noProof/>
                <w:sz w:val="22"/>
                <w:szCs w:val="22"/>
                <w:lang w:val="en-US"/>
              </w:rPr>
              <w:tab/>
            </w:r>
            <w:r w:rsidRPr="00B67719">
              <w:rPr>
                <w:rStyle w:val="Hyperlink"/>
                <w:noProof/>
              </w:rPr>
              <w:t>Opis opravljenega revizijskega dela</w:t>
            </w:r>
            <w:r>
              <w:rPr>
                <w:noProof/>
                <w:webHidden/>
              </w:rPr>
              <w:tab/>
            </w:r>
            <w:r>
              <w:rPr>
                <w:noProof/>
                <w:webHidden/>
              </w:rPr>
              <w:fldChar w:fldCharType="begin"/>
            </w:r>
            <w:r>
              <w:rPr>
                <w:noProof/>
                <w:webHidden/>
              </w:rPr>
              <w:instrText xml:space="preserve"> PAGEREF _Toc127268865 \h </w:instrText>
            </w:r>
            <w:r>
              <w:rPr>
                <w:noProof/>
                <w:webHidden/>
              </w:rPr>
            </w:r>
            <w:r>
              <w:rPr>
                <w:noProof/>
                <w:webHidden/>
              </w:rPr>
              <w:fldChar w:fldCharType="separate"/>
            </w:r>
            <w:r>
              <w:rPr>
                <w:noProof/>
                <w:webHidden/>
              </w:rPr>
              <w:t>15</w:t>
            </w:r>
            <w:r>
              <w:rPr>
                <w:noProof/>
                <w:webHidden/>
              </w:rPr>
              <w:fldChar w:fldCharType="end"/>
            </w:r>
          </w:hyperlink>
        </w:p>
        <w:p w14:paraId="6C001376" w14:textId="47999668" w:rsidR="00E20B32" w:rsidRDefault="00E20B32">
          <w:pPr>
            <w:pStyle w:val="TOC1"/>
            <w:rPr>
              <w:rFonts w:asciiTheme="minorHAnsi" w:eastAsiaTheme="minorEastAsia" w:hAnsiTheme="minorHAnsi" w:cstheme="minorBidi"/>
              <w:caps w:val="0"/>
              <w:noProof/>
              <w:sz w:val="22"/>
              <w:szCs w:val="22"/>
              <w:lang w:val="en-US"/>
            </w:rPr>
          </w:pPr>
          <w:hyperlink w:anchor="_Toc127268866" w:history="1">
            <w:r w:rsidRPr="00B67719">
              <w:rPr>
                <w:rStyle w:val="Hyperlink"/>
                <w:noProof/>
              </w:rPr>
              <w:t>5.</w:t>
            </w:r>
            <w:r>
              <w:rPr>
                <w:rFonts w:asciiTheme="minorHAnsi" w:eastAsiaTheme="minorEastAsia" w:hAnsiTheme="minorHAnsi" w:cstheme="minorBidi"/>
                <w:caps w:val="0"/>
                <w:noProof/>
                <w:sz w:val="22"/>
                <w:szCs w:val="22"/>
                <w:lang w:val="en-US"/>
              </w:rPr>
              <w:tab/>
            </w:r>
            <w:r w:rsidRPr="00B67719">
              <w:rPr>
                <w:rStyle w:val="Hyperlink"/>
                <w:noProof/>
              </w:rPr>
              <w:t>Izpolnjevanje akreditacijskih meril in poročanje (usklajevalni organ)</w:t>
            </w:r>
            <w:r>
              <w:rPr>
                <w:noProof/>
                <w:webHidden/>
              </w:rPr>
              <w:tab/>
            </w:r>
            <w:r>
              <w:rPr>
                <w:noProof/>
                <w:webHidden/>
              </w:rPr>
              <w:fldChar w:fldCharType="begin"/>
            </w:r>
            <w:r>
              <w:rPr>
                <w:noProof/>
                <w:webHidden/>
              </w:rPr>
              <w:instrText xml:space="preserve"> PAGEREF _Toc127268866 \h </w:instrText>
            </w:r>
            <w:r>
              <w:rPr>
                <w:noProof/>
                <w:webHidden/>
              </w:rPr>
            </w:r>
            <w:r>
              <w:rPr>
                <w:noProof/>
                <w:webHidden/>
              </w:rPr>
              <w:fldChar w:fldCharType="separate"/>
            </w:r>
            <w:r>
              <w:rPr>
                <w:noProof/>
                <w:webHidden/>
              </w:rPr>
              <w:t>16</w:t>
            </w:r>
            <w:r>
              <w:rPr>
                <w:noProof/>
                <w:webHidden/>
              </w:rPr>
              <w:fldChar w:fldCharType="end"/>
            </w:r>
          </w:hyperlink>
        </w:p>
        <w:p w14:paraId="59F78F53" w14:textId="14922A18" w:rsidR="00E20B32" w:rsidRDefault="00E20B32">
          <w:pPr>
            <w:pStyle w:val="TOC1"/>
            <w:rPr>
              <w:rFonts w:asciiTheme="minorHAnsi" w:eastAsiaTheme="minorEastAsia" w:hAnsiTheme="minorHAnsi" w:cstheme="minorBidi"/>
              <w:caps w:val="0"/>
              <w:noProof/>
              <w:sz w:val="22"/>
              <w:szCs w:val="22"/>
              <w:lang w:val="en-US"/>
            </w:rPr>
          </w:pPr>
          <w:hyperlink w:anchor="_Toc127268867" w:history="1">
            <w:r w:rsidRPr="00B67719">
              <w:rPr>
                <w:rStyle w:val="Hyperlink"/>
                <w:noProof/>
              </w:rPr>
              <w:t>6.</w:t>
            </w:r>
            <w:r>
              <w:rPr>
                <w:rFonts w:asciiTheme="minorHAnsi" w:eastAsiaTheme="minorEastAsia" w:hAnsiTheme="minorHAnsi" w:cstheme="minorBidi"/>
                <w:caps w:val="0"/>
                <w:noProof/>
                <w:sz w:val="22"/>
                <w:szCs w:val="22"/>
                <w:lang w:val="en-US"/>
              </w:rPr>
              <w:tab/>
            </w:r>
            <w:r w:rsidRPr="00B67719">
              <w:rPr>
                <w:rStyle w:val="Hyperlink"/>
                <w:noProof/>
              </w:rPr>
              <w:t>Model matrike</w:t>
            </w:r>
            <w:r>
              <w:rPr>
                <w:noProof/>
                <w:webHidden/>
              </w:rPr>
              <w:tab/>
            </w:r>
            <w:r>
              <w:rPr>
                <w:noProof/>
                <w:webHidden/>
              </w:rPr>
              <w:fldChar w:fldCharType="begin"/>
            </w:r>
            <w:r>
              <w:rPr>
                <w:noProof/>
                <w:webHidden/>
              </w:rPr>
              <w:instrText xml:space="preserve"> PAGEREF _Toc127268867 \h </w:instrText>
            </w:r>
            <w:r>
              <w:rPr>
                <w:noProof/>
                <w:webHidden/>
              </w:rPr>
            </w:r>
            <w:r>
              <w:rPr>
                <w:noProof/>
                <w:webHidden/>
              </w:rPr>
              <w:fldChar w:fldCharType="separate"/>
            </w:r>
            <w:r>
              <w:rPr>
                <w:noProof/>
                <w:webHidden/>
              </w:rPr>
              <w:t>17</w:t>
            </w:r>
            <w:r>
              <w:rPr>
                <w:noProof/>
                <w:webHidden/>
              </w:rPr>
              <w:fldChar w:fldCharType="end"/>
            </w:r>
          </w:hyperlink>
        </w:p>
        <w:p w14:paraId="09424DEE" w14:textId="69BF5ACA" w:rsidR="00E20B32" w:rsidRDefault="00E20B32">
          <w:pPr>
            <w:pStyle w:val="TOC1"/>
            <w:rPr>
              <w:rFonts w:asciiTheme="minorHAnsi" w:eastAsiaTheme="minorEastAsia" w:hAnsiTheme="minorHAnsi" w:cstheme="minorBidi"/>
              <w:caps w:val="0"/>
              <w:noProof/>
              <w:sz w:val="22"/>
              <w:szCs w:val="22"/>
              <w:lang w:val="en-US"/>
            </w:rPr>
          </w:pPr>
          <w:hyperlink w:anchor="_Toc127268868" w:history="1">
            <w:r w:rsidRPr="00B67719">
              <w:rPr>
                <w:rStyle w:val="Hyperlink"/>
                <w:noProof/>
              </w:rPr>
              <w:t>7.</w:t>
            </w:r>
            <w:r>
              <w:rPr>
                <w:rFonts w:asciiTheme="minorHAnsi" w:eastAsiaTheme="minorEastAsia" w:hAnsiTheme="minorHAnsi" w:cstheme="minorBidi"/>
                <w:caps w:val="0"/>
                <w:noProof/>
                <w:sz w:val="22"/>
                <w:szCs w:val="22"/>
                <w:lang w:val="en-US"/>
              </w:rPr>
              <w:tab/>
            </w:r>
            <w:r w:rsidRPr="00B67719">
              <w:rPr>
                <w:rStyle w:val="Hyperlink"/>
                <w:noProof/>
              </w:rPr>
              <w:t>Smernice v zvezi z nekaterimi akreditacijskimi merili</w:t>
            </w:r>
            <w:r>
              <w:rPr>
                <w:noProof/>
                <w:webHidden/>
              </w:rPr>
              <w:tab/>
            </w:r>
            <w:r>
              <w:rPr>
                <w:noProof/>
                <w:webHidden/>
              </w:rPr>
              <w:fldChar w:fldCharType="begin"/>
            </w:r>
            <w:r>
              <w:rPr>
                <w:noProof/>
                <w:webHidden/>
              </w:rPr>
              <w:instrText xml:space="preserve"> PAGEREF _Toc127268868 \h </w:instrText>
            </w:r>
            <w:r>
              <w:rPr>
                <w:noProof/>
                <w:webHidden/>
              </w:rPr>
            </w:r>
            <w:r>
              <w:rPr>
                <w:noProof/>
                <w:webHidden/>
              </w:rPr>
              <w:fldChar w:fldCharType="separate"/>
            </w:r>
            <w:r>
              <w:rPr>
                <w:noProof/>
                <w:webHidden/>
              </w:rPr>
              <w:t>19</w:t>
            </w:r>
            <w:r>
              <w:rPr>
                <w:noProof/>
                <w:webHidden/>
              </w:rPr>
              <w:fldChar w:fldCharType="end"/>
            </w:r>
          </w:hyperlink>
        </w:p>
        <w:p w14:paraId="4FB450B8" w14:textId="0D9FDD52"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69" w:history="1">
            <w:r w:rsidRPr="00B67719">
              <w:rPr>
                <w:rStyle w:val="Hyperlink"/>
                <w:noProof/>
              </w:rPr>
              <w:t>7.1.</w:t>
            </w:r>
            <w:r>
              <w:rPr>
                <w:rFonts w:asciiTheme="minorHAnsi" w:eastAsiaTheme="minorEastAsia" w:hAnsiTheme="minorHAnsi" w:cstheme="minorBidi"/>
                <w:noProof/>
                <w:sz w:val="22"/>
                <w:szCs w:val="22"/>
                <w:lang w:val="en-US"/>
              </w:rPr>
              <w:tab/>
            </w:r>
            <w:r w:rsidRPr="00B67719">
              <w:rPr>
                <w:rStyle w:val="Hyperlink"/>
                <w:noProof/>
              </w:rPr>
              <w:t>Standard glede človeških virov – standardi ravnanja</w:t>
            </w:r>
            <w:r>
              <w:rPr>
                <w:noProof/>
                <w:webHidden/>
              </w:rPr>
              <w:tab/>
            </w:r>
            <w:r>
              <w:rPr>
                <w:noProof/>
                <w:webHidden/>
              </w:rPr>
              <w:fldChar w:fldCharType="begin"/>
            </w:r>
            <w:r>
              <w:rPr>
                <w:noProof/>
                <w:webHidden/>
              </w:rPr>
              <w:instrText xml:space="preserve"> PAGEREF _Toc127268869 \h </w:instrText>
            </w:r>
            <w:r>
              <w:rPr>
                <w:noProof/>
                <w:webHidden/>
              </w:rPr>
            </w:r>
            <w:r>
              <w:rPr>
                <w:noProof/>
                <w:webHidden/>
              </w:rPr>
              <w:fldChar w:fldCharType="separate"/>
            </w:r>
            <w:r>
              <w:rPr>
                <w:noProof/>
                <w:webHidden/>
              </w:rPr>
              <w:t>19</w:t>
            </w:r>
            <w:r>
              <w:rPr>
                <w:noProof/>
                <w:webHidden/>
              </w:rPr>
              <w:fldChar w:fldCharType="end"/>
            </w:r>
          </w:hyperlink>
        </w:p>
        <w:p w14:paraId="53897198" w14:textId="72F7D01E"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0" w:history="1">
            <w:r w:rsidRPr="00B67719">
              <w:rPr>
                <w:rStyle w:val="Hyperlink"/>
                <w:noProof/>
              </w:rPr>
              <w:t>7.2.</w:t>
            </w:r>
            <w:r>
              <w:rPr>
                <w:rFonts w:asciiTheme="minorHAnsi" w:eastAsiaTheme="minorEastAsia" w:hAnsiTheme="minorHAnsi" w:cstheme="minorBidi"/>
                <w:noProof/>
                <w:sz w:val="22"/>
                <w:szCs w:val="22"/>
                <w:lang w:val="en-US"/>
              </w:rPr>
              <w:tab/>
            </w:r>
            <w:r w:rsidRPr="00B67719">
              <w:rPr>
                <w:rStyle w:val="Hyperlink"/>
                <w:noProof/>
              </w:rPr>
              <w:t>Ocenjevanje tveganja</w:t>
            </w:r>
            <w:r>
              <w:rPr>
                <w:noProof/>
                <w:webHidden/>
              </w:rPr>
              <w:tab/>
            </w:r>
            <w:r>
              <w:rPr>
                <w:noProof/>
                <w:webHidden/>
              </w:rPr>
              <w:fldChar w:fldCharType="begin"/>
            </w:r>
            <w:r>
              <w:rPr>
                <w:noProof/>
                <w:webHidden/>
              </w:rPr>
              <w:instrText xml:space="preserve"> PAGEREF _Toc127268870 \h </w:instrText>
            </w:r>
            <w:r>
              <w:rPr>
                <w:noProof/>
                <w:webHidden/>
              </w:rPr>
            </w:r>
            <w:r>
              <w:rPr>
                <w:noProof/>
                <w:webHidden/>
              </w:rPr>
              <w:fldChar w:fldCharType="separate"/>
            </w:r>
            <w:r>
              <w:rPr>
                <w:noProof/>
                <w:webHidden/>
              </w:rPr>
              <w:t>20</w:t>
            </w:r>
            <w:r>
              <w:rPr>
                <w:noProof/>
                <w:webHidden/>
              </w:rPr>
              <w:fldChar w:fldCharType="end"/>
            </w:r>
          </w:hyperlink>
        </w:p>
        <w:p w14:paraId="5AD7AA63" w14:textId="347C778F"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1" w:history="1">
            <w:r w:rsidRPr="00B67719">
              <w:rPr>
                <w:rStyle w:val="Hyperlink"/>
                <w:noProof/>
              </w:rPr>
              <w:t>7.3.</w:t>
            </w:r>
            <w:r>
              <w:rPr>
                <w:rFonts w:asciiTheme="minorHAnsi" w:eastAsiaTheme="minorEastAsia" w:hAnsiTheme="minorHAnsi" w:cstheme="minorBidi"/>
                <w:noProof/>
                <w:sz w:val="22"/>
                <w:szCs w:val="22"/>
                <w:lang w:val="en-US"/>
              </w:rPr>
              <w:tab/>
            </w:r>
            <w:r w:rsidRPr="00B67719">
              <w:rPr>
                <w:rStyle w:val="Hyperlink"/>
                <w:noProof/>
              </w:rPr>
              <w:t>Preprečevanje in zaznavanje goljufij (kot del ocenjevanja tveganja)</w:t>
            </w:r>
            <w:r>
              <w:rPr>
                <w:noProof/>
                <w:webHidden/>
              </w:rPr>
              <w:tab/>
            </w:r>
            <w:r>
              <w:rPr>
                <w:noProof/>
                <w:webHidden/>
              </w:rPr>
              <w:fldChar w:fldCharType="begin"/>
            </w:r>
            <w:r>
              <w:rPr>
                <w:noProof/>
                <w:webHidden/>
              </w:rPr>
              <w:instrText xml:space="preserve"> PAGEREF _Toc127268871 \h </w:instrText>
            </w:r>
            <w:r>
              <w:rPr>
                <w:noProof/>
                <w:webHidden/>
              </w:rPr>
            </w:r>
            <w:r>
              <w:rPr>
                <w:noProof/>
                <w:webHidden/>
              </w:rPr>
              <w:fldChar w:fldCharType="separate"/>
            </w:r>
            <w:r>
              <w:rPr>
                <w:noProof/>
                <w:webHidden/>
              </w:rPr>
              <w:t>21</w:t>
            </w:r>
            <w:r>
              <w:rPr>
                <w:noProof/>
                <w:webHidden/>
              </w:rPr>
              <w:fldChar w:fldCharType="end"/>
            </w:r>
          </w:hyperlink>
        </w:p>
        <w:p w14:paraId="1EB06D76" w14:textId="29CF4F2F"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2" w:history="1">
            <w:r w:rsidRPr="00B67719">
              <w:rPr>
                <w:rStyle w:val="Hyperlink"/>
                <w:noProof/>
              </w:rPr>
              <w:t>7.4.</w:t>
            </w:r>
            <w:r>
              <w:rPr>
                <w:rFonts w:asciiTheme="minorHAnsi" w:eastAsiaTheme="minorEastAsia" w:hAnsiTheme="minorHAnsi" w:cstheme="minorBidi"/>
                <w:noProof/>
                <w:sz w:val="22"/>
                <w:szCs w:val="22"/>
                <w:lang w:val="en-US"/>
              </w:rPr>
              <w:tab/>
            </w:r>
            <w:r w:rsidRPr="00B67719">
              <w:rPr>
                <w:rStyle w:val="Hyperlink"/>
                <w:noProof/>
              </w:rPr>
              <w:t>Prenos nalog</w:t>
            </w:r>
            <w:r>
              <w:rPr>
                <w:noProof/>
                <w:webHidden/>
              </w:rPr>
              <w:tab/>
            </w:r>
            <w:r>
              <w:rPr>
                <w:noProof/>
                <w:webHidden/>
              </w:rPr>
              <w:fldChar w:fldCharType="begin"/>
            </w:r>
            <w:r>
              <w:rPr>
                <w:noProof/>
                <w:webHidden/>
              </w:rPr>
              <w:instrText xml:space="preserve"> PAGEREF _Toc127268872 \h </w:instrText>
            </w:r>
            <w:r>
              <w:rPr>
                <w:noProof/>
                <w:webHidden/>
              </w:rPr>
            </w:r>
            <w:r>
              <w:rPr>
                <w:noProof/>
                <w:webHidden/>
              </w:rPr>
              <w:fldChar w:fldCharType="separate"/>
            </w:r>
            <w:r>
              <w:rPr>
                <w:noProof/>
                <w:webHidden/>
              </w:rPr>
              <w:t>22</w:t>
            </w:r>
            <w:r>
              <w:rPr>
                <w:noProof/>
                <w:webHidden/>
              </w:rPr>
              <w:fldChar w:fldCharType="end"/>
            </w:r>
          </w:hyperlink>
        </w:p>
        <w:p w14:paraId="71640502" w14:textId="5D17AE7F"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3" w:history="1">
            <w:r w:rsidRPr="00B67719">
              <w:rPr>
                <w:rStyle w:val="Hyperlink"/>
                <w:noProof/>
              </w:rPr>
              <w:t>7.5.</w:t>
            </w:r>
            <w:r>
              <w:rPr>
                <w:rFonts w:asciiTheme="minorHAnsi" w:eastAsiaTheme="minorEastAsia" w:hAnsiTheme="minorHAnsi" w:cstheme="minorBidi"/>
                <w:noProof/>
                <w:sz w:val="22"/>
                <w:szCs w:val="22"/>
                <w:lang w:val="en-US"/>
              </w:rPr>
              <w:tab/>
            </w:r>
            <w:r w:rsidRPr="00B67719">
              <w:rPr>
                <w:rStyle w:val="Hyperlink"/>
                <w:noProof/>
              </w:rPr>
              <w:t>Postopki za plačila</w:t>
            </w:r>
            <w:r>
              <w:rPr>
                <w:noProof/>
                <w:webHidden/>
              </w:rPr>
              <w:tab/>
            </w:r>
            <w:r>
              <w:rPr>
                <w:noProof/>
                <w:webHidden/>
              </w:rPr>
              <w:fldChar w:fldCharType="begin"/>
            </w:r>
            <w:r>
              <w:rPr>
                <w:noProof/>
                <w:webHidden/>
              </w:rPr>
              <w:instrText xml:space="preserve"> PAGEREF _Toc127268873 \h </w:instrText>
            </w:r>
            <w:r>
              <w:rPr>
                <w:noProof/>
                <w:webHidden/>
              </w:rPr>
            </w:r>
            <w:r>
              <w:rPr>
                <w:noProof/>
                <w:webHidden/>
              </w:rPr>
              <w:fldChar w:fldCharType="separate"/>
            </w:r>
            <w:r>
              <w:rPr>
                <w:noProof/>
                <w:webHidden/>
              </w:rPr>
              <w:t>23</w:t>
            </w:r>
            <w:r>
              <w:rPr>
                <w:noProof/>
                <w:webHidden/>
              </w:rPr>
              <w:fldChar w:fldCharType="end"/>
            </w:r>
          </w:hyperlink>
        </w:p>
        <w:p w14:paraId="2520FFF6" w14:textId="34230785"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4" w:history="1">
            <w:r w:rsidRPr="00B67719">
              <w:rPr>
                <w:rStyle w:val="Hyperlink"/>
                <w:noProof/>
              </w:rPr>
              <w:t>7.6.</w:t>
            </w:r>
            <w:r>
              <w:rPr>
                <w:rFonts w:asciiTheme="minorHAnsi" w:eastAsiaTheme="minorEastAsia" w:hAnsiTheme="minorHAnsi" w:cstheme="minorBidi"/>
                <w:noProof/>
                <w:sz w:val="22"/>
                <w:szCs w:val="22"/>
                <w:lang w:val="en-US"/>
              </w:rPr>
              <w:tab/>
            </w:r>
            <w:r w:rsidRPr="00B67719">
              <w:rPr>
                <w:rStyle w:val="Hyperlink"/>
                <w:noProof/>
              </w:rPr>
              <w:t>Postopki za poročanje o smotrnosti</w:t>
            </w:r>
            <w:r>
              <w:rPr>
                <w:noProof/>
                <w:webHidden/>
              </w:rPr>
              <w:tab/>
            </w:r>
            <w:r>
              <w:rPr>
                <w:noProof/>
                <w:webHidden/>
              </w:rPr>
              <w:fldChar w:fldCharType="begin"/>
            </w:r>
            <w:r>
              <w:rPr>
                <w:noProof/>
                <w:webHidden/>
              </w:rPr>
              <w:instrText xml:space="preserve"> PAGEREF _Toc127268874 \h </w:instrText>
            </w:r>
            <w:r>
              <w:rPr>
                <w:noProof/>
                <w:webHidden/>
              </w:rPr>
            </w:r>
            <w:r>
              <w:rPr>
                <w:noProof/>
                <w:webHidden/>
              </w:rPr>
              <w:fldChar w:fldCharType="separate"/>
            </w:r>
            <w:r>
              <w:rPr>
                <w:noProof/>
                <w:webHidden/>
              </w:rPr>
              <w:t>23</w:t>
            </w:r>
            <w:r>
              <w:rPr>
                <w:noProof/>
                <w:webHidden/>
              </w:rPr>
              <w:fldChar w:fldCharType="end"/>
            </w:r>
          </w:hyperlink>
        </w:p>
        <w:p w14:paraId="7E0838EF" w14:textId="30557F33"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5" w:history="1">
            <w:r w:rsidRPr="00B67719">
              <w:rPr>
                <w:rStyle w:val="Hyperlink"/>
                <w:noProof/>
              </w:rPr>
              <w:t>7.7.</w:t>
            </w:r>
            <w:r>
              <w:rPr>
                <w:rFonts w:asciiTheme="minorHAnsi" w:eastAsiaTheme="minorEastAsia" w:hAnsiTheme="minorHAnsi" w:cstheme="minorBidi"/>
                <w:noProof/>
                <w:sz w:val="22"/>
                <w:szCs w:val="22"/>
                <w:lang w:val="en-US"/>
              </w:rPr>
              <w:tab/>
            </w:r>
            <w:r w:rsidRPr="00B67719">
              <w:rPr>
                <w:rStyle w:val="Hyperlink"/>
                <w:noProof/>
              </w:rPr>
              <w:t>Postopki za predplačila in varščine</w:t>
            </w:r>
            <w:r>
              <w:rPr>
                <w:noProof/>
                <w:webHidden/>
              </w:rPr>
              <w:tab/>
            </w:r>
            <w:r>
              <w:rPr>
                <w:noProof/>
                <w:webHidden/>
              </w:rPr>
              <w:fldChar w:fldCharType="begin"/>
            </w:r>
            <w:r>
              <w:rPr>
                <w:noProof/>
                <w:webHidden/>
              </w:rPr>
              <w:instrText xml:space="preserve"> PAGEREF _Toc127268875 \h </w:instrText>
            </w:r>
            <w:r>
              <w:rPr>
                <w:noProof/>
                <w:webHidden/>
              </w:rPr>
            </w:r>
            <w:r>
              <w:rPr>
                <w:noProof/>
                <w:webHidden/>
              </w:rPr>
              <w:fldChar w:fldCharType="separate"/>
            </w:r>
            <w:r>
              <w:rPr>
                <w:noProof/>
                <w:webHidden/>
              </w:rPr>
              <w:t>24</w:t>
            </w:r>
            <w:r>
              <w:rPr>
                <w:noProof/>
                <w:webHidden/>
              </w:rPr>
              <w:fldChar w:fldCharType="end"/>
            </w:r>
          </w:hyperlink>
        </w:p>
        <w:p w14:paraId="1C7D2E59" w14:textId="00FDAD97"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76" w:history="1">
            <w:r w:rsidRPr="00B67719">
              <w:rPr>
                <w:rStyle w:val="Hyperlink"/>
                <w:noProof/>
                <w14:scene3d>
                  <w14:camera w14:prst="orthographicFront"/>
                  <w14:lightRig w14:rig="threePt" w14:dir="t">
                    <w14:rot w14:lat="0" w14:lon="0" w14:rev="0"/>
                  </w14:lightRig>
                </w14:scene3d>
              </w:rPr>
              <w:t>7.7.1.</w:t>
            </w:r>
            <w:r>
              <w:rPr>
                <w:rFonts w:asciiTheme="minorHAnsi" w:eastAsiaTheme="minorEastAsia" w:hAnsiTheme="minorHAnsi" w:cstheme="minorBidi"/>
                <w:noProof/>
                <w:sz w:val="22"/>
                <w:szCs w:val="22"/>
                <w:lang w:val="en-US"/>
              </w:rPr>
              <w:tab/>
            </w:r>
            <w:r w:rsidRPr="00B67719">
              <w:rPr>
                <w:rStyle w:val="Hyperlink"/>
                <w:noProof/>
              </w:rPr>
              <w:t>Predplačila</w:t>
            </w:r>
            <w:r>
              <w:rPr>
                <w:noProof/>
                <w:webHidden/>
              </w:rPr>
              <w:tab/>
            </w:r>
            <w:r>
              <w:rPr>
                <w:noProof/>
                <w:webHidden/>
              </w:rPr>
              <w:fldChar w:fldCharType="begin"/>
            </w:r>
            <w:r>
              <w:rPr>
                <w:noProof/>
                <w:webHidden/>
              </w:rPr>
              <w:instrText xml:space="preserve"> PAGEREF _Toc127268876 \h </w:instrText>
            </w:r>
            <w:r>
              <w:rPr>
                <w:noProof/>
                <w:webHidden/>
              </w:rPr>
            </w:r>
            <w:r>
              <w:rPr>
                <w:noProof/>
                <w:webHidden/>
              </w:rPr>
              <w:fldChar w:fldCharType="separate"/>
            </w:r>
            <w:r>
              <w:rPr>
                <w:noProof/>
                <w:webHidden/>
              </w:rPr>
              <w:t>24</w:t>
            </w:r>
            <w:r>
              <w:rPr>
                <w:noProof/>
                <w:webHidden/>
              </w:rPr>
              <w:fldChar w:fldCharType="end"/>
            </w:r>
          </w:hyperlink>
        </w:p>
        <w:p w14:paraId="0967DA30" w14:textId="59EBD272"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77" w:history="1">
            <w:r w:rsidRPr="00B67719">
              <w:rPr>
                <w:rStyle w:val="Hyperlink"/>
                <w:noProof/>
                <w14:scene3d>
                  <w14:camera w14:prst="orthographicFront"/>
                  <w14:lightRig w14:rig="threePt" w14:dir="t">
                    <w14:rot w14:lat="0" w14:lon="0" w14:rev="0"/>
                  </w14:lightRig>
                </w14:scene3d>
              </w:rPr>
              <w:t>7.7.2.</w:t>
            </w:r>
            <w:r>
              <w:rPr>
                <w:rFonts w:asciiTheme="minorHAnsi" w:eastAsiaTheme="minorEastAsia" w:hAnsiTheme="minorHAnsi" w:cstheme="minorBidi"/>
                <w:noProof/>
                <w:sz w:val="22"/>
                <w:szCs w:val="22"/>
                <w:lang w:val="en-US"/>
              </w:rPr>
              <w:tab/>
            </w:r>
            <w:r w:rsidRPr="00B67719">
              <w:rPr>
                <w:rStyle w:val="Hyperlink"/>
                <w:noProof/>
              </w:rPr>
              <w:t>Varščine</w:t>
            </w:r>
            <w:r>
              <w:rPr>
                <w:noProof/>
                <w:webHidden/>
              </w:rPr>
              <w:tab/>
            </w:r>
            <w:r>
              <w:rPr>
                <w:noProof/>
                <w:webHidden/>
              </w:rPr>
              <w:fldChar w:fldCharType="begin"/>
            </w:r>
            <w:r>
              <w:rPr>
                <w:noProof/>
                <w:webHidden/>
              </w:rPr>
              <w:instrText xml:space="preserve"> PAGEREF _Toc127268877 \h </w:instrText>
            </w:r>
            <w:r>
              <w:rPr>
                <w:noProof/>
                <w:webHidden/>
              </w:rPr>
            </w:r>
            <w:r>
              <w:rPr>
                <w:noProof/>
                <w:webHidden/>
              </w:rPr>
              <w:fldChar w:fldCharType="separate"/>
            </w:r>
            <w:r>
              <w:rPr>
                <w:noProof/>
                <w:webHidden/>
              </w:rPr>
              <w:t>24</w:t>
            </w:r>
            <w:r>
              <w:rPr>
                <w:noProof/>
                <w:webHidden/>
              </w:rPr>
              <w:fldChar w:fldCharType="end"/>
            </w:r>
          </w:hyperlink>
        </w:p>
        <w:p w14:paraId="702A0C59" w14:textId="628B4039"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78" w:history="1">
            <w:r w:rsidRPr="00B67719">
              <w:rPr>
                <w:rStyle w:val="Hyperlink"/>
                <w:noProof/>
              </w:rPr>
              <w:t>7.8.</w:t>
            </w:r>
            <w:r>
              <w:rPr>
                <w:rFonts w:asciiTheme="minorHAnsi" w:eastAsiaTheme="minorEastAsia" w:hAnsiTheme="minorHAnsi" w:cstheme="minorBidi"/>
                <w:noProof/>
                <w:sz w:val="22"/>
                <w:szCs w:val="22"/>
                <w:lang w:val="en-US"/>
              </w:rPr>
              <w:tab/>
            </w:r>
            <w:r w:rsidRPr="00B67719">
              <w:rPr>
                <w:rStyle w:val="Hyperlink"/>
                <w:noProof/>
              </w:rPr>
              <w:t>Upravljanje dolgov</w:t>
            </w:r>
            <w:r>
              <w:rPr>
                <w:noProof/>
                <w:webHidden/>
              </w:rPr>
              <w:tab/>
            </w:r>
            <w:r>
              <w:rPr>
                <w:noProof/>
                <w:webHidden/>
              </w:rPr>
              <w:fldChar w:fldCharType="begin"/>
            </w:r>
            <w:r>
              <w:rPr>
                <w:noProof/>
                <w:webHidden/>
              </w:rPr>
              <w:instrText xml:space="preserve"> PAGEREF _Toc127268878 \h </w:instrText>
            </w:r>
            <w:r>
              <w:rPr>
                <w:noProof/>
                <w:webHidden/>
              </w:rPr>
            </w:r>
            <w:r>
              <w:rPr>
                <w:noProof/>
                <w:webHidden/>
              </w:rPr>
              <w:fldChar w:fldCharType="separate"/>
            </w:r>
            <w:r>
              <w:rPr>
                <w:noProof/>
                <w:webHidden/>
              </w:rPr>
              <w:t>25</w:t>
            </w:r>
            <w:r>
              <w:rPr>
                <w:noProof/>
                <w:webHidden/>
              </w:rPr>
              <w:fldChar w:fldCharType="end"/>
            </w:r>
          </w:hyperlink>
        </w:p>
        <w:p w14:paraId="182892EB" w14:textId="77A2FE37"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79" w:history="1">
            <w:r w:rsidRPr="00B67719">
              <w:rPr>
                <w:rStyle w:val="Hyperlink"/>
                <w:noProof/>
                <w14:scene3d>
                  <w14:camera w14:prst="orthographicFront"/>
                  <w14:lightRig w14:rig="threePt" w14:dir="t">
                    <w14:rot w14:lat="0" w14:lon="0" w14:rev="0"/>
                  </w14:lightRig>
                </w14:scene3d>
              </w:rPr>
              <w:t>7.8.1.</w:t>
            </w:r>
            <w:r>
              <w:rPr>
                <w:rFonts w:asciiTheme="minorHAnsi" w:eastAsiaTheme="minorEastAsia" w:hAnsiTheme="minorHAnsi" w:cstheme="minorBidi"/>
                <w:noProof/>
                <w:sz w:val="22"/>
                <w:szCs w:val="22"/>
                <w:lang w:val="en-US"/>
              </w:rPr>
              <w:tab/>
            </w:r>
            <w:r w:rsidRPr="00B67719">
              <w:rPr>
                <w:rStyle w:val="Hyperlink"/>
                <w:noProof/>
              </w:rPr>
              <w:t>Splošno – priznanje dolga</w:t>
            </w:r>
            <w:r>
              <w:rPr>
                <w:noProof/>
                <w:webHidden/>
              </w:rPr>
              <w:tab/>
            </w:r>
            <w:r>
              <w:rPr>
                <w:noProof/>
                <w:webHidden/>
              </w:rPr>
              <w:fldChar w:fldCharType="begin"/>
            </w:r>
            <w:r>
              <w:rPr>
                <w:noProof/>
                <w:webHidden/>
              </w:rPr>
              <w:instrText xml:space="preserve"> PAGEREF _Toc127268879 \h </w:instrText>
            </w:r>
            <w:r>
              <w:rPr>
                <w:noProof/>
                <w:webHidden/>
              </w:rPr>
            </w:r>
            <w:r>
              <w:rPr>
                <w:noProof/>
                <w:webHidden/>
              </w:rPr>
              <w:fldChar w:fldCharType="separate"/>
            </w:r>
            <w:r>
              <w:rPr>
                <w:noProof/>
                <w:webHidden/>
              </w:rPr>
              <w:t>25</w:t>
            </w:r>
            <w:r>
              <w:rPr>
                <w:noProof/>
                <w:webHidden/>
              </w:rPr>
              <w:fldChar w:fldCharType="end"/>
            </w:r>
          </w:hyperlink>
        </w:p>
        <w:p w14:paraId="6798FA17" w14:textId="17E1DA2A"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80" w:history="1">
            <w:r w:rsidRPr="00B67719">
              <w:rPr>
                <w:rStyle w:val="Hyperlink"/>
                <w:noProof/>
                <w14:scene3d>
                  <w14:camera w14:prst="orthographicFront"/>
                  <w14:lightRig w14:rig="threePt" w14:dir="t">
                    <w14:rot w14:lat="0" w14:lon="0" w14:rev="0"/>
                  </w14:lightRig>
                </w14:scene3d>
              </w:rPr>
              <w:t>7.8.2.</w:t>
            </w:r>
            <w:r>
              <w:rPr>
                <w:rFonts w:asciiTheme="minorHAnsi" w:eastAsiaTheme="minorEastAsia" w:hAnsiTheme="minorHAnsi" w:cstheme="minorBidi"/>
                <w:noProof/>
                <w:sz w:val="22"/>
                <w:szCs w:val="22"/>
                <w:lang w:val="en-US"/>
              </w:rPr>
              <w:tab/>
            </w:r>
            <w:r w:rsidRPr="00B67719">
              <w:rPr>
                <w:rStyle w:val="Hyperlink"/>
                <w:noProof/>
              </w:rPr>
              <w:t>Splošno – vodenje knjige terjatev</w:t>
            </w:r>
            <w:r>
              <w:rPr>
                <w:noProof/>
                <w:webHidden/>
              </w:rPr>
              <w:tab/>
            </w:r>
            <w:r>
              <w:rPr>
                <w:noProof/>
                <w:webHidden/>
              </w:rPr>
              <w:fldChar w:fldCharType="begin"/>
            </w:r>
            <w:r>
              <w:rPr>
                <w:noProof/>
                <w:webHidden/>
              </w:rPr>
              <w:instrText xml:space="preserve"> PAGEREF _Toc127268880 \h </w:instrText>
            </w:r>
            <w:r>
              <w:rPr>
                <w:noProof/>
                <w:webHidden/>
              </w:rPr>
            </w:r>
            <w:r>
              <w:rPr>
                <w:noProof/>
                <w:webHidden/>
              </w:rPr>
              <w:fldChar w:fldCharType="separate"/>
            </w:r>
            <w:r>
              <w:rPr>
                <w:noProof/>
                <w:webHidden/>
              </w:rPr>
              <w:t>25</w:t>
            </w:r>
            <w:r>
              <w:rPr>
                <w:noProof/>
                <w:webHidden/>
              </w:rPr>
              <w:fldChar w:fldCharType="end"/>
            </w:r>
          </w:hyperlink>
        </w:p>
        <w:p w14:paraId="72BF3173" w14:textId="49643313" w:rsidR="00E20B32" w:rsidRDefault="00E20B32">
          <w:pPr>
            <w:pStyle w:val="TOC3"/>
            <w:tabs>
              <w:tab w:val="left" w:pos="1916"/>
            </w:tabs>
            <w:rPr>
              <w:rFonts w:asciiTheme="minorHAnsi" w:eastAsiaTheme="minorEastAsia" w:hAnsiTheme="minorHAnsi" w:cstheme="minorBidi"/>
              <w:noProof/>
              <w:sz w:val="22"/>
              <w:szCs w:val="22"/>
              <w:lang w:val="en-US"/>
            </w:rPr>
          </w:pPr>
          <w:hyperlink w:anchor="_Toc127268881" w:history="1">
            <w:r w:rsidRPr="00B67719">
              <w:rPr>
                <w:rStyle w:val="Hyperlink"/>
                <w:noProof/>
                <w14:scene3d>
                  <w14:camera w14:prst="orthographicFront"/>
                  <w14:lightRig w14:rig="threePt" w14:dir="t">
                    <w14:rot w14:lat="0" w14:lon="0" w14:rev="0"/>
                  </w14:lightRig>
                </w14:scene3d>
              </w:rPr>
              <w:t>7.8.3.</w:t>
            </w:r>
            <w:r>
              <w:rPr>
                <w:rFonts w:asciiTheme="minorHAnsi" w:eastAsiaTheme="minorEastAsia" w:hAnsiTheme="minorHAnsi" w:cstheme="minorBidi"/>
                <w:noProof/>
                <w:sz w:val="22"/>
                <w:szCs w:val="22"/>
                <w:lang w:val="en-US"/>
              </w:rPr>
              <w:tab/>
            </w:r>
            <w:r w:rsidRPr="00B67719">
              <w:rPr>
                <w:rStyle w:val="Hyperlink"/>
                <w:noProof/>
              </w:rPr>
              <w:t>Splošno – koraki, ki so potrebni za izterjavo</w:t>
            </w:r>
            <w:r>
              <w:rPr>
                <w:noProof/>
                <w:webHidden/>
              </w:rPr>
              <w:tab/>
            </w:r>
            <w:r>
              <w:rPr>
                <w:noProof/>
                <w:webHidden/>
              </w:rPr>
              <w:fldChar w:fldCharType="begin"/>
            </w:r>
            <w:r>
              <w:rPr>
                <w:noProof/>
                <w:webHidden/>
              </w:rPr>
              <w:instrText xml:space="preserve"> PAGEREF _Toc127268881 \h </w:instrText>
            </w:r>
            <w:r>
              <w:rPr>
                <w:noProof/>
                <w:webHidden/>
              </w:rPr>
            </w:r>
            <w:r>
              <w:rPr>
                <w:noProof/>
                <w:webHidden/>
              </w:rPr>
              <w:fldChar w:fldCharType="separate"/>
            </w:r>
            <w:r>
              <w:rPr>
                <w:noProof/>
                <w:webHidden/>
              </w:rPr>
              <w:t>26</w:t>
            </w:r>
            <w:r>
              <w:rPr>
                <w:noProof/>
                <w:webHidden/>
              </w:rPr>
              <w:fldChar w:fldCharType="end"/>
            </w:r>
          </w:hyperlink>
        </w:p>
        <w:p w14:paraId="2BD8F49A" w14:textId="3062CFE2" w:rsidR="00E20B32" w:rsidRDefault="00E20B32">
          <w:pPr>
            <w:pStyle w:val="TOC2"/>
            <w:tabs>
              <w:tab w:val="left" w:pos="1077"/>
            </w:tabs>
            <w:rPr>
              <w:rFonts w:asciiTheme="minorHAnsi" w:eastAsiaTheme="minorEastAsia" w:hAnsiTheme="minorHAnsi" w:cstheme="minorBidi"/>
              <w:noProof/>
              <w:sz w:val="22"/>
              <w:szCs w:val="22"/>
              <w:lang w:val="en-US"/>
            </w:rPr>
          </w:pPr>
          <w:hyperlink w:anchor="_Toc127268882" w:history="1">
            <w:r w:rsidRPr="00B67719">
              <w:rPr>
                <w:rStyle w:val="Hyperlink"/>
                <w:noProof/>
              </w:rPr>
              <w:t>7.9.</w:t>
            </w:r>
            <w:r>
              <w:rPr>
                <w:rFonts w:asciiTheme="minorHAnsi" w:eastAsiaTheme="minorEastAsia" w:hAnsiTheme="minorHAnsi" w:cstheme="minorBidi"/>
                <w:noProof/>
                <w:sz w:val="22"/>
                <w:szCs w:val="22"/>
                <w:lang w:val="en-US"/>
              </w:rPr>
              <w:tab/>
            </w:r>
            <w:r w:rsidRPr="00B67719">
              <w:rPr>
                <w:rStyle w:val="Hyperlink"/>
                <w:noProof/>
              </w:rPr>
              <w:t>Informacijska varnost</w:t>
            </w:r>
            <w:r>
              <w:rPr>
                <w:noProof/>
                <w:webHidden/>
              </w:rPr>
              <w:tab/>
            </w:r>
            <w:r>
              <w:rPr>
                <w:noProof/>
                <w:webHidden/>
              </w:rPr>
              <w:fldChar w:fldCharType="begin"/>
            </w:r>
            <w:r>
              <w:rPr>
                <w:noProof/>
                <w:webHidden/>
              </w:rPr>
              <w:instrText xml:space="preserve"> PAGEREF _Toc127268882 \h </w:instrText>
            </w:r>
            <w:r>
              <w:rPr>
                <w:noProof/>
                <w:webHidden/>
              </w:rPr>
            </w:r>
            <w:r>
              <w:rPr>
                <w:noProof/>
                <w:webHidden/>
              </w:rPr>
              <w:fldChar w:fldCharType="separate"/>
            </w:r>
            <w:r>
              <w:rPr>
                <w:noProof/>
                <w:webHidden/>
              </w:rPr>
              <w:t>26</w:t>
            </w:r>
            <w:r>
              <w:rPr>
                <w:noProof/>
                <w:webHidden/>
              </w:rPr>
              <w:fldChar w:fldCharType="end"/>
            </w:r>
          </w:hyperlink>
        </w:p>
        <w:p w14:paraId="3D2C7A1C" w14:textId="4F8A9E8C" w:rsidR="00E20B32" w:rsidRDefault="00E20B32">
          <w:pPr>
            <w:pStyle w:val="TOC2"/>
            <w:tabs>
              <w:tab w:val="left" w:pos="1916"/>
            </w:tabs>
            <w:rPr>
              <w:rFonts w:asciiTheme="minorHAnsi" w:eastAsiaTheme="minorEastAsia" w:hAnsiTheme="minorHAnsi" w:cstheme="minorBidi"/>
              <w:noProof/>
              <w:sz w:val="22"/>
              <w:szCs w:val="22"/>
              <w:lang w:val="en-US"/>
            </w:rPr>
          </w:pPr>
          <w:hyperlink w:anchor="_Toc127268883" w:history="1">
            <w:r w:rsidRPr="00B67719">
              <w:rPr>
                <w:rStyle w:val="Hyperlink"/>
                <w:noProof/>
              </w:rPr>
              <w:t>7.10.</w:t>
            </w:r>
            <w:r>
              <w:rPr>
                <w:rFonts w:asciiTheme="minorHAnsi" w:eastAsiaTheme="minorEastAsia" w:hAnsiTheme="minorHAnsi" w:cstheme="minorBidi"/>
                <w:noProof/>
                <w:sz w:val="22"/>
                <w:szCs w:val="22"/>
                <w:lang w:val="en-US"/>
              </w:rPr>
              <w:tab/>
            </w:r>
            <w:r w:rsidRPr="00B67719">
              <w:rPr>
                <w:rStyle w:val="Hyperlink"/>
                <w:noProof/>
              </w:rPr>
              <w:t>Razvoj sistemov informacijske tehnologije v zvezi s kontrolnimi dejavnostmi in spremljanjem</w:t>
            </w:r>
            <w:r>
              <w:rPr>
                <w:noProof/>
                <w:webHidden/>
              </w:rPr>
              <w:tab/>
            </w:r>
            <w:r>
              <w:rPr>
                <w:noProof/>
                <w:webHidden/>
              </w:rPr>
              <w:fldChar w:fldCharType="begin"/>
            </w:r>
            <w:r>
              <w:rPr>
                <w:noProof/>
                <w:webHidden/>
              </w:rPr>
              <w:instrText xml:space="preserve"> PAGEREF _Toc127268883 \h </w:instrText>
            </w:r>
            <w:r>
              <w:rPr>
                <w:noProof/>
                <w:webHidden/>
              </w:rPr>
            </w:r>
            <w:r>
              <w:rPr>
                <w:noProof/>
                <w:webHidden/>
              </w:rPr>
              <w:fldChar w:fldCharType="separate"/>
            </w:r>
            <w:r>
              <w:rPr>
                <w:noProof/>
                <w:webHidden/>
              </w:rPr>
              <w:t>26</w:t>
            </w:r>
            <w:r>
              <w:rPr>
                <w:noProof/>
                <w:webHidden/>
              </w:rPr>
              <w:fldChar w:fldCharType="end"/>
            </w:r>
          </w:hyperlink>
        </w:p>
        <w:p w14:paraId="6E55468E" w14:textId="03875CC0" w:rsidR="00E20B32" w:rsidRDefault="00E20B32">
          <w:pPr>
            <w:pStyle w:val="TOC2"/>
            <w:tabs>
              <w:tab w:val="left" w:pos="1916"/>
            </w:tabs>
            <w:rPr>
              <w:rFonts w:asciiTheme="minorHAnsi" w:eastAsiaTheme="minorEastAsia" w:hAnsiTheme="minorHAnsi" w:cstheme="minorBidi"/>
              <w:noProof/>
              <w:sz w:val="22"/>
              <w:szCs w:val="22"/>
              <w:lang w:val="en-US"/>
            </w:rPr>
          </w:pPr>
          <w:hyperlink w:anchor="_Toc127268884" w:history="1">
            <w:r w:rsidRPr="00B67719">
              <w:rPr>
                <w:rStyle w:val="Hyperlink"/>
                <w:noProof/>
                <w:kern w:val="36"/>
              </w:rPr>
              <w:t>7.11.</w:t>
            </w:r>
            <w:r>
              <w:rPr>
                <w:rFonts w:asciiTheme="minorHAnsi" w:eastAsiaTheme="minorEastAsia" w:hAnsiTheme="minorHAnsi" w:cstheme="minorBidi"/>
                <w:noProof/>
                <w:sz w:val="22"/>
                <w:szCs w:val="22"/>
                <w:lang w:val="en-US"/>
              </w:rPr>
              <w:tab/>
            </w:r>
            <w:r w:rsidRPr="00B67719">
              <w:rPr>
                <w:rStyle w:val="Hyperlink"/>
                <w:noProof/>
              </w:rPr>
              <w:t>Postopek za dodelitev pomoči iz člena 1(2) Uredbe (EU) 2022/127</w:t>
            </w:r>
            <w:r>
              <w:rPr>
                <w:noProof/>
                <w:webHidden/>
              </w:rPr>
              <w:tab/>
            </w:r>
            <w:r>
              <w:rPr>
                <w:noProof/>
                <w:webHidden/>
              </w:rPr>
              <w:fldChar w:fldCharType="begin"/>
            </w:r>
            <w:r>
              <w:rPr>
                <w:noProof/>
                <w:webHidden/>
              </w:rPr>
              <w:instrText xml:space="preserve"> PAGEREF _Toc127268884 \h </w:instrText>
            </w:r>
            <w:r>
              <w:rPr>
                <w:noProof/>
                <w:webHidden/>
              </w:rPr>
            </w:r>
            <w:r>
              <w:rPr>
                <w:noProof/>
                <w:webHidden/>
              </w:rPr>
              <w:fldChar w:fldCharType="separate"/>
            </w:r>
            <w:r>
              <w:rPr>
                <w:noProof/>
                <w:webHidden/>
              </w:rPr>
              <w:t>27</w:t>
            </w:r>
            <w:r>
              <w:rPr>
                <w:noProof/>
                <w:webHidden/>
              </w:rPr>
              <w:fldChar w:fldCharType="end"/>
            </w:r>
          </w:hyperlink>
        </w:p>
        <w:p w14:paraId="5880B33D" w14:textId="21B0B50B" w:rsidR="00E20B32" w:rsidRDefault="00E20B32">
          <w:pPr>
            <w:pStyle w:val="TOC1"/>
            <w:rPr>
              <w:rFonts w:asciiTheme="minorHAnsi" w:eastAsiaTheme="minorEastAsia" w:hAnsiTheme="minorHAnsi" w:cstheme="minorBidi"/>
              <w:caps w:val="0"/>
              <w:noProof/>
              <w:sz w:val="22"/>
              <w:szCs w:val="22"/>
              <w:lang w:val="en-US"/>
            </w:rPr>
          </w:pPr>
          <w:hyperlink w:anchor="_Toc127268885" w:history="1">
            <w:r w:rsidRPr="00B67719">
              <w:rPr>
                <w:rStyle w:val="Hyperlink"/>
                <w:noProof/>
              </w:rPr>
              <w:t>8.</w:t>
            </w:r>
            <w:r>
              <w:rPr>
                <w:rFonts w:asciiTheme="minorHAnsi" w:eastAsiaTheme="minorEastAsia" w:hAnsiTheme="minorHAnsi" w:cstheme="minorBidi"/>
                <w:caps w:val="0"/>
                <w:noProof/>
                <w:sz w:val="22"/>
                <w:szCs w:val="22"/>
                <w:lang w:val="en-US"/>
              </w:rPr>
              <w:tab/>
            </w:r>
            <w:r w:rsidRPr="00B67719">
              <w:rPr>
                <w:rStyle w:val="Hyperlink"/>
                <w:noProof/>
              </w:rPr>
              <w:t>Poročanje Komisiji</w:t>
            </w:r>
            <w:r>
              <w:rPr>
                <w:noProof/>
                <w:webHidden/>
              </w:rPr>
              <w:tab/>
            </w:r>
            <w:r>
              <w:rPr>
                <w:noProof/>
                <w:webHidden/>
              </w:rPr>
              <w:fldChar w:fldCharType="begin"/>
            </w:r>
            <w:r>
              <w:rPr>
                <w:noProof/>
                <w:webHidden/>
              </w:rPr>
              <w:instrText xml:space="preserve"> PAGEREF _Toc127268885 \h </w:instrText>
            </w:r>
            <w:r>
              <w:rPr>
                <w:noProof/>
                <w:webHidden/>
              </w:rPr>
            </w:r>
            <w:r>
              <w:rPr>
                <w:noProof/>
                <w:webHidden/>
              </w:rPr>
              <w:fldChar w:fldCharType="separate"/>
            </w:r>
            <w:r>
              <w:rPr>
                <w:noProof/>
                <w:webHidden/>
              </w:rPr>
              <w:t>28</w:t>
            </w:r>
            <w:r>
              <w:rPr>
                <w:noProof/>
                <w:webHidden/>
              </w:rPr>
              <w:fldChar w:fldCharType="end"/>
            </w:r>
          </w:hyperlink>
        </w:p>
        <w:p w14:paraId="3D8C7587" w14:textId="06E6D544" w:rsidR="0079263D" w:rsidRDefault="00035E3D">
          <w:pPr>
            <w:pStyle w:val="TOC1"/>
          </w:pPr>
          <w:r>
            <w:rPr>
              <w:b/>
            </w:rPr>
            <w:fldChar w:fldCharType="end"/>
          </w:r>
        </w:p>
      </w:sdtContent>
    </w:sdt>
    <w:p w14:paraId="3D8C7588" w14:textId="77777777" w:rsidR="0079263D" w:rsidRDefault="00035E3D">
      <w:pPr>
        <w:pStyle w:val="TOC1"/>
        <w:ind w:left="0" w:firstLine="0"/>
        <w:jc w:val="left"/>
        <w:rPr>
          <w:sz w:val="20"/>
        </w:rPr>
      </w:pPr>
      <w:r>
        <w:rPr>
          <w:sz w:val="20"/>
        </w:rPr>
        <w:fldChar w:fldCharType="begin"/>
      </w:r>
      <w:r>
        <w:rPr>
          <w:sz w:val="20"/>
        </w:rPr>
        <w:instrText xml:space="preserve"> TOC \o "1-4" </w:instrText>
      </w:r>
      <w:r>
        <w:rPr>
          <w:sz w:val="20"/>
        </w:rPr>
        <w:fldChar w:fldCharType="end"/>
      </w:r>
    </w:p>
    <w:p w14:paraId="3D8C7589" w14:textId="77777777" w:rsidR="0079263D" w:rsidRDefault="00035E3D">
      <w:pPr>
        <w:pStyle w:val="Heading1"/>
      </w:pPr>
      <w:r>
        <w:br w:type="page"/>
      </w:r>
      <w:bookmarkStart w:id="4" w:name="_Toc94857570"/>
      <w:bookmarkStart w:id="5" w:name="_Toc108446573"/>
      <w:bookmarkStart w:id="6" w:name="_Toc127268830"/>
      <w:r>
        <w:lastRenderedPageBreak/>
        <w:t>Uvod</w:t>
      </w:r>
      <w:bookmarkEnd w:id="4"/>
      <w:bookmarkEnd w:id="5"/>
      <w:bookmarkEnd w:id="6"/>
    </w:p>
    <w:p w14:paraId="3D8C758A" w14:textId="77777777" w:rsidR="0079263D" w:rsidRDefault="00035E3D">
      <w:pPr>
        <w:spacing w:after="120"/>
      </w:pPr>
      <w:r>
        <w:t xml:space="preserve">Cilj tega dokumenta je zagotoviti smernice za akreditacijska merila za plačilne agencije in usklajevalne organe. </w:t>
      </w:r>
    </w:p>
    <w:p w14:paraId="3D8C758B" w14:textId="77777777" w:rsidR="0079263D" w:rsidRDefault="00035E3D">
      <w:pPr>
        <w:spacing w:after="120"/>
      </w:pPr>
      <w:r>
        <w:t>Navedene so tudi glavne naloge organov, ki sodelujejo v akreditacijskem postopku ter vrednotenju sistema notranjih kontrol/skladnosti z akreditacijskimi merili in zahtevami za poročanje v skladu s členom 8 Uredbe (EU) 2021/2116 Evropskega parlamenta in Sveta z dne 2. decembra 2021, členi 1, 2, 3, 5, 6 in 7 Izvedbene uredbe Komisije (EU) 2022/128 z dne 21. decembra 2021 ter členoma 1 in 2 ter prilogama I in II k Delegirani uredbi Komisije (EU) 2022/127 z dne 7. decembra 2021.</w:t>
      </w:r>
    </w:p>
    <w:p w14:paraId="3D8C758C" w14:textId="77777777" w:rsidR="0079263D" w:rsidRDefault="00035E3D">
      <w:r>
        <w:t>Te smernice izhajajo neposredno iz navedenih pravnih določb ali so del priporočil služb Komisije državam članicam.</w:t>
      </w:r>
    </w:p>
    <w:p w14:paraId="3D8C758D" w14:textId="77777777" w:rsidR="0079263D" w:rsidRDefault="00035E3D">
      <w:pPr>
        <w:spacing w:after="120"/>
      </w:pPr>
      <w:r>
        <w:t>Te smernice se bodo redno pregledovale.</w:t>
      </w:r>
    </w:p>
    <w:p w14:paraId="3D8C758E" w14:textId="77777777" w:rsidR="0079263D" w:rsidRDefault="00035E3D">
      <w:pPr>
        <w:pStyle w:val="Heading1"/>
      </w:pPr>
      <w:bookmarkStart w:id="7" w:name="_Toc397677328"/>
      <w:bookmarkStart w:id="8" w:name="_Toc94857571"/>
      <w:bookmarkStart w:id="9" w:name="_Toc108446574"/>
      <w:bookmarkStart w:id="10" w:name="_Toc127268831"/>
      <w:bookmarkEnd w:id="7"/>
      <w:r>
        <w:t>Ozadje</w:t>
      </w:r>
      <w:bookmarkEnd w:id="8"/>
      <w:bookmarkEnd w:id="9"/>
      <w:bookmarkEnd w:id="10"/>
    </w:p>
    <w:p w14:paraId="3D8C758F" w14:textId="77777777" w:rsidR="0079263D" w:rsidRDefault="00035E3D">
      <w:pPr>
        <w:pStyle w:val="Heading2"/>
      </w:pPr>
      <w:bookmarkStart w:id="11" w:name="_Toc94857572"/>
      <w:bookmarkStart w:id="12" w:name="_Toc108446575"/>
      <w:bookmarkStart w:id="13" w:name="_Toc127268832"/>
      <w:r>
        <w:t>PLAČILNA AGENCIJA</w:t>
      </w:r>
      <w:bookmarkEnd w:id="11"/>
      <w:bookmarkEnd w:id="12"/>
      <w:bookmarkEnd w:id="13"/>
    </w:p>
    <w:p w14:paraId="3D8C7590" w14:textId="77777777" w:rsidR="0079263D" w:rsidRDefault="00035E3D">
      <w:r>
        <w:t xml:space="preserve">Le akreditirane plačilne agencije so upravičene do denarne podpore Unije iz Evropskega kmetijskega jamstvenega sklada (EKJS) in Evropskega kmetijskega sklada za razvoj podeželja (EKSRP). Za akreditacijo plačilnih agencij so odgovorne države članice. </w:t>
      </w:r>
    </w:p>
    <w:p w14:paraId="3D8C7591" w14:textId="77777777" w:rsidR="0079263D" w:rsidRDefault="00035E3D">
      <w:r>
        <w:t>Države članice akreditirajo plačilne agencije le, če te izpolnjujejo minimalna merila, določena na ravni Unije. Navedena merila zajemajo pet glavnih področij v okviru modela COSO</w:t>
      </w:r>
      <w:r>
        <w:rPr>
          <w:rStyle w:val="FootnoteReference"/>
          <w:rFonts w:ascii="Times New Roman" w:hAnsi="Times New Roman"/>
        </w:rPr>
        <w:footnoteReference w:id="2"/>
      </w:r>
      <w:r>
        <w:t>: notranje okolje, kontrolne dejavnosti, obveščanje in sporočanje ter spremljanje. Ocena tveganja je zdaj vključena v notranje okolje, saj se šteje za pomemben element pri doseganju ciljev organizacije. Države članice prosto določijo dodatna akreditacijska merila, da se upoštevajo morebitne posebnosti plačilne agencije.</w:t>
      </w:r>
    </w:p>
    <w:p w14:paraId="3D8C7592" w14:textId="77777777" w:rsidR="0079263D" w:rsidRDefault="00035E3D">
      <w:r>
        <w:t>Države članice morajo svoje plačilne agencije redno nadzorovati ter vzpostaviti sistem izmenjave informacij o možnih primerih neizpolnjevanja meril. Uvesti bi bilo treba postopek za obravnavanje takšnih primerov, vključno z obveznostjo sestave načrta za odpravo vseh resnih pomanjkljivosti (kot določa člen 2(3) Uredbe (EU) 2022/128) v roku, ki ga je treba določiti (največ 12 mesecev). Za odhodke plačilnih agencij, katerih akreditacijo ohranja njihova država članica, čeprav takšnega načrta za odpravo pomanjkljivosti ne izvedejo v določenem roku, lahko velja postopek potrditve skladnosti iz člena 55 Uredbe (EU) 2021/2116. Poleg tega se lahko razmisli o odvzemu akreditacije plačilni agenciji.</w:t>
      </w:r>
    </w:p>
    <w:p w14:paraId="3D8C7593" w14:textId="77777777" w:rsidR="0079263D" w:rsidRDefault="00035E3D">
      <w:pPr>
        <w:pStyle w:val="Heading2"/>
      </w:pPr>
      <w:bookmarkStart w:id="14" w:name="_Toc94857573"/>
      <w:bookmarkStart w:id="15" w:name="_Toc108446576"/>
      <w:bookmarkStart w:id="16" w:name="_Toc127268833"/>
      <w:r>
        <w:t>USKLAJEVALNI ORGAN</w:t>
      </w:r>
      <w:bookmarkEnd w:id="14"/>
      <w:bookmarkEnd w:id="15"/>
      <w:bookmarkEnd w:id="16"/>
    </w:p>
    <w:p w14:paraId="3D8C7594" w14:textId="77777777" w:rsidR="0079263D" w:rsidRDefault="00035E3D">
      <w:r>
        <w:t>Če je v državi članici akreditirana več kot ena plačilna agencija, se imenuje usklajevalni organ.</w:t>
      </w:r>
    </w:p>
    <w:p w14:paraId="3D8C7595" w14:textId="77777777" w:rsidR="0079263D" w:rsidRDefault="00035E3D">
      <w:r>
        <w:t>Ta usklajevalni organ zbira in pošilja potrebne informacije Komisiji, predloži letno poročilo o smotrnosti, usklajuje splošne popravne ukrepe in Komisijo obvešča o njihovem spremljanju ter po možnosti zagotavlja usklajeno uporabo pravil Unije v skladu s členom 10 Uredbe (EU) 2021/2116.</w:t>
      </w:r>
    </w:p>
    <w:p w14:paraId="3D8C7596" w14:textId="77777777" w:rsidR="0079263D" w:rsidRDefault="00035E3D">
      <w:r>
        <w:t>V skladu s členom 2 Uredbe (EU) 2022/127 države članice akreditirajo usklajevalni organ le, če izpolnjuje akreditacijska merila, določena na ravni Unije. Ta merila zajemajo zlasti upravno organizacijo in sistem notranje kontrole v zvezi s pripravo letnega poročila o smotrnosti, ki pokriva glavno področje modela COSO, obveščanje in sporočanje. Države članice prosto določajo dodatna akreditacijska merila, da upoštevajo kakršne koli posebnosti usklajevalnega organa.</w:t>
      </w:r>
    </w:p>
    <w:p w14:paraId="3D8C7597" w14:textId="77777777" w:rsidR="0079263D" w:rsidRDefault="00035E3D">
      <w:r>
        <w:lastRenderedPageBreak/>
        <w:t>Države članice morajo nadzorovati svoj usklajevalni organ in preveriti, ali izpolnjuje zgoraj navedena akreditacijska merila. Če pristojni organ meni, da usklajevalni organ ne izpolnjuje akreditacijskih meril, bi moral usklajevalni organ obvestiti o zahtevah, ki jih mora izpolniti. Akreditacijo bi bilo treba odvzeti, če akreditacijska merila niso izpolnjena in pristojni organ meni, da usklajevalni organ ne more izpolnjevati svojih nalog (v skladu s členom 3 Uredbe (EU) 2022/128). Pristojni organ bi moral v primeru odvzema akreditacije usklajevalnemu organu nemudoma obvestiti Komisijo.</w:t>
      </w:r>
    </w:p>
    <w:p w14:paraId="3D8C7598" w14:textId="77777777" w:rsidR="0079263D" w:rsidRDefault="00035E3D">
      <w:pPr>
        <w:pStyle w:val="Heading2"/>
      </w:pPr>
      <w:bookmarkStart w:id="17" w:name="_Toc94857574"/>
      <w:bookmarkStart w:id="18" w:name="_Toc108446577"/>
      <w:bookmarkStart w:id="19" w:name="_Toc127268834"/>
      <w:r>
        <w:t>STRATEŠKI NAČRTI SKP</w:t>
      </w:r>
      <w:bookmarkEnd w:id="17"/>
      <w:bookmarkEnd w:id="18"/>
      <w:bookmarkEnd w:id="19"/>
    </w:p>
    <w:p w14:paraId="3D8C7599" w14:textId="77777777" w:rsidR="0079263D" w:rsidRDefault="00035E3D">
      <w:r>
        <w:t>Kot je določeno v členu 104 Uredbe (EU) 2021/2115 Evropskega parlamenta in Sveta, se strateški načrti SKP pripravijo za izvajanje podpore Unije, ki se iz EKJS in EKSRP financira za doseganje specifičnih ciljev in prek njih za doseganje splošnih ciljev SKP iz členov 6(1) in (2) Uredbe (EU) 2021/2115.</w:t>
      </w:r>
    </w:p>
    <w:p w14:paraId="3D8C759A" w14:textId="77777777" w:rsidR="0079263D" w:rsidRDefault="00035E3D">
      <w:r>
        <w:t>Vsaka država članica na podlagi preglednih postopkov oblikuje in pripravi enoten strateški načrt SKP za svoje ozemlje za obdobje od 1. januarja 2023 do 31. decembra 2027.</w:t>
      </w:r>
    </w:p>
    <w:p w14:paraId="3D8C759B" w14:textId="77777777" w:rsidR="0079263D" w:rsidRDefault="00035E3D">
      <w:r>
        <w:t>V skladu s členom 107 Uredbe (EU) 2021/2115 bi moral strateški načrt SKP vključevati več oddelkov</w:t>
      </w:r>
      <w:r>
        <w:rPr>
          <w:rStyle w:val="FootnoteReference"/>
          <w:lang w:eastAsia="en-US"/>
        </w:rPr>
        <w:footnoteReference w:id="3"/>
      </w:r>
      <w:r>
        <w:t xml:space="preserve"> in prilog</w:t>
      </w:r>
      <w:r>
        <w:rPr>
          <w:rStyle w:val="FootnoteReference"/>
          <w:lang w:eastAsia="en-US"/>
        </w:rPr>
        <w:footnoteReference w:id="4"/>
      </w:r>
      <w:r>
        <w:t>.</w:t>
      </w:r>
    </w:p>
    <w:p w14:paraId="3D8C759C" w14:textId="77777777" w:rsidR="0079263D" w:rsidRDefault="00035E3D">
      <w:r>
        <w:t>Ko Komisija po predložitvi predloga odobri strateške načrte SKP, jih lahko države članice spremenijo na podlagi predložitve zahtevkov za spremembe. Ti zahtevki bi morali biti ustrezno utemeljeni, poleg tega bi moral biti v njih opisan vpliv sprememb načrta na cilje.</w:t>
      </w:r>
    </w:p>
    <w:p w14:paraId="3D8C759D" w14:textId="77777777" w:rsidR="0079263D" w:rsidRDefault="00035E3D">
      <w:r>
        <w:t>Organi upravljanja so odgovorni za upravljanje in izvajanje strateških načrtov SKP. Odbori za spremljanje, ki jih ustanovijo države članice, spremljajo izvajanje teh strateških načrtov SKP, proučijo vprašanja, ki vplivajo na strateške načrte SKP, ter izdajo mnenja o letnih poročilih o smotrnosti in njihovem razvoju.</w:t>
      </w:r>
    </w:p>
    <w:p w14:paraId="3D8C759E" w14:textId="77777777" w:rsidR="0079263D" w:rsidRDefault="00035E3D">
      <w:r>
        <w:t>Kot je določeno v členu 134 Uredbe (EU) 2021/2115, države članice vsako leto zagotovijo letno poročilo o smotrnosti izvajanja strateškega načrta SKP v preteklem proračunskem letu, v katerem se določijo ključne kvalitativne in kvantitativne informacije o izvajanju strateškega načrta SKP glede na finančne podatke ter kazalnike učinka in rezultatov.</w:t>
      </w:r>
    </w:p>
    <w:p w14:paraId="3D8C759F" w14:textId="77777777" w:rsidR="0079263D" w:rsidRDefault="00035E3D">
      <w:pPr>
        <w:pStyle w:val="Heading2"/>
      </w:pPr>
      <w:r>
        <w:br w:type="page"/>
      </w:r>
      <w:bookmarkStart w:id="20" w:name="_Toc94857575"/>
      <w:bookmarkStart w:id="21" w:name="_Toc108446578"/>
      <w:bookmarkStart w:id="22" w:name="_Toc127268835"/>
      <w:r>
        <w:lastRenderedPageBreak/>
        <w:t>DRUGE INTERVENCIJE, KI NISO VKLJUČENE V STRATEŠKI NAČRT SKP</w:t>
      </w:r>
      <w:bookmarkEnd w:id="20"/>
      <w:bookmarkEnd w:id="21"/>
      <w:bookmarkEnd w:id="22"/>
    </w:p>
    <w:p w14:paraId="3D8C75A0" w14:textId="24A19A7C" w:rsidR="0079263D" w:rsidRDefault="00035E3D">
      <w:pPr>
        <w:spacing w:after="120"/>
      </w:pPr>
      <w:r>
        <w:t>Kot je določeno v členu 5(2) Uredbe (EU) 2021/2116, se nekateri ukrepi financirajo iz EKJS, vendar niso vključeni v strateške načrte SKP, na primer:</w:t>
      </w:r>
    </w:p>
    <w:p w14:paraId="3D8C75A1" w14:textId="77777777" w:rsidR="0079263D" w:rsidRDefault="00035E3D">
      <w:pPr>
        <w:numPr>
          <w:ilvl w:val="0"/>
          <w:numId w:val="31"/>
        </w:numPr>
        <w:spacing w:after="120"/>
        <w:rPr>
          <w:color w:val="000000" w:themeColor="text1"/>
        </w:rPr>
      </w:pPr>
      <w:r>
        <w:rPr>
          <w:color w:val="000000" w:themeColor="text1"/>
        </w:rPr>
        <w:t>ukrepi za urejanje ali podporo kmetijskih trgov iz Uredbe (EU) št. 1308/2013 Evropskega parlamenta in Sveta (člen 5(2), točka (a), Uredbe (EU) 2021/2116);</w:t>
      </w:r>
    </w:p>
    <w:p w14:paraId="3D8C75A2" w14:textId="77777777" w:rsidR="0079263D" w:rsidRDefault="00035E3D">
      <w:pPr>
        <w:numPr>
          <w:ilvl w:val="0"/>
          <w:numId w:val="31"/>
        </w:numPr>
        <w:spacing w:after="120"/>
        <w:rPr>
          <w:color w:val="000000" w:themeColor="text1"/>
        </w:rPr>
      </w:pPr>
      <w:r>
        <w:rPr>
          <w:color w:val="000000" w:themeColor="text1"/>
        </w:rPr>
        <w:t>finančni prispevek Unije za ukrepe za informiranje in promocijo kmetijskih proizvodov na notranjem trgu Unije in v tretjih državah, ki jih izvajajo države članice in ki jih izbere Komisija (člen 5(2), točka (d), Uredbe (EU) 2021/2116);</w:t>
      </w:r>
    </w:p>
    <w:p w14:paraId="3D8C75A3" w14:textId="77777777" w:rsidR="0079263D" w:rsidRDefault="00035E3D">
      <w:pPr>
        <w:numPr>
          <w:ilvl w:val="0"/>
          <w:numId w:val="31"/>
        </w:numPr>
        <w:spacing w:after="120"/>
        <w:rPr>
          <w:color w:val="000000" w:themeColor="text1"/>
        </w:rPr>
      </w:pPr>
      <w:r>
        <w:rPr>
          <w:color w:val="000000" w:themeColor="text1"/>
        </w:rPr>
        <w:t>finančni prispevek Unije za posebne ukrepe za kmetijstvo v najbolj oddaljenih regijah Unije, določene v Uredbi (EU) št. 228/2013, in za posebne ukrepe za kmetijstvo v korist manjših egejskih otokov, določene v Uredbi (EU) št. 229/2013 (člen 5(2), točka (e), Uredbe (EU) 2021/2116).</w:t>
      </w:r>
    </w:p>
    <w:p w14:paraId="3D8C75A4" w14:textId="77777777" w:rsidR="0079263D" w:rsidRDefault="0079263D">
      <w:pPr>
        <w:spacing w:after="120"/>
      </w:pPr>
    </w:p>
    <w:p w14:paraId="3D8C75A5" w14:textId="77777777" w:rsidR="0079263D" w:rsidRDefault="00035E3D">
      <w:pPr>
        <w:pStyle w:val="Heading1"/>
      </w:pPr>
      <w:r>
        <w:br w:type="page"/>
      </w:r>
      <w:bookmarkStart w:id="23" w:name="_Toc108446579"/>
      <w:bookmarkStart w:id="24" w:name="_Toc94857576"/>
      <w:bookmarkStart w:id="25" w:name="_Toc127268836"/>
      <w:r>
        <w:lastRenderedPageBreak/>
        <w:t>Odgovornosti različnih organov držav članic</w:t>
      </w:r>
      <w:bookmarkEnd w:id="23"/>
      <w:bookmarkEnd w:id="25"/>
      <w:r>
        <w:t xml:space="preserve"> </w:t>
      </w:r>
      <w:bookmarkEnd w:id="24"/>
    </w:p>
    <w:p w14:paraId="3D8C75A6" w14:textId="77777777" w:rsidR="0079263D" w:rsidRDefault="00035E3D">
      <w:pPr>
        <w:spacing w:after="120"/>
        <w:rPr>
          <w:szCs w:val="24"/>
        </w:rPr>
      </w:pPr>
      <w:r>
        <w:t xml:space="preserve">V postopku akreditacije/imenovanja sodelujejo naslednji organi: pristojni organ, plačilna agencija, usklajevalni organ in certifikacijski organ, kot je opisano v nadaljevanju. </w:t>
      </w:r>
    </w:p>
    <w:p w14:paraId="3D8C75A7" w14:textId="77777777" w:rsidR="0079263D" w:rsidRDefault="00035E3D">
      <w:pPr>
        <w:spacing w:after="120"/>
      </w:pPr>
      <w:r>
        <w:t xml:space="preserve">Poleg tega ima organ upravljanja kot organ, odgovoren za upravljanje in izvajanje strateškega načrta SKP, tudi pomembno vlogo v sistemih upravljanja držav članic, čeprav ga postopek akreditacije ne zadeva. Njegova glavna vloga in naloge so zato predstavljene v tem poglavju smernice. </w:t>
      </w:r>
    </w:p>
    <w:p w14:paraId="3D8C75A8" w14:textId="77777777" w:rsidR="0079263D" w:rsidRDefault="00035E3D">
      <w:pPr>
        <w:spacing w:after="120"/>
        <w:rPr>
          <w:szCs w:val="24"/>
        </w:rPr>
      </w:pPr>
      <w:r>
        <w:t>Obveščanje o ustreznih organih bo potekalo v okviru sistema SFC2021, oddelek 7.1 strateškega načrta SKP. Prek tega oddelka SFC2021 se lahko na primer predložijo novi in posodobljeni akti o akreditaciji za plačilne agencije in usklajevalne organe, ki jih nato nadalje obdela Komisija.</w:t>
      </w:r>
    </w:p>
    <w:p w14:paraId="3D8C75A9" w14:textId="77777777" w:rsidR="0079263D" w:rsidRDefault="0079263D">
      <w:pPr>
        <w:spacing w:after="120"/>
        <w:rPr>
          <w:szCs w:val="24"/>
        </w:rPr>
      </w:pPr>
    </w:p>
    <w:p w14:paraId="3D8C75AA" w14:textId="77777777" w:rsidR="0079263D" w:rsidRDefault="00035E3D">
      <w:pPr>
        <w:pStyle w:val="Heading2"/>
      </w:pPr>
      <w:bookmarkStart w:id="26" w:name="_Toc94857577"/>
      <w:bookmarkStart w:id="27" w:name="_Toc108446580"/>
      <w:bookmarkStart w:id="28" w:name="_Toc127268837"/>
      <w:r>
        <w:t>Pristojni organ</w:t>
      </w:r>
      <w:bookmarkEnd w:id="26"/>
      <w:bookmarkEnd w:id="27"/>
      <w:bookmarkEnd w:id="28"/>
    </w:p>
    <w:p w14:paraId="3D8C75AB" w14:textId="77777777" w:rsidR="0079263D" w:rsidRDefault="00035E3D">
      <w:pPr>
        <w:pStyle w:val="Heading3"/>
      </w:pPr>
      <w:bookmarkStart w:id="29" w:name="_Toc108446581"/>
      <w:bookmarkStart w:id="30" w:name="_Toc127268838"/>
      <w:r>
        <w:t>Opis</w:t>
      </w:r>
      <w:bookmarkEnd w:id="29"/>
      <w:bookmarkEnd w:id="30"/>
    </w:p>
    <w:p w14:paraId="3D8C75AC" w14:textId="77777777" w:rsidR="0079263D" w:rsidRDefault="00035E3D">
      <w:r>
        <w:t>Pristojni organ je organ države članice, ki je pristojen za izdajo in odvzem akreditacije plačilnih agencij in usklajevalnih organov ter imenovanje certifikacijskega organa. Pristojni organ je organ, imenovan na ministrski ravni.</w:t>
      </w:r>
    </w:p>
    <w:p w14:paraId="3D8C75AD" w14:textId="77777777" w:rsidR="0079263D" w:rsidRDefault="00035E3D">
      <w:pPr>
        <w:pStyle w:val="Heading3"/>
      </w:pPr>
      <w:bookmarkStart w:id="31" w:name="_Toc94857579"/>
      <w:bookmarkStart w:id="32" w:name="_Toc108446582"/>
      <w:bookmarkStart w:id="33" w:name="_Toc127268839"/>
      <w:r>
        <w:t>Vloga</w:t>
      </w:r>
      <w:bookmarkEnd w:id="31"/>
      <w:bookmarkEnd w:id="32"/>
      <w:bookmarkEnd w:id="33"/>
    </w:p>
    <w:p w14:paraId="3D8C75AE" w14:textId="77777777" w:rsidR="0079263D" w:rsidRDefault="00035E3D">
      <w:pPr>
        <w:rPr>
          <w:color w:val="000000"/>
        </w:rPr>
      </w:pPr>
      <w:r>
        <w:t>Na podlagi pregleda izpolnjevanja akreditacijskih meril pristojni organ s formalnim aktom odloči o akreditaciji plačilne agencije. Kot določa člen 1(3) Uredbe (EU) 2022/128, pregled (pred akreditacijo) opravi revizijski organ, ki je neodvisen od plačilne agencije.</w:t>
      </w:r>
    </w:p>
    <w:p w14:paraId="3D8C75AF" w14:textId="77777777" w:rsidR="0079263D" w:rsidRDefault="00035E3D">
      <w:r>
        <w:t>Poleg tega pristojni organ izbere certifikacijski organ, ki je imenovan za obdobje najmanj treh let, da izda mnenje o letnih obračunih, vzpostavljenih sistemih upravljanja držav članic, poročanju o smotrnosti glede kazalnikov učinkov in kazalnikov rezultatov ter zakonitosti in pravilnosti odhodkov, ki niso vključeni v strateški načrt SKP, kot določa člen 12 Uredbe (EU) 2021/2116. Na podlagi ugotovitev pregleda pristojni organ plačilni agenciji naroči, da z načrtom za odpravo pomanjkljivosti odpravi večje pomanjkljivosti iz člena 2(3) Uredbe (EU) 2022/128, in jo pri tem spremlja.</w:t>
      </w:r>
    </w:p>
    <w:p w14:paraId="3D8C75B0" w14:textId="77777777" w:rsidR="0079263D" w:rsidRDefault="00035E3D">
      <w:pPr>
        <w:rPr>
          <w:color w:val="000000"/>
        </w:rPr>
      </w:pPr>
      <w:r>
        <w:t>Poleg tega pristojni organ na podlagi pregleda izpolnjevanja akreditacijskih meril s formalnim aktom odloči o akreditaciji usklajevalnega organa. Kot določa člen 3(2) Uredbe (EU) 2022/128, pregled (pred akreditacijo) opravi pristojni organ, temelji pa lahko na proučitvi, ki jo je izvedlo revizijsko telo.</w:t>
      </w:r>
    </w:p>
    <w:p w14:paraId="3D8C75B1" w14:textId="77777777" w:rsidR="0079263D" w:rsidRDefault="00035E3D">
      <w:pPr>
        <w:pStyle w:val="Heading3"/>
      </w:pPr>
      <w:bookmarkStart w:id="34" w:name="_Toc94857580"/>
      <w:bookmarkStart w:id="35" w:name="_Toc108446583"/>
      <w:bookmarkStart w:id="36" w:name="_Toc127268840"/>
      <w:r>
        <w:t>Naloge</w:t>
      </w:r>
      <w:bookmarkEnd w:id="34"/>
      <w:bookmarkEnd w:id="35"/>
      <w:bookmarkEnd w:id="36"/>
      <w:r>
        <w:t xml:space="preserve"> </w:t>
      </w:r>
    </w:p>
    <w:p w14:paraId="3D8C75B2" w14:textId="147F58CD" w:rsidR="0079263D" w:rsidRDefault="00035E3D">
      <w:r>
        <w:t xml:space="preserve">Pristojni organ bi moral imeti organizacijsko strukturo, človeške vire in postopke za opravljanje svojih nalog. V zvezi z akreditacijo ima pristojni organ naslednje naloge, kot je določeno v členih 1, 2 in 3 Uredbe (EU) 2022/128. </w:t>
      </w:r>
    </w:p>
    <w:p w14:paraId="3D8C75B3" w14:textId="77777777" w:rsidR="0079263D" w:rsidRDefault="00035E3D">
      <w:r>
        <w:t>Naloge glede plačilne agencije</w:t>
      </w:r>
    </w:p>
    <w:p w14:paraId="3D8C75B4" w14:textId="77777777" w:rsidR="0079263D" w:rsidRDefault="00035E3D">
      <w:pPr>
        <w:pStyle w:val="ListNumber1"/>
        <w:tabs>
          <w:tab w:val="clear" w:pos="1191"/>
          <w:tab w:val="num" w:pos="1134"/>
        </w:tabs>
        <w:spacing w:after="120"/>
        <w:ind w:left="1134" w:hanging="567"/>
        <w:rPr>
          <w:szCs w:val="24"/>
        </w:rPr>
      </w:pPr>
      <w:r>
        <w:t xml:space="preserve">Na podlagi pregleda akreditacijskih meril pristojni organ s formalnim aktom odloči o akreditaciji plačilne agencije. </w:t>
      </w:r>
    </w:p>
    <w:p w14:paraId="3D8C75B5" w14:textId="77777777" w:rsidR="0079263D" w:rsidRDefault="00035E3D">
      <w:pPr>
        <w:pStyle w:val="ListNumber1"/>
        <w:tabs>
          <w:tab w:val="clear" w:pos="1191"/>
          <w:tab w:val="num" w:pos="1134"/>
        </w:tabs>
        <w:spacing w:after="120"/>
        <w:ind w:left="1134" w:hanging="567"/>
        <w:rPr>
          <w:szCs w:val="24"/>
        </w:rPr>
      </w:pPr>
      <w:r>
        <w:t xml:space="preserve">Če pristojni organ ni prepričan, da plačilna agencija izpolnjuje akreditacijska merila, na plačilno agencijo naslovi navodila, ki določajo pogoje, ki jih mora plačilna agencija izpolniti, preden se lahko dodeli akreditacija. V navodilih je določen rok za nadaljnje ukrepe, ki jih je treba izvesti, da bodo zahteve izpolnjene. Dokler se ne izvede vsaka zahtevana sprememba, se lahko akreditacija dodeli začasno za obdobje, ki se določi glede na resnost ugotovljenih težav in ne presega 12 mesecev. Napredek se redno spremlja, dokler ni mogoče dodeliti akreditacije. </w:t>
      </w:r>
    </w:p>
    <w:p w14:paraId="3D8C75B6" w14:textId="77777777" w:rsidR="0079263D" w:rsidRDefault="00035E3D">
      <w:pPr>
        <w:pStyle w:val="ListNumber1"/>
        <w:tabs>
          <w:tab w:val="clear" w:pos="1191"/>
          <w:tab w:val="num" w:pos="1134"/>
        </w:tabs>
        <w:spacing w:after="120"/>
        <w:ind w:left="1134" w:hanging="567"/>
        <w:rPr>
          <w:szCs w:val="24"/>
        </w:rPr>
      </w:pPr>
      <w:r>
        <w:lastRenderedPageBreak/>
        <w:t>Dokument formalnega akta akreditacije se pošlje Komisiji takoj po prvi akreditaciji plačilne agencije, vsekakor pa preden se za odhodke plačilne agencije bremenita EKJS ali EKSRP. Dokumentu se priložijo naslednje informacije:</w:t>
      </w:r>
    </w:p>
    <w:p w14:paraId="3D8C75B7" w14:textId="77777777" w:rsidR="0079263D" w:rsidRDefault="00035E3D">
      <w:pPr>
        <w:pStyle w:val="ListDash2"/>
        <w:tabs>
          <w:tab w:val="clear" w:pos="1360"/>
          <w:tab w:val="num" w:pos="1418"/>
        </w:tabs>
        <w:spacing w:after="120"/>
        <w:ind w:left="1418" w:hanging="284"/>
        <w:rPr>
          <w:szCs w:val="24"/>
        </w:rPr>
      </w:pPr>
      <w:r>
        <w:t>odgovornosti, dodeljene plačilni agenciji;</w:t>
      </w:r>
    </w:p>
    <w:p w14:paraId="3D8C75B8" w14:textId="77777777" w:rsidR="0079263D" w:rsidRDefault="00035E3D">
      <w:pPr>
        <w:pStyle w:val="ListDash2"/>
        <w:numPr>
          <w:ilvl w:val="0"/>
          <w:numId w:val="2"/>
        </w:numPr>
        <w:tabs>
          <w:tab w:val="clear" w:pos="1360"/>
          <w:tab w:val="num" w:pos="1418"/>
        </w:tabs>
        <w:spacing w:after="120"/>
        <w:ind w:left="1418" w:hanging="284"/>
        <w:rPr>
          <w:szCs w:val="24"/>
        </w:rPr>
      </w:pPr>
      <w:r>
        <w:t>porazdelitev odgovornosti med njenimi oddelki;</w:t>
      </w:r>
    </w:p>
    <w:p w14:paraId="3D8C75B9" w14:textId="77777777" w:rsidR="0079263D" w:rsidRDefault="00035E3D">
      <w:pPr>
        <w:pStyle w:val="ListDash2"/>
        <w:tabs>
          <w:tab w:val="clear" w:pos="1360"/>
          <w:tab w:val="num" w:pos="1418"/>
        </w:tabs>
        <w:spacing w:after="120"/>
        <w:ind w:left="1418" w:hanging="284"/>
        <w:rPr>
          <w:szCs w:val="24"/>
        </w:rPr>
      </w:pPr>
      <w:r>
        <w:t>njene povezave z drugimi organi, javnimi ali zasebnimi, ki so pristojni za izvajanje kakršnih koli ukrepov, katerih odhodki gredo v breme EKJS in EKSRP;</w:t>
      </w:r>
    </w:p>
    <w:p w14:paraId="3D8C75BA" w14:textId="77777777" w:rsidR="0079263D" w:rsidRDefault="00035E3D">
      <w:pPr>
        <w:pStyle w:val="ListDash2"/>
        <w:tabs>
          <w:tab w:val="clear" w:pos="1360"/>
          <w:tab w:val="num" w:pos="1418"/>
        </w:tabs>
        <w:spacing w:after="120"/>
        <w:ind w:left="1418" w:hanging="284"/>
        <w:rPr>
          <w:szCs w:val="24"/>
        </w:rPr>
      </w:pPr>
      <w:r>
        <w:t>postopki za sprejemanje, preverjanje in potrjevanje veljavnosti zahtevkov upravičencev ter za odobritev, izplačila in obračun odhodkov;</w:t>
      </w:r>
    </w:p>
    <w:p w14:paraId="3D8C75BB" w14:textId="77777777" w:rsidR="0079263D" w:rsidRDefault="00035E3D">
      <w:pPr>
        <w:pStyle w:val="ListDash2"/>
        <w:tabs>
          <w:tab w:val="clear" w:pos="1360"/>
          <w:tab w:val="num" w:pos="1418"/>
        </w:tabs>
        <w:spacing w:after="120"/>
        <w:ind w:left="1418" w:hanging="284"/>
        <w:rPr>
          <w:szCs w:val="24"/>
        </w:rPr>
      </w:pPr>
      <w:r>
        <w:t>določbe o varnosti informacijskih sistemov;</w:t>
      </w:r>
    </w:p>
    <w:p w14:paraId="3D8C75BC" w14:textId="77777777" w:rsidR="0079263D" w:rsidRDefault="00035E3D">
      <w:pPr>
        <w:pStyle w:val="ListDash2"/>
        <w:tabs>
          <w:tab w:val="clear" w:pos="1360"/>
          <w:tab w:val="num" w:pos="1418"/>
        </w:tabs>
        <w:spacing w:after="120"/>
        <w:ind w:left="1418" w:hanging="284"/>
        <w:rPr>
          <w:szCs w:val="24"/>
        </w:rPr>
      </w:pPr>
      <w:r>
        <w:t xml:space="preserve">poročilo o </w:t>
      </w:r>
      <w:proofErr w:type="spellStart"/>
      <w:r>
        <w:t>predakreditacijskem</w:t>
      </w:r>
      <w:proofErr w:type="spellEnd"/>
      <w:r>
        <w:t xml:space="preserve"> pregledu.</w:t>
      </w:r>
    </w:p>
    <w:p w14:paraId="3D8C75BD" w14:textId="77777777" w:rsidR="0079263D" w:rsidRDefault="00035E3D">
      <w:pPr>
        <w:pStyle w:val="ListNumber1"/>
        <w:numPr>
          <w:ilvl w:val="0"/>
          <w:numId w:val="0"/>
        </w:numPr>
        <w:spacing w:after="120"/>
        <w:ind w:left="1134"/>
        <w:rPr>
          <w:szCs w:val="24"/>
        </w:rPr>
      </w:pPr>
      <w:r>
        <w:t>Zgoraj navedeni dokumenti in informacije se pošljejo Komisiji v enem izvodu skupaj z izvodom v elektronski obliki, razen postopkov (interna navodila), ki se predložijo le v elektronski obliki. Poleg tega bo pristojni organ spremljal vse ugotovljene pomanjkljivosti.</w:t>
      </w:r>
    </w:p>
    <w:p w14:paraId="3D8C75BE" w14:textId="77777777" w:rsidR="0079263D" w:rsidRDefault="00035E3D">
      <w:pPr>
        <w:pStyle w:val="ListNumber1"/>
        <w:tabs>
          <w:tab w:val="clear" w:pos="1191"/>
          <w:tab w:val="num" w:pos="1134"/>
        </w:tabs>
        <w:spacing w:after="120"/>
        <w:ind w:left="1134" w:hanging="567"/>
        <w:rPr>
          <w:szCs w:val="24"/>
        </w:rPr>
      </w:pPr>
      <w:r>
        <w:t>Pristojni organ stalno nadzoruje plačilne agencije, za katere je odgovoren, predvsem na podlagi potrdil in poročil, ki jih sestavi certifikacijski organ.</w:t>
      </w:r>
    </w:p>
    <w:p w14:paraId="3D8C75BF" w14:textId="77777777" w:rsidR="0079263D" w:rsidRDefault="00035E3D">
      <w:pPr>
        <w:pStyle w:val="ListNumber1"/>
        <w:tabs>
          <w:tab w:val="clear" w:pos="1191"/>
          <w:tab w:val="num" w:pos="1134"/>
        </w:tabs>
        <w:spacing w:after="120"/>
        <w:ind w:left="1134" w:hanging="567"/>
        <w:rPr>
          <w:szCs w:val="24"/>
        </w:rPr>
      </w:pPr>
      <w:r>
        <w:t>Države članice vzpostavijo sistem, ki zagotavlja, da se kakršna koli informacija, ki kaže na to, da plačilna agencija ne izpolnjuje akreditacijskih meril, brez odlašanja sporoči pristojnemu organu.</w:t>
      </w:r>
    </w:p>
    <w:p w14:paraId="3D8C75C0" w14:textId="77777777" w:rsidR="0079263D" w:rsidRDefault="00035E3D">
      <w:pPr>
        <w:pStyle w:val="ListNumber1"/>
        <w:tabs>
          <w:tab w:val="clear" w:pos="1191"/>
          <w:tab w:val="num" w:pos="1134"/>
        </w:tabs>
        <w:spacing w:after="120"/>
        <w:ind w:left="1134" w:hanging="567"/>
      </w:pPr>
      <w:r>
        <w:t>Pristojni organ vsaka tri leta pisno obvesti Komisijo o rezultatih nadzora plačilnih agencij in spremljanja njihovih dejavnosti (predvsem na podlagi potrdil in poročil, ki jih pripravi certifikacijski organ) ter navede, ali plačilne agencije še naprej izpolnjujejo akreditacijska merila, kot določa člen 2(1) Uredbe (EU) 2022/128. V zvezi s tem se priporoča, da se sporočilo predloži, kot je opisano v poglavju 4 tega dokumenta in v skladu s smernico št. 6. Sporočilo se pošlje Komisiji v skladu s smernico št. 6.</w:t>
      </w:r>
    </w:p>
    <w:p w14:paraId="3D8C75C1" w14:textId="77777777" w:rsidR="0079263D" w:rsidRDefault="00035E3D">
      <w:pPr>
        <w:pStyle w:val="ListNumber1"/>
        <w:tabs>
          <w:tab w:val="clear" w:pos="1191"/>
          <w:tab w:val="num" w:pos="1134"/>
        </w:tabs>
        <w:spacing w:after="120"/>
        <w:ind w:left="1134" w:hanging="567"/>
      </w:pPr>
      <w:r>
        <w:rPr>
          <w:rStyle w:val="ListNumber1Char"/>
        </w:rPr>
        <w:t xml:space="preserve">Kot je navedeno v členu 2(3) Uredbe (EU) 2022/128, če akreditirana plačilna agencija ne izpolnjuje več enega ali več akreditacijskih meril ali jih izpolnjuje tako pomanjkljivo, da plačilna agencija ne more več izpolnjevati svojih nalog iz člena 1(1) </w:t>
      </w:r>
      <w:r>
        <w:t>Uredbe (EU) 2022/127,</w:t>
      </w:r>
      <w:r>
        <w:rPr>
          <w:rStyle w:val="ListNumber1Char"/>
        </w:rPr>
        <w:t xml:space="preserve"> pristojni organ agenciji odredi pogojno akreditacijo in sestavi načrt za odpravo morebitnih ugotovljenih pomanjkljivosti v roku, določenem glede na resnost problema, ki ne presega 12 mesecev od datuma, na katerega začne veljati pogojna akreditacija. V ustrezno utemeljenih primerih lahko Komisija odobri podaljšanje tega obdobja. </w:t>
      </w:r>
    </w:p>
    <w:p w14:paraId="3D8C75C2" w14:textId="77777777" w:rsidR="0079263D" w:rsidRDefault="00035E3D">
      <w:pPr>
        <w:pStyle w:val="ListNumber1"/>
        <w:tabs>
          <w:tab w:val="clear" w:pos="1191"/>
          <w:tab w:val="num" w:pos="1134"/>
        </w:tabs>
        <w:spacing w:after="120"/>
        <w:ind w:left="1134" w:hanging="567"/>
        <w:rPr>
          <w:szCs w:val="24"/>
        </w:rPr>
      </w:pPr>
      <w:r>
        <w:t>Pristojni organ obvesti Komisijo o svoji odločitvi, da se plačilni agenciji dodeli pogojna akreditacija, o načrtu, ki je bil pripravljen za izboljšanje stanja, in o napredku pri izvajanju teh načrtov.</w:t>
      </w:r>
    </w:p>
    <w:p w14:paraId="3D8C75C3" w14:textId="77777777" w:rsidR="0079263D" w:rsidRDefault="00035E3D">
      <w:pPr>
        <w:pStyle w:val="ListNumber1"/>
        <w:tabs>
          <w:tab w:val="clear" w:pos="1191"/>
          <w:tab w:val="num" w:pos="1134"/>
        </w:tabs>
        <w:spacing w:after="120"/>
        <w:ind w:left="1134" w:hanging="567"/>
      </w:pPr>
      <w:r>
        <w:t>Če se akreditacija odvzame, pristojni organ nemudoma dodeli akreditacijo drugi plačilni agenciji v skladu s členom 2(5) Uredbe (EU) 2022/128, da se zagotovijo nemotena izplačila upravičencem.</w:t>
      </w:r>
    </w:p>
    <w:p w14:paraId="3D8C75C4" w14:textId="77777777" w:rsidR="0079263D" w:rsidRDefault="0079263D">
      <w:pPr>
        <w:pStyle w:val="ListNumber1"/>
        <w:numPr>
          <w:ilvl w:val="0"/>
          <w:numId w:val="0"/>
        </w:numPr>
        <w:spacing w:after="120"/>
        <w:ind w:left="1134"/>
      </w:pPr>
    </w:p>
    <w:p w14:paraId="3D8C75C5" w14:textId="77777777" w:rsidR="0079263D" w:rsidRDefault="0079263D">
      <w:pPr>
        <w:pStyle w:val="ListNumber1"/>
        <w:numPr>
          <w:ilvl w:val="0"/>
          <w:numId w:val="0"/>
        </w:numPr>
        <w:spacing w:after="120"/>
        <w:ind w:left="1134"/>
      </w:pPr>
    </w:p>
    <w:p w14:paraId="3D8C75C6" w14:textId="77777777" w:rsidR="0079263D" w:rsidRDefault="00035E3D">
      <w:r>
        <w:t xml:space="preserve">Naloge glede usklajevalnega organa </w:t>
      </w:r>
    </w:p>
    <w:p w14:paraId="3D8C75C7" w14:textId="77777777" w:rsidR="0079263D" w:rsidRDefault="00035E3D">
      <w:pPr>
        <w:pStyle w:val="ListNumber1"/>
        <w:numPr>
          <w:ilvl w:val="0"/>
          <w:numId w:val="54"/>
        </w:numPr>
      </w:pPr>
      <w:r>
        <w:t>Na podlagi pregleda akreditacijskih meril pristojni organ s formalnim aktom odloči o akreditaciji usklajevalnega organa.</w:t>
      </w:r>
    </w:p>
    <w:p w14:paraId="3D8C75C8" w14:textId="77777777" w:rsidR="0079263D" w:rsidRDefault="00035E3D">
      <w:pPr>
        <w:pStyle w:val="ListNumber1"/>
      </w:pPr>
      <w:r>
        <w:lastRenderedPageBreak/>
        <w:t xml:space="preserve">To proučitev skladnosti z akreditacijskimi merili izvede pristojni organ, temelji pa lahko na proučitvi, ki jo je izvedlo revizijsko telo. </w:t>
      </w:r>
    </w:p>
    <w:p w14:paraId="3D8C75C9" w14:textId="77777777" w:rsidR="0079263D" w:rsidRDefault="00035E3D">
      <w:pPr>
        <w:pStyle w:val="ListNumber1"/>
        <w:rPr>
          <w:color w:val="000000"/>
        </w:rPr>
      </w:pPr>
      <w:r>
        <w:t>Če pristojni organ meni, da usklajevalni organ ne izpolnjuje akreditacijskih meril, obvesti usklajevalni organ o zahtevah, ki jih ne izpolnjuje. V skladu s členom 3(8) Uredbe (EU) 2022/128 se lahko do uvedbe potrebnih sprememb za izpolnitev akreditacijskih meril prouči možnost začasne akreditacije za nov usklajevalni organ ali poskusnega obdobja za obstoječ usklajevalni organ, pod pogojem, da se izvaja akcijski načrt. Poleg tega bi moral pristojni organ odvzeti akreditacijo, če meni, da akreditacijska merila niso izpolnjena in da usklajevalni organ ne more izpolnjevati svojih nalog.</w:t>
      </w:r>
    </w:p>
    <w:p w14:paraId="3D8C75CA" w14:textId="77777777" w:rsidR="0079263D" w:rsidRDefault="00035E3D">
      <w:pPr>
        <w:pStyle w:val="ListNumber1"/>
      </w:pPr>
      <w:r>
        <w:t>Pristojni organ nemudoma obvesti Komisijo o izdaji in odvzemu akreditacije usklajevalnega organa.</w:t>
      </w:r>
    </w:p>
    <w:p w14:paraId="3D8C75CB" w14:textId="77777777" w:rsidR="0079263D" w:rsidRDefault="00035E3D">
      <w:pPr>
        <w:pStyle w:val="Heading2"/>
      </w:pPr>
      <w:bookmarkStart w:id="37" w:name="_Toc108446584"/>
      <w:bookmarkStart w:id="38" w:name="_Toc127268841"/>
      <w:r>
        <w:t>Plačilna agencija</w:t>
      </w:r>
      <w:bookmarkEnd w:id="37"/>
      <w:bookmarkEnd w:id="38"/>
    </w:p>
    <w:p w14:paraId="3D8C75CC" w14:textId="77777777" w:rsidR="0079263D" w:rsidRDefault="00035E3D">
      <w:pPr>
        <w:pStyle w:val="Heading3"/>
      </w:pPr>
      <w:bookmarkStart w:id="39" w:name="_Toc108446585"/>
      <w:bookmarkStart w:id="40" w:name="_Toc127268842"/>
      <w:r>
        <w:t>Opis</w:t>
      </w:r>
      <w:bookmarkEnd w:id="39"/>
      <w:bookmarkEnd w:id="40"/>
    </w:p>
    <w:p w14:paraId="3D8C75CD" w14:textId="77777777" w:rsidR="0079263D" w:rsidRDefault="00035E3D">
      <w:r>
        <w:t xml:space="preserve">Plačilna agencija je akreditiran oddelek ali organ, odgovoren za upravljanje in kontrolo odhodkov kmetijskih skladov. Agencija nosi končno odgovornost za vsa izplačila.  </w:t>
      </w:r>
    </w:p>
    <w:p w14:paraId="3D8C75CE" w14:textId="77777777" w:rsidR="0079263D" w:rsidRDefault="00035E3D">
      <w:pPr>
        <w:pStyle w:val="Heading3"/>
      </w:pPr>
      <w:bookmarkStart w:id="41" w:name="_Toc108446586"/>
      <w:bookmarkStart w:id="42" w:name="_Toc127268843"/>
      <w:r>
        <w:t>Vloga</w:t>
      </w:r>
      <w:bookmarkEnd w:id="41"/>
      <w:bookmarkEnd w:id="42"/>
    </w:p>
    <w:p w14:paraId="3D8C75CF" w14:textId="77777777" w:rsidR="0079263D" w:rsidRDefault="00035E3D">
      <w:pPr>
        <w:rPr>
          <w:color w:val="000000"/>
        </w:rPr>
      </w:pPr>
      <w:r>
        <w:t xml:space="preserve">Plačilna agencija zagotavlja, da se izplačila zakonito in pravilno izvršujejo ter ustrezno obračunajo (člen 9(2) Uredbe (EU) 2021/2116). </w:t>
      </w:r>
    </w:p>
    <w:p w14:paraId="3D8C75D0" w14:textId="77777777" w:rsidR="0079263D" w:rsidRDefault="00035E3D">
      <w:pPr>
        <w:pStyle w:val="Heading3"/>
      </w:pPr>
      <w:bookmarkStart w:id="43" w:name="_Toc108446587"/>
      <w:bookmarkStart w:id="44" w:name="_Toc127268844"/>
      <w:r>
        <w:t>Naloge</w:t>
      </w:r>
      <w:bookmarkEnd w:id="43"/>
      <w:bookmarkEnd w:id="44"/>
    </w:p>
    <w:p w14:paraId="3D8C75D1" w14:textId="77777777" w:rsidR="0079263D" w:rsidRDefault="00035E3D">
      <w:r>
        <w:t>Plačilna agencija v skladu s členom 1(1) Uredbe (EU) 2022/127 zagotovi zadostna jamstva, da:</w:t>
      </w:r>
    </w:p>
    <w:p w14:paraId="3D8C75D2" w14:textId="77777777" w:rsidR="0079263D" w:rsidRDefault="00035E3D">
      <w:pPr>
        <w:pStyle w:val="ListDash"/>
        <w:tabs>
          <w:tab w:val="clear" w:pos="283"/>
          <w:tab w:val="left" w:pos="1134"/>
        </w:tabs>
        <w:spacing w:after="120"/>
        <w:ind w:left="1134" w:hanging="577"/>
        <w:rPr>
          <w:szCs w:val="24"/>
        </w:rPr>
      </w:pPr>
      <w:r>
        <w:t xml:space="preserve">v zvezi z vrstami intervencij iz strateškega načrta SKP odhodki ustrezajo sporočenemu ustreznemu učinku in so bili izvršeni v skladu z veljavnimi sistemi upravljanja; </w:t>
      </w:r>
    </w:p>
    <w:p w14:paraId="3D8C75D3" w14:textId="77777777" w:rsidR="0079263D" w:rsidRDefault="00035E3D">
      <w:pPr>
        <w:pStyle w:val="ListDash"/>
        <w:tabs>
          <w:tab w:val="clear" w:pos="283"/>
          <w:tab w:val="left" w:pos="1134"/>
        </w:tabs>
        <w:spacing w:after="120"/>
        <w:ind w:left="1134" w:hanging="577"/>
        <w:rPr>
          <w:szCs w:val="24"/>
        </w:rPr>
      </w:pPr>
      <w:r>
        <w:t>so plačila zakonita in pravilna glede na ukrepe, ki niso vključeni v strateške načrte SKP;</w:t>
      </w:r>
    </w:p>
    <w:p w14:paraId="3D8C75D4" w14:textId="77777777" w:rsidR="0079263D" w:rsidRDefault="00035E3D">
      <w:pPr>
        <w:pStyle w:val="ListDash"/>
        <w:tabs>
          <w:tab w:val="clear" w:pos="283"/>
          <w:tab w:val="left" w:pos="1134"/>
        </w:tabs>
        <w:spacing w:after="120"/>
        <w:ind w:left="1134" w:hanging="577"/>
        <w:rPr>
          <w:szCs w:val="24"/>
        </w:rPr>
      </w:pPr>
      <w:r>
        <w:t>se izvršena plačila pravilno in izčrpno knjižijo;</w:t>
      </w:r>
    </w:p>
    <w:p w14:paraId="3D8C75D5" w14:textId="77777777" w:rsidR="0079263D" w:rsidRDefault="00035E3D">
      <w:pPr>
        <w:pStyle w:val="ListDash"/>
        <w:tabs>
          <w:tab w:val="clear" w:pos="283"/>
          <w:tab w:val="left" w:pos="1134"/>
        </w:tabs>
        <w:spacing w:after="120"/>
        <w:ind w:left="1134" w:hanging="577"/>
        <w:rPr>
          <w:szCs w:val="24"/>
        </w:rPr>
      </w:pPr>
      <w:r>
        <w:t>se izvaja nadzor, previden z zakonodajo Unije;</w:t>
      </w:r>
    </w:p>
    <w:p w14:paraId="3D8C75D6" w14:textId="77777777" w:rsidR="0079263D" w:rsidRDefault="00035E3D">
      <w:pPr>
        <w:pStyle w:val="ListDash"/>
        <w:tabs>
          <w:tab w:val="clear" w:pos="283"/>
          <w:tab w:val="left" w:pos="1134"/>
        </w:tabs>
        <w:spacing w:after="120"/>
        <w:ind w:left="1134" w:hanging="577"/>
        <w:rPr>
          <w:szCs w:val="24"/>
        </w:rPr>
      </w:pPr>
      <w:r>
        <w:t>se zahtevani dokumenti predložijo v rokih in v obliki, kot jih določajo pravila Unije;</w:t>
      </w:r>
    </w:p>
    <w:p w14:paraId="3D8C75D7" w14:textId="77777777" w:rsidR="0079263D" w:rsidRDefault="00035E3D">
      <w:pPr>
        <w:pStyle w:val="ListDash"/>
        <w:tabs>
          <w:tab w:val="clear" w:pos="283"/>
          <w:tab w:val="left" w:pos="1134"/>
        </w:tabs>
        <w:spacing w:after="120"/>
        <w:ind w:left="1134" w:hanging="577"/>
        <w:rPr>
          <w:szCs w:val="24"/>
        </w:rPr>
      </w:pPr>
      <w:r>
        <w:t xml:space="preserve">so dokumenti dostopni in se hranijo na način, ki zagotavlja njihovo popolnost, veljavnost in čitljivost v daljšem časovnem obdobju, vključno z dokumenti v elektronski obliki, v smislu pravil Unije. </w:t>
      </w:r>
    </w:p>
    <w:p w14:paraId="3D8C75D8" w14:textId="747E5B67" w:rsidR="0079263D" w:rsidRDefault="00035E3D">
      <w:r>
        <w:t xml:space="preserve">V skladu s členom 1(2) Uredbe (EU) 2022/127 ima plačilna agencija, da bi ustrezno izpolnjevala svoje naloge, upravno organizacijo in sistem notranje kontrole, ki ustrezata merilom iz Priloge I k Uredbi (EU) 2022/127, ob upoštevanju smernic za uporabo teh meril, ki so določene v delu 7 tega dokumenta. </w:t>
      </w:r>
    </w:p>
    <w:p w14:paraId="3D8C75D9" w14:textId="77777777" w:rsidR="0079263D" w:rsidRDefault="00035E3D">
      <w:r>
        <w:t>V skladu s členom 9(3) Uredbe (EU) 2021/2116 bi morala plačilna agencija sestaviti in Komisiji predložiti letne obračune, letno poročilo o smotrnosti, letni povzetek končnih revizijskih poročil in izvedenih kontrol ter izjavo o upravljanju.</w:t>
      </w:r>
    </w:p>
    <w:p w14:paraId="3D8C75DA" w14:textId="77777777" w:rsidR="0079263D" w:rsidRDefault="00035E3D">
      <w:pPr>
        <w:pStyle w:val="Heading2"/>
      </w:pPr>
      <w:bookmarkStart w:id="45" w:name="_Toc94857581"/>
      <w:bookmarkStart w:id="46" w:name="_Toc108446588"/>
      <w:bookmarkStart w:id="47" w:name="_Toc127268845"/>
      <w:r>
        <w:lastRenderedPageBreak/>
        <w:t>Usklajevalni organ</w:t>
      </w:r>
      <w:bookmarkEnd w:id="45"/>
      <w:bookmarkEnd w:id="46"/>
      <w:bookmarkEnd w:id="47"/>
    </w:p>
    <w:p w14:paraId="3D8C75DB" w14:textId="77777777" w:rsidR="0079263D" w:rsidRDefault="00035E3D">
      <w:pPr>
        <w:pStyle w:val="Heading3"/>
      </w:pPr>
      <w:bookmarkStart w:id="48" w:name="_Toc108446589"/>
      <w:bookmarkStart w:id="49" w:name="_Toc127268846"/>
      <w:r>
        <w:t>Opis</w:t>
      </w:r>
      <w:bookmarkEnd w:id="48"/>
      <w:bookmarkEnd w:id="49"/>
    </w:p>
    <w:p w14:paraId="3D8C75DC" w14:textId="77777777" w:rsidR="0079263D" w:rsidRDefault="00035E3D">
      <w:r>
        <w:t>Usklajevalni organ iz člena 10 Uredbe (EU) 2021/2116 je v skladu s členom 3(3) Uredbe (EU) 2022/128 edini sogovornik Komisije z zadevno državo članico v zvezi z vsemi vprašanji o skladih. Pristojni organ ga posebej akreditira, kot je določeno v členu 8(1), točka (b), Uredbe (EU) 2021/2116.</w:t>
      </w:r>
    </w:p>
    <w:p w14:paraId="3D8C75DD" w14:textId="77777777" w:rsidR="0079263D" w:rsidRDefault="00035E3D">
      <w:pPr>
        <w:pStyle w:val="Heading3"/>
      </w:pPr>
      <w:bookmarkStart w:id="50" w:name="_Toc94857583"/>
      <w:bookmarkStart w:id="51" w:name="_Toc108446590"/>
      <w:bookmarkStart w:id="52" w:name="_Toc127268847"/>
      <w:r>
        <w:t>Vloga</w:t>
      </w:r>
      <w:bookmarkEnd w:id="50"/>
      <w:bookmarkEnd w:id="51"/>
      <w:bookmarkEnd w:id="52"/>
    </w:p>
    <w:p w14:paraId="3D8C75DE" w14:textId="77777777" w:rsidR="0079263D" w:rsidRDefault="00035E3D">
      <w:r>
        <w:t xml:space="preserve">V skladu s členom 10 Uredbe (EU) 2021/2116 je usklajevalni organ </w:t>
      </w:r>
      <w:proofErr w:type="spellStart"/>
      <w:r>
        <w:t>organ</w:t>
      </w:r>
      <w:proofErr w:type="spellEnd"/>
      <w:r>
        <w:t>, pristojen za: (a) zbiranje informacij, ki se predložijo Komisiji, ter njihovo pošiljanje Komisiji; (b) predložitev letnega poročila o smotrnosti Komisiji; (c) sprejetje ali usklajevanje, kot je ustrezno, ukrepov za odpravo splošnih pomanjkljivosti in obveščanje Komisije o vseh nadaljnjih ukrepih; (d) spodbujanje in po možnosti zagotavljanje usklajene uporabe pravil Unije.</w:t>
      </w:r>
    </w:p>
    <w:p w14:paraId="3D8C75DF" w14:textId="77777777" w:rsidR="0079263D" w:rsidRDefault="00035E3D">
      <w:pPr>
        <w:pStyle w:val="Heading3"/>
      </w:pPr>
      <w:bookmarkStart w:id="53" w:name="_Toc94857584"/>
      <w:bookmarkStart w:id="54" w:name="_Toc108446591"/>
      <w:bookmarkStart w:id="55" w:name="_Toc127268848"/>
      <w:r>
        <w:t>Naloge</w:t>
      </w:r>
      <w:bookmarkEnd w:id="53"/>
      <w:bookmarkEnd w:id="54"/>
      <w:bookmarkEnd w:id="55"/>
      <w:r>
        <w:t xml:space="preserve"> </w:t>
      </w:r>
    </w:p>
    <w:p w14:paraId="3D8C75E0" w14:textId="77777777" w:rsidR="0079263D" w:rsidRDefault="00035E3D">
      <w:r>
        <w:t>Kadar je v državi članici akreditirana več kot ena plačilna agencija, je usklajevalni organ v skladu s členom 3(3) Uredbe (EU) 2022/128 edini sogovornik Komisije z zadevno državo članico v zvezi z vsemi vprašanji o skladih glede:</w:t>
      </w:r>
    </w:p>
    <w:p w14:paraId="3D8C75E1" w14:textId="77777777" w:rsidR="0079263D" w:rsidRDefault="00035E3D">
      <w:pPr>
        <w:pStyle w:val="ListDash2"/>
        <w:numPr>
          <w:ilvl w:val="0"/>
          <w:numId w:val="5"/>
        </w:numPr>
        <w:spacing w:after="120"/>
        <w:ind w:left="993"/>
        <w:rPr>
          <w:szCs w:val="24"/>
        </w:rPr>
      </w:pPr>
      <w:r>
        <w:t xml:space="preserve">razširjanja informacij in smernic v zvezi z nalogami in dejavnostmi plačilnih agencij tistim plačilnim agencijam in organom, ki so odgovorni za izvajanje teh smernic ter spodbujanje njihove usklajene uporabe; sporočanja informacij iz členov 9 in 90 Uredbe (EU) 2021/2116 Komisiji; </w:t>
      </w:r>
    </w:p>
    <w:p w14:paraId="3D8C75E2" w14:textId="77777777" w:rsidR="0079263D" w:rsidRDefault="00035E3D">
      <w:pPr>
        <w:pStyle w:val="ListDash2"/>
        <w:numPr>
          <w:ilvl w:val="0"/>
          <w:numId w:val="5"/>
        </w:numPr>
        <w:spacing w:after="120"/>
        <w:ind w:left="993"/>
        <w:rPr>
          <w:szCs w:val="24"/>
        </w:rPr>
      </w:pPr>
      <w:r>
        <w:t xml:space="preserve">razpoložljivosti celotne evidence vseh računovodskih informacij, potrebnih za statistične in kontrolne namene, Komisiji; </w:t>
      </w:r>
    </w:p>
    <w:p w14:paraId="3D8C75E3" w14:textId="77777777" w:rsidR="0079263D" w:rsidRDefault="00035E3D">
      <w:pPr>
        <w:pStyle w:val="ListDash2"/>
        <w:numPr>
          <w:ilvl w:val="0"/>
          <w:numId w:val="5"/>
        </w:numPr>
        <w:spacing w:after="120"/>
        <w:ind w:left="993"/>
        <w:rPr>
          <w:szCs w:val="24"/>
        </w:rPr>
      </w:pPr>
      <w:r>
        <w:t xml:space="preserve">priprave letnega poročila o smotrnosti ter akreditiranega postopka in sistemov, ki veljajo za to nalogo. </w:t>
      </w:r>
    </w:p>
    <w:p w14:paraId="3D8C75E4" w14:textId="77777777" w:rsidR="0079263D" w:rsidRDefault="0079263D">
      <w:pPr>
        <w:pStyle w:val="ListDash2"/>
        <w:numPr>
          <w:ilvl w:val="0"/>
          <w:numId w:val="0"/>
        </w:numPr>
        <w:spacing w:after="120"/>
        <w:ind w:left="993"/>
        <w:rPr>
          <w:szCs w:val="24"/>
        </w:rPr>
      </w:pPr>
    </w:p>
    <w:p w14:paraId="3D8C75E5" w14:textId="77777777" w:rsidR="0079263D" w:rsidRDefault="00035E3D">
      <w:pPr>
        <w:pStyle w:val="Heading2"/>
        <w:spacing w:before="0"/>
      </w:pPr>
      <w:bookmarkStart w:id="56" w:name="_Toc94857590"/>
      <w:bookmarkStart w:id="57" w:name="_Toc94857593"/>
      <w:bookmarkStart w:id="58" w:name="_Toc108446592"/>
      <w:bookmarkStart w:id="59" w:name="_Toc127268849"/>
      <w:bookmarkEnd w:id="56"/>
      <w:r>
        <w:t>Certifikacijski organ</w:t>
      </w:r>
      <w:bookmarkEnd w:id="57"/>
      <w:bookmarkEnd w:id="58"/>
      <w:bookmarkEnd w:id="59"/>
    </w:p>
    <w:p w14:paraId="3D8C75E6" w14:textId="77777777" w:rsidR="0079263D" w:rsidRDefault="00035E3D">
      <w:pPr>
        <w:pStyle w:val="Heading3"/>
      </w:pPr>
      <w:bookmarkStart w:id="60" w:name="_Toc108446593"/>
      <w:bookmarkStart w:id="61" w:name="_Toc127268850"/>
      <w:r>
        <w:t>Opis</w:t>
      </w:r>
      <w:bookmarkEnd w:id="60"/>
      <w:bookmarkEnd w:id="61"/>
    </w:p>
    <w:p w14:paraId="3D8C75E7" w14:textId="77777777" w:rsidR="0079263D" w:rsidRDefault="00035E3D">
      <w:r>
        <w:t>V skladu s členom 12 Uredbe (EU) 2021/2116 je certifikacijski organ javni ali zasebni revizijski organ, ki ga država članica imenuje za obdobje najmanj treh let, brez poseganja v nacionalno pravo. Kadar gre za zasebni revizijski organ in kadar tako zahteva veljavno pravo Unije ali nacionalno pravo, ga izbere država članica s postopkom javnega razpisa.</w:t>
      </w:r>
    </w:p>
    <w:p w14:paraId="3D8C75E8" w14:textId="77777777" w:rsidR="0079263D" w:rsidRDefault="00035E3D">
      <w:r>
        <w:t>Država članica, ki imenuje več kot en certifikacijski organ, lahko določi javni certifikacijski organ na nacionalni ravni, odgovoren za usklajevanje.</w:t>
      </w:r>
    </w:p>
    <w:p w14:paraId="3D8C75E9" w14:textId="77777777" w:rsidR="0079263D" w:rsidRDefault="00035E3D">
      <w:pPr>
        <w:pStyle w:val="Heading3"/>
      </w:pPr>
      <w:bookmarkStart w:id="62" w:name="_Toc94857595"/>
      <w:bookmarkStart w:id="63" w:name="_Toc108446594"/>
      <w:bookmarkStart w:id="64" w:name="_Toc127268851"/>
      <w:r>
        <w:t>Vloga</w:t>
      </w:r>
      <w:bookmarkEnd w:id="62"/>
      <w:bookmarkEnd w:id="63"/>
      <w:bookmarkEnd w:id="64"/>
    </w:p>
    <w:p w14:paraId="3D8C75EA" w14:textId="77777777" w:rsidR="0079263D" w:rsidRDefault="00035E3D">
      <w:r>
        <w:t>V skladu s členom 12(2) Uredbe (EU) 2021/2116 certifikacijski organ vsako leto izda mnenje, ki je sestavljeno v skladu z mednarodno priznanimi revizijskimi standardi, o (a) popolnosti, natančnosti in resničnosti letnih obračunov plačilne agencije, (b) pravilnem delovanju sistema upravljanja, (c) poročanju o smotrnosti ter (d) zakonitosti in pravilnosti odhodkov za odhodke, ki niso vključeni v strateški načrt SKP</w:t>
      </w:r>
      <w:r>
        <w:rPr>
          <w:rStyle w:val="FootnoteReference"/>
        </w:rPr>
        <w:footnoteReference w:id="5"/>
      </w:r>
      <w:r>
        <w:t>. V tem mnenju je tudi navedeno, ali se je med pregledom pojavil dvom glede navedb v izjavi o upravljanju.</w:t>
      </w:r>
    </w:p>
    <w:p w14:paraId="3D8C75EB" w14:textId="77777777" w:rsidR="0079263D" w:rsidRDefault="00035E3D">
      <w:r>
        <w:lastRenderedPageBreak/>
        <w:t xml:space="preserve">Kadar je v državi članici več plačilnih agencij, usklajevalni organ pripravi letno poročilo o smotrnosti in izda izjavo o upravljanju, ki se nanaša na pripravo poročila, v skladu s členom 10(3) Uredbe (EU) 2021/2116. V revizijskem mnenju certifikacijskega organa bi moralo biti zajeto letno poročilo o smotrnosti, ki ga pripravi usklajevalni organ, in s tem izjava usklajevalnega organa o upravljanju. </w:t>
      </w:r>
    </w:p>
    <w:p w14:paraId="3D8C75EC" w14:textId="77777777" w:rsidR="0079263D" w:rsidRDefault="00035E3D">
      <w:pPr>
        <w:pStyle w:val="Heading3"/>
      </w:pPr>
      <w:bookmarkStart w:id="65" w:name="_Toc94857596"/>
      <w:bookmarkStart w:id="66" w:name="_Toc108446595"/>
      <w:bookmarkStart w:id="67" w:name="_Toc127268852"/>
      <w:r>
        <w:t>Naloge</w:t>
      </w:r>
      <w:bookmarkEnd w:id="65"/>
      <w:bookmarkEnd w:id="66"/>
      <w:bookmarkEnd w:id="67"/>
    </w:p>
    <w:p w14:paraId="3D8C75ED" w14:textId="77777777" w:rsidR="0079263D" w:rsidRDefault="00035E3D">
      <w:r>
        <w:t>V skladu s členom 5 Uredbe (EU) 2022/128 v zvezi z akreditacijo certifikacijski organ sestavi letno poročilo, ki naj bi zajemalo tudi prenesene naloge in v katerem je navedeno, ali je plačilna agencija v obdobju, ki ga zajema poročilo, izpolnjevala akreditacijska merila. Poleg tega certifikacijski organ v okviru analize sistemov upravljanja oceni akreditirane postopke usklajevalnega organa v skladu z navedenim členom.</w:t>
      </w:r>
    </w:p>
    <w:p w14:paraId="3D8C75EE" w14:textId="77777777" w:rsidR="0079263D" w:rsidRDefault="0079263D">
      <w:pPr>
        <w:pStyle w:val="ListDash2"/>
        <w:numPr>
          <w:ilvl w:val="0"/>
          <w:numId w:val="0"/>
        </w:numPr>
        <w:spacing w:after="120"/>
        <w:ind w:left="993"/>
        <w:rPr>
          <w:szCs w:val="24"/>
        </w:rPr>
      </w:pPr>
    </w:p>
    <w:p w14:paraId="3D8C75EF" w14:textId="77777777" w:rsidR="0079263D" w:rsidRDefault="00035E3D">
      <w:pPr>
        <w:pStyle w:val="Heading2"/>
      </w:pPr>
      <w:bookmarkStart w:id="68" w:name="_Toc108446596"/>
      <w:bookmarkStart w:id="69" w:name="_Toc127268853"/>
      <w:r>
        <w:t>Organ upravljanja</w:t>
      </w:r>
      <w:bookmarkEnd w:id="68"/>
      <w:bookmarkEnd w:id="69"/>
    </w:p>
    <w:p w14:paraId="3D8C75F0" w14:textId="77777777" w:rsidR="0079263D" w:rsidRDefault="00035E3D">
      <w:r>
        <w:t>Čeprav organ upravljanja</w:t>
      </w:r>
      <w:r>
        <w:rPr>
          <w:b/>
        </w:rPr>
        <w:t xml:space="preserve"> ni</w:t>
      </w:r>
      <w:r>
        <w:t xml:space="preserve"> upravljavsko telo v skladu s poglavjem II Uredbe (EU) 2021/2116, so njegova vloga v sistemu upravljanja in njegove naloge na kratko opisane v tej smernici z vidika sistema upravljanja in kontrole SKP na nacionalni ravni. </w:t>
      </w:r>
    </w:p>
    <w:p w14:paraId="3D8C75F1" w14:textId="77777777" w:rsidR="0079263D" w:rsidRDefault="00035E3D">
      <w:pPr>
        <w:pStyle w:val="Heading3"/>
        <w:ind w:left="1417"/>
      </w:pPr>
      <w:bookmarkStart w:id="70" w:name="_Toc108446597"/>
      <w:bookmarkStart w:id="71" w:name="_Toc127268854"/>
      <w:r>
        <w:t>Opis</w:t>
      </w:r>
      <w:bookmarkEnd w:id="70"/>
      <w:bookmarkEnd w:id="71"/>
    </w:p>
    <w:p w14:paraId="3D8C75F2" w14:textId="77777777" w:rsidR="0079263D" w:rsidRDefault="00035E3D">
      <w:r>
        <w:t xml:space="preserve">V skladu s členom 123(1) Uredbe (EU) 2021/2115 vsaka država članica za svoj strateški načrt SKP imenuje nacionalni organ upravljanja. </w:t>
      </w:r>
    </w:p>
    <w:p w14:paraId="3D8C75F3" w14:textId="77777777" w:rsidR="0079263D" w:rsidRDefault="00035E3D">
      <w:r>
        <w:t>Države članice zagotovijo vzpostavitev ustreznega sistema upravljanja in kontrole, ki zagotavlja jasno razdelitev in ločitev nalog med nacionalnim organom upravljanja, in kadar je ustrezno, regionalnimi organi upravljanja in drugimi telesi.</w:t>
      </w:r>
    </w:p>
    <w:p w14:paraId="3D8C75F4" w14:textId="77777777" w:rsidR="0079263D" w:rsidRDefault="00035E3D">
      <w:pPr>
        <w:pStyle w:val="Heading3"/>
        <w:ind w:left="1417"/>
      </w:pPr>
      <w:bookmarkStart w:id="72" w:name="_Toc94857587"/>
      <w:bookmarkStart w:id="73" w:name="_Toc108446598"/>
      <w:bookmarkStart w:id="74" w:name="_Toc127268855"/>
      <w:r>
        <w:t>Vloga</w:t>
      </w:r>
      <w:bookmarkEnd w:id="72"/>
      <w:bookmarkEnd w:id="73"/>
      <w:bookmarkEnd w:id="74"/>
    </w:p>
    <w:p w14:paraId="3D8C75F5" w14:textId="77777777" w:rsidR="0079263D" w:rsidRDefault="00035E3D">
      <w:r>
        <w:t>Organ upravljanja je odgovoren za uspešno, učinkovito in pravilno upravljanje in izvajanje strateškega načrta SKP.</w:t>
      </w:r>
    </w:p>
    <w:p w14:paraId="3D8C75F6" w14:textId="77777777" w:rsidR="0079263D" w:rsidRDefault="00035E3D">
      <w:pPr>
        <w:pStyle w:val="Heading3"/>
        <w:ind w:left="1417"/>
      </w:pPr>
      <w:bookmarkStart w:id="75" w:name="_Toc94857588"/>
      <w:bookmarkStart w:id="76" w:name="_Toc108446599"/>
      <w:bookmarkStart w:id="77" w:name="_Toc127268856"/>
      <w:r>
        <w:t>Naloge</w:t>
      </w:r>
      <w:bookmarkEnd w:id="75"/>
      <w:bookmarkEnd w:id="76"/>
      <w:bookmarkEnd w:id="77"/>
    </w:p>
    <w:p w14:paraId="3D8C75F7" w14:textId="77777777" w:rsidR="0079263D" w:rsidRDefault="00035E3D">
      <w:r>
        <w:t>Glavne naloge organa upravljanja so opisane v členu 123 Uredbe (EU) 2021/2115.</w:t>
      </w:r>
    </w:p>
    <w:p w14:paraId="3D8C75F8" w14:textId="77777777" w:rsidR="0079263D" w:rsidRDefault="00035E3D">
      <w:pPr>
        <w:pStyle w:val="Heading1"/>
      </w:pPr>
      <w:r>
        <w:br w:type="page"/>
      </w:r>
      <w:bookmarkStart w:id="78" w:name="_Toc94857597"/>
      <w:r>
        <w:lastRenderedPageBreak/>
        <w:t xml:space="preserve"> </w:t>
      </w:r>
      <w:bookmarkStart w:id="79" w:name="_Toc108446600"/>
      <w:bookmarkStart w:id="80" w:name="_Toc127268857"/>
      <w:r>
        <w:t>Izpolnjevanje akreditacijskih meril in poročanje (plačilna agencija)</w:t>
      </w:r>
      <w:bookmarkEnd w:id="78"/>
      <w:bookmarkEnd w:id="79"/>
      <w:bookmarkEnd w:id="80"/>
    </w:p>
    <w:p w14:paraId="3D8C75F9" w14:textId="77777777" w:rsidR="0079263D" w:rsidRDefault="00035E3D">
      <w:r>
        <w:t>Pogoji za akreditacijo plačilne agencije in akreditacijska merila so navedeni v členu 1 in Prilogi I k Uredbi (EU) 2022/127.</w:t>
      </w:r>
    </w:p>
    <w:p w14:paraId="3D8C75FA" w14:textId="77777777" w:rsidR="0079263D" w:rsidRDefault="00035E3D">
      <w:r>
        <w:t xml:space="preserve">Preglednice v delu 6 v nadaljevanju zagotavljajo osnovno strukturo za sporočila, ki jih mora certifikacijski organ pripraviti v zvezi z oceno izpolnjevanja akreditacijskih meril, kot določa člen 5(4) Uredbe (EU) 2022/128. Prav tako se priporoča, da se ta struktura uporablja v </w:t>
      </w:r>
      <w:proofErr w:type="spellStart"/>
      <w:r>
        <w:t>predakreditacijskem</w:t>
      </w:r>
      <w:proofErr w:type="spellEnd"/>
      <w:r>
        <w:t xml:space="preserve"> pregledu, ki ga revizijski organ (pregled na podlagi člena 1(3) Uredbe (EU) 2022/128) in pristojni organ opravita za poročanje na podlagi člena 2(1), drugi pododstavek, Uredbe (EU) 2022/128 (tj. pregled stalnega izpolnjevanja vsaka tri leta).</w:t>
      </w:r>
    </w:p>
    <w:p w14:paraId="3D8C75FB" w14:textId="77777777" w:rsidR="0079263D" w:rsidRDefault="00035E3D">
      <w:r>
        <w:t>Namen preglednic je vzpostaviti skupno orodje za poročanje, da se zagotovi pregled izpolnjevanja akreditacijskih meril, s čimer se vodstvu plačilnih agencij in pristojnih organov omogoči spremljanje izpolnjevanja meril celotne organizacije. To je tudi podlaga za certifikacijski organ, da v svojem letnem poročilu oceni izpolnjevanje akreditacijskih meril plačilne agencije.</w:t>
      </w:r>
    </w:p>
    <w:p w14:paraId="3D8C75FC" w14:textId="77777777" w:rsidR="0079263D" w:rsidRDefault="00035E3D">
      <w:r>
        <w:t>Deli akreditacije, ki jih je treba spremljati, so: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830"/>
      </w:tblGrid>
      <w:tr w:rsidR="0079263D" w14:paraId="3D8C75FF"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5FD" w14:textId="77777777" w:rsidR="0079263D" w:rsidRDefault="00035E3D">
            <w:pPr>
              <w:spacing w:after="0"/>
            </w:pPr>
            <w:r>
              <w:t>– Organizacijska struktura</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5FE" w14:textId="77777777" w:rsidR="0079263D" w:rsidRDefault="00035E3D">
            <w:pPr>
              <w:spacing w:after="0"/>
              <w:jc w:val="center"/>
            </w:pPr>
            <w:r>
              <w:t>Notranje okolje</w:t>
            </w:r>
          </w:p>
        </w:tc>
      </w:tr>
      <w:tr w:rsidR="0079263D" w14:paraId="3D8C7602"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600" w14:textId="77777777" w:rsidR="0079263D" w:rsidRDefault="00035E3D">
            <w:pPr>
              <w:spacing w:after="0"/>
            </w:pPr>
            <w:r>
              <w:t>– Standard glede človeških virov</w:t>
            </w:r>
          </w:p>
        </w:tc>
        <w:tc>
          <w:tcPr>
            <w:tcW w:w="383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601" w14:textId="77777777" w:rsidR="0079263D" w:rsidRDefault="0079263D">
            <w:pPr>
              <w:spacing w:after="0"/>
              <w:jc w:val="center"/>
            </w:pPr>
          </w:p>
        </w:tc>
      </w:tr>
      <w:tr w:rsidR="0079263D" w14:paraId="3D8C7605"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603" w14:textId="77777777" w:rsidR="0079263D" w:rsidRDefault="00035E3D">
            <w:pPr>
              <w:spacing w:after="0"/>
            </w:pPr>
            <w:r>
              <w:t>– Ocenjevanje tveganja</w:t>
            </w:r>
          </w:p>
        </w:tc>
        <w:tc>
          <w:tcPr>
            <w:tcW w:w="383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604" w14:textId="77777777" w:rsidR="0079263D" w:rsidRDefault="0079263D">
            <w:pPr>
              <w:spacing w:after="0"/>
              <w:jc w:val="center"/>
            </w:pPr>
          </w:p>
        </w:tc>
      </w:tr>
      <w:tr w:rsidR="0079263D" w14:paraId="3D8C7608"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606" w14:textId="77777777" w:rsidR="0079263D" w:rsidRDefault="00035E3D">
            <w:pPr>
              <w:spacing w:after="0"/>
            </w:pPr>
            <w:r>
              <w:t>– Prenos nalog</w:t>
            </w:r>
          </w:p>
        </w:tc>
        <w:tc>
          <w:tcPr>
            <w:tcW w:w="383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607" w14:textId="77777777" w:rsidR="0079263D" w:rsidRDefault="0079263D">
            <w:pPr>
              <w:spacing w:after="0"/>
              <w:jc w:val="center"/>
            </w:pPr>
          </w:p>
        </w:tc>
      </w:tr>
      <w:tr w:rsidR="0079263D" w14:paraId="3D8C760B" w14:textId="77777777">
        <w:trPr>
          <w:jc w:val="center"/>
        </w:trPr>
        <w:tc>
          <w:tcPr>
            <w:tcW w:w="5098" w:type="dxa"/>
            <w:tcBorders>
              <w:top w:val="single" w:sz="4" w:space="0" w:color="auto"/>
              <w:left w:val="single" w:sz="4" w:space="0" w:color="auto"/>
              <w:bottom w:val="single" w:sz="4" w:space="0" w:color="auto"/>
              <w:right w:val="single" w:sz="4" w:space="0" w:color="auto"/>
            </w:tcBorders>
          </w:tcPr>
          <w:p w14:paraId="3D8C7609" w14:textId="77777777" w:rsidR="0079263D" w:rsidRDefault="00035E3D">
            <w:pPr>
              <w:spacing w:after="0"/>
            </w:pPr>
            <w:r>
              <w:t>– Kontrolne dejavnosti</w:t>
            </w:r>
          </w:p>
        </w:tc>
        <w:tc>
          <w:tcPr>
            <w:tcW w:w="3830" w:type="dxa"/>
            <w:tcBorders>
              <w:top w:val="single" w:sz="4" w:space="0" w:color="auto"/>
              <w:left w:val="single" w:sz="4" w:space="0" w:color="auto"/>
              <w:bottom w:val="single" w:sz="4" w:space="0" w:color="auto"/>
              <w:right w:val="single" w:sz="4" w:space="0" w:color="auto"/>
            </w:tcBorders>
            <w:vAlign w:val="center"/>
          </w:tcPr>
          <w:p w14:paraId="3D8C760A" w14:textId="77777777" w:rsidR="0079263D" w:rsidRDefault="00035E3D">
            <w:pPr>
              <w:spacing w:after="0"/>
              <w:jc w:val="center"/>
            </w:pPr>
            <w:r>
              <w:t>Kontrolne dejavnosti</w:t>
            </w:r>
          </w:p>
        </w:tc>
      </w:tr>
      <w:tr w:rsidR="0079263D" w14:paraId="3D8C760E"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60C" w14:textId="77777777" w:rsidR="0079263D" w:rsidRDefault="00035E3D">
            <w:pPr>
              <w:spacing w:after="0"/>
            </w:pPr>
            <w:r>
              <w:t>– Sporočanje</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60D" w14:textId="77777777" w:rsidR="0079263D" w:rsidRDefault="00035E3D">
            <w:pPr>
              <w:spacing w:after="0"/>
              <w:jc w:val="center"/>
            </w:pPr>
            <w:r>
              <w:t>Obveščanje in sporočanje</w:t>
            </w:r>
          </w:p>
        </w:tc>
      </w:tr>
      <w:tr w:rsidR="0079263D" w14:paraId="3D8C7611" w14:textId="7777777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8C760F" w14:textId="77777777" w:rsidR="0079263D" w:rsidRDefault="00035E3D">
            <w:pPr>
              <w:spacing w:after="0"/>
            </w:pPr>
            <w:r>
              <w:t>– Varnost informacijskih sistemov</w:t>
            </w:r>
          </w:p>
        </w:tc>
        <w:tc>
          <w:tcPr>
            <w:tcW w:w="383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C7610" w14:textId="77777777" w:rsidR="0079263D" w:rsidRDefault="0079263D">
            <w:pPr>
              <w:spacing w:after="0"/>
              <w:jc w:val="center"/>
            </w:pPr>
          </w:p>
        </w:tc>
      </w:tr>
      <w:tr w:rsidR="0079263D" w14:paraId="3D8C7614" w14:textId="77777777">
        <w:trPr>
          <w:jc w:val="center"/>
        </w:trPr>
        <w:tc>
          <w:tcPr>
            <w:tcW w:w="5098" w:type="dxa"/>
            <w:tcBorders>
              <w:top w:val="single" w:sz="4" w:space="0" w:color="auto"/>
              <w:left w:val="single" w:sz="4" w:space="0" w:color="auto"/>
              <w:bottom w:val="single" w:sz="4" w:space="0" w:color="auto"/>
              <w:right w:val="single" w:sz="4" w:space="0" w:color="auto"/>
            </w:tcBorders>
          </w:tcPr>
          <w:p w14:paraId="3D8C7612" w14:textId="77777777" w:rsidR="0079263D" w:rsidRDefault="00035E3D">
            <w:pPr>
              <w:spacing w:after="0"/>
            </w:pPr>
            <w:r>
              <w:t>– Stalno spremljanje z notranjimi kontrolami</w:t>
            </w:r>
          </w:p>
        </w:tc>
        <w:tc>
          <w:tcPr>
            <w:tcW w:w="3830" w:type="dxa"/>
            <w:vMerge w:val="restart"/>
            <w:tcBorders>
              <w:top w:val="single" w:sz="4" w:space="0" w:color="auto"/>
              <w:left w:val="single" w:sz="4" w:space="0" w:color="auto"/>
              <w:bottom w:val="single" w:sz="4" w:space="0" w:color="auto"/>
              <w:right w:val="single" w:sz="4" w:space="0" w:color="auto"/>
            </w:tcBorders>
            <w:vAlign w:val="center"/>
          </w:tcPr>
          <w:p w14:paraId="3D8C7613" w14:textId="77777777" w:rsidR="0079263D" w:rsidRDefault="00035E3D">
            <w:pPr>
              <w:spacing w:after="0"/>
              <w:jc w:val="center"/>
            </w:pPr>
            <w:r>
              <w:t>Spremljanje</w:t>
            </w:r>
          </w:p>
        </w:tc>
      </w:tr>
      <w:tr w:rsidR="0079263D" w14:paraId="3D8C7617" w14:textId="77777777">
        <w:trPr>
          <w:jc w:val="center"/>
        </w:trPr>
        <w:tc>
          <w:tcPr>
            <w:tcW w:w="5098" w:type="dxa"/>
            <w:tcBorders>
              <w:top w:val="single" w:sz="4" w:space="0" w:color="auto"/>
              <w:left w:val="single" w:sz="4" w:space="0" w:color="auto"/>
              <w:bottom w:val="single" w:sz="4" w:space="0" w:color="auto"/>
              <w:right w:val="single" w:sz="4" w:space="0" w:color="auto"/>
            </w:tcBorders>
          </w:tcPr>
          <w:p w14:paraId="3D8C7615" w14:textId="77777777" w:rsidR="0079263D" w:rsidRDefault="00035E3D">
            <w:pPr>
              <w:spacing w:after="0"/>
            </w:pPr>
            <w:r>
              <w:t>– Posamezna ocenjevanja prek službe za notranjo revizijo</w:t>
            </w:r>
          </w:p>
        </w:tc>
        <w:tc>
          <w:tcPr>
            <w:tcW w:w="3830" w:type="dxa"/>
            <w:vMerge/>
            <w:tcBorders>
              <w:top w:val="single" w:sz="4" w:space="0" w:color="auto"/>
              <w:left w:val="single" w:sz="4" w:space="0" w:color="auto"/>
              <w:bottom w:val="single" w:sz="4" w:space="0" w:color="auto"/>
              <w:right w:val="single" w:sz="4" w:space="0" w:color="auto"/>
            </w:tcBorders>
            <w:vAlign w:val="center"/>
          </w:tcPr>
          <w:p w14:paraId="3D8C7616" w14:textId="77777777" w:rsidR="0079263D" w:rsidRDefault="0079263D">
            <w:pPr>
              <w:spacing w:after="0"/>
            </w:pPr>
          </w:p>
        </w:tc>
      </w:tr>
    </w:tbl>
    <w:p w14:paraId="3D8C7618" w14:textId="77777777" w:rsidR="0079263D" w:rsidRDefault="0079263D"/>
    <w:p w14:paraId="3D8C7619" w14:textId="77777777" w:rsidR="0079263D" w:rsidRDefault="00035E3D">
      <w:r>
        <w:t>Postopki, ki jih je treba spremljati, so:</w:t>
      </w:r>
    </w:p>
    <w:tbl>
      <w:tblPr>
        <w:tblStyle w:val="TableGrid"/>
        <w:tblW w:w="0" w:type="auto"/>
        <w:jc w:val="center"/>
        <w:tblLook w:val="04A0" w:firstRow="1" w:lastRow="0" w:firstColumn="1" w:lastColumn="0" w:noHBand="0" w:noVBand="1"/>
      </w:tblPr>
      <w:tblGrid>
        <w:gridCol w:w="5098"/>
        <w:gridCol w:w="3830"/>
      </w:tblGrid>
      <w:tr w:rsidR="0079263D" w14:paraId="3D8C761C" w14:textId="77777777">
        <w:trPr>
          <w:jc w:val="center"/>
        </w:trPr>
        <w:tc>
          <w:tcPr>
            <w:tcW w:w="5098" w:type="dxa"/>
            <w:shd w:val="clear" w:color="auto" w:fill="DBE5F1" w:themeFill="accent1" w:themeFillTint="33"/>
          </w:tcPr>
          <w:p w14:paraId="3D8C761A" w14:textId="77777777" w:rsidR="0079263D" w:rsidRDefault="00035E3D">
            <w:pPr>
              <w:spacing w:after="0"/>
            </w:pPr>
            <w:r>
              <w:t>Intervencije strateškega načrta SKP – potrjevanje plačil [osnovne zahteve Unije]</w:t>
            </w:r>
          </w:p>
        </w:tc>
        <w:tc>
          <w:tcPr>
            <w:tcW w:w="3830" w:type="dxa"/>
            <w:vMerge w:val="restart"/>
            <w:shd w:val="clear" w:color="auto" w:fill="DBE5F1" w:themeFill="accent1" w:themeFillTint="33"/>
            <w:vAlign w:val="center"/>
          </w:tcPr>
          <w:p w14:paraId="3D8C761B" w14:textId="77777777" w:rsidR="0079263D" w:rsidRDefault="00035E3D">
            <w:pPr>
              <w:spacing w:after="0"/>
              <w:jc w:val="center"/>
            </w:pPr>
            <w:r>
              <w:t>Operacije</w:t>
            </w:r>
          </w:p>
        </w:tc>
      </w:tr>
      <w:tr w:rsidR="0079263D" w14:paraId="3D8C761F" w14:textId="77777777">
        <w:trPr>
          <w:jc w:val="center"/>
        </w:trPr>
        <w:tc>
          <w:tcPr>
            <w:tcW w:w="5098" w:type="dxa"/>
            <w:shd w:val="clear" w:color="auto" w:fill="DBE5F1" w:themeFill="accent1" w:themeFillTint="33"/>
          </w:tcPr>
          <w:p w14:paraId="3D8C761D" w14:textId="77777777" w:rsidR="0079263D" w:rsidRDefault="00035E3D">
            <w:pPr>
              <w:spacing w:after="0"/>
            </w:pPr>
            <w:r>
              <w:t>Zunaj strateških načrtov SKP</w:t>
            </w:r>
            <w:r>
              <w:rPr>
                <w:rStyle w:val="FootnoteReference"/>
              </w:rPr>
              <w:footnoteReference w:id="6"/>
            </w:r>
            <w:r>
              <w:t xml:space="preserve"> – zakonitost in pravilnost operativnih transakcij </w:t>
            </w:r>
          </w:p>
        </w:tc>
        <w:tc>
          <w:tcPr>
            <w:tcW w:w="3830" w:type="dxa"/>
            <w:vMerge/>
            <w:shd w:val="clear" w:color="auto" w:fill="DBE5F1" w:themeFill="accent1" w:themeFillTint="33"/>
            <w:vAlign w:val="center"/>
          </w:tcPr>
          <w:p w14:paraId="3D8C761E" w14:textId="77777777" w:rsidR="0079263D" w:rsidRDefault="0079263D">
            <w:pPr>
              <w:spacing w:after="0"/>
              <w:jc w:val="center"/>
            </w:pPr>
          </w:p>
        </w:tc>
      </w:tr>
      <w:tr w:rsidR="0079263D" w14:paraId="3D8C7622" w14:textId="77777777">
        <w:trPr>
          <w:jc w:val="center"/>
        </w:trPr>
        <w:tc>
          <w:tcPr>
            <w:tcW w:w="5098" w:type="dxa"/>
          </w:tcPr>
          <w:p w14:paraId="3D8C7620" w14:textId="77777777" w:rsidR="0079263D" w:rsidRDefault="00035E3D">
            <w:pPr>
              <w:spacing w:after="0"/>
            </w:pPr>
            <w:r>
              <w:t>Izvrševanje plačil</w:t>
            </w:r>
          </w:p>
        </w:tc>
        <w:tc>
          <w:tcPr>
            <w:tcW w:w="3830" w:type="dxa"/>
            <w:vMerge w:val="restart"/>
            <w:vAlign w:val="center"/>
          </w:tcPr>
          <w:p w14:paraId="3D8C7621" w14:textId="77777777" w:rsidR="0079263D" w:rsidRDefault="00035E3D">
            <w:pPr>
              <w:spacing w:after="0"/>
              <w:jc w:val="center"/>
            </w:pPr>
            <w:r>
              <w:t>Plačila</w:t>
            </w:r>
          </w:p>
        </w:tc>
      </w:tr>
      <w:tr w:rsidR="0079263D" w14:paraId="3D8C7625" w14:textId="77777777">
        <w:trPr>
          <w:jc w:val="center"/>
        </w:trPr>
        <w:tc>
          <w:tcPr>
            <w:tcW w:w="5098" w:type="dxa"/>
          </w:tcPr>
          <w:p w14:paraId="3D8C7623" w14:textId="77777777" w:rsidR="0079263D" w:rsidRDefault="00035E3D">
            <w:pPr>
              <w:spacing w:after="0"/>
            </w:pPr>
            <w:r>
              <w:t>Računovodstvo</w:t>
            </w:r>
          </w:p>
        </w:tc>
        <w:tc>
          <w:tcPr>
            <w:tcW w:w="3830" w:type="dxa"/>
            <w:vMerge/>
            <w:vAlign w:val="center"/>
          </w:tcPr>
          <w:p w14:paraId="3D8C7624" w14:textId="77777777" w:rsidR="0079263D" w:rsidRDefault="0079263D">
            <w:pPr>
              <w:spacing w:after="0"/>
              <w:jc w:val="center"/>
            </w:pPr>
          </w:p>
        </w:tc>
      </w:tr>
      <w:tr w:rsidR="0079263D" w14:paraId="3D8C7628" w14:textId="77777777">
        <w:trPr>
          <w:jc w:val="center"/>
        </w:trPr>
        <w:tc>
          <w:tcPr>
            <w:tcW w:w="5098" w:type="dxa"/>
          </w:tcPr>
          <w:p w14:paraId="3D8C7626" w14:textId="77777777" w:rsidR="0079263D" w:rsidRDefault="00035E3D">
            <w:pPr>
              <w:spacing w:after="0"/>
            </w:pPr>
            <w:r>
              <w:t>Predplačila in varščine</w:t>
            </w:r>
          </w:p>
        </w:tc>
        <w:tc>
          <w:tcPr>
            <w:tcW w:w="3830" w:type="dxa"/>
            <w:vMerge/>
            <w:vAlign w:val="center"/>
          </w:tcPr>
          <w:p w14:paraId="3D8C7627" w14:textId="77777777" w:rsidR="0079263D" w:rsidRDefault="0079263D">
            <w:pPr>
              <w:spacing w:after="0"/>
              <w:jc w:val="center"/>
            </w:pPr>
          </w:p>
        </w:tc>
      </w:tr>
      <w:tr w:rsidR="0079263D" w14:paraId="3D8C762B" w14:textId="77777777">
        <w:trPr>
          <w:jc w:val="center"/>
        </w:trPr>
        <w:tc>
          <w:tcPr>
            <w:tcW w:w="5098" w:type="dxa"/>
          </w:tcPr>
          <w:p w14:paraId="3D8C7629" w14:textId="77777777" w:rsidR="0079263D" w:rsidRDefault="00035E3D">
            <w:pPr>
              <w:spacing w:after="0"/>
            </w:pPr>
            <w:r>
              <w:t>Upravljanje dolgov</w:t>
            </w:r>
          </w:p>
        </w:tc>
        <w:tc>
          <w:tcPr>
            <w:tcW w:w="3830" w:type="dxa"/>
            <w:vMerge/>
            <w:vAlign w:val="center"/>
          </w:tcPr>
          <w:p w14:paraId="3D8C762A" w14:textId="77777777" w:rsidR="0079263D" w:rsidRDefault="0079263D">
            <w:pPr>
              <w:spacing w:after="0"/>
              <w:jc w:val="center"/>
            </w:pPr>
          </w:p>
        </w:tc>
      </w:tr>
      <w:tr w:rsidR="0079263D" w14:paraId="3D8C762F" w14:textId="77777777">
        <w:trPr>
          <w:trHeight w:val="859"/>
          <w:jc w:val="center"/>
        </w:trPr>
        <w:tc>
          <w:tcPr>
            <w:tcW w:w="5098" w:type="dxa"/>
            <w:shd w:val="clear" w:color="auto" w:fill="DBE5F1" w:themeFill="accent1" w:themeFillTint="33"/>
          </w:tcPr>
          <w:p w14:paraId="3D8C762C" w14:textId="77777777" w:rsidR="0079263D" w:rsidRDefault="00035E3D">
            <w:pPr>
              <w:spacing w:after="0"/>
            </w:pPr>
            <w:r>
              <w:t>Intervencije strateškega načrta SKP: vzpostavljen informacijski sistem za vsak zahtevek/operacijo</w:t>
            </w:r>
          </w:p>
          <w:p w14:paraId="3D8C762D" w14:textId="77777777" w:rsidR="0079263D" w:rsidRDefault="00035E3D">
            <w:pPr>
              <w:spacing w:after="0"/>
            </w:pPr>
            <w:r>
              <w:t>Ustrezni odhodki/učinek</w:t>
            </w:r>
          </w:p>
        </w:tc>
        <w:tc>
          <w:tcPr>
            <w:tcW w:w="3830" w:type="dxa"/>
            <w:shd w:val="clear" w:color="auto" w:fill="DBE5F1" w:themeFill="accent1" w:themeFillTint="33"/>
            <w:vAlign w:val="center"/>
          </w:tcPr>
          <w:p w14:paraId="3D8C762E" w14:textId="77777777" w:rsidR="0079263D" w:rsidRDefault="00035E3D">
            <w:pPr>
              <w:spacing w:after="0"/>
              <w:jc w:val="center"/>
            </w:pPr>
            <w:r>
              <w:t>Poročanje o smotrnosti</w:t>
            </w:r>
          </w:p>
        </w:tc>
      </w:tr>
    </w:tbl>
    <w:p w14:paraId="3D8C7630" w14:textId="77777777" w:rsidR="0079263D" w:rsidRDefault="0079263D">
      <w:pPr>
        <w:pStyle w:val="Text2"/>
        <w:rPr>
          <w:highlight w:val="lightGray"/>
        </w:rPr>
      </w:pPr>
      <w:bookmarkStart w:id="81" w:name="_Toc108446601"/>
    </w:p>
    <w:p w14:paraId="3D8C7631" w14:textId="77777777" w:rsidR="0079263D" w:rsidRDefault="00035E3D">
      <w:pPr>
        <w:pStyle w:val="Text2"/>
        <w:rPr>
          <w:szCs w:val="24"/>
          <w:highlight w:val="lightGray"/>
        </w:rPr>
      </w:pPr>
      <w:r>
        <w:br w:type="page"/>
      </w:r>
    </w:p>
    <w:p w14:paraId="3D8C7632" w14:textId="77777777" w:rsidR="0079263D" w:rsidRDefault="00035E3D">
      <w:pPr>
        <w:pStyle w:val="Heading2"/>
      </w:pPr>
      <w:bookmarkStart w:id="82" w:name="_Toc127268858"/>
      <w:r>
        <w:lastRenderedPageBreak/>
        <w:t>Obseg postopkov za odobritev zahtevkov</w:t>
      </w:r>
      <w:bookmarkEnd w:id="81"/>
      <w:bookmarkEnd w:id="82"/>
    </w:p>
    <w:p w14:paraId="3D8C7633" w14:textId="77777777" w:rsidR="0079263D" w:rsidRDefault="00035E3D">
      <w:r>
        <w:t>Glede na zadevne odhodke se stopnja vrednotenja postopkov plačilne agencije razlikuje.</w:t>
      </w:r>
    </w:p>
    <w:p w14:paraId="3D8C7634" w14:textId="77777777" w:rsidR="0079263D" w:rsidRDefault="00035E3D">
      <w:pPr>
        <w:pStyle w:val="Heading3"/>
        <w:spacing w:before="120" w:after="240"/>
      </w:pPr>
      <w:bookmarkStart w:id="83" w:name="_Toc94857598"/>
      <w:bookmarkStart w:id="84" w:name="_Toc108446602"/>
      <w:bookmarkStart w:id="85" w:name="_Toc127268859"/>
      <w:r>
        <w:t>Obseg vrednotenja sistemov upravljanja (intervencije strateškega načrta SKP iz Uredbe (EU) 2021/2115)</w:t>
      </w:r>
      <w:bookmarkEnd w:id="83"/>
      <w:bookmarkEnd w:id="84"/>
      <w:bookmarkEnd w:id="85"/>
    </w:p>
    <w:p w14:paraId="3D8C7635" w14:textId="77777777" w:rsidR="0079263D" w:rsidRDefault="00035E3D">
      <w:r>
        <w:t xml:space="preserve">V skladu s členom 1(1), točka (a), Uredbe (EU) 2022/127 plačilna agencija zagotovi zadostna jamstva, da [so bili] v zvezi z vrstami intervencije iz Uredbe (EU) 2021/2115 odhodki […] izvršeni v skladu z veljavnimi sistemi upravljanja. Kot je določeno v členu 2, točka (b), Uredbe (EU) 2021/2116, „sistemi upravljanja“ pomenijo </w:t>
      </w:r>
      <w:proofErr w:type="spellStart"/>
      <w:r>
        <w:rPr>
          <w:i/>
        </w:rPr>
        <w:t>upravljalska</w:t>
      </w:r>
      <w:proofErr w:type="spellEnd"/>
      <w:r>
        <w:rPr>
          <w:i/>
        </w:rPr>
        <w:t xml:space="preserve"> telesa iz naslova II, poglavje II, navedene uredbe ter osnovne zahteve Unije, vključno z obveznostmi držav članic v zvezi z učinkovito zaščito finančnih interesov Unije iz člena 59 iste uredbe, izvajanjem njihovih strateških načrtov SKP, kot jih je odobrila Komisija, v skladu s členom 9 Uredbe (EU) 2021/2115, in sistemom poročanja, vzpostavljenim za namene letnega poročila o smotrnosti iz člena 134 navedene uredbe</w:t>
      </w:r>
      <w:r>
        <w:t xml:space="preserve">. </w:t>
      </w:r>
    </w:p>
    <w:p w14:paraId="3D8C7636" w14:textId="77777777" w:rsidR="0079263D" w:rsidRDefault="00035E3D">
      <w:pPr>
        <w:pStyle w:val="Text3"/>
        <w:ind w:left="0"/>
      </w:pPr>
      <w:r>
        <w:t>Plačilna agencija bi morala imeti sisteme, ki pravilno delujejo in zagotavljajo osnovne zahteve Unije. Kot je poudarjeno v členu 2, točka (b), Uredbe (EU) 2021/2116, te zahteve vključujejo obveznosti glede učinkovite zaščite finančnih interesov Unije in izvajanja strateških načrtov SKP, kot jih je odobrila Komisija.</w:t>
      </w:r>
    </w:p>
    <w:p w14:paraId="3D8C7637" w14:textId="77777777" w:rsidR="0079263D" w:rsidRDefault="00035E3D">
      <w:pPr>
        <w:pStyle w:val="Heading3"/>
        <w:spacing w:before="120" w:after="240"/>
      </w:pPr>
      <w:bookmarkStart w:id="86" w:name="_Toc94857601"/>
      <w:bookmarkStart w:id="87" w:name="_Toc94857603"/>
      <w:bookmarkStart w:id="88" w:name="_Toc108446603"/>
      <w:bookmarkStart w:id="89" w:name="_Toc127268860"/>
      <w:bookmarkEnd w:id="86"/>
      <w:r>
        <w:t>Obseg vrednotenja sistema notranjih kontrol (druge intervencije zunaj strateškega načrta SKP)</w:t>
      </w:r>
      <w:bookmarkEnd w:id="87"/>
      <w:bookmarkEnd w:id="88"/>
      <w:bookmarkEnd w:id="89"/>
    </w:p>
    <w:p w14:paraId="3D8C7638" w14:textId="77777777" w:rsidR="0079263D" w:rsidRDefault="00035E3D">
      <w:r>
        <w:t>V skladu s členom 1(1), točka (b), Uredbe (EU) 2022/127 plačilna agencija zagotovi zadostna jamstva, da so plačila zakonita in pravilna glede na ukrepe iz uredb (EU) št. 228/2013, 229/2013, 1308/2013 in 1144/2014, ter za posebno plačilo za bombaž iz naslova III, poglavje II, oddelek 3, pododdelek 2, in podporo za zgodnje upokojevanje iz člena 155(2) Uredbe (EU) 2021/2115.</w:t>
      </w:r>
    </w:p>
    <w:p w14:paraId="3D8C7639" w14:textId="77777777" w:rsidR="0079263D" w:rsidRDefault="00035E3D">
      <w:pPr>
        <w:pStyle w:val="Heading2"/>
      </w:pPr>
      <w:bookmarkStart w:id="90" w:name="_Toc108446604"/>
      <w:bookmarkStart w:id="91" w:name="_Toc127268861"/>
      <w:r>
        <w:t>Obseg dejavnosti, povezanih s plačili</w:t>
      </w:r>
      <w:bookmarkEnd w:id="90"/>
      <w:bookmarkEnd w:id="91"/>
    </w:p>
    <w:p w14:paraId="3D8C763A" w14:textId="77777777" w:rsidR="0079263D" w:rsidRDefault="00035E3D">
      <w:r>
        <w:t>V zvezi s plačili bi morala imeti plačilna agencija vzpostavljene sisteme, za katere je treba opraviti vrednotenje na podlagi glavnih kontrolnih dejavnosti:</w:t>
      </w:r>
    </w:p>
    <w:p w14:paraId="3D8C763B" w14:textId="77777777" w:rsidR="0079263D" w:rsidRDefault="00035E3D">
      <w:pPr>
        <w:numPr>
          <w:ilvl w:val="0"/>
          <w:numId w:val="46"/>
        </w:numPr>
      </w:pPr>
      <w:r>
        <w:t>postopki za plačila;</w:t>
      </w:r>
    </w:p>
    <w:p w14:paraId="3D8C763C" w14:textId="77777777" w:rsidR="0079263D" w:rsidRDefault="00035E3D">
      <w:pPr>
        <w:numPr>
          <w:ilvl w:val="0"/>
          <w:numId w:val="46"/>
        </w:numPr>
      </w:pPr>
      <w:r>
        <w:t>postopki za računovodstvo;</w:t>
      </w:r>
    </w:p>
    <w:p w14:paraId="3D8C763D" w14:textId="77777777" w:rsidR="0079263D" w:rsidRDefault="00035E3D">
      <w:pPr>
        <w:numPr>
          <w:ilvl w:val="0"/>
          <w:numId w:val="46"/>
        </w:numPr>
      </w:pPr>
      <w:r>
        <w:t>postopki za predplačila in varščine;</w:t>
      </w:r>
    </w:p>
    <w:p w14:paraId="3D8C763E" w14:textId="77777777" w:rsidR="0079263D" w:rsidRDefault="00035E3D">
      <w:pPr>
        <w:numPr>
          <w:ilvl w:val="0"/>
          <w:numId w:val="46"/>
        </w:numPr>
      </w:pPr>
      <w:r>
        <w:t>postopki za dolgove.</w:t>
      </w:r>
    </w:p>
    <w:p w14:paraId="3D8C763F" w14:textId="77777777" w:rsidR="0079263D" w:rsidRDefault="00035E3D">
      <w:pPr>
        <w:pStyle w:val="Heading2"/>
      </w:pPr>
      <w:bookmarkStart w:id="92" w:name="_Toc108446605"/>
      <w:bookmarkStart w:id="93" w:name="_Toc127268862"/>
      <w:r>
        <w:t>Obseg poročanja o smotrnosti</w:t>
      </w:r>
      <w:bookmarkEnd w:id="92"/>
      <w:bookmarkEnd w:id="93"/>
    </w:p>
    <w:p w14:paraId="3D8C7640" w14:textId="77777777" w:rsidR="0079263D" w:rsidRDefault="00035E3D">
      <w:pPr>
        <w:rPr>
          <w:szCs w:val="24"/>
        </w:rPr>
      </w:pPr>
      <w:r>
        <w:t xml:space="preserve">Za intervencije strateškega načrta SKP bi morala imeti država članica sistem poročanja, ki omogoča zagotavljanje informacij, potrebnih za letno poročilo o smotrnosti, kot določa člen 134 Uredbe (EU) 2021/2115, in pripraviti bi bilo treba letno poročilo o smotrnosti. </w:t>
      </w:r>
    </w:p>
    <w:p w14:paraId="3D8C7641" w14:textId="77777777" w:rsidR="0079263D" w:rsidRDefault="00035E3D">
      <w:pPr>
        <w:rPr>
          <w:szCs w:val="24"/>
        </w:rPr>
      </w:pPr>
      <w:r>
        <w:t>V tem okviru bi morali biti za akreditacijo plačilne agencije vzpostavljeni postopki in sistemi za zbiranje, evidentiranje in hrambo podatkov, ki zagotavljajo, da je mogoče v letnem poročilu o smotrnosti prikazati, da so odhodki nastali v skladu s členom 37 Uredbe (EU) 2021/2116, in ki lahko zagotovijo podatke o kazalnikih rezultatov, vključno s cilji in mejniki.</w:t>
      </w:r>
    </w:p>
    <w:p w14:paraId="3D8C7642" w14:textId="77777777" w:rsidR="0079263D" w:rsidRDefault="00035E3D">
      <w:pPr>
        <w:pStyle w:val="Heading2"/>
      </w:pPr>
      <w:bookmarkStart w:id="94" w:name="_Toc94857612"/>
      <w:bookmarkStart w:id="95" w:name="_Toc108446606"/>
      <w:bookmarkStart w:id="96" w:name="_Toc127268863"/>
      <w:r>
        <w:lastRenderedPageBreak/>
        <w:t>Ocena akreditacijskih meril</w:t>
      </w:r>
      <w:bookmarkEnd w:id="94"/>
      <w:bookmarkEnd w:id="95"/>
      <w:bookmarkEnd w:id="96"/>
    </w:p>
    <w:p w14:paraId="3D8C7643" w14:textId="77777777" w:rsidR="0079263D" w:rsidRDefault="00035E3D">
      <w:r>
        <w:t>Splošni sklep o akreditaciji plačilne agencije izhaja iz ocene posameznega akreditacijskega merila iz Priloge I k Uredbi (EU) 2022/127.</w:t>
      </w:r>
    </w:p>
    <w:p w14:paraId="3D8C7644" w14:textId="77777777" w:rsidR="0079263D" w:rsidRDefault="00035E3D">
      <w:pPr>
        <w:spacing w:after="120"/>
      </w:pPr>
      <w:r>
        <w:t xml:space="preserve">Proučiti bi bilo treba vsako merilo za ocenjevanje. </w:t>
      </w:r>
    </w:p>
    <w:p w14:paraId="3D8C7645" w14:textId="77777777" w:rsidR="0079263D" w:rsidRDefault="00035E3D">
      <w:r>
        <w:t>Ocena, določena po pregledu skladnosti z akreditacijskimi merili, se v matrikah navede z naslednjimi ocenami:</w:t>
      </w:r>
    </w:p>
    <w:p w14:paraId="3D8C7646" w14:textId="77777777" w:rsidR="0079263D" w:rsidRDefault="00035E3D">
      <w:pPr>
        <w:pStyle w:val="ListNumber2"/>
        <w:rPr>
          <w:szCs w:val="24"/>
        </w:rPr>
      </w:pPr>
      <w:r>
        <w:rPr>
          <w:b/>
        </w:rPr>
        <w:t>Ne deluje.</w:t>
      </w:r>
      <w:r>
        <w:t xml:space="preserve"> Jasno je, da se eno ali več akreditacijskih meril ne upošteva ali da obstajajo resne pomanjkljivosti. Pomanjkljivosti so tako resne, da plačilna agencija ne more izpolnjevati nalog iz člena 9 Uredbe (EU) 2021/2116. Kontrole ne obravnavajo vseh tveganj in/ali so verjetno pogosto neuspešne. Sistem notranjih kontrol deluje slabo ali sploh ne deluje. Pomanjkljivosti so sistemske in obsežne. Ugotovljeni so bili veliki odkloni, ki s sistemom notranjih kontrol plačilne agencije niso bili odkriti. Sistem zato nikakor ni zanesljiv. Točke = [1; 1,5]</w:t>
      </w:r>
    </w:p>
    <w:p w14:paraId="3D8C7647" w14:textId="77777777" w:rsidR="0079263D" w:rsidRDefault="00035E3D">
      <w:pPr>
        <w:pStyle w:val="ListNumber2"/>
        <w:numPr>
          <w:ilvl w:val="0"/>
          <w:numId w:val="0"/>
        </w:numPr>
        <w:ind w:left="1276"/>
        <w:rPr>
          <w:szCs w:val="24"/>
        </w:rPr>
      </w:pPr>
      <w:r>
        <w:t>Plačilna agencija ne more izpolnjevati svojih nalog, poleg tega bi bilo treba pripraviti in izvajati formalni akcijski načrt.</w:t>
      </w:r>
    </w:p>
    <w:p w14:paraId="3D8C7648" w14:textId="77777777" w:rsidR="0079263D" w:rsidRDefault="00035E3D">
      <w:pPr>
        <w:pStyle w:val="ListNumber2"/>
        <w:rPr>
          <w:szCs w:val="24"/>
        </w:rPr>
      </w:pPr>
      <w:r>
        <w:rPr>
          <w:b/>
        </w:rPr>
        <w:t xml:space="preserve">Deluje delno. </w:t>
      </w:r>
      <w:r>
        <w:t>Obstajajo druge pomanjkljivosti, ki ne spadajo pod (1), vendar jih je treba spremljati, kot določa člen 2(1) Uredbe (EU) 2022/128. Kontrole delno obravnavajo vsa tveganja in morda ne delujejo vedno v skladu z načrti. Ugotovljeni so bili zmerni odkloni, ki so bistveno vplivali na učinkovitost kontrol, IN le del teh zmernih odklonov je plačilna agencija ugotovila med izvajanjem kontrol in jih nato sama odpravila. Točke = [1,51; 2,5]</w:t>
      </w:r>
    </w:p>
    <w:p w14:paraId="3D8C7649" w14:textId="77777777" w:rsidR="0079263D" w:rsidRDefault="00035E3D">
      <w:pPr>
        <w:pStyle w:val="ListNumber2"/>
        <w:numPr>
          <w:ilvl w:val="0"/>
          <w:numId w:val="0"/>
        </w:numPr>
        <w:ind w:left="1276"/>
        <w:rPr>
          <w:szCs w:val="24"/>
        </w:rPr>
      </w:pPr>
      <w:r>
        <w:t>Vpliv na učinkovito delovanje ključnih zahtev je znaten. Priporočila in/ali akcijski načrt so se začeli izvajati ali bi se morali začeti izvajati.</w:t>
      </w:r>
    </w:p>
    <w:p w14:paraId="3D8C764A" w14:textId="77777777" w:rsidR="0079263D" w:rsidRDefault="00035E3D">
      <w:pPr>
        <w:pStyle w:val="ListNumber2"/>
        <w:rPr>
          <w:szCs w:val="24"/>
        </w:rPr>
      </w:pPr>
      <w:r>
        <w:rPr>
          <w:b/>
        </w:rPr>
        <w:t>Deluje.</w:t>
      </w:r>
      <w:r>
        <w:t xml:space="preserve"> Odkrite so bile manjše težave, vendar so mogoče izboljšave. Kontrole ustrezno obravnavajo vsa tveganja in verjetno delujejo učinkovito z nekaterimi pomanjkljivostmi, ki zmerno vplivajo na delovanje ključnih zahtev. Ugotovljeni so bili samo manjši odkloni, ki niso bistveno vplivali na učinkovitost kontrol, ALI če so navedeni zmerni odkloni bistveno vplivali na učinkovitost kontrol, so bili s kontrolami, ki jih izvaja plačilna agencija, odkriti in obravnavani s </w:t>
      </w:r>
      <w:proofErr w:type="spellStart"/>
      <w:r>
        <w:t>samokorekcijskim</w:t>
      </w:r>
      <w:proofErr w:type="spellEnd"/>
      <w:r>
        <w:t xml:space="preserve"> mehanizmom plačilne agencije. Točke = [2,51; 3,5]</w:t>
      </w:r>
    </w:p>
    <w:p w14:paraId="3D8C764B" w14:textId="77777777" w:rsidR="0079263D" w:rsidRDefault="00035E3D">
      <w:pPr>
        <w:pStyle w:val="ListNumber2"/>
        <w:numPr>
          <w:ilvl w:val="0"/>
          <w:numId w:val="0"/>
        </w:numPr>
        <w:ind w:left="1276"/>
        <w:rPr>
          <w:szCs w:val="24"/>
        </w:rPr>
      </w:pPr>
      <w:r>
        <w:t xml:space="preserve"> Priporočila so bila oblikovana.</w:t>
      </w:r>
    </w:p>
    <w:p w14:paraId="3D8C764C" w14:textId="77777777" w:rsidR="0079263D" w:rsidRDefault="00035E3D">
      <w:pPr>
        <w:pStyle w:val="ListNumber2"/>
        <w:rPr>
          <w:szCs w:val="24"/>
        </w:rPr>
      </w:pPr>
      <w:r>
        <w:rPr>
          <w:b/>
        </w:rPr>
        <w:t>Deluje dobro.</w:t>
      </w:r>
      <w:r>
        <w:t xml:space="preserve"> Pomanjkljivosti ni ali pa so bile ugotovljene samo manjše pomanjkljivosti. Kontrole ustrezno obravnavajo vsa tveganja in verjetno delujejo učinkovito. Razhajanja niso bila ugotovljena, ALI ugotovljeni so bili samo manjši (formalni) odkloni, ki niso bistveno vplivali na učinkovitost kontrol in niso povzročili finančnih napak. Točke = [3,51; 4,0]</w:t>
      </w:r>
    </w:p>
    <w:p w14:paraId="3D8C764D" w14:textId="77777777" w:rsidR="0079263D" w:rsidRDefault="00035E3D">
      <w:r>
        <w:t>Matrika mora navesti oceno za posamezen del akreditacije. Komisija pričakuje, da bodo pristojni organi ustrezno ukrepali na podlagi člena 2(3) Uredbe (EU) 2022/128, če certifikacijski organi katero koli področje ocenijo z „1“, ter nadalje spremljali vse pomanjkljivosti, ocenjene z „2“, kot določa člen 2(1) Uredbe (EU) 2022/128. Če postopek/del ni veljaven, je to treba označiti s „se ne uporablja“.</w:t>
      </w:r>
    </w:p>
    <w:p w14:paraId="3D8C764E" w14:textId="77777777" w:rsidR="0079263D" w:rsidRDefault="00035E3D">
      <w:pPr>
        <w:rPr>
          <w:color w:val="000000"/>
        </w:rPr>
      </w:pPr>
      <w:r>
        <w:rPr>
          <w:color w:val="000000"/>
        </w:rPr>
        <w:t xml:space="preserve">Ocena certifikacijskega organa lahko delno temelji na pregledih, ki so bili opravljeni v preteklih proračunskih letih, če se potrdi, da ni prišlo do večjih sprememb v postopkih/delih. V takšnih primerih je treba oceno navesti v oklepajih „( )“. </w:t>
      </w:r>
    </w:p>
    <w:p w14:paraId="3D8C764F" w14:textId="77777777" w:rsidR="0079263D" w:rsidRDefault="00035E3D">
      <w:pPr>
        <w:rPr>
          <w:color w:val="000000"/>
        </w:rPr>
      </w:pPr>
      <w:r>
        <w:rPr>
          <w:color w:val="000000"/>
        </w:rPr>
        <w:lastRenderedPageBreak/>
        <w:t>Pri uporabi dela, ki ga opravi oddelek za notranjo revizijo (MSR 610 „Uporaba dela notranjih revizorjev“), ali v primeru prenosa nalog na zunanje strokovnjake ali revizorje (MSR 620 „Uporaba dela revizijskega strokovnjaka“) je treba oceno navesti v oglatih oklepajih „[ ]“.</w:t>
      </w:r>
    </w:p>
    <w:p w14:paraId="3D8C7650" w14:textId="77777777" w:rsidR="0079263D" w:rsidRDefault="00035E3D">
      <w:pPr>
        <w:rPr>
          <w:color w:val="000000"/>
        </w:rPr>
      </w:pPr>
      <w:r>
        <w:rPr>
          <w:color w:val="000000" w:themeColor="text1"/>
        </w:rPr>
        <w:t>V zvezi z oceno stalnega spremljanja prek notranje kontrole, ki jo poda certifikacijski organ, je treba omeniti, da bi morala notranja kontrola zajemati tudi postopke spremljanja, namenjene preprečevanju in odkrivanju goljufij in nepravilnosti, s posebnim poudarkom na tistih področjih odhodkov SKP v okviru pristojnosti plačilne agencije, ki so izpostavljena znatnemu tveganju goljufij ali drugih večjih nepravilnosti. Omeniti je treba tudi, da je treba za oceno tveganja pri akreditacijskem merilu za notranje okolje zagotoviti strategijo za boj proti goljufijam.</w:t>
      </w:r>
    </w:p>
    <w:p w14:paraId="3D8C7651" w14:textId="77777777" w:rsidR="0079263D" w:rsidRDefault="00035E3D">
      <w:pPr>
        <w:rPr>
          <w:color w:val="000000"/>
        </w:rPr>
      </w:pPr>
      <w:r>
        <w:rPr>
          <w:color w:val="000000"/>
        </w:rPr>
        <w:t xml:space="preserve">V zvezi z oceno službe za notranjo revizijo, ki jo poda certifikacijski organ, je treba omeniti, da je treba vsa pomembna področja revizije pregledati vsakih pet let in ne vsako leto. Če za določeno področje revizija še vedno ni bila opravljena, mora certifikacijski organ podati oceno tega področja na podlagi primernosti petletnega revizijskega načrta. V takšnem primeru je treba oceno navesti v oklepajih „( )“. </w:t>
      </w:r>
    </w:p>
    <w:p w14:paraId="3D8C7652" w14:textId="77777777" w:rsidR="0079263D" w:rsidRDefault="00035E3D">
      <w:pPr>
        <w:rPr>
          <w:color w:val="000000"/>
        </w:rPr>
      </w:pPr>
      <w:r>
        <w:rPr>
          <w:color w:val="000000"/>
        </w:rPr>
        <w:t>Rezultati matrike se morajo ujemati z rezultati, podanimi za oceno istega postopka in dela akreditacije v ustreznem podrobnem delu poročila. Vsako neskladje je treba pojasniti.</w:t>
      </w:r>
    </w:p>
    <w:p w14:paraId="3D8C7653" w14:textId="77777777" w:rsidR="0079263D" w:rsidRDefault="00035E3D">
      <w:pPr>
        <w:pStyle w:val="Heading2"/>
      </w:pPr>
      <w:bookmarkStart w:id="97" w:name="_Toc94857613"/>
      <w:bookmarkStart w:id="98" w:name="_Toc108446607"/>
      <w:bookmarkStart w:id="99" w:name="_Toc127268864"/>
      <w:r>
        <w:t>Skupna ocena za posamezno plačilno agencijo</w:t>
      </w:r>
      <w:bookmarkEnd w:id="97"/>
      <w:bookmarkEnd w:id="98"/>
      <w:bookmarkEnd w:id="99"/>
    </w:p>
    <w:p w14:paraId="3D8C7654" w14:textId="77777777" w:rsidR="0079263D" w:rsidRDefault="00035E3D">
      <w:r>
        <w:t>Ocena bi se morala določiti, kot je navedeno v oddelku 4.4 in spodnjih preglednicah z ocenami.</w:t>
      </w:r>
    </w:p>
    <w:p w14:paraId="3D8C7655" w14:textId="77777777" w:rsidR="0079263D" w:rsidRDefault="00035E3D">
      <w:r>
        <w:t>Plačilna agencija bi morala spremljati morebitne pomanjkljivosti, ki jih certifikacijski organ ugotovi pri certifikacijskih ali akreditacijskih revizijah. Pri pregledu akreditacije plačilne agencije bi moral pristojni organ opredeliti dele, za katere bi ocena, ki jo je sporočil certifikacijski organ, pokazala, da so potrebni ustrezni ukrepi ali spremljanje.</w:t>
      </w:r>
    </w:p>
    <w:p w14:paraId="3D8C7656" w14:textId="77777777" w:rsidR="0079263D" w:rsidRDefault="00035E3D">
      <w:r>
        <w:t>Te ocene (ne deluje/deluje delno/deluje/deluje dobro) bi bilo treba uporabiti pri ocenjevanju delov akreditacijskih meril. Vsekakor se je treba izogibati drugim izrazom.</w:t>
      </w:r>
    </w:p>
    <w:p w14:paraId="3D8C7657" w14:textId="77777777" w:rsidR="0079263D" w:rsidRDefault="00035E3D">
      <w:pPr>
        <w:pStyle w:val="Heading2"/>
      </w:pPr>
      <w:bookmarkStart w:id="100" w:name="_Toc108446608"/>
      <w:bookmarkStart w:id="101" w:name="_Toc127268865"/>
      <w:r>
        <w:t>Opis opravljenega revizijskega dela</w:t>
      </w:r>
      <w:bookmarkEnd w:id="100"/>
      <w:bookmarkEnd w:id="101"/>
    </w:p>
    <w:p w14:paraId="3D8C7658" w14:textId="77777777" w:rsidR="0079263D" w:rsidRDefault="00035E3D">
      <w:pPr>
        <w:rPr>
          <w:szCs w:val="24"/>
        </w:rPr>
      </w:pPr>
      <w:bookmarkStart w:id="102" w:name="_Toc94857615"/>
      <w:bookmarkEnd w:id="102"/>
      <w:r>
        <w:t xml:space="preserve">Opravljeno revizijsko delo se predstavi, kot je opisano v smernici št. 3 – Zahteve za poročanje in mnenja, ki jih izda certifikacijski organ. </w:t>
      </w:r>
    </w:p>
    <w:p w14:paraId="3D8C7659" w14:textId="77777777" w:rsidR="0079263D" w:rsidRDefault="00035E3D">
      <w:pPr>
        <w:overflowPunct/>
        <w:autoSpaceDE/>
        <w:autoSpaceDN/>
        <w:adjustRightInd/>
        <w:spacing w:after="0"/>
        <w:jc w:val="left"/>
        <w:textAlignment w:val="auto"/>
        <w:rPr>
          <w:szCs w:val="24"/>
        </w:rPr>
      </w:pPr>
      <w:r>
        <w:br w:type="page"/>
      </w:r>
    </w:p>
    <w:p w14:paraId="3D8C765A" w14:textId="77777777" w:rsidR="0079263D" w:rsidRDefault="00035E3D">
      <w:pPr>
        <w:pStyle w:val="Heading1"/>
      </w:pPr>
      <w:bookmarkStart w:id="103" w:name="_Toc108446609"/>
      <w:bookmarkStart w:id="104" w:name="_Toc127268866"/>
      <w:r>
        <w:lastRenderedPageBreak/>
        <w:t>Izpolnjevanje akreditacijskih meril in poročanje (usklajevalni organ)</w:t>
      </w:r>
      <w:bookmarkEnd w:id="103"/>
      <w:bookmarkEnd w:id="104"/>
    </w:p>
    <w:p w14:paraId="3D8C765B" w14:textId="77777777" w:rsidR="0079263D" w:rsidRDefault="00035E3D">
      <w:r>
        <w:t>Pogoji za akreditacijo usklajevalnega organa in akreditacijska merila so navedeni v členu 2 in Prilogi II k Uredbi (EU) 2022/127.</w:t>
      </w:r>
    </w:p>
    <w:p w14:paraId="3D8C765C" w14:textId="77777777" w:rsidR="0079263D" w:rsidRDefault="00035E3D">
      <w:r>
        <w:t>Poleg nalog, ki jih je moral usklajevalni organ doslej zagotavljati v skladu z Uredbo (EU) št. 907/2014, bo moral usklajevalni organ v skladu s členom 2(2) Uredbe (EU) 2022/127 zagotoviti, da je letno poročilo o smotrnosti zajeto s področjem uporabe mnenja certifikacijskega organa ter da se pošlje skupaj z izjavo o upravljanju, ki se nanaša na pripravo celotnega poročila.</w:t>
      </w:r>
    </w:p>
    <w:p w14:paraId="3D8C765D" w14:textId="77777777" w:rsidR="0079263D" w:rsidRDefault="00035E3D">
      <w:r>
        <w:t>Usklajevalni organ ima upravno organizacijo in sistem notranje kontrole v zvezi s pripravo letnega poročila o smotrnosti, ki je skladno z zahtevami pristojnega organa v zvezi z zadevnimi postopki ter zlasti z merili za obveščanje in sporočanje iz Priloge II k Uredbi (EU) 2022/127.</w:t>
      </w:r>
    </w:p>
    <w:p w14:paraId="3D8C765E" w14:textId="77777777" w:rsidR="0079263D" w:rsidRDefault="00035E3D">
      <w:r>
        <w:t>Deli akreditacije v zvezi s pripravo letnega poročila o smotrnosti so naslednji:</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79263D" w14:paraId="3D8C7661" w14:textId="77777777">
        <w:tc>
          <w:tcPr>
            <w:tcW w:w="4464" w:type="dxa"/>
            <w:tcBorders>
              <w:top w:val="single" w:sz="4" w:space="0" w:color="auto"/>
              <w:left w:val="single" w:sz="4" w:space="0" w:color="auto"/>
              <w:bottom w:val="single" w:sz="4" w:space="0" w:color="auto"/>
              <w:right w:val="single" w:sz="4" w:space="0" w:color="auto"/>
            </w:tcBorders>
          </w:tcPr>
          <w:p w14:paraId="3D8C765F" w14:textId="77777777" w:rsidR="0079263D" w:rsidRDefault="00035E3D">
            <w:pPr>
              <w:spacing w:after="0"/>
            </w:pPr>
            <w:r>
              <w:t>– Sporočanje</w:t>
            </w:r>
          </w:p>
        </w:tc>
        <w:tc>
          <w:tcPr>
            <w:tcW w:w="4464" w:type="dxa"/>
            <w:vMerge w:val="restart"/>
            <w:tcBorders>
              <w:top w:val="single" w:sz="4" w:space="0" w:color="auto"/>
              <w:left w:val="single" w:sz="4" w:space="0" w:color="auto"/>
              <w:bottom w:val="single" w:sz="4" w:space="0" w:color="auto"/>
              <w:right w:val="single" w:sz="4" w:space="0" w:color="auto"/>
            </w:tcBorders>
            <w:vAlign w:val="center"/>
          </w:tcPr>
          <w:p w14:paraId="3D8C7660" w14:textId="77777777" w:rsidR="0079263D" w:rsidRDefault="00035E3D">
            <w:pPr>
              <w:spacing w:after="0"/>
            </w:pPr>
            <w:r>
              <w:t>Obveščanje in sporočanje</w:t>
            </w:r>
          </w:p>
        </w:tc>
      </w:tr>
      <w:tr w:rsidR="0079263D" w14:paraId="3D8C7664" w14:textId="77777777">
        <w:tc>
          <w:tcPr>
            <w:tcW w:w="4464" w:type="dxa"/>
            <w:tcBorders>
              <w:top w:val="single" w:sz="4" w:space="0" w:color="auto"/>
              <w:left w:val="single" w:sz="4" w:space="0" w:color="auto"/>
              <w:bottom w:val="single" w:sz="4" w:space="0" w:color="auto"/>
              <w:right w:val="single" w:sz="4" w:space="0" w:color="auto"/>
            </w:tcBorders>
          </w:tcPr>
          <w:p w14:paraId="3D8C7662" w14:textId="77777777" w:rsidR="0079263D" w:rsidRDefault="00035E3D">
            <w:pPr>
              <w:spacing w:after="0"/>
            </w:pPr>
            <w:r>
              <w:t>– Varnost informacijskih sistemov</w:t>
            </w:r>
          </w:p>
        </w:tc>
        <w:tc>
          <w:tcPr>
            <w:tcW w:w="4464" w:type="dxa"/>
            <w:vMerge/>
            <w:tcBorders>
              <w:top w:val="single" w:sz="4" w:space="0" w:color="auto"/>
              <w:left w:val="single" w:sz="4" w:space="0" w:color="auto"/>
              <w:bottom w:val="single" w:sz="4" w:space="0" w:color="auto"/>
              <w:right w:val="single" w:sz="4" w:space="0" w:color="auto"/>
            </w:tcBorders>
            <w:vAlign w:val="center"/>
          </w:tcPr>
          <w:p w14:paraId="3D8C7663" w14:textId="77777777" w:rsidR="0079263D" w:rsidRDefault="0079263D">
            <w:pPr>
              <w:spacing w:after="0"/>
            </w:pPr>
          </w:p>
        </w:tc>
      </w:tr>
    </w:tbl>
    <w:p w14:paraId="3D8C7665" w14:textId="77777777" w:rsidR="0079263D" w:rsidRDefault="0079263D"/>
    <w:p w14:paraId="3D8C7666" w14:textId="77777777" w:rsidR="0079263D" w:rsidRDefault="00035E3D">
      <w:r>
        <w:t>V zvezi s „sporočanjem“ usklajevalni organ sprejme potrebne postopke za zagotovitev, da se evidentira vsaka sprememba predpisov Unije ter da se navodila in podatkovne zbirke pravočasno posodabljajo (točka 1(A) Priloge II k Uredbi (EU) 2022/127). V zvezi z „varnostjo informacijskih sistemov“ se varnost informacijskih sistemov certificira v skladu s standardom Mednarodne organizacije za standardizacijo 27001: Sistemi upravljanja informacijske varnosti – Zahteve (ISO).</w:t>
      </w:r>
    </w:p>
    <w:p w14:paraId="3D8C7667" w14:textId="77777777" w:rsidR="0079263D" w:rsidRDefault="00035E3D">
      <w:r>
        <w:t>Če to dovoli Komisija, lahko države članice certificirajo varnost informacijskih sistemov v skladu z drugimi sprejetimi standardi, če ti standardi zagotavljajo stopnjo varnosti, ki je vsaj enakovredna stopnji, določeni s standardom ISO 27001. Ocena in mnenje certifikacijskega organa o sistemu upravljanja zajemata usklajevalni organ. Pri ocenjevanju akreditacije usklajevalnega organa je treba upoštevati ocene delov akreditacije, kot so navedene v matriki v delu 6 (model matrike). V skladu s členom 3(8) Uredbe (EU) 2022/128 pristojni organ, če meni, da usklajevalni organ ne izpolnjuje akreditacijskih meril, obvesti usklajevalni organ o zahtevah, ki jih mora izpolniti. Do uvedbe potrebnih sprememb za izpolnitev akreditacijskih meril se lahko akreditacija:</w:t>
      </w:r>
    </w:p>
    <w:tbl>
      <w:tblPr>
        <w:tblW w:w="5000" w:type="pct"/>
        <w:shd w:val="clear" w:color="auto" w:fill="FFFFFF"/>
        <w:tblCellMar>
          <w:left w:w="0" w:type="dxa"/>
          <w:right w:w="0" w:type="dxa"/>
        </w:tblCellMar>
        <w:tblLook w:val="04A0" w:firstRow="1" w:lastRow="0" w:firstColumn="1" w:lastColumn="0" w:noHBand="0" w:noVBand="1"/>
      </w:tblPr>
      <w:tblGrid>
        <w:gridCol w:w="280"/>
        <w:gridCol w:w="9643"/>
      </w:tblGrid>
      <w:tr w:rsidR="0079263D" w14:paraId="3D8C766A" w14:textId="77777777">
        <w:tc>
          <w:tcPr>
            <w:tcW w:w="0" w:type="auto"/>
            <w:shd w:val="clear" w:color="auto" w:fill="FFFFFF"/>
            <w:hideMark/>
          </w:tcPr>
          <w:p w14:paraId="3D8C7668" w14:textId="172B1F0A" w:rsidR="0079263D" w:rsidRDefault="00035E3D">
            <w:r>
              <w:t>(a)</w:t>
            </w:r>
            <w:r w:rsidR="00E51614">
              <w:t xml:space="preserve"> </w:t>
            </w:r>
            <w:r>
              <w:t xml:space="preserve"> </w:t>
            </w:r>
          </w:p>
        </w:tc>
        <w:tc>
          <w:tcPr>
            <w:tcW w:w="0" w:type="auto"/>
            <w:shd w:val="clear" w:color="auto" w:fill="FFFFFF"/>
            <w:hideMark/>
          </w:tcPr>
          <w:p w14:paraId="3D8C7669" w14:textId="77777777" w:rsidR="0079263D" w:rsidRDefault="00035E3D">
            <w:r>
              <w:t>začasno izda novemu usklajevalnemu organu;</w:t>
            </w:r>
          </w:p>
        </w:tc>
      </w:tr>
      <w:tr w:rsidR="0079263D" w14:paraId="3D8C766D" w14:textId="77777777">
        <w:tc>
          <w:tcPr>
            <w:tcW w:w="0" w:type="auto"/>
            <w:shd w:val="clear" w:color="auto" w:fill="FFFFFF"/>
            <w:hideMark/>
          </w:tcPr>
          <w:p w14:paraId="3D8C766B" w14:textId="77777777" w:rsidR="0079263D" w:rsidRDefault="00035E3D">
            <w:r>
              <w:t xml:space="preserve">(b) </w:t>
            </w:r>
          </w:p>
        </w:tc>
        <w:tc>
          <w:tcPr>
            <w:tcW w:w="0" w:type="auto"/>
            <w:shd w:val="clear" w:color="auto" w:fill="FFFFFF"/>
            <w:hideMark/>
          </w:tcPr>
          <w:p w14:paraId="3D8C766C" w14:textId="77777777" w:rsidR="0079263D" w:rsidRDefault="00035E3D">
            <w:r>
              <w:t>začne pogojno veljati za obstoječ usklajevalni organ, pod pogojem, da se izvaja akcijski načrt za odpravo pomanjkljivosti.</w:t>
            </w:r>
          </w:p>
        </w:tc>
      </w:tr>
    </w:tbl>
    <w:p w14:paraId="3D8C766E" w14:textId="77777777" w:rsidR="0079263D" w:rsidRDefault="00035E3D">
      <w:pPr>
        <w:sectPr w:rsidR="0079263D">
          <w:headerReference w:type="even" r:id="rId12"/>
          <w:headerReference w:type="default" r:id="rId13"/>
          <w:footerReference w:type="even" r:id="rId14"/>
          <w:footerReference w:type="default" r:id="rId15"/>
          <w:headerReference w:type="first" r:id="rId16"/>
          <w:footerReference w:type="first" r:id="rId17"/>
          <w:pgSz w:w="11907" w:h="16840" w:code="9"/>
          <w:pgMar w:top="992" w:right="992" w:bottom="992" w:left="992" w:header="567" w:footer="567" w:gutter="0"/>
          <w:cols w:space="720"/>
          <w:titlePg/>
        </w:sectPr>
      </w:pPr>
      <w:r>
        <w:t>Akreditacija se odvzame, če akreditacijska merila niso izpolnjena in usklajevalni organ po mnenju pristojnega organa ne more izpolnjevati svojih nalog.</w:t>
      </w:r>
    </w:p>
    <w:p w14:paraId="3D8C766F" w14:textId="77777777" w:rsidR="0079263D" w:rsidRDefault="00035E3D">
      <w:pPr>
        <w:pStyle w:val="Heading1"/>
        <w:spacing w:before="0"/>
      </w:pPr>
      <w:bookmarkStart w:id="105" w:name="_Toc108446610"/>
      <w:bookmarkStart w:id="106" w:name="_Toc127268867"/>
      <w:r>
        <w:lastRenderedPageBreak/>
        <w:t>Model matrike</w:t>
      </w:r>
      <w:bookmarkEnd w:id="105"/>
      <w:bookmarkEnd w:id="106"/>
    </w:p>
    <w:p w14:paraId="3D8C7670" w14:textId="37AB029D" w:rsidR="0079263D" w:rsidRDefault="00C3439C">
      <w:pPr>
        <w:pStyle w:val="Text1"/>
        <w:spacing w:after="0"/>
        <w:ind w:left="0"/>
        <w:jc w:val="left"/>
      </w:pPr>
      <w:r w:rsidRPr="00C3439C">
        <w:rPr>
          <w:noProof/>
          <w:lang w:val="en-US" w:eastAsia="en-US"/>
        </w:rPr>
        <w:drawing>
          <wp:inline distT="0" distB="0" distL="0" distR="0" wp14:anchorId="4A605A9D" wp14:editId="5B11CF32">
            <wp:extent cx="8660149" cy="461759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8128" cy="4621844"/>
                    </a:xfrm>
                    <a:prstGeom prst="rect">
                      <a:avLst/>
                    </a:prstGeom>
                    <a:noFill/>
                    <a:ln>
                      <a:noFill/>
                    </a:ln>
                  </pic:spPr>
                </pic:pic>
              </a:graphicData>
            </a:graphic>
          </wp:inline>
        </w:drawing>
      </w:r>
    </w:p>
    <w:p w14:paraId="3D8C7671" w14:textId="77777777" w:rsidR="0079263D" w:rsidRDefault="00035E3D">
      <w:pPr>
        <w:overflowPunct/>
        <w:autoSpaceDE/>
        <w:autoSpaceDN/>
        <w:adjustRightInd/>
        <w:spacing w:after="0"/>
        <w:jc w:val="left"/>
        <w:textAlignment w:val="auto"/>
      </w:pPr>
      <w:r>
        <w:br w:type="page"/>
      </w:r>
    </w:p>
    <w:p w14:paraId="3D8C7672" w14:textId="5F3CACC3" w:rsidR="0079263D" w:rsidRDefault="00C3439C">
      <w:pPr>
        <w:pStyle w:val="Text1"/>
      </w:pPr>
      <w:r w:rsidRPr="00C3439C">
        <w:rPr>
          <w:noProof/>
          <w:lang w:val="en-US" w:eastAsia="en-US"/>
        </w:rPr>
        <w:lastRenderedPageBreak/>
        <w:drawing>
          <wp:inline distT="0" distB="0" distL="0" distR="0" wp14:anchorId="10E15458" wp14:editId="50F1625D">
            <wp:extent cx="8576170" cy="2026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14630" cy="2035894"/>
                    </a:xfrm>
                    <a:prstGeom prst="rect">
                      <a:avLst/>
                    </a:prstGeom>
                    <a:noFill/>
                    <a:ln>
                      <a:noFill/>
                    </a:ln>
                  </pic:spPr>
                </pic:pic>
              </a:graphicData>
            </a:graphic>
          </wp:inline>
        </w:drawing>
      </w:r>
    </w:p>
    <w:p w14:paraId="3D8C7673" w14:textId="77777777" w:rsidR="0079263D" w:rsidRDefault="0079263D">
      <w:pPr>
        <w:pStyle w:val="Text1"/>
      </w:pPr>
    </w:p>
    <w:p w14:paraId="3D8C7674" w14:textId="77777777" w:rsidR="0079263D" w:rsidRDefault="00035E3D">
      <w:pPr>
        <w:pStyle w:val="Text1"/>
        <w:sectPr w:rsidR="0079263D">
          <w:footerReference w:type="first" r:id="rId20"/>
          <w:pgSz w:w="16840" w:h="11907" w:orient="landscape" w:code="9"/>
          <w:pgMar w:top="992" w:right="992" w:bottom="992" w:left="992" w:header="567" w:footer="567" w:gutter="0"/>
          <w:cols w:space="720"/>
          <w:titlePg/>
          <w:docGrid w:linePitch="326"/>
        </w:sectPr>
      </w:pPr>
      <w:r>
        <w:t>Z zeleno barvo so označeni deli, ki jih je treba upoštevati pri ocenjevanju akreditacije plačilne agencije in usklajevalnega organa.</w:t>
      </w:r>
    </w:p>
    <w:p w14:paraId="3D8C7675" w14:textId="77777777" w:rsidR="0079263D" w:rsidRDefault="00035E3D">
      <w:pPr>
        <w:pStyle w:val="Heading1"/>
        <w:spacing w:before="0" w:after="0"/>
      </w:pPr>
      <w:bookmarkStart w:id="107" w:name="_Toc108446611"/>
      <w:bookmarkStart w:id="108" w:name="_Toc94857618"/>
      <w:bookmarkStart w:id="109" w:name="_Toc127268868"/>
      <w:r>
        <w:lastRenderedPageBreak/>
        <w:t>Smernice v zvezi z nekaterimi akreditacijskimi merili</w:t>
      </w:r>
      <w:bookmarkEnd w:id="107"/>
      <w:bookmarkEnd w:id="109"/>
      <w:r>
        <w:t xml:space="preserve"> </w:t>
      </w:r>
      <w:bookmarkEnd w:id="108"/>
    </w:p>
    <w:p w14:paraId="3D8C7676" w14:textId="77777777" w:rsidR="0079263D" w:rsidRDefault="00035E3D">
      <w:pPr>
        <w:pStyle w:val="Heading2"/>
      </w:pPr>
      <w:bookmarkStart w:id="110" w:name="_Toc94857619"/>
      <w:bookmarkStart w:id="111" w:name="_Toc108446612"/>
      <w:bookmarkStart w:id="112" w:name="_Toc127268869"/>
      <w:r>
        <w:t>Standard glede človeških virov – standardi ravnanja</w:t>
      </w:r>
      <w:bookmarkEnd w:id="110"/>
      <w:bookmarkEnd w:id="111"/>
      <w:bookmarkEnd w:id="112"/>
      <w:r>
        <w:t xml:space="preserve"> </w:t>
      </w:r>
    </w:p>
    <w:p w14:paraId="3D8C7677" w14:textId="77777777" w:rsidR="0079263D" w:rsidRDefault="00035E3D">
      <w:r>
        <w:t xml:space="preserve">Točka 1(B) Priloge I k Uredbi (EU) 2022/127 vsebuje nove elemente v zvezi s standardi ravnanja. Kot je določeno v prvem odstavku te točke, </w:t>
      </w:r>
      <w:r>
        <w:rPr>
          <w:u w:val="single"/>
        </w:rPr>
        <w:t>plačilna agencija</w:t>
      </w:r>
      <w:r>
        <w:t xml:space="preserve"> izkazuje zavezanost integriteti in etičnim vrednotam. </w:t>
      </w:r>
    </w:p>
    <w:p w14:paraId="3D8C7678" w14:textId="77777777" w:rsidR="0079263D" w:rsidRDefault="00035E3D">
      <w:r>
        <w:t xml:space="preserve">Nadalje je določeno, da </w:t>
      </w:r>
      <w:r>
        <w:rPr>
          <w:u w:val="single"/>
        </w:rPr>
        <w:t>vse vodstvene ravni</w:t>
      </w:r>
      <w:r>
        <w:t xml:space="preserve"> pri svojih navodilih, dejanjih in vedenju spoštujejo integriteto in etične vrednote. Poleg tega je določeno, da so integriteta in etične vrednote navedene v standardih ravnanja in se razumejo na </w:t>
      </w:r>
      <w:r>
        <w:rPr>
          <w:u w:val="single"/>
        </w:rPr>
        <w:t>vseh ravneh organizacije</w:t>
      </w:r>
      <w:r>
        <w:t xml:space="preserve">, razumejo pa jih tudi </w:t>
      </w:r>
      <w:r>
        <w:rPr>
          <w:u w:val="single"/>
        </w:rPr>
        <w:t>zunanji izvajalci storitev</w:t>
      </w:r>
      <w:r>
        <w:t xml:space="preserve"> in </w:t>
      </w:r>
      <w:r>
        <w:rPr>
          <w:u w:val="single"/>
        </w:rPr>
        <w:t>upravičenci</w:t>
      </w:r>
      <w:r>
        <w:t xml:space="preserve">. Tako je treba standarde ravnanja sporočiti vsem ravnem organizacije. Plačilna agencija bi morala razmisliti tudi o usposabljanju, vključno s testi o razumevanju zadeve.   </w:t>
      </w:r>
    </w:p>
    <w:p w14:paraId="3D8C7679" w14:textId="77777777" w:rsidR="0079263D" w:rsidRDefault="00035E3D">
      <w:r>
        <w:t>Tudi zunanji izvajalci storitev bi morali biti obveščeni o standardih ravnanja ter o integriteti in etičnih vrednotah plačilne agencije ter bi morali te standarde upoštevati v okviru opravljanja nalog, kar bi moralo biti določeno v njihovih pogodbah.</w:t>
      </w:r>
    </w:p>
    <w:p w14:paraId="3D8C767A" w14:textId="77777777" w:rsidR="0079263D" w:rsidRDefault="00035E3D">
      <w:r>
        <w:t>Upravičenci bi morali biti obveščeni o standardih ravnanja in njihovem pomenu v zvezi s pričakovanim ravnanjem osebja plačilne agencije. Te informacije bi bilo treba zagotoviti prek ustreznih komunikacijskih kanalov, na primer spletišča plačilne agencije, vlog za pomoč in zahtevkov za plačilo itd.</w:t>
      </w:r>
    </w:p>
    <w:p w14:paraId="3D8C767B" w14:textId="77777777" w:rsidR="0079263D" w:rsidRDefault="00035E3D">
      <w:r>
        <w:t xml:space="preserve">Nazadnje je navedeno, da so uvedeni postopki za </w:t>
      </w:r>
      <w:r>
        <w:rPr>
          <w:u w:val="single"/>
        </w:rPr>
        <w:t>oceno</w:t>
      </w:r>
      <w:r>
        <w:t xml:space="preserve">, ali posamezniki in subjekti spoštujejo standarde ravnanja, in pravočasno </w:t>
      </w:r>
      <w:r>
        <w:rPr>
          <w:u w:val="single"/>
        </w:rPr>
        <w:t>obravnavo odstopanj</w:t>
      </w:r>
      <w:r>
        <w:t xml:space="preserve">. </w:t>
      </w:r>
    </w:p>
    <w:p w14:paraId="3D8C767C" w14:textId="52CD4621" w:rsidR="0079263D" w:rsidRDefault="00035E3D">
      <w:r>
        <w:t xml:space="preserve">Opredelitev etičnih vrednot plačilne agencije (skupaj z njenim poslanstvom, vizijo in cilji), odobritev in izvajanje kodeksa ravnanja in etičnih standardov ter redno izvajanje usposabljanja na teh področjih za osebje plačilne agencije bodo okrepili organizacijsko kulturo organizacije in jih je treba obravnavati kot dobre prakse za doseganje nekaterih zgoraj navedenih ciljev. </w:t>
      </w:r>
    </w:p>
    <w:p w14:paraId="3D8C767D" w14:textId="77777777" w:rsidR="0079263D" w:rsidRDefault="00035E3D">
      <w:r>
        <w:t xml:space="preserve">Standardi ravnanja bi morali temeljiti na veljavnih nacionalnih upravnih predpisih. </w:t>
      </w:r>
    </w:p>
    <w:p w14:paraId="3D8C767E" w14:textId="77777777" w:rsidR="0079263D" w:rsidRDefault="00035E3D">
      <w:pPr>
        <w:spacing w:after="120"/>
      </w:pPr>
      <w:r>
        <w:t>Evropska komisija je na primer na svojem spletišču</w:t>
      </w:r>
      <w:r>
        <w:rPr>
          <w:rStyle w:val="FootnoteReference"/>
        </w:rPr>
        <w:footnoteReference w:id="7"/>
      </w:r>
      <w:r>
        <w:t xml:space="preserve"> objavila svoja pravila v zvezi z osebjem in etiko.</w:t>
      </w:r>
    </w:p>
    <w:p w14:paraId="3D8C767F" w14:textId="77777777" w:rsidR="0079263D" w:rsidRDefault="00035E3D">
      <w:pPr>
        <w:spacing w:after="120"/>
      </w:pPr>
      <w:r>
        <w:t>Navedeni standardi ravnanja bi lahko vključevali:</w:t>
      </w:r>
    </w:p>
    <w:p w14:paraId="3D8C7680" w14:textId="77777777" w:rsidR="0079263D" w:rsidRDefault="00035E3D">
      <w:pPr>
        <w:spacing w:after="0"/>
      </w:pPr>
      <w:r>
        <w:t>•</w:t>
      </w:r>
      <w:r>
        <w:tab/>
        <w:t>uvod, v katerem so pojasnjeni cilji kodeksa (in splošne opredelitve glede etike in ravnanja osebja), odgovornosti osebja plačilne agencije v zvezi s spoštovanjem pravil in ukrepi, ki jih je treba sprejeti v primeru dvomov;</w:t>
      </w:r>
    </w:p>
    <w:p w14:paraId="3D8C7681" w14:textId="77777777" w:rsidR="0079263D" w:rsidRDefault="00035E3D">
      <w:pPr>
        <w:spacing w:after="0"/>
      </w:pPr>
      <w:r>
        <w:t>•</w:t>
      </w:r>
      <w:r>
        <w:tab/>
        <w:t>navedbe zadevnih predpisov (predpisov EU in nacionalnih predpisov);</w:t>
      </w:r>
    </w:p>
    <w:p w14:paraId="3D8C7682" w14:textId="77777777" w:rsidR="0079263D" w:rsidRDefault="00035E3D">
      <w:pPr>
        <w:spacing w:after="0"/>
      </w:pPr>
      <w:r>
        <w:t>•</w:t>
      </w:r>
      <w:r>
        <w:tab/>
        <w:t>navedbe o načinu razpravljanja/dela z upravičenci/osebami, vključenimi v projekte, ki jih financira EU (pravila o srečanjih, razkritju informacij, darilih);</w:t>
      </w:r>
    </w:p>
    <w:p w14:paraId="3D8C7683" w14:textId="77777777" w:rsidR="0079263D" w:rsidRDefault="00035E3D">
      <w:pPr>
        <w:spacing w:after="0"/>
      </w:pPr>
      <w:r>
        <w:t>•</w:t>
      </w:r>
      <w:r>
        <w:tab/>
        <w:t>pravila o navzkrižju interesov (in morebitnih vprašalnikih/posodobitvah, ki jih mora osebje izpolniti);</w:t>
      </w:r>
    </w:p>
    <w:p w14:paraId="3D8C7684" w14:textId="77777777" w:rsidR="0079263D" w:rsidRDefault="00035E3D">
      <w:pPr>
        <w:spacing w:after="0"/>
      </w:pPr>
      <w:r>
        <w:t>•</w:t>
      </w:r>
      <w:r>
        <w:tab/>
        <w:t>pravila o poročanju o morebitnih nepravilnostih/goljufijah;</w:t>
      </w:r>
    </w:p>
    <w:p w14:paraId="3D8C7685" w14:textId="77777777" w:rsidR="0079263D" w:rsidRDefault="00035E3D">
      <w:pPr>
        <w:spacing w:after="180"/>
      </w:pPr>
      <w:r>
        <w:t>•</w:t>
      </w:r>
      <w:r>
        <w:tab/>
        <w:t>poglavje o disciplinskih ukrepih v primeru kršitev obstoječih pravil o obveznostih osebja.</w:t>
      </w:r>
    </w:p>
    <w:p w14:paraId="3D8C7686" w14:textId="77777777" w:rsidR="0079263D" w:rsidRDefault="00035E3D">
      <w:pPr>
        <w:spacing w:after="0"/>
      </w:pPr>
      <w:r>
        <w:t>V povezavi s potrebo po dodelitvi ustreznih človeških virov za izvajanje operacij in obstojem ustreznih tehničnih znanj, ki se zahtevajo na različnih operativnih ravneh, je poudarjeno tudi, da mora plačilna agencija izkazovati zavezanost, da bo v skladu s svojimi cilji privabljala, razvijala in zadržala sposobne posameznike.</w:t>
      </w:r>
    </w:p>
    <w:p w14:paraId="3D8C7687" w14:textId="77777777" w:rsidR="0079263D" w:rsidRDefault="00035E3D">
      <w:pPr>
        <w:pStyle w:val="Heading2"/>
      </w:pPr>
      <w:bookmarkStart w:id="113" w:name="_Toc108446613"/>
      <w:bookmarkStart w:id="114" w:name="_Toc127268870"/>
      <w:r>
        <w:lastRenderedPageBreak/>
        <w:t>Ocenjevanje tveganja</w:t>
      </w:r>
      <w:bookmarkEnd w:id="113"/>
      <w:bookmarkEnd w:id="114"/>
    </w:p>
    <w:p w14:paraId="3D8C7688" w14:textId="77777777" w:rsidR="0079263D" w:rsidRDefault="00035E3D">
      <w:pPr>
        <w:pStyle w:val="Text2"/>
        <w:ind w:left="0"/>
      </w:pPr>
      <w:r>
        <w:t>Ocenjevanje tveganja je bilo v Prilogi I k Uredbi (EU) 2022/127 uvedeno kot ločeno akreditacijsko merilo. Plačilne agencije so pri svojih dejavnostih že prej izvajale postopke ocenjevanja tveganja, kot je navedeno v okviru spremljanja, vendar so v delu 1(C) Priloge I k Uredbi (EU) 2022/127 pojasnjene zahteve, ki se v zvezi s tem vidikom pričakujejo od plačilne agencije, takoj ko se začne izvajati novi model izvajanja v skladu z okvirom notranje kontrole modela COSO, ki ga pri svojih notranjih kontrolah uporablja tudi Evropska komisija.</w:t>
      </w:r>
    </w:p>
    <w:p w14:paraId="3D8C7689" w14:textId="77777777" w:rsidR="0079263D" w:rsidRDefault="00035E3D">
      <w:pPr>
        <w:pStyle w:val="Text2"/>
        <w:ind w:left="0"/>
      </w:pPr>
      <w:r>
        <w:t xml:space="preserve">Plačilna agencija bi morala opraviti svojo oceno tveganja, s čimer bi zagotovila jasen pregled vseh tveganj, ki vplivajo na plačilno agencijo. Vzpostavljeni bi morali biti postopki za njihovo poročanje, opredelitev, ocenjevanje in spremljanje tveganj ter spremljanje ukrepov, sprejetih za njihovo blažitev. Zagotovljena bi morala biti tudi revizijska sled o sprejetih odločitvah v zvezi z obvladovanjem več tveganj. </w:t>
      </w:r>
    </w:p>
    <w:p w14:paraId="3D8C768A" w14:textId="77777777" w:rsidR="0079263D" w:rsidRDefault="00035E3D">
      <w:pPr>
        <w:pStyle w:val="Text2"/>
        <w:ind w:left="0"/>
      </w:pPr>
      <w:r>
        <w:t xml:space="preserve">Pri postopkih, ki jih je treba izvajati v ta namen, bi se morali upoštevati vsaj naslednji elementi:  </w:t>
      </w:r>
    </w:p>
    <w:p w14:paraId="3D8C768B" w14:textId="77777777" w:rsidR="0079263D" w:rsidRDefault="00035E3D">
      <w:pPr>
        <w:numPr>
          <w:ilvl w:val="5"/>
          <w:numId w:val="24"/>
        </w:numPr>
      </w:pPr>
      <w:r>
        <w:t>opredelitev ciljev</w:t>
      </w:r>
      <w:r>
        <w:rPr>
          <w:rStyle w:val="FootnoteReference"/>
        </w:rPr>
        <w:footnoteReference w:id="8"/>
      </w:r>
      <w:r>
        <w:t xml:space="preserve"> plačilne agencije, da se omogočita opredelitev in ocena tveganj v zvezi z navedenimi cilji (letni načrti upravljanja ali poročila običajno vsebujejo te cilje in opredeljena tveganja);</w:t>
      </w:r>
    </w:p>
    <w:p w14:paraId="3D8C768C" w14:textId="77777777" w:rsidR="0079263D" w:rsidRDefault="00035E3D">
      <w:pPr>
        <w:numPr>
          <w:ilvl w:val="5"/>
          <w:numId w:val="24"/>
        </w:numPr>
      </w:pPr>
      <w:r>
        <w:t>opredelitev tveganj, vključno z morebitnimi nepravilnostmi ali goljufijami, ki bi lahko ogrozila doseganje ciljev agencije, in analizo navedenih tveganj, ki je podlaga za določitev načina obvladovanja tveganj;</w:t>
      </w:r>
    </w:p>
    <w:p w14:paraId="3D8C768D" w14:textId="77777777" w:rsidR="0079263D" w:rsidRDefault="00035E3D">
      <w:pPr>
        <w:numPr>
          <w:ilvl w:val="5"/>
          <w:numId w:val="24"/>
        </w:numPr>
      </w:pPr>
      <w:r>
        <w:t xml:space="preserve"> kar zadeva tveganje za morebitne goljufije, strategijo za boj proti goljufijam, kar vključuje ukrepe za boj proti goljufijam in morebitnim nezakonitim dejanjem, ki vplivajo na finančne interese Unije. Ti ukrepi vključujejo preprečevanje in zaznavanje goljufij ter pogoje za njihovo preiskovanje, pa tudi popravne in odvračilne ukrepe s sorazmernimi in odvračilnimi sankcijami;</w:t>
      </w:r>
    </w:p>
    <w:p w14:paraId="3D8C768E" w14:textId="77777777" w:rsidR="0079263D" w:rsidRDefault="00035E3D">
      <w:pPr>
        <w:numPr>
          <w:ilvl w:val="5"/>
          <w:numId w:val="24"/>
        </w:numPr>
      </w:pPr>
      <w:r>
        <w:t xml:space="preserve"> izvajanje ukrepov za preprečevanje in blažitev tveganj;</w:t>
      </w:r>
    </w:p>
    <w:p w14:paraId="3D8C768F" w14:textId="77777777" w:rsidR="0079263D" w:rsidRDefault="00035E3D">
      <w:pPr>
        <w:numPr>
          <w:ilvl w:val="5"/>
          <w:numId w:val="24"/>
        </w:numPr>
      </w:pPr>
      <w:r>
        <w:t>opredelitev in oceno sprememb, ki bi lahko pomembno vplivale na sistem notranje kontrole;</w:t>
      </w:r>
    </w:p>
    <w:p w14:paraId="3D8C7690" w14:textId="77777777" w:rsidR="0079263D" w:rsidRDefault="00035E3D">
      <w:pPr>
        <w:numPr>
          <w:ilvl w:val="5"/>
          <w:numId w:val="24"/>
        </w:numPr>
      </w:pPr>
      <w:r>
        <w:t xml:space="preserve"> redne preglede ocene tveganja in ukrepov, uvedenih za preprečevanje ali blažitev opredeljenih tveganj.</w:t>
      </w:r>
    </w:p>
    <w:p w14:paraId="3D8C7691" w14:textId="77777777" w:rsidR="0079263D" w:rsidRDefault="00035E3D">
      <w:r>
        <w:t>Pri tej oceni tveganja bi bilo treba upoštevati vse ukrepe, ki jih plača plačilna agencija (vključno z odhodki v programskem obdobju 2014–2020).</w:t>
      </w:r>
    </w:p>
    <w:p w14:paraId="3D8C7692" w14:textId="77777777" w:rsidR="0079263D" w:rsidRDefault="00035E3D">
      <w:pPr>
        <w:spacing w:after="0"/>
      </w:pPr>
      <w:r>
        <w:t>Kot je navedeno v členu 59(2), tretji odstavek, Uredbe (EU) 2021/2116, Komisija državam članicam da na voljo enotno orodje za podatkovno rudarjenje</w:t>
      </w:r>
      <w:r>
        <w:rPr>
          <w:rStyle w:val="FootnoteReference"/>
        </w:rPr>
        <w:footnoteReference w:id="9"/>
      </w:r>
      <w:r>
        <w:t>, da se ocenijo tveganja, ki jih predstavljajo projekti, upravičenci, izvajalci in pogodbe. To podatkovno rudarjenje naj bi državam članicam pomagalo pri ocenjevanju tveganja.</w:t>
      </w:r>
    </w:p>
    <w:p w14:paraId="3D8C7693" w14:textId="77777777" w:rsidR="0079263D" w:rsidRDefault="00035E3D">
      <w:pPr>
        <w:pStyle w:val="Heading2"/>
      </w:pPr>
      <w:bookmarkStart w:id="115" w:name="_Toc108446614"/>
      <w:bookmarkStart w:id="116" w:name="_Toc127268871"/>
      <w:r>
        <w:lastRenderedPageBreak/>
        <w:t>Preprečevanje in zaznavanje goljufij (kot del ocenjevanja tveganja)</w:t>
      </w:r>
      <w:bookmarkEnd w:id="115"/>
      <w:bookmarkEnd w:id="116"/>
    </w:p>
    <w:p w14:paraId="3D8C7694" w14:textId="77777777" w:rsidR="0079263D" w:rsidRDefault="00035E3D">
      <w:r>
        <w:t>V skladu s finančno uredbo</w:t>
      </w:r>
      <w:r>
        <w:rPr>
          <w:vertAlign w:val="superscript"/>
          <w:lang w:eastAsia="en-US"/>
        </w:rPr>
        <w:footnoteReference w:id="10"/>
      </w:r>
      <w:r>
        <w:t xml:space="preserve"> se proračun EU izvršuje v skladu z uspešno in učinkovito notranjo kontrolo, ki daje razumno zagotovilo o doseganju preprečevanja in odkrivanja goljufij in nepravilnosti. Na področju deljenega in decentraliziranega upravljanja so države članice odgovorne za preprečevanje in odpravljanje nepravilnosti in goljufij.</w:t>
      </w:r>
    </w:p>
    <w:p w14:paraId="3D8C7695" w14:textId="77777777" w:rsidR="0079263D" w:rsidRDefault="00035E3D">
      <w:r>
        <w:t>V strategiji GD AGRI za boj proti goljufijam je poudarjena njegova ključna vloga pri zaščiti finančnih interesov Evropske unije. Finančna uredba, sektorska zakonodaja</w:t>
      </w:r>
      <w:r>
        <w:rPr>
          <w:vertAlign w:val="superscript"/>
          <w:lang w:eastAsia="en-US"/>
        </w:rPr>
        <w:footnoteReference w:id="11"/>
      </w:r>
      <w:r>
        <w:t xml:space="preserve"> in standardi notranje kontrole za učinkovito upravljanje</w:t>
      </w:r>
      <w:r>
        <w:rPr>
          <w:vertAlign w:val="superscript"/>
          <w:lang w:eastAsia="en-US"/>
        </w:rPr>
        <w:footnoteReference w:id="12"/>
      </w:r>
      <w:r>
        <w:t xml:space="preserve"> zahtevajo izvrševanje proračuna EU v skladu z načeli </w:t>
      </w:r>
      <w:r>
        <w:rPr>
          <w:b/>
        </w:rPr>
        <w:t xml:space="preserve">dobrega finančnega </w:t>
      </w:r>
      <w:proofErr w:type="spellStart"/>
      <w:r>
        <w:rPr>
          <w:b/>
        </w:rPr>
        <w:t>poslovodenja</w:t>
      </w:r>
      <w:proofErr w:type="spellEnd"/>
      <w:r>
        <w:t xml:space="preserve"> ter </w:t>
      </w:r>
      <w:r>
        <w:rPr>
          <w:b/>
        </w:rPr>
        <w:t>uspešno in učinkovito notranjo kontrolo</w:t>
      </w:r>
      <w:r>
        <w:t>, ki daje razumno zagotovilo o doseganju preprečevanja in odkrivanja goljufij in nepravilnosti.</w:t>
      </w:r>
    </w:p>
    <w:p w14:paraId="3D8C7696" w14:textId="77777777" w:rsidR="0079263D" w:rsidRDefault="00035E3D">
      <w:pPr>
        <w:rPr>
          <w:i/>
        </w:rPr>
      </w:pPr>
      <w:r>
        <w:t xml:space="preserve">Kar zadeva sredstva, ki se izvršujejo v okviru </w:t>
      </w:r>
      <w:r>
        <w:rPr>
          <w:b/>
        </w:rPr>
        <w:t>deljenega upravljanja</w:t>
      </w:r>
      <w:r>
        <w:t>, GD AGRI zagotovi, da so države članice uvedle in upravljajo učinkovite sisteme upravljanja in kontrol, kar zagotavlja učinkovito in pravilno rabo sredstev ter zakonitost in pravilnost odhodkov.</w:t>
      </w:r>
    </w:p>
    <w:p w14:paraId="3D8C7697" w14:textId="77777777" w:rsidR="0079263D" w:rsidRDefault="00035E3D">
      <w:r>
        <w:t>Na podlagi člena 63 finančne uredbe</w:t>
      </w:r>
      <w:r>
        <w:rPr>
          <w:vertAlign w:val="superscript"/>
          <w:lang w:eastAsia="en-US"/>
        </w:rPr>
        <w:footnoteReference w:id="13"/>
      </w:r>
      <w:r>
        <w:t xml:space="preserve"> in veljavne sektorske zakonodaje</w:t>
      </w:r>
      <w:r>
        <w:rPr>
          <w:vertAlign w:val="superscript"/>
          <w:lang w:eastAsia="en-US"/>
        </w:rPr>
        <w:footnoteReference w:id="14"/>
      </w:r>
      <w:r>
        <w:t xml:space="preserve"> Komisija pri deljenem upravljanju naloge izvrševanja prenese na države članice, ki so nato predvsem odgovorne za preprečevanje, odkrivanje in odpravljanje nepravilnosti. </w:t>
      </w:r>
    </w:p>
    <w:p w14:paraId="3D8C7698" w14:textId="77777777" w:rsidR="0079263D" w:rsidRDefault="00035E3D">
      <w:r>
        <w:t>Za zagotovitev rabe sredstev v skladu z veljavnimi pravili in načeli države članice sprejmejo vse potrebne zakonodajne, regulativne in upravne ali druge ukrepe za zaščito finančnih interesov EU, zlasti za preprečevanje, odkrivanje in odpravljanje nepravilnosti in goljufij. V skladu s točko 2(A)(iv) Priloge I k Uredbi (EU) 2022/127 morajo plačilne agencije sprejeti ukrepe za preprečevanje in odkrivanje goljufij in nepravilnosti pri svojih dejavnostih.</w:t>
      </w:r>
    </w:p>
    <w:p w14:paraId="3D8C7699" w14:textId="77777777" w:rsidR="0079263D" w:rsidRDefault="00035E3D">
      <w:r>
        <w:t>Uredba (EU) 2021/2116 o financiranju, upravljanju in spremljanju skupne kmetijske politike v členu 59(1) med drugim določa, da države članice sprejmejo ukrepe za:</w:t>
      </w:r>
    </w:p>
    <w:p w14:paraId="3D8C769A" w14:textId="77777777" w:rsidR="0079263D" w:rsidRDefault="00035E3D">
      <w:pPr>
        <w:numPr>
          <w:ilvl w:val="0"/>
          <w:numId w:val="47"/>
        </w:numPr>
        <w:overflowPunct/>
        <w:autoSpaceDE/>
        <w:autoSpaceDN/>
        <w:adjustRightInd/>
        <w:spacing w:after="120"/>
        <w:ind w:left="1134" w:hanging="425"/>
        <w:contextualSpacing/>
        <w:textAlignment w:val="auto"/>
      </w:pPr>
      <w:r>
        <w:t>zagotavljanje učinkovitega preprečevanja goljufij, predvsem na področjih, pri katerih je tveganje večje, ki bo namenjeno odvračanju, izvajalo pa se bo ob upoštevanju stroškov in koristi ter sorazmernosti ukrepov;</w:t>
      </w:r>
    </w:p>
    <w:p w14:paraId="3D8C769B" w14:textId="77777777" w:rsidR="0079263D" w:rsidRDefault="00035E3D">
      <w:pPr>
        <w:numPr>
          <w:ilvl w:val="0"/>
          <w:numId w:val="47"/>
        </w:numPr>
        <w:overflowPunct/>
        <w:autoSpaceDE/>
        <w:autoSpaceDN/>
        <w:adjustRightInd/>
        <w:spacing w:after="120"/>
        <w:ind w:left="1134" w:hanging="425"/>
        <w:contextualSpacing/>
        <w:textAlignment w:val="auto"/>
      </w:pPr>
      <w:r>
        <w:t>preprečevanje, odkrivanje ter odpravo nepravilnosti in goljufij.</w:t>
      </w:r>
    </w:p>
    <w:p w14:paraId="3D8C769C" w14:textId="77777777" w:rsidR="0079263D" w:rsidRDefault="0079263D">
      <w:pPr>
        <w:spacing w:after="0"/>
        <w:rPr>
          <w:lang w:eastAsia="en-US"/>
        </w:rPr>
      </w:pPr>
    </w:p>
    <w:p w14:paraId="3D8C769D" w14:textId="2808503C" w:rsidR="0079263D" w:rsidRDefault="00035E3D">
      <w:r>
        <w:t>V ta namen je v Prilogi I k Delegirani uredbi Komisije (EU) 2022/127 kot akreditacijsko merilo predvideno, da plačilna agencija sprejme postopke za izpolnjevanje naslednjih pravil:</w:t>
      </w:r>
    </w:p>
    <w:p w14:paraId="3D8C769E" w14:textId="77777777" w:rsidR="0079263D" w:rsidRDefault="00035E3D">
      <w:pPr>
        <w:numPr>
          <w:ilvl w:val="0"/>
          <w:numId w:val="8"/>
        </w:numPr>
        <w:overflowPunct/>
        <w:autoSpaceDE/>
        <w:autoSpaceDN/>
        <w:adjustRightInd/>
        <w:spacing w:after="120"/>
        <w:ind w:left="1134" w:hanging="567"/>
        <w:textAlignment w:val="auto"/>
        <w:rPr>
          <w:szCs w:val="24"/>
        </w:rPr>
      </w:pPr>
      <w:r>
        <w:t xml:space="preserve">Plačilna agencija pred odobritvijo zahtevka za izplačilo med drugim opravi zadostna preverjanja, da se zagotovi izpolnjevanje pravil Unije, ta preverjanja pa vključujejo </w:t>
      </w:r>
      <w:r>
        <w:lastRenderedPageBreak/>
        <w:t>preverjanja, zahtevana z zadevno uredbo, ki ureja specifični ukrep, v okviru katerega se zahteva pomoč, in preverjanja, zahtevana v skladu s členom 59 Uredbe (EU) 2021/2116 za preprečevanje in odkrivanje goljufij in drugih nepravilnosti, zlasti glede nastalih tveganj (točka 2(A)(iii) in (iv) Priloge I).</w:t>
      </w:r>
    </w:p>
    <w:p w14:paraId="3D8C769F" w14:textId="77777777" w:rsidR="0079263D" w:rsidRDefault="00035E3D">
      <w:pPr>
        <w:numPr>
          <w:ilvl w:val="0"/>
          <w:numId w:val="8"/>
        </w:numPr>
        <w:overflowPunct/>
        <w:autoSpaceDE/>
        <w:autoSpaceDN/>
        <w:adjustRightInd/>
        <w:spacing w:after="120"/>
        <w:ind w:left="1134" w:hanging="567"/>
        <w:textAlignment w:val="auto"/>
        <w:rPr>
          <w:szCs w:val="24"/>
        </w:rPr>
      </w:pPr>
      <w:r>
        <w:t>Notranje kontrole plačilnih agencij med drugim zajemajo nadzorne postopke za preprečevanje in odkrivanje goljufij in nepravilnosti, zlasti na tistih področjih odhodkov SKP znotraj pristojnosti plačilne agencije, ki so izpostavljena precejšnjemu tveganju za goljufije ali druge resnejše nepravilnosti (točka 4(A)(iv) Priloge I).</w:t>
      </w:r>
    </w:p>
    <w:p w14:paraId="3D8C76A0" w14:textId="77777777" w:rsidR="0079263D" w:rsidRDefault="00035E3D">
      <w:pPr>
        <w:numPr>
          <w:ilvl w:val="0"/>
          <w:numId w:val="8"/>
        </w:numPr>
        <w:overflowPunct/>
        <w:autoSpaceDE/>
        <w:autoSpaceDN/>
        <w:adjustRightInd/>
        <w:spacing w:after="120"/>
        <w:ind w:left="1134" w:hanging="567"/>
        <w:textAlignment w:val="auto"/>
        <w:rPr>
          <w:szCs w:val="24"/>
        </w:rPr>
      </w:pPr>
      <w:r>
        <w:t>Plačilna agencija zagotovi, da je usposabljanje osebja primerno na vseh operativnih ravneh, vključno z ozaveščanjem glede goljufij (točka 1(B)(iv) Priloge I).</w:t>
      </w:r>
    </w:p>
    <w:p w14:paraId="3D8C76A1" w14:textId="77777777" w:rsidR="0079263D" w:rsidRDefault="00035E3D">
      <w:r>
        <w:t>Za dodatno pomoč državam članicam pri preprečevanju, odkrivanju in odpravljanju goljufivih nepravilnosti je GD AGRI izvedel obsežno oceno tveganja goljufij, ki je bila prevedena v vse jezike EU in poslana državam članicam</w:t>
      </w:r>
      <w:r>
        <w:rPr>
          <w:rStyle w:val="FootnoteReference"/>
          <w:lang w:eastAsia="en-US"/>
        </w:rPr>
        <w:footnoteReference w:id="15"/>
      </w:r>
      <w:r>
        <w:t>. Ta ocena tveganja goljufij bo posodobljena za odhodke, nastale po 1. januarju 2023. GD AGRI je prav tako v vseh državah članicah organiziral ciljno usmerjene seminarje, s katerimi naj bi med osebjem zadevnih organov povečal ozaveščenost glede goljufij ter nudil pomoč pri uvedbi ustreznih ukrepov za boj proti goljufijam. Ti seminarji so še vedno na voljo na zahtevo države članice. Evropska komisija je uradne smernice in gradivo objavila tudi na svojem spletišču v okviru Centra znanja za boj proti goljufijam</w:t>
      </w:r>
      <w:r>
        <w:rPr>
          <w:rStyle w:val="FootnoteReference"/>
        </w:rPr>
        <w:footnoteReference w:id="16"/>
      </w:r>
      <w:r>
        <w:t>.</w:t>
      </w:r>
    </w:p>
    <w:p w14:paraId="3D8C76A2" w14:textId="77777777" w:rsidR="0079263D" w:rsidRDefault="00035E3D">
      <w:r>
        <w:t xml:space="preserve">Poleg tega v skladu s členom 1(4), točka (c), Uredbe (EU) 2022/128 revizijski organ, ki ga imenuje pristojni organ v smislu člena 1(1) iste uredbe, v okviru </w:t>
      </w:r>
      <w:proofErr w:type="spellStart"/>
      <w:r>
        <w:t>predakreditacijskega</w:t>
      </w:r>
      <w:proofErr w:type="spellEnd"/>
      <w:r>
        <w:t xml:space="preserve"> pregleda preveri, v kakšni meri lahko vzpostavljeni postopki in sistemi plačilne agencije zaščitijo proračun Unije, vključno z ukrepi proti goljufijam, ki so določeni na podlagi tveganja.</w:t>
      </w:r>
    </w:p>
    <w:p w14:paraId="3D8C76A3" w14:textId="77777777" w:rsidR="0079263D" w:rsidRDefault="00035E3D">
      <w:r>
        <w:t>Izjava o upravljanju direktorjev plačilnih agencij tudi zagotavlja, da se izvajajo učinkoviti in sorazmerni ukrepi proti goljufijam ter da se upoštevajo ugotovljena tveganja</w:t>
      </w:r>
      <w:r>
        <w:rPr>
          <w:vertAlign w:val="superscript"/>
          <w:lang w:eastAsia="en-US"/>
        </w:rPr>
        <w:footnoteReference w:id="17"/>
      </w:r>
      <w:r>
        <w:t>.</w:t>
      </w:r>
    </w:p>
    <w:p w14:paraId="3D8C76A4" w14:textId="77777777" w:rsidR="0079263D" w:rsidRDefault="00035E3D">
      <w:pPr>
        <w:pStyle w:val="Text1"/>
        <w:spacing w:after="120"/>
        <w:ind w:left="0"/>
      </w:pPr>
      <w:r>
        <w:t>Izpolnjevanje akreditacijskih meril vsako leto pregledajo certifikacijski organi, z revizijami na kraju samem pa tudi GD AGRI.</w:t>
      </w:r>
    </w:p>
    <w:p w14:paraId="3D8C76A5" w14:textId="77777777" w:rsidR="0079263D" w:rsidRDefault="00035E3D">
      <w:pPr>
        <w:pStyle w:val="Heading2"/>
      </w:pPr>
      <w:bookmarkStart w:id="117" w:name="_Toc94857621"/>
      <w:bookmarkStart w:id="118" w:name="_Toc108446615"/>
      <w:bookmarkStart w:id="119" w:name="_Toc127268872"/>
      <w:r>
        <w:t>Prenos nalog</w:t>
      </w:r>
      <w:bookmarkEnd w:id="117"/>
      <w:bookmarkEnd w:id="118"/>
      <w:bookmarkEnd w:id="119"/>
    </w:p>
    <w:p w14:paraId="3D8C76A6" w14:textId="77777777" w:rsidR="0079263D" w:rsidRDefault="00035E3D">
      <w:r>
        <w:t>Pooblaščeni organi so zasebni ali javni organi, ki niso pod neposredno pristojnostjo plačilne agencije (tj. so tretje osebe) in so pooblaščeni za opravljanje nalog iz člena 1(1) Uredbe (EU) 2022/127. V skladu s členom 9(1) Uredbe (EU) 2021/2116 se izvajanje nalog v zvezi z upravljanjem in kontrolo odhodkov, razen izplačil, lahko prenese. Vse prenesene naloge je treba določiti v sporazumu o prenosu.</w:t>
      </w:r>
    </w:p>
    <w:p w14:paraId="3D8C76A7" w14:textId="77777777" w:rsidR="0079263D" w:rsidRDefault="00035E3D">
      <w:r>
        <w:t xml:space="preserve">Bistveno je, da se službam plačilne agencije za spremljanje s pisnim sporazumom zagotovi neposreden dostop do dokumentov in postopkov pooblaščenih organov. Tako se zagotovi, da ima vodstvo plačilne agencije dokaz o delu pooblaščenih organov na podlagi nadzora, ki ga izvaja osebje plačilne agencije, in ugotovitev oddelka plačilne agencije za notranjo revizijo. </w:t>
      </w:r>
    </w:p>
    <w:p w14:paraId="3D8C76A8" w14:textId="77777777" w:rsidR="0079263D" w:rsidRDefault="00035E3D">
      <w:pPr>
        <w:spacing w:after="0"/>
      </w:pPr>
      <w:r>
        <w:t>Kadar preneseno nalogo opravlja drug organ kot del svojih rednih nalog na podlagi nacionalne zakonodaje, kot je navedeno v točki 1(D.2) Priloge I k Uredbi (EU) 2022/127, in kadar izjemoma plačilna agencija nima neposrednega dostopa do dokumentov in postopkov pooblaščenih organov, je treba vzpostaviti mehanizem za zagotovitev, da je plačilna agencija obveščena o kakovosti in vsebini dela, ki ga opravlja drugi (pooblaščeni) organ (s poročili, ki se nanašajo na zadevno proračunsko leto). Primer za to je naslednje:</w:t>
      </w:r>
    </w:p>
    <w:p w14:paraId="3D8C76A9" w14:textId="77777777" w:rsidR="0079263D" w:rsidRDefault="00035E3D">
      <w:pPr>
        <w:rPr>
          <w:u w:val="single"/>
        </w:rPr>
      </w:pPr>
      <w:r>
        <w:rPr>
          <w:u w:val="single"/>
        </w:rPr>
        <w:lastRenderedPageBreak/>
        <w:t xml:space="preserve">1. Pooblastitev se nanaša na specifično nalogo (npr. specifičen nadzor itd.) </w:t>
      </w:r>
    </w:p>
    <w:p w14:paraId="3D8C76AA" w14:textId="77777777" w:rsidR="0079263D" w:rsidRDefault="00035E3D">
      <w:r>
        <w:t>Primeri takšnih organov so carinski organi, ministrstva in nacionalni davčni organi. Vendar je treba poudariti, da je treba upoštevati določbe točke 1(D.2) Priloge I k Uredbi (EU) 2022/127 ter da ostaja plačilna agencija vedno končno odgovorna za zakonitost in pravilnost osnovnih transakcij.</w:t>
      </w:r>
    </w:p>
    <w:p w14:paraId="3D8C76AB" w14:textId="77777777" w:rsidR="0079263D" w:rsidRDefault="00035E3D">
      <w:r>
        <w:t>Zato bi bilo treba tudi v tem primeru skleniti sporazum med plačilno agencijo in drugim organom, da se uredita pretok informacij in postopek poročanja glede nalog, ki jih navedeni drugi organ opravlja v zvezi s plačili, ki jih opravi plačilna agencija.</w:t>
      </w:r>
    </w:p>
    <w:p w14:paraId="3D8C76AC" w14:textId="77777777" w:rsidR="0079263D" w:rsidRDefault="00035E3D">
      <w:pPr>
        <w:rPr>
          <w:color w:val="000000"/>
        </w:rPr>
      </w:pPr>
      <w:r>
        <w:rPr>
          <w:color w:val="000000"/>
        </w:rPr>
        <w:t>V zvezi z izvoznimi nadomestili se odgovornost za preverjanje narave in količine izvoženih izdelkov običajno podeli carinskim organom na podlagi določb Skupnosti in nacionalnih določb. V takšnih okoliščinah bi se obveznosti iz Priloge I k Uredbi (EU) 2022/127 spoštovale, če carinski organi plačilni agenciji zagotovijo informacije o sprejetih postopkih za zagotavljanje izpolnjevanja svojih odgovornosti v zvezi s kmetijskim sektorjem ter, vsaj enkrat na leto, rezultate svojih pregledov in ukrepov, sprejetih v zvezi s pomanjkljivostmi in nepravilnostmi. Tako bo dosežen glavni cilj plačilne agencije, in sicer da ima na voljo dokaze, ki zagotavljajo, da so bili opravljeni vsi zahtevani pregledi upravičenosti odobrenih zahtevkov, vključno s pregledi, ki jih opravijo carinski organi.</w:t>
      </w:r>
    </w:p>
    <w:p w14:paraId="3D8C76AD" w14:textId="77777777" w:rsidR="0079263D" w:rsidRDefault="00035E3D">
      <w:pPr>
        <w:rPr>
          <w:color w:val="000000"/>
        </w:rPr>
      </w:pPr>
      <w:r>
        <w:rPr>
          <w:color w:val="000000"/>
        </w:rPr>
        <w:t>Bistveno je, da je letnim informacijam priložena izjava službe carinskega urada za notranjo revizijo, ki potrjuje tako pravilnost informacij kot tudi ustreznost uporabljenih postopkov in skladnost postopkov z obstoječimi predpisi.</w:t>
      </w:r>
    </w:p>
    <w:p w14:paraId="3D8C76AE" w14:textId="77777777" w:rsidR="0079263D" w:rsidRDefault="00035E3D">
      <w:pPr>
        <w:rPr>
          <w:u w:val="single"/>
        </w:rPr>
      </w:pPr>
      <w:r>
        <w:rPr>
          <w:u w:val="single"/>
        </w:rPr>
        <w:t>2. Pooblastitev se nanaša na kontrolni postopek, npr. odobritev plačil</w:t>
      </w:r>
    </w:p>
    <w:p w14:paraId="3D8C76AF" w14:textId="77777777" w:rsidR="0079263D" w:rsidRDefault="00035E3D">
      <w:pPr>
        <w:spacing w:after="120"/>
      </w:pPr>
      <w:r>
        <w:t>V tem primeru mora sporazum plačilni agenciji omogočati, da zagotavlja skladnost z akreditacijskimi merili, na primer zagotovljeno mora biti, da se pred odobritvijo plačila preverita upravičenost zahtevkov za pomoč in skladnost s pravili EU in da so zahtevani dokumenti predloženi do rokov ter da so dostopni in se hranijo na način, ki zagotavlja njihovo celovitost, veljavnost in čitljivost skozi čas. Tudi drugi organ bi moral plačilni agenciji izrecno potrditi, da izpolnjuje svoje naloge, in opisati uporabljena sredstva. Za zagotovitev, da drugi organ zadovoljivo izvaja svoje naloge, lahko plačilna agencija zaprosi za mnenje revizorja. Revizije v zvezi s postopki in dejavnostmi plačilne agencije lahko vključujejo tudi nadzor na ravni pooblaščenega/drugega organa.</w:t>
      </w:r>
    </w:p>
    <w:p w14:paraId="3D8C76B0" w14:textId="77777777" w:rsidR="0079263D" w:rsidRDefault="00035E3D">
      <w:pPr>
        <w:pStyle w:val="Heading2"/>
      </w:pPr>
      <w:bookmarkStart w:id="120" w:name="_Toc94857624"/>
      <w:bookmarkStart w:id="121" w:name="_Toc108446618"/>
      <w:bookmarkStart w:id="122" w:name="_Toc127268873"/>
      <w:r>
        <w:t>Postopki za plačila</w:t>
      </w:r>
      <w:bookmarkEnd w:id="120"/>
      <w:bookmarkEnd w:id="121"/>
      <w:bookmarkEnd w:id="122"/>
    </w:p>
    <w:p w14:paraId="3D8C76B1" w14:textId="77777777" w:rsidR="0079263D" w:rsidRDefault="00035E3D">
      <w:pPr>
        <w:spacing w:after="120"/>
      </w:pPr>
      <w:r>
        <w:t>Plačilna agencija mora uvesti postopke za zagotovitev, da se plačila ne prijavijo EKJS ali EKSRP za povračilo, če transferji končnim upravičencem še niso opravljeni. Plačilna agencija mora uvesti mehanizem, s katerim lahko utemelji, da se taka plačila, če so bila prijavljena skladoma, vrnejo skladoma na podlagi naslednje mesečne/četrtletne izjave ali najpozneje na podlagi izjave o letnih obračunih.</w:t>
      </w:r>
    </w:p>
    <w:p w14:paraId="3D8C76B2" w14:textId="77777777" w:rsidR="0079263D" w:rsidRDefault="00035E3D">
      <w:pPr>
        <w:pStyle w:val="Heading2"/>
      </w:pPr>
      <w:bookmarkStart w:id="123" w:name="_Toc94857625"/>
      <w:bookmarkStart w:id="124" w:name="_Toc108446619"/>
      <w:bookmarkStart w:id="125" w:name="_Toc127268874"/>
      <w:r>
        <w:t>Postopki za poročanje o smotrnosti</w:t>
      </w:r>
      <w:bookmarkEnd w:id="123"/>
      <w:bookmarkEnd w:id="124"/>
      <w:bookmarkEnd w:id="125"/>
    </w:p>
    <w:p w14:paraId="3D8C76B3" w14:textId="77777777" w:rsidR="0079263D" w:rsidRDefault="00035E3D">
      <w:pPr>
        <w:spacing w:after="120"/>
      </w:pPr>
      <w:r>
        <w:t xml:space="preserve">V zvezi z vrstami intervencij iz Uredbe (EU) 2021/2115 plačilna agencija zagotovi, da je vzpostavljen informacijski sistem za računalniško zbiranje, evidentiranje in hrambo podatkov o vsakem zahtevku in operaciji. </w:t>
      </w:r>
    </w:p>
    <w:p w14:paraId="3D8C76B4" w14:textId="77777777" w:rsidR="0079263D" w:rsidRDefault="00035E3D">
      <w:pPr>
        <w:spacing w:after="0"/>
      </w:pPr>
      <w:r>
        <w:t>Poleg tega sistem zagotavlja razčlenitev podatkov o vseh ustreznih kazalnikih učinkov za posamezno intervencijo, s čimer se zagotovi, da letna poročila o smotrnosti kažejo, da so odhodki nastali v skladu s členom 37 Uredbe (EU) 2021/2116, ter podatkov o kazalnikih rezultatov, vključno s cilji in mejniki. Vsak odhodek za strateške intervencije SKP bi moral ustrezati sporočenemu učinku in biti izvršen v skladu z veljavnimi sistemi upravljanja.</w:t>
      </w:r>
      <w:bookmarkStart w:id="126" w:name="_Toc94857626"/>
    </w:p>
    <w:p w14:paraId="3D8C76B5" w14:textId="77777777" w:rsidR="0079263D" w:rsidRDefault="00035E3D">
      <w:pPr>
        <w:pStyle w:val="Heading2"/>
      </w:pPr>
      <w:bookmarkStart w:id="127" w:name="_Toc108446620"/>
      <w:bookmarkStart w:id="128" w:name="_Toc127268875"/>
      <w:r>
        <w:lastRenderedPageBreak/>
        <w:t>Postopki za predplačila in varščine</w:t>
      </w:r>
      <w:bookmarkEnd w:id="126"/>
      <w:bookmarkEnd w:id="127"/>
      <w:bookmarkEnd w:id="128"/>
    </w:p>
    <w:p w14:paraId="3D8C76B6" w14:textId="77777777" w:rsidR="0079263D" w:rsidRDefault="00035E3D">
      <w:pPr>
        <w:pStyle w:val="Heading3"/>
      </w:pPr>
      <w:bookmarkStart w:id="129" w:name="_Toc94857627"/>
      <w:bookmarkStart w:id="130" w:name="_Toc108446621"/>
      <w:bookmarkStart w:id="131" w:name="_Toc127268876"/>
      <w:r>
        <w:t>Predplačila</w:t>
      </w:r>
      <w:bookmarkEnd w:id="129"/>
      <w:bookmarkEnd w:id="130"/>
      <w:bookmarkEnd w:id="131"/>
    </w:p>
    <w:p w14:paraId="3D8C76B7" w14:textId="77777777" w:rsidR="0079263D" w:rsidRDefault="00035E3D">
      <w:r>
        <w:t>Predplačila so plačila iz državne blagajne, ki ne temeljijo na nastalih stroških. V vseh primerih, kadar predpisi dovoljujejo izplačila predplačil, morajo biti takšna izplačila evidentirana v ločenih obračunih, ki so del računovodskih evidenc EKJS ali EKSRP, z vsemi zadevnimi podrobnostmi, da se omogoči njihovo ustrezno upravljanje. Plačila, ki so bila izvedena pred običajnimi plačilnimi roki, vendar po kontrolah, in/ali ki temeljijo na nastalih stroških, se v tem okviru ne obravnavajo kot predplačila</w:t>
      </w:r>
      <w:r>
        <w:rPr>
          <w:rStyle w:val="FootnoteReference"/>
          <w:rFonts w:ascii="Times New Roman" w:hAnsi="Times New Roman"/>
        </w:rPr>
        <w:footnoteReference w:id="18"/>
      </w:r>
      <w:r>
        <w:t>.</w:t>
      </w:r>
    </w:p>
    <w:p w14:paraId="3D8C76B8" w14:textId="77777777" w:rsidR="0079263D" w:rsidRDefault="00035E3D">
      <w:r>
        <w:t>Vzpostaviti je treba postopke, ki zagotavljajo:</w:t>
      </w:r>
    </w:p>
    <w:p w14:paraId="3D8C76B9" w14:textId="77777777" w:rsidR="0079263D" w:rsidRDefault="00035E3D">
      <w:pPr>
        <w:pStyle w:val="ListDash2"/>
        <w:numPr>
          <w:ilvl w:val="0"/>
          <w:numId w:val="2"/>
        </w:numPr>
        <w:spacing w:after="120"/>
        <w:ind w:left="1361" w:hanging="284"/>
        <w:rPr>
          <w:szCs w:val="24"/>
        </w:rPr>
      </w:pPr>
      <w:r>
        <w:t>da se izplačilo predplačil odobri šele, ko so izpolnjeni vsi pogoji;</w:t>
      </w:r>
    </w:p>
    <w:p w14:paraId="3D8C76BA" w14:textId="77777777" w:rsidR="0079263D" w:rsidRDefault="00035E3D">
      <w:pPr>
        <w:pStyle w:val="ListDash2"/>
        <w:spacing w:after="120"/>
        <w:ind w:left="1361" w:hanging="284"/>
        <w:rPr>
          <w:szCs w:val="24"/>
        </w:rPr>
      </w:pPr>
      <w:r>
        <w:t>da se v primeru zahtevane varščine izplačilo izvede šele po prejemu veljavne varščine;</w:t>
      </w:r>
    </w:p>
    <w:p w14:paraId="3D8C76BB" w14:textId="77777777" w:rsidR="0079263D" w:rsidRDefault="00035E3D">
      <w:pPr>
        <w:pStyle w:val="ListDash2"/>
        <w:spacing w:after="120"/>
        <w:ind w:left="1361" w:hanging="284"/>
        <w:rPr>
          <w:szCs w:val="24"/>
        </w:rPr>
      </w:pPr>
      <w:r>
        <w:t>evidentiranje pravilnih zneskov in vseh nadaljnjih zadevnih podrobnosti na pravilnem obračunu (predplačilu);</w:t>
      </w:r>
    </w:p>
    <w:p w14:paraId="3D8C76BC" w14:textId="77777777" w:rsidR="0079263D" w:rsidRDefault="00035E3D">
      <w:pPr>
        <w:pStyle w:val="ListDash2"/>
        <w:spacing w:after="120"/>
        <w:ind w:left="1361" w:hanging="284"/>
        <w:rPr>
          <w:szCs w:val="24"/>
        </w:rPr>
      </w:pPr>
      <w:r>
        <w:t>evidentiranje za prepoznavanje rokov za poravnavo in zastaranje predplačil;</w:t>
      </w:r>
    </w:p>
    <w:p w14:paraId="3D8C76BD" w14:textId="77777777" w:rsidR="0079263D" w:rsidRDefault="00035E3D">
      <w:pPr>
        <w:pStyle w:val="ListDash2"/>
        <w:spacing w:after="120"/>
        <w:ind w:left="1361" w:hanging="284"/>
        <w:rPr>
          <w:szCs w:val="24"/>
        </w:rPr>
      </w:pPr>
      <w:r>
        <w:t>redno usklajevanje z drugimi zbirkami podatkov (npr. z bančnim računom, datotekami/povzetki odobrenih izplačil služb za odobritve, preteklimi ali poznejšimi predplačili, končnimi izplačili, evidencami varščin, če so varščine potrebne);</w:t>
      </w:r>
    </w:p>
    <w:p w14:paraId="3D8C76BE" w14:textId="77777777" w:rsidR="0079263D" w:rsidRDefault="00035E3D">
      <w:pPr>
        <w:pStyle w:val="ListDash2"/>
        <w:spacing w:after="120"/>
        <w:ind w:left="1361" w:hanging="284"/>
        <w:rPr>
          <w:szCs w:val="24"/>
        </w:rPr>
      </w:pPr>
      <w:r>
        <w:t>redno analizo obračunov predplačil in pravočasno nadaljnje spremljanje vseh neobičajnih ali dolgotrajnih izrednih primerov;</w:t>
      </w:r>
    </w:p>
    <w:p w14:paraId="3D8C76BF" w14:textId="77777777" w:rsidR="0079263D" w:rsidRDefault="00035E3D">
      <w:pPr>
        <w:pStyle w:val="ListDash2"/>
        <w:numPr>
          <w:ilvl w:val="0"/>
          <w:numId w:val="3"/>
        </w:numPr>
        <w:spacing w:after="120"/>
        <w:ind w:left="1361" w:hanging="284"/>
        <w:rPr>
          <w:szCs w:val="24"/>
        </w:rPr>
      </w:pPr>
      <w:r>
        <w:t>obračun predplačil, kadar so se ta uporabila ali izterjala;</w:t>
      </w:r>
    </w:p>
    <w:p w14:paraId="3D8C76C0" w14:textId="77777777" w:rsidR="0079263D" w:rsidRDefault="00035E3D">
      <w:pPr>
        <w:pStyle w:val="ListDash2"/>
        <w:spacing w:after="120"/>
        <w:ind w:left="1361" w:hanging="284"/>
        <w:rPr>
          <w:szCs w:val="24"/>
        </w:rPr>
      </w:pPr>
      <w:r>
        <w:t>pravočasen začetek postopkov izterjave, kadar se pogoji niso upoštevali.</w:t>
      </w:r>
    </w:p>
    <w:p w14:paraId="3D8C76C1" w14:textId="77777777" w:rsidR="0079263D" w:rsidRDefault="00035E3D">
      <w:pPr>
        <w:pStyle w:val="Heading3"/>
      </w:pPr>
      <w:bookmarkStart w:id="132" w:name="_Toc94857628"/>
      <w:bookmarkStart w:id="133" w:name="_Toc108446622"/>
      <w:bookmarkStart w:id="134" w:name="_Toc127268877"/>
      <w:r>
        <w:t>Varščine</w:t>
      </w:r>
      <w:bookmarkEnd w:id="132"/>
      <w:bookmarkEnd w:id="133"/>
      <w:bookmarkEnd w:id="134"/>
    </w:p>
    <w:p w14:paraId="3D8C76C2" w14:textId="77777777" w:rsidR="0079263D" w:rsidRDefault="00035E3D">
      <w:r>
        <w:t>Kadar predpisi zahtevajo polog varščine, morajo biti vse bremenitve in kreditne transakcije v zvezi s posamezno varščino evidentirane na sedežu plačilne agencije, kar omogoča pravočasno posodabljanje pristojbin in sprostitev ter preverjanje dejanskih položenih varščin.</w:t>
      </w:r>
    </w:p>
    <w:p w14:paraId="3D8C76C3" w14:textId="77777777" w:rsidR="0079263D" w:rsidRDefault="00035E3D">
      <w:r>
        <w:t>Vzpostaviti je treba postopke, ki zagotavljajo:</w:t>
      </w:r>
    </w:p>
    <w:p w14:paraId="3D8C76C4" w14:textId="77777777" w:rsidR="0079263D" w:rsidRDefault="00035E3D">
      <w:pPr>
        <w:pStyle w:val="ListDash2"/>
        <w:spacing w:after="120"/>
        <w:ind w:left="1361" w:hanging="284"/>
        <w:rPr>
          <w:szCs w:val="24"/>
        </w:rPr>
      </w:pPr>
      <w:r>
        <w:t>določitev vrste varščine (gotovinski polog, samostojna ali skupinska bančna garancija);</w:t>
      </w:r>
    </w:p>
    <w:p w14:paraId="3D8C76C5" w14:textId="77777777" w:rsidR="0079263D" w:rsidRDefault="00035E3D">
      <w:pPr>
        <w:pStyle w:val="ListDash2"/>
        <w:spacing w:after="120"/>
        <w:ind w:left="1361" w:hanging="284"/>
        <w:rPr>
          <w:szCs w:val="24"/>
        </w:rPr>
      </w:pPr>
      <w:r>
        <w:t>veljavnost bančnih garancij;</w:t>
      </w:r>
    </w:p>
    <w:p w14:paraId="3D8C76C6" w14:textId="77777777" w:rsidR="0079263D" w:rsidRDefault="00035E3D">
      <w:pPr>
        <w:pStyle w:val="ListDash2"/>
        <w:spacing w:after="0"/>
        <w:ind w:left="1361" w:hanging="284"/>
        <w:rPr>
          <w:szCs w:val="24"/>
        </w:rPr>
      </w:pPr>
      <w:r>
        <w:t>evidentiranje vrste varščine ter vseh bremenitev in kreditnih poslov na sedežu plačilne agencije na podlagi ustrezno odobrenih dokumentov (pri čemer se preveri pravilnost zneska in vseh ostalih zahtev varščine);</w:t>
      </w:r>
    </w:p>
    <w:p w14:paraId="3D8C76C7" w14:textId="77777777" w:rsidR="0079263D" w:rsidRDefault="00035E3D">
      <w:pPr>
        <w:pStyle w:val="ListDash2"/>
        <w:spacing w:after="120"/>
        <w:ind w:left="1361" w:hanging="284"/>
        <w:rPr>
          <w:szCs w:val="24"/>
        </w:rPr>
      </w:pPr>
      <w:r>
        <w:t>redno usklajevanje z drugimi zbirkami podatkov, na primer z zadevnimi obračuni predplačil, informacijami služb za odobritve in dejanskimi varščinami;</w:t>
      </w:r>
    </w:p>
    <w:p w14:paraId="3D8C76C8" w14:textId="77777777" w:rsidR="0079263D" w:rsidRDefault="00035E3D">
      <w:pPr>
        <w:pStyle w:val="ListDash2"/>
        <w:spacing w:after="120"/>
        <w:ind w:left="1361" w:hanging="284"/>
        <w:rPr>
          <w:szCs w:val="24"/>
        </w:rPr>
      </w:pPr>
      <w:r>
        <w:t>redno analizo evidenc varščin in nadaljnje spremljanje vseh neobičajnih ali dolgotrajnih izrednih varščin;</w:t>
      </w:r>
    </w:p>
    <w:p w14:paraId="3D8C76C9" w14:textId="77777777" w:rsidR="0079263D" w:rsidRDefault="00035E3D">
      <w:pPr>
        <w:pStyle w:val="ListDash2"/>
        <w:spacing w:after="120"/>
        <w:ind w:left="1361" w:hanging="284"/>
        <w:rPr>
          <w:szCs w:val="24"/>
        </w:rPr>
      </w:pPr>
      <w:r>
        <w:t>pravočasno vračilo gotovinskih pologov, sprostitev samostojnih in skupinskih bančnih garancij;</w:t>
      </w:r>
    </w:p>
    <w:p w14:paraId="3D8C76CA" w14:textId="77777777" w:rsidR="0079263D" w:rsidRDefault="00035E3D">
      <w:pPr>
        <w:pStyle w:val="ListDash2"/>
        <w:numPr>
          <w:ilvl w:val="0"/>
          <w:numId w:val="4"/>
        </w:numPr>
        <w:spacing w:after="120"/>
        <w:ind w:left="1361" w:hanging="284"/>
        <w:rPr>
          <w:szCs w:val="24"/>
        </w:rPr>
      </w:pPr>
      <w:r>
        <w:lastRenderedPageBreak/>
        <w:t>pravočasen začetek postopkov izterjave, kadar se pogoji niso upoštevali, in pravočasno vračilo varščine, kadar je to potrebno.</w:t>
      </w:r>
    </w:p>
    <w:p w14:paraId="3D8C76CB" w14:textId="77777777" w:rsidR="0079263D" w:rsidRDefault="00035E3D">
      <w:pPr>
        <w:pStyle w:val="Heading2"/>
      </w:pPr>
      <w:bookmarkStart w:id="135" w:name="_Toc94857629"/>
      <w:bookmarkStart w:id="136" w:name="_Toc108446623"/>
      <w:bookmarkStart w:id="137" w:name="_Toc127268878"/>
      <w:r>
        <w:t>Upravljanje dolgov</w:t>
      </w:r>
      <w:bookmarkEnd w:id="135"/>
      <w:bookmarkEnd w:id="136"/>
      <w:bookmarkEnd w:id="137"/>
    </w:p>
    <w:p w14:paraId="3D8C76CC" w14:textId="77777777" w:rsidR="0079263D" w:rsidRDefault="00035E3D">
      <w:pPr>
        <w:pStyle w:val="Heading3"/>
      </w:pPr>
      <w:bookmarkStart w:id="138" w:name="_Toc94857630"/>
      <w:bookmarkStart w:id="139" w:name="_Toc108446624"/>
      <w:bookmarkStart w:id="140" w:name="_Toc127268879"/>
      <w:r>
        <w:t>Splošno – priznanje dolga</w:t>
      </w:r>
      <w:bookmarkEnd w:id="138"/>
      <w:bookmarkEnd w:id="139"/>
      <w:bookmarkEnd w:id="140"/>
    </w:p>
    <w:p w14:paraId="3D8C76CD" w14:textId="77777777" w:rsidR="0079263D" w:rsidRDefault="00035E3D">
      <w:r>
        <w:t xml:space="preserve">Čas določitve dolga je trenutek, ko je dolg opredeljen kot opredmeten in ko obstaja veljavna obveza za njegovo plačilo. </w:t>
      </w:r>
    </w:p>
    <w:p w14:paraId="3D8C76CE" w14:textId="77777777" w:rsidR="0079263D" w:rsidRDefault="00035E3D">
      <w:r>
        <w:t>Plačilna agencija mora biti sposobna določiti:</w:t>
      </w:r>
    </w:p>
    <w:p w14:paraId="3D8C76CF" w14:textId="77777777" w:rsidR="0079263D" w:rsidRDefault="00035E3D">
      <w:pPr>
        <w:pStyle w:val="Text3"/>
        <w:tabs>
          <w:tab w:val="clear" w:pos="2302"/>
          <w:tab w:val="left" w:pos="993"/>
        </w:tabs>
        <w:spacing w:after="120"/>
        <w:ind w:left="567"/>
        <w:rPr>
          <w:szCs w:val="24"/>
        </w:rPr>
      </w:pPr>
      <w:r>
        <w:tab/>
        <w:t>–</w:t>
      </w:r>
      <w:r>
        <w:tab/>
        <w:t>natančno identiteto dolžnika;</w:t>
      </w:r>
    </w:p>
    <w:p w14:paraId="3D8C76D0" w14:textId="77777777" w:rsidR="0079263D" w:rsidRDefault="00035E3D">
      <w:pPr>
        <w:pStyle w:val="Text3"/>
        <w:tabs>
          <w:tab w:val="clear" w:pos="2302"/>
          <w:tab w:val="left" w:pos="993"/>
        </w:tabs>
        <w:spacing w:after="120"/>
        <w:ind w:left="567"/>
        <w:rPr>
          <w:szCs w:val="24"/>
        </w:rPr>
      </w:pPr>
      <w:r>
        <w:tab/>
        <w:t>–</w:t>
      </w:r>
      <w:r>
        <w:tab/>
        <w:t>da je dolg dejansko ugotovljen;</w:t>
      </w:r>
    </w:p>
    <w:p w14:paraId="3D8C76D1" w14:textId="77777777" w:rsidR="0079263D" w:rsidRDefault="00035E3D">
      <w:pPr>
        <w:pStyle w:val="Text3"/>
        <w:tabs>
          <w:tab w:val="clear" w:pos="2302"/>
          <w:tab w:val="left" w:pos="993"/>
        </w:tabs>
        <w:spacing w:after="120"/>
        <w:ind w:left="567"/>
        <w:rPr>
          <w:szCs w:val="24"/>
        </w:rPr>
      </w:pPr>
      <w:r>
        <w:tab/>
        <w:t>–</w:t>
      </w:r>
      <w:r>
        <w:tab/>
        <w:t xml:space="preserve">zadevni znesek. </w:t>
      </w:r>
    </w:p>
    <w:p w14:paraId="3D8C76D2" w14:textId="77777777" w:rsidR="0079263D" w:rsidRDefault="00035E3D">
      <w:r>
        <w:t xml:space="preserve">Ko so ti pogoji izpolnjeni, je treba ugotovljeni dolg takoj zabeležiti v eni sami knjigi terjatev. </w:t>
      </w:r>
    </w:p>
    <w:p w14:paraId="3D8C76D3" w14:textId="77777777" w:rsidR="0079263D" w:rsidRDefault="00035E3D">
      <w:r>
        <w:t xml:space="preserve">Plačilna agencija mora zagotoviti, da so v knjigi terjatev navedeni natančni in popolni podatki o zneskih, ki jih je treba izterjati, da so postopki za izterjavo uvedeni pravočasno, izvršeni in učinkoviti ter da so zneski pravilno in takoj knjiženi v dobro skladov. </w:t>
      </w:r>
    </w:p>
    <w:p w14:paraId="3D8C76D4" w14:textId="77777777" w:rsidR="0079263D" w:rsidRDefault="00035E3D">
      <w:pPr>
        <w:pStyle w:val="Heading3"/>
      </w:pPr>
      <w:bookmarkStart w:id="141" w:name="_Toc94857631"/>
      <w:bookmarkStart w:id="142" w:name="_Toc108446625"/>
      <w:bookmarkStart w:id="143" w:name="_Toc127268880"/>
      <w:r>
        <w:t>Splošno – vodenje knjige terjatev</w:t>
      </w:r>
      <w:bookmarkEnd w:id="141"/>
      <w:bookmarkEnd w:id="142"/>
      <w:bookmarkEnd w:id="143"/>
    </w:p>
    <w:p w14:paraId="3D8C76D5" w14:textId="77777777" w:rsidR="0079263D" w:rsidRDefault="00035E3D">
      <w:r>
        <w:t xml:space="preserve">Plačilna agencija mora voditi knjigo terjatev glede plačil, ki se upravljajo v okviru skladov EU (EKJS, EKSRP), da bi spremljala neporavnane zneske. Zaradi organizacijske ali postopkovne strukture v dani državi članici je lahko smiselno voditi tudi ločeno knjigo za posamezen sklad. Knjigo terjatev je treba redno posodabljati na podlagi informacij, ki jih posredujejo zadevne službe. </w:t>
      </w:r>
    </w:p>
    <w:p w14:paraId="3D8C76D6" w14:textId="77777777" w:rsidR="0079263D" w:rsidRDefault="00035E3D">
      <w:pPr>
        <w:pStyle w:val="Text1"/>
        <w:spacing w:after="120"/>
        <w:ind w:left="567"/>
        <w:rPr>
          <w:szCs w:val="24"/>
          <w:u w:val="single"/>
        </w:rPr>
      </w:pPr>
      <w:r>
        <w:rPr>
          <w:u w:val="single"/>
        </w:rPr>
        <w:t>Popolnost knjige terjatev:</w:t>
      </w:r>
    </w:p>
    <w:p w14:paraId="3D8C76D7" w14:textId="77777777" w:rsidR="0079263D" w:rsidRDefault="00035E3D">
      <w:pPr>
        <w:pStyle w:val="ListDash2"/>
        <w:spacing w:after="120"/>
        <w:ind w:left="1361" w:hanging="284"/>
        <w:rPr>
          <w:szCs w:val="24"/>
        </w:rPr>
      </w:pPr>
      <w:r>
        <w:t>zneske, ki jih je treba izterjati, je treba takoj evidentirati le v eni knjigi terjatev, ki se hrani na sedežu plačilne agencije. Oseba, ki je odgovorna za vzdrževanje te evidence, ne sme biti odgovorna za izplačila ali za obdelavo zahtevka;</w:t>
      </w:r>
    </w:p>
    <w:p w14:paraId="3D8C76D8" w14:textId="77777777" w:rsidR="0079263D" w:rsidRDefault="00035E3D">
      <w:pPr>
        <w:pStyle w:val="ListDash2"/>
        <w:spacing w:after="120"/>
        <w:ind w:left="1361" w:hanging="284"/>
        <w:rPr>
          <w:szCs w:val="24"/>
        </w:rPr>
      </w:pPr>
      <w:r>
        <w:t>vodstvo mora razviti sistem, ki zagotavlja, da se vsi dolgovi sporočijo oddelku, ki je odgovoren za knjigo terjatev;</w:t>
      </w:r>
    </w:p>
    <w:p w14:paraId="3D8C76D9" w14:textId="77777777" w:rsidR="0079263D" w:rsidRDefault="00035E3D">
      <w:pPr>
        <w:pStyle w:val="ListDash2"/>
        <w:spacing w:after="120"/>
        <w:ind w:left="1361" w:hanging="284"/>
        <w:rPr>
          <w:szCs w:val="24"/>
        </w:rPr>
      </w:pPr>
      <w:r>
        <w:t>plačilna agencija mora imeti uvedene sisteme za zagotovitev, da so na voljo vse informacije v zvezi z morebitnimi izterjavami (npr. poročila o pregledu in podobni dokumenti) in da se zagotovi pravočasno evidentiranje v knjigi terjatev. Popolnost knjige terjatev je treba redno preverjati.</w:t>
      </w:r>
    </w:p>
    <w:p w14:paraId="3D8C76DA" w14:textId="77777777" w:rsidR="0079263D" w:rsidRDefault="00035E3D">
      <w:pPr>
        <w:pStyle w:val="Text1"/>
        <w:spacing w:after="120"/>
        <w:ind w:left="567"/>
        <w:rPr>
          <w:szCs w:val="24"/>
          <w:u w:val="single"/>
        </w:rPr>
      </w:pPr>
      <w:r>
        <w:rPr>
          <w:u w:val="single"/>
        </w:rPr>
        <w:t>Veljavnost in natančnost knjige terjatev:</w:t>
      </w:r>
    </w:p>
    <w:p w14:paraId="3D8C76DB" w14:textId="77777777" w:rsidR="0079263D" w:rsidRDefault="00035E3D">
      <w:pPr>
        <w:pStyle w:val="ListDash2"/>
        <w:spacing w:after="120"/>
        <w:ind w:left="1361" w:hanging="284"/>
        <w:rPr>
          <w:szCs w:val="24"/>
        </w:rPr>
      </w:pPr>
      <w:r>
        <w:t xml:space="preserve">finančni oddelek mora knjigo terjatev redno usklajevati s podatki operativnih sistemov; </w:t>
      </w:r>
    </w:p>
    <w:p w14:paraId="3D8C76DC" w14:textId="77777777" w:rsidR="0079263D" w:rsidRDefault="00035E3D">
      <w:pPr>
        <w:pStyle w:val="ListDash2"/>
        <w:spacing w:after="120"/>
        <w:ind w:left="1361" w:hanging="284"/>
        <w:rPr>
          <w:szCs w:val="24"/>
        </w:rPr>
      </w:pPr>
      <w:r>
        <w:t>znesek, ki ga je treba izterjati, mora biti pravilno izračunan. Vodstvo mora pregledati izračun zneska, ki ga je treba izterjati (vključno z vsemi sankcijami, znižanji, popravki ali obrestmi);</w:t>
      </w:r>
    </w:p>
    <w:p w14:paraId="3D8C76DD" w14:textId="77777777" w:rsidR="0079263D" w:rsidRDefault="00035E3D">
      <w:pPr>
        <w:pStyle w:val="ListDash2"/>
        <w:spacing w:after="120"/>
        <w:ind w:left="1361" w:hanging="284"/>
        <w:rPr>
          <w:szCs w:val="24"/>
        </w:rPr>
      </w:pPr>
      <w:r>
        <w:t xml:space="preserve">prejemke je treba takoj evidentirati in jih zabeležiti poleg neporavnanih dolgov; </w:t>
      </w:r>
    </w:p>
    <w:p w14:paraId="3D8C76DE" w14:textId="77777777" w:rsidR="0079263D" w:rsidRDefault="00035E3D">
      <w:pPr>
        <w:pStyle w:val="ListDash2"/>
        <w:spacing w:after="120"/>
        <w:ind w:left="1361" w:hanging="284"/>
        <w:rPr>
          <w:i/>
          <w:szCs w:val="24"/>
          <w:u w:val="single"/>
        </w:rPr>
      </w:pPr>
      <w:r>
        <w:t>poravnane zneske je treba ustrezno evidentirati in jih zabeležiti poleg neporavnanih dolgov;</w:t>
      </w:r>
    </w:p>
    <w:p w14:paraId="3D8C76DF" w14:textId="77777777" w:rsidR="0079263D" w:rsidRDefault="00035E3D">
      <w:pPr>
        <w:pStyle w:val="ListDash2"/>
        <w:spacing w:after="120"/>
        <w:ind w:left="1361" w:hanging="284"/>
        <w:rPr>
          <w:b/>
          <w:szCs w:val="24"/>
        </w:rPr>
      </w:pPr>
      <w:r>
        <w:t>prejemke je mogoče prejemati le prek bančnega računa ali v osrednjo blagajno. Vzpostaviti je treba ustrezen postopek, da se preprečijo goljufije ali kraja.</w:t>
      </w:r>
    </w:p>
    <w:p w14:paraId="3D8C76E0" w14:textId="77777777" w:rsidR="0079263D" w:rsidRDefault="00035E3D">
      <w:pPr>
        <w:pStyle w:val="Heading3"/>
        <w:spacing w:before="240"/>
      </w:pPr>
      <w:bookmarkStart w:id="144" w:name="_Toc48058260"/>
      <w:bookmarkStart w:id="145" w:name="_Toc48058261"/>
      <w:bookmarkStart w:id="146" w:name="_Toc94857632"/>
      <w:bookmarkStart w:id="147" w:name="_Toc108446626"/>
      <w:bookmarkStart w:id="148" w:name="_Toc127268881"/>
      <w:bookmarkEnd w:id="144"/>
      <w:bookmarkEnd w:id="145"/>
      <w:r>
        <w:lastRenderedPageBreak/>
        <w:t>Splošno – koraki, ki so potrebni za izterjavo</w:t>
      </w:r>
      <w:bookmarkEnd w:id="146"/>
      <w:bookmarkEnd w:id="147"/>
      <w:bookmarkEnd w:id="148"/>
    </w:p>
    <w:p w14:paraId="3D8C76E1" w14:textId="77777777" w:rsidR="0079263D" w:rsidRDefault="00035E3D">
      <w:pPr>
        <w:spacing w:after="120"/>
        <w:ind w:left="567"/>
        <w:rPr>
          <w:szCs w:val="24"/>
          <w:u w:val="single"/>
        </w:rPr>
      </w:pPr>
      <w:r>
        <w:rPr>
          <w:u w:val="single"/>
        </w:rPr>
        <w:t>Pregled seznama</w:t>
      </w:r>
    </w:p>
    <w:p w14:paraId="3D8C76E2" w14:textId="77777777" w:rsidR="0079263D" w:rsidRDefault="00035E3D">
      <w:pPr>
        <w:pStyle w:val="ListDash2"/>
        <w:tabs>
          <w:tab w:val="clear" w:pos="1360"/>
        </w:tabs>
        <w:spacing w:after="120"/>
        <w:ind w:left="993" w:hanging="426"/>
        <w:rPr>
          <w:szCs w:val="24"/>
        </w:rPr>
      </w:pPr>
      <w:r>
        <w:t>Uskladitev s strani finančnega oddelka</w:t>
      </w:r>
    </w:p>
    <w:p w14:paraId="3D8C76E3" w14:textId="77777777" w:rsidR="0079263D" w:rsidRDefault="00035E3D">
      <w:r>
        <w:t>Finančni oddelek mora za zagotovitev popolnosti in pravilnosti seznama redno usklajevati (vsaj vsake tri mesece) podrobnosti s seznama dolžnikov in vse zadevne podatke v operativnih oddelkih.</w:t>
      </w:r>
    </w:p>
    <w:p w14:paraId="3D8C76E4" w14:textId="77777777" w:rsidR="0079263D" w:rsidRDefault="00035E3D">
      <w:pPr>
        <w:pStyle w:val="ListDash2"/>
        <w:tabs>
          <w:tab w:val="clear" w:pos="1360"/>
        </w:tabs>
        <w:spacing w:after="120"/>
        <w:ind w:left="851" w:hanging="284"/>
        <w:rPr>
          <w:szCs w:val="24"/>
        </w:rPr>
      </w:pPr>
      <w:r>
        <w:t>Poslovodni nadzor</w:t>
      </w:r>
    </w:p>
    <w:p w14:paraId="3D8C76E5" w14:textId="77777777" w:rsidR="0079263D" w:rsidRDefault="00035E3D">
      <w:r>
        <w:t>Vodstvo s tem nadzorom preveri, ali odgovorni oddelek sprejema ustrezne in zadostne ukrepe za izterjavo zneskov.</w:t>
      </w:r>
    </w:p>
    <w:p w14:paraId="3D8C76E6" w14:textId="77777777" w:rsidR="0079263D" w:rsidRDefault="00035E3D">
      <w:r>
        <w:t>Izterjava zneskov:</w:t>
      </w:r>
    </w:p>
    <w:p w14:paraId="3D8C76E7" w14:textId="77777777" w:rsidR="0079263D" w:rsidRDefault="00035E3D">
      <w:r>
        <w:t>Zneske je mogoče izterjati na dva načina: s „čisto“ izterjavo (vključno s pravnim sporom) ali z odbitkom od prihodnjih izplačil. Pri drugem pristopu je nadaljnje ukrepanje na podlagi dolga manj zapleteno. Sistem mora predvideti, da plačilna agencija istemu upravičencu v skladu s členom 31 Uredbe (EU) 2022/128 izravna dolgove pri prvih prihodnjih plačilih.</w:t>
      </w:r>
    </w:p>
    <w:p w14:paraId="3D8C76E8" w14:textId="77777777" w:rsidR="0079263D" w:rsidRDefault="00035E3D">
      <w:r>
        <w:t>Smernica št. 5 zagotavlja dodatne informacije o nalogah, ki jih mora plačilna agencija opraviti v zvezi z upravljanjem dolgov, zlasti upravljanjem dolgov, povezanih s starimi in novimi odhodki (od proračunskega leta 2023 dalje).</w:t>
      </w:r>
    </w:p>
    <w:p w14:paraId="3D8C76E9" w14:textId="77777777" w:rsidR="0079263D" w:rsidRDefault="00035E3D">
      <w:r>
        <w:t xml:space="preserve">Oddelek 5.4.5 smernice št. 1, ki se uporablja za programsko obdobje 2014–2020, se še naprej uporablja za primere nepravilnosti in dolgov, ki izhajajo iz teh odhodkov. </w:t>
      </w:r>
    </w:p>
    <w:p w14:paraId="3D8C76EA" w14:textId="77777777" w:rsidR="0079263D" w:rsidRDefault="00035E3D">
      <w:pPr>
        <w:pStyle w:val="Heading2"/>
      </w:pPr>
      <w:bookmarkStart w:id="149" w:name="_Toc94857636"/>
      <w:bookmarkStart w:id="150" w:name="_Toc108446627"/>
      <w:bookmarkStart w:id="151" w:name="_Toc127268882"/>
      <w:r>
        <w:t>Informacijska varnost</w:t>
      </w:r>
      <w:bookmarkEnd w:id="149"/>
      <w:bookmarkEnd w:id="150"/>
      <w:bookmarkEnd w:id="151"/>
    </w:p>
    <w:p w14:paraId="3D8C76EB" w14:textId="77777777" w:rsidR="0079263D" w:rsidRDefault="00035E3D">
      <w:r>
        <w:t xml:space="preserve">Sistem upravljanja informacijske varnosti plačilne agencije se certificira v skladu s standardom ISO 27001, kot je določeno v točki 3(B) Priloge I k Uredbi (EU) 2022/127. </w:t>
      </w:r>
    </w:p>
    <w:p w14:paraId="3D8C76EC" w14:textId="77777777" w:rsidR="0079263D" w:rsidRDefault="00035E3D">
      <w:pPr>
        <w:rPr>
          <w:color w:val="000000" w:themeColor="text1"/>
        </w:rPr>
      </w:pPr>
      <w:r>
        <w:t>Certifikacijski organ poroča o morebitnih prenesenih nalogah v zvezi z varnostjo informacijskih sistemov, kot je predvideno v poglavju 7.4.</w:t>
      </w:r>
    </w:p>
    <w:p w14:paraId="3D8C76ED" w14:textId="77777777" w:rsidR="0079263D" w:rsidRDefault="00035E3D">
      <w:r>
        <w:t>Certifikacijski organ poroča o primerih, ko se država članica odloči, da ne bo uporabljala določb o certifikaciji z utemeljitvijo, da letni odhodki ne presegajo 400 milijonov EUR.</w:t>
      </w:r>
    </w:p>
    <w:p w14:paraId="3D8C76EE" w14:textId="77777777" w:rsidR="0079263D" w:rsidRDefault="00035E3D">
      <w:r>
        <w:t>Plačilna agencija bi morala izvajati ukrepe, ki temeljijo na izbranem standardu informacijske varnosti, prilagojenem za njeno okolje, in so sorazmerni z dejansko nastalim tveganjem (glej točko 3(B) Priloge I k Uredbi (EU) 2022/127)</w:t>
      </w:r>
      <w:r>
        <w:rPr>
          <w:rStyle w:val="FootnoteReference"/>
          <w:rFonts w:ascii="Times New Roman" w:hAnsi="Times New Roman"/>
          <w:sz w:val="24"/>
          <w:szCs w:val="24"/>
          <w:vertAlign w:val="superscript"/>
        </w:rPr>
        <w:footnoteReference w:id="19"/>
      </w:r>
      <w:r>
        <w:t xml:space="preserve">.  </w:t>
      </w:r>
    </w:p>
    <w:p w14:paraId="3D8C76EF" w14:textId="77777777" w:rsidR="0079263D" w:rsidRDefault="00035E3D">
      <w:pPr>
        <w:pStyle w:val="Heading2"/>
      </w:pPr>
      <w:bookmarkStart w:id="152" w:name="_Toc108446628"/>
      <w:bookmarkStart w:id="153" w:name="_Toc127268883"/>
      <w:r>
        <w:t>Razvoj sistemov informacijske tehnologije v zvezi s kontrolnimi dejavnostmi in spremljanjem</w:t>
      </w:r>
      <w:bookmarkEnd w:id="152"/>
      <w:bookmarkEnd w:id="153"/>
    </w:p>
    <w:p w14:paraId="3D8C76F0" w14:textId="77777777" w:rsidR="0079263D" w:rsidRDefault="00035E3D">
      <w:r>
        <w:t>Kontrolne dejavnosti se lahko opirajo na storitve avtomatiziranih informacijskih sistemov. Pri ocenjevanju akreditacijskih meril za kontrolne dejavnosti ali spremljanje in za olajšanje dela plačilnih agencij se lahko upoštevajo naslednje smernice.</w:t>
      </w:r>
    </w:p>
    <w:p w14:paraId="3D8C76F1" w14:textId="77777777" w:rsidR="0079263D" w:rsidRDefault="00035E3D">
      <w:r>
        <w:lastRenderedPageBreak/>
        <w:t>Kot je navedeno v točki 4(A)(i) in (ii) Priloge I k Uredbi (EU) 2022/127, dejavnosti notranjih kontrol zajemajo vsaj področji spremljanja tehničnih služb, da se zagotovi ustrezno izvajanje predpisov, smernic in postopkov, in vpeljave sistemskih sprememb z namenom splošnega izboljšanja kontrolnih sistemov.</w:t>
      </w:r>
    </w:p>
    <w:p w14:paraId="3D8C76F2" w14:textId="77777777" w:rsidR="0079263D" w:rsidRDefault="00035E3D">
      <w:r>
        <w:t>Uredba (EU) 2022/127 ne določa posebnih zahtev v zvezi z vzpostavljenimi sistemi informacijske tehnologije. Vendar druge uredbe določajo specifikacije aplikacij, ki jih je treba vzpostaviti (npr. v poglavju II Uredbe (EU) 2021/2116 za integrirani administrativni in kontrolni sistem) v okviru sistema upravljanja in kontrol SKP na nacionalni ravni.</w:t>
      </w:r>
    </w:p>
    <w:p w14:paraId="3D8C76F3" w14:textId="77777777" w:rsidR="0079263D" w:rsidRDefault="00035E3D">
      <w:pPr>
        <w:spacing w:line="259" w:lineRule="auto"/>
        <w:rPr>
          <w:szCs w:val="24"/>
        </w:rPr>
      </w:pPr>
      <w:r>
        <w:t>Za vzpostavljene sisteme ali aplikacije informacijske tehnologije, in sicer če jih določajo uredbe EU, bi bilo treba razmisliti o posebnih pregledih.</w:t>
      </w:r>
    </w:p>
    <w:p w14:paraId="3D8C76F4" w14:textId="77777777" w:rsidR="0079263D" w:rsidRDefault="00035E3D">
      <w:pPr>
        <w:spacing w:after="120" w:line="259" w:lineRule="auto"/>
        <w:rPr>
          <w:szCs w:val="24"/>
        </w:rPr>
      </w:pPr>
      <w:r>
        <w:t>Revizije informacijske tehnologije, ki zajemajo aplikacije plačilne agencije, ali katere koli druge revizije, pri katerih se pregledajo aplikacije informacijske tehnologije (npr. s finančno revizijo, revizijo smotrnosti ali revizijo skladnosti), bi lahko privedle do ugotovitev, ki kažejo na pomanjkljivosti, na primer v zvezi s:</w:t>
      </w:r>
    </w:p>
    <w:p w14:paraId="3D8C76F5" w14:textId="77777777" w:rsidR="0079263D" w:rsidRDefault="00035E3D">
      <w:pPr>
        <w:numPr>
          <w:ilvl w:val="0"/>
          <w:numId w:val="49"/>
        </w:numPr>
        <w:spacing w:after="120" w:line="259" w:lineRule="auto"/>
        <w:rPr>
          <w:szCs w:val="24"/>
        </w:rPr>
      </w:pPr>
      <w:r>
        <w:t>težavami glede programske opreme in projektov na področju informacijske tehnologije (zmogljivost, funkcije, kakovost, manjkajoče funkcije, zamude pri dobavi itd.);</w:t>
      </w:r>
    </w:p>
    <w:p w14:paraId="3D8C76F6" w14:textId="77777777" w:rsidR="0079263D" w:rsidRDefault="00035E3D">
      <w:pPr>
        <w:numPr>
          <w:ilvl w:val="0"/>
          <w:numId w:val="49"/>
        </w:numPr>
        <w:spacing w:after="120" w:line="259" w:lineRule="auto"/>
        <w:rPr>
          <w:szCs w:val="24"/>
        </w:rPr>
      </w:pPr>
      <w:r>
        <w:t>pomanjkljivim nadzorom nad projektom na področju informacijske tehnologije (neustrezna organizacija projekta, nepopolne zahteve, pomanjkanje sredstev itd.);</w:t>
      </w:r>
    </w:p>
    <w:p w14:paraId="3D8C76F7" w14:textId="77777777" w:rsidR="0079263D" w:rsidRDefault="00035E3D">
      <w:pPr>
        <w:numPr>
          <w:ilvl w:val="0"/>
          <w:numId w:val="49"/>
        </w:numPr>
        <w:spacing w:after="120" w:line="259" w:lineRule="auto"/>
        <w:rPr>
          <w:szCs w:val="24"/>
        </w:rPr>
      </w:pPr>
      <w:r>
        <w:t>pomanjkanjem strokovnega znanja in izkušenj na področju informacijske tehnologije v plačilni agenciji;</w:t>
      </w:r>
    </w:p>
    <w:p w14:paraId="3D8C76F8" w14:textId="77777777" w:rsidR="0079263D" w:rsidRDefault="00035E3D">
      <w:pPr>
        <w:numPr>
          <w:ilvl w:val="0"/>
          <w:numId w:val="49"/>
        </w:numPr>
        <w:spacing w:after="120" w:line="259" w:lineRule="auto"/>
        <w:rPr>
          <w:szCs w:val="24"/>
        </w:rPr>
      </w:pPr>
      <w:r>
        <w:t>arhitekturo informacijske tehnologije (zastarela arhitektura);</w:t>
      </w:r>
    </w:p>
    <w:p w14:paraId="3D8C76F9" w14:textId="77777777" w:rsidR="0079263D" w:rsidRDefault="00035E3D">
      <w:pPr>
        <w:numPr>
          <w:ilvl w:val="0"/>
          <w:numId w:val="49"/>
        </w:numPr>
        <w:spacing w:after="120" w:line="259" w:lineRule="auto"/>
        <w:rPr>
          <w:szCs w:val="24"/>
        </w:rPr>
      </w:pPr>
      <w:r>
        <w:t>neskladnostjo s predpisi.</w:t>
      </w:r>
    </w:p>
    <w:p w14:paraId="3D8C76FA" w14:textId="77777777" w:rsidR="0079263D" w:rsidRDefault="00035E3D">
      <w:pPr>
        <w:spacing w:after="120"/>
      </w:pPr>
      <w:r>
        <w:t xml:space="preserve">Zato je treba pri ocenjevanju skladnosti z akreditacijskimi merili za kontrolne dejavnosti in spremljanje upoštevati okolje informacijske tehnologije (in torej s tem povezane opravljene revizije v plačilni agenciji). </w:t>
      </w:r>
    </w:p>
    <w:p w14:paraId="3D8C76FB" w14:textId="77777777" w:rsidR="0079263D" w:rsidRDefault="00035E3D">
      <w:pPr>
        <w:pStyle w:val="Heading2"/>
        <w:rPr>
          <w:kern w:val="36"/>
        </w:rPr>
      </w:pPr>
      <w:bookmarkStart w:id="154" w:name="_Toc397588194"/>
      <w:bookmarkStart w:id="155" w:name="_Toc397677371"/>
      <w:bookmarkStart w:id="156" w:name="_Toc94857637"/>
      <w:bookmarkStart w:id="157" w:name="_Toc108446629"/>
      <w:bookmarkStart w:id="158" w:name="_Toc127268884"/>
      <w:bookmarkEnd w:id="154"/>
      <w:bookmarkEnd w:id="155"/>
      <w:r>
        <w:t>Postopek za dodelitev pomoči iz člena 1(2) Uredbe (EU) 2022/</w:t>
      </w:r>
      <w:bookmarkEnd w:id="156"/>
      <w:bookmarkEnd w:id="157"/>
      <w:r>
        <w:t>127</w:t>
      </w:r>
      <w:bookmarkEnd w:id="158"/>
    </w:p>
    <w:p w14:paraId="3D8C76FC" w14:textId="77777777" w:rsidR="0079263D" w:rsidRDefault="00035E3D">
      <w:r>
        <w:t>Za EKSRP se naloge organa upravljanja, kot so določene v členu 79 Uredbe (EU) 2021/2115, večinoma nanašajo na izbiranje projektov in sklepanje ustreznih pogodb s končnimi upravičenci. Člen 123(4) iste uredbe zajema pravico organa upravljanja do prenosa teh nalog.</w:t>
      </w:r>
    </w:p>
    <w:p w14:paraId="3D8C76FD" w14:textId="577B6D5F" w:rsidR="0079263D" w:rsidRDefault="00035E3D">
      <w:pPr>
        <w:spacing w:after="180"/>
      </w:pPr>
      <w:r>
        <w:t xml:space="preserve">Vendar je plačilna agencija tista, ki nosi končno odgovornost za zagotovitev, da so postopki dodeljevanja pomoči skladni s predpisi Unije in da se pred odobritvijo plačila izvedejo pregledi, določeni z zakonodajo Unije (člen 1(2) Uredbe (EU) 2022/127). Akreditacija plačilne agencije tako ne zajema samega organa upravljanja, pač pa mora zajeti postopek za dodelitev pomoči. Ta postopek se lahko odobri ločeno in pred potrditvijo drugih postopkov, povezanih z odobritvijo, izvedbo in obračunom plačil. Tako se zahtevki za projekte sprejmejo in obravnavajo šele, ko je postopek dodeljevanja pomoči v celoti izdelan in odobren. Glej tudi točko 2(A)(iv) in (vi) Priloge I k Uredbi (EU) 2022/127, v kateri so določena posebna pravila za EKSRP. </w:t>
      </w:r>
    </w:p>
    <w:p w14:paraId="3D8C76FE" w14:textId="77777777" w:rsidR="0079263D" w:rsidRDefault="00035E3D">
      <w:pPr>
        <w:overflowPunct/>
        <w:autoSpaceDE/>
        <w:autoSpaceDN/>
        <w:adjustRightInd/>
        <w:spacing w:after="0"/>
        <w:jc w:val="left"/>
        <w:textAlignment w:val="auto"/>
      </w:pPr>
      <w:r>
        <w:t>Isto načelo velja za zahtevke za plačila plačilnim agencijam; zahtevki za plačila se sprejmejo in obravnavajo ter plačila izvedejo šele, ko so postopki v zvezi z odobritvijo, plačilom in obračunom v celoti izdelani in odobreni.</w:t>
      </w:r>
      <w:r>
        <w:br w:type="page"/>
      </w:r>
    </w:p>
    <w:p w14:paraId="3D8C76FF" w14:textId="77777777" w:rsidR="0079263D" w:rsidRDefault="00035E3D">
      <w:pPr>
        <w:pStyle w:val="Heading1"/>
      </w:pPr>
      <w:bookmarkStart w:id="159" w:name="_Toc94796694"/>
      <w:bookmarkStart w:id="160" w:name="_Toc94857640"/>
      <w:bookmarkStart w:id="161" w:name="_Toc94857643"/>
      <w:bookmarkStart w:id="162" w:name="_Toc108446630"/>
      <w:bookmarkStart w:id="163" w:name="_Toc127268885"/>
      <w:bookmarkEnd w:id="159"/>
      <w:bookmarkEnd w:id="160"/>
      <w:r>
        <w:lastRenderedPageBreak/>
        <w:t>Poročanje Komisiji</w:t>
      </w:r>
      <w:bookmarkEnd w:id="161"/>
      <w:bookmarkEnd w:id="162"/>
      <w:bookmarkEnd w:id="163"/>
    </w:p>
    <w:p w14:paraId="3D8C7700" w14:textId="77777777" w:rsidR="0079263D" w:rsidRDefault="00035E3D">
      <w:pPr>
        <w:spacing w:after="120"/>
        <w:rPr>
          <w:szCs w:val="24"/>
        </w:rPr>
      </w:pPr>
      <w:r>
        <w:t xml:space="preserve">Spodaj so opisani predlog časovnega razporeda in zadevni dokumenti, ki jih je treba predložiti: </w:t>
      </w:r>
    </w:p>
    <w:p w14:paraId="3D8C7701" w14:textId="77777777" w:rsidR="0079263D" w:rsidRDefault="0079263D">
      <w:pPr>
        <w:spacing w:after="120"/>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096"/>
      </w:tblGrid>
      <w:tr w:rsidR="0079263D" w14:paraId="3D8C7704" w14:textId="77777777">
        <w:trPr>
          <w:trHeight w:val="496"/>
        </w:trPr>
        <w:tc>
          <w:tcPr>
            <w:tcW w:w="3260" w:type="dxa"/>
            <w:shd w:val="clear" w:color="auto" w:fill="auto"/>
            <w:vAlign w:val="center"/>
          </w:tcPr>
          <w:p w14:paraId="3D8C7702" w14:textId="77777777" w:rsidR="0079263D" w:rsidRDefault="00035E3D">
            <w:pPr>
              <w:pStyle w:val="Text1"/>
              <w:spacing w:after="0"/>
              <w:ind w:left="0"/>
              <w:jc w:val="center"/>
              <w:rPr>
                <w:i/>
                <w:sz w:val="22"/>
                <w:szCs w:val="22"/>
              </w:rPr>
            </w:pPr>
            <w:r>
              <w:rPr>
                <w:i/>
                <w:sz w:val="22"/>
              </w:rPr>
              <w:t>Informacije, ki jih je treba predložiti</w:t>
            </w:r>
          </w:p>
        </w:tc>
        <w:tc>
          <w:tcPr>
            <w:tcW w:w="6096" w:type="dxa"/>
            <w:shd w:val="clear" w:color="auto" w:fill="auto"/>
            <w:vAlign w:val="center"/>
          </w:tcPr>
          <w:p w14:paraId="3D8C7703" w14:textId="77777777" w:rsidR="0079263D" w:rsidRDefault="00035E3D">
            <w:pPr>
              <w:pStyle w:val="Text1"/>
              <w:spacing w:after="0"/>
              <w:ind w:left="0"/>
              <w:jc w:val="center"/>
              <w:rPr>
                <w:b/>
                <w:i/>
                <w:sz w:val="22"/>
                <w:szCs w:val="22"/>
              </w:rPr>
            </w:pPr>
            <w:r>
              <w:rPr>
                <w:i/>
                <w:sz w:val="22"/>
              </w:rPr>
              <w:t>Rok</w:t>
            </w:r>
          </w:p>
        </w:tc>
      </w:tr>
      <w:tr w:rsidR="0079263D" w14:paraId="3D8C7709" w14:textId="77777777">
        <w:trPr>
          <w:trHeight w:val="2234"/>
        </w:trPr>
        <w:tc>
          <w:tcPr>
            <w:tcW w:w="3260" w:type="dxa"/>
            <w:shd w:val="clear" w:color="auto" w:fill="auto"/>
            <w:vAlign w:val="center"/>
          </w:tcPr>
          <w:p w14:paraId="3D8C7705" w14:textId="77777777" w:rsidR="0079263D" w:rsidRDefault="00035E3D">
            <w:pPr>
              <w:pStyle w:val="Text1"/>
              <w:spacing w:after="0"/>
              <w:ind w:left="0"/>
              <w:rPr>
                <w:sz w:val="22"/>
                <w:szCs w:val="22"/>
              </w:rPr>
            </w:pPr>
            <w:r>
              <w:rPr>
                <w:sz w:val="22"/>
              </w:rPr>
              <w:t>Akreditacijski akt, formalni akt. Sporočanje v skladu s členom 90(1) Uredbe (EU) 2021/2116 ter členom 1(6) Uredbe (EU) 2022/128</w:t>
            </w:r>
          </w:p>
        </w:tc>
        <w:tc>
          <w:tcPr>
            <w:tcW w:w="6096" w:type="dxa"/>
            <w:shd w:val="clear" w:color="auto" w:fill="auto"/>
            <w:vAlign w:val="center"/>
          </w:tcPr>
          <w:p w14:paraId="3D8C7706" w14:textId="77777777" w:rsidR="0079263D" w:rsidRDefault="00035E3D">
            <w:pPr>
              <w:pStyle w:val="Text1"/>
              <w:spacing w:after="0"/>
              <w:ind w:left="0"/>
              <w:rPr>
                <w:sz w:val="22"/>
                <w:szCs w:val="22"/>
              </w:rPr>
            </w:pPr>
            <w:r>
              <w:rPr>
                <w:b/>
                <w:sz w:val="22"/>
              </w:rPr>
              <w:t>Za nove plačilne agencije</w:t>
            </w:r>
            <w:r>
              <w:rPr>
                <w:sz w:val="22"/>
              </w:rPr>
              <w:t>: sporočilo se pošlje takoj, ko je plačilna agencija prvič akreditirana, vsekakor pa preden se EKJS ali EKSRP bremeni za kateri koli njen odhodek.</w:t>
            </w:r>
          </w:p>
          <w:p w14:paraId="3D8C7707" w14:textId="77777777" w:rsidR="0079263D" w:rsidRDefault="0079263D">
            <w:pPr>
              <w:pStyle w:val="Text1"/>
              <w:spacing w:after="0"/>
              <w:ind w:left="0"/>
              <w:rPr>
                <w:sz w:val="22"/>
                <w:szCs w:val="22"/>
              </w:rPr>
            </w:pPr>
          </w:p>
          <w:p w14:paraId="3D8C7708" w14:textId="77777777" w:rsidR="0079263D" w:rsidRDefault="0079263D">
            <w:pPr>
              <w:pStyle w:val="Text1"/>
              <w:spacing w:after="0"/>
              <w:ind w:left="0"/>
              <w:rPr>
                <w:sz w:val="22"/>
                <w:szCs w:val="22"/>
              </w:rPr>
            </w:pPr>
          </w:p>
        </w:tc>
      </w:tr>
      <w:tr w:rsidR="0079263D" w14:paraId="3D8C770D" w14:textId="77777777">
        <w:trPr>
          <w:trHeight w:val="1685"/>
        </w:trPr>
        <w:tc>
          <w:tcPr>
            <w:tcW w:w="3260" w:type="dxa"/>
            <w:shd w:val="clear" w:color="auto" w:fill="auto"/>
            <w:vAlign w:val="center"/>
          </w:tcPr>
          <w:p w14:paraId="3D8C770A" w14:textId="77777777" w:rsidR="0079263D" w:rsidRDefault="00035E3D">
            <w:pPr>
              <w:pStyle w:val="Text1"/>
              <w:spacing w:after="0"/>
              <w:ind w:left="0"/>
              <w:rPr>
                <w:sz w:val="22"/>
                <w:szCs w:val="22"/>
              </w:rPr>
            </w:pPr>
            <w:r>
              <w:rPr>
                <w:sz w:val="22"/>
              </w:rPr>
              <w:t>Poročilo certifikacijskega organa v zvezi z izpolnjevanjem akreditacijskih meril v skladu s členom 5(4), točka (a), Uredbe (EU) 2022/128</w:t>
            </w:r>
          </w:p>
        </w:tc>
        <w:tc>
          <w:tcPr>
            <w:tcW w:w="6096" w:type="dxa"/>
            <w:shd w:val="clear" w:color="auto" w:fill="auto"/>
            <w:vAlign w:val="center"/>
          </w:tcPr>
          <w:p w14:paraId="3D8C770B" w14:textId="77777777" w:rsidR="0079263D" w:rsidRDefault="00035E3D">
            <w:pPr>
              <w:pStyle w:val="Text1"/>
              <w:spacing w:after="0"/>
              <w:ind w:left="0"/>
              <w:rPr>
                <w:sz w:val="22"/>
                <w:szCs w:val="22"/>
              </w:rPr>
            </w:pPr>
            <w:r>
              <w:rPr>
                <w:sz w:val="22"/>
              </w:rPr>
              <w:t>Poročilo se predloži do 15. februarja vsako leto.</w:t>
            </w:r>
          </w:p>
          <w:p w14:paraId="3D8C770C" w14:textId="77777777" w:rsidR="0079263D" w:rsidRDefault="0079263D">
            <w:pPr>
              <w:pStyle w:val="Text1"/>
              <w:spacing w:after="0"/>
              <w:ind w:left="0"/>
              <w:rPr>
                <w:sz w:val="22"/>
                <w:szCs w:val="22"/>
              </w:rPr>
            </w:pPr>
          </w:p>
        </w:tc>
      </w:tr>
      <w:tr w:rsidR="0079263D" w14:paraId="3D8C7710" w14:textId="77777777">
        <w:trPr>
          <w:trHeight w:val="1661"/>
        </w:trPr>
        <w:tc>
          <w:tcPr>
            <w:tcW w:w="3260" w:type="dxa"/>
            <w:shd w:val="clear" w:color="auto" w:fill="auto"/>
            <w:vAlign w:val="center"/>
          </w:tcPr>
          <w:p w14:paraId="3D8C770E" w14:textId="77777777" w:rsidR="0079263D" w:rsidRDefault="00035E3D">
            <w:pPr>
              <w:pStyle w:val="Text1"/>
              <w:spacing w:after="0"/>
              <w:ind w:left="0"/>
              <w:rPr>
                <w:b/>
                <w:sz w:val="22"/>
                <w:szCs w:val="22"/>
              </w:rPr>
            </w:pPr>
            <w:r>
              <w:rPr>
                <w:sz w:val="22"/>
              </w:rPr>
              <w:t>Poročilo pristojnega organa o nadzoru akreditacije in izpolnjevanju akreditacijskih meril v skladu s členom 2(1) Uredbe (EU) 2022/128</w:t>
            </w:r>
          </w:p>
        </w:tc>
        <w:tc>
          <w:tcPr>
            <w:tcW w:w="6096" w:type="dxa"/>
            <w:shd w:val="clear" w:color="auto" w:fill="auto"/>
            <w:vAlign w:val="center"/>
          </w:tcPr>
          <w:p w14:paraId="3D8C770F" w14:textId="77777777" w:rsidR="0079263D" w:rsidRDefault="00035E3D">
            <w:pPr>
              <w:pStyle w:val="Text1"/>
              <w:spacing w:after="0"/>
              <w:ind w:left="0"/>
              <w:rPr>
                <w:sz w:val="22"/>
                <w:szCs w:val="22"/>
              </w:rPr>
            </w:pPr>
            <w:r>
              <w:rPr>
                <w:sz w:val="22"/>
              </w:rPr>
              <w:t>Prvo tako poročilo naj bi zajemalo obdobje 2022–2024. Več informacij o tem poročilu zagotavlja smernica št. 6.</w:t>
            </w:r>
          </w:p>
        </w:tc>
      </w:tr>
      <w:tr w:rsidR="0079263D" w14:paraId="3D8C7714" w14:textId="77777777">
        <w:trPr>
          <w:trHeight w:val="1411"/>
        </w:trPr>
        <w:tc>
          <w:tcPr>
            <w:tcW w:w="3260" w:type="dxa"/>
            <w:shd w:val="clear" w:color="auto" w:fill="auto"/>
            <w:vAlign w:val="center"/>
          </w:tcPr>
          <w:p w14:paraId="3D8C7711" w14:textId="77777777" w:rsidR="0079263D" w:rsidRDefault="00035E3D">
            <w:pPr>
              <w:pStyle w:val="Text1"/>
              <w:spacing w:after="0"/>
              <w:ind w:left="0"/>
              <w:rPr>
                <w:sz w:val="22"/>
                <w:szCs w:val="22"/>
              </w:rPr>
            </w:pPr>
            <w:r>
              <w:rPr>
                <w:sz w:val="22"/>
              </w:rPr>
              <w:t>Sporočilo v zvezi s pogojno akreditacijo v skladu s členom 2(4) Uredbe (EU) 2022/128</w:t>
            </w:r>
          </w:p>
        </w:tc>
        <w:tc>
          <w:tcPr>
            <w:tcW w:w="6096" w:type="dxa"/>
            <w:shd w:val="clear" w:color="auto" w:fill="auto"/>
            <w:vAlign w:val="center"/>
          </w:tcPr>
          <w:p w14:paraId="3D8C7712" w14:textId="77777777" w:rsidR="0079263D" w:rsidRDefault="00035E3D">
            <w:pPr>
              <w:pStyle w:val="Text1"/>
              <w:spacing w:after="0"/>
              <w:ind w:left="0"/>
              <w:rPr>
                <w:sz w:val="22"/>
                <w:szCs w:val="22"/>
              </w:rPr>
            </w:pPr>
            <w:r>
              <w:rPr>
                <w:sz w:val="22"/>
              </w:rPr>
              <w:t>Takoj po pripravi načrta.</w:t>
            </w:r>
          </w:p>
          <w:p w14:paraId="3D8C7713" w14:textId="77777777" w:rsidR="0079263D" w:rsidRDefault="0079263D">
            <w:pPr>
              <w:pStyle w:val="Text1"/>
              <w:spacing w:after="0"/>
              <w:ind w:left="0"/>
              <w:rPr>
                <w:sz w:val="22"/>
                <w:szCs w:val="22"/>
              </w:rPr>
            </w:pPr>
          </w:p>
        </w:tc>
      </w:tr>
      <w:tr w:rsidR="0079263D" w14:paraId="3D8C771B" w14:textId="77777777">
        <w:trPr>
          <w:trHeight w:val="3521"/>
        </w:trPr>
        <w:tc>
          <w:tcPr>
            <w:tcW w:w="3260" w:type="dxa"/>
            <w:shd w:val="clear" w:color="auto" w:fill="auto"/>
            <w:vAlign w:val="center"/>
          </w:tcPr>
          <w:p w14:paraId="3D8C7715" w14:textId="77777777" w:rsidR="0079263D" w:rsidRDefault="00035E3D">
            <w:pPr>
              <w:pStyle w:val="Text1"/>
              <w:spacing w:after="0"/>
              <w:ind w:left="0"/>
              <w:rPr>
                <w:sz w:val="22"/>
                <w:szCs w:val="22"/>
              </w:rPr>
            </w:pPr>
            <w:r>
              <w:rPr>
                <w:sz w:val="22"/>
              </w:rPr>
              <w:t>Akreditacijski akt, formalni akt. Sporočanje v skladu s členom 90(1) Uredbe (EU) 2021/2116 in členom 3(7) Uredbe (EU) 2022/128</w:t>
            </w:r>
          </w:p>
        </w:tc>
        <w:tc>
          <w:tcPr>
            <w:tcW w:w="6096" w:type="dxa"/>
            <w:shd w:val="clear" w:color="auto" w:fill="auto"/>
            <w:vAlign w:val="center"/>
          </w:tcPr>
          <w:p w14:paraId="3D8C7716" w14:textId="77777777" w:rsidR="0079263D" w:rsidRDefault="00035E3D">
            <w:pPr>
              <w:pStyle w:val="Text1"/>
              <w:spacing w:after="0"/>
              <w:ind w:left="0"/>
              <w:rPr>
                <w:sz w:val="22"/>
                <w:szCs w:val="22"/>
              </w:rPr>
            </w:pPr>
            <w:r>
              <w:rPr>
                <w:sz w:val="22"/>
              </w:rPr>
              <w:t>V primeru usklajevalnega organa se sporočilo pošlje takoj po akreditaciji usklajevalnega organa in preden se kateri koli odhodek, za katerega je odgovoren, obračuna v breme skladov. Tem informacijam se priložijo izjave in dokumenti v zvezi z novimi nalogami, ki jih bo opravljal usklajevalni organ.</w:t>
            </w:r>
          </w:p>
          <w:p w14:paraId="3D8C7717" w14:textId="77777777" w:rsidR="0079263D" w:rsidRDefault="0079263D">
            <w:pPr>
              <w:pStyle w:val="Text1"/>
              <w:spacing w:after="0"/>
              <w:ind w:left="0"/>
              <w:rPr>
                <w:sz w:val="22"/>
                <w:szCs w:val="22"/>
              </w:rPr>
            </w:pPr>
          </w:p>
          <w:p w14:paraId="3D8C7718" w14:textId="77777777" w:rsidR="0079263D" w:rsidRDefault="00035E3D">
            <w:pPr>
              <w:pStyle w:val="Text1"/>
              <w:spacing w:after="0"/>
              <w:ind w:left="0"/>
              <w:rPr>
                <w:sz w:val="22"/>
                <w:szCs w:val="22"/>
              </w:rPr>
            </w:pPr>
            <w:r>
              <w:rPr>
                <w:sz w:val="22"/>
              </w:rPr>
              <w:t>Od leta 2023 je treba akreditacijo obstoječega usklajevalnega organa pregledati v zvezi z novo nalogo priprave letnega poročila o smotrnosti.</w:t>
            </w:r>
          </w:p>
          <w:p w14:paraId="3D8C7719" w14:textId="77777777" w:rsidR="0079263D" w:rsidRDefault="0079263D">
            <w:pPr>
              <w:pStyle w:val="Text1"/>
              <w:spacing w:after="0"/>
              <w:ind w:left="0"/>
              <w:rPr>
                <w:sz w:val="22"/>
                <w:szCs w:val="22"/>
              </w:rPr>
            </w:pPr>
          </w:p>
          <w:p w14:paraId="3D8C771A" w14:textId="77777777" w:rsidR="0079263D" w:rsidRDefault="00035E3D">
            <w:pPr>
              <w:pStyle w:val="Text1"/>
              <w:spacing w:after="0"/>
              <w:ind w:left="0"/>
              <w:rPr>
                <w:sz w:val="22"/>
                <w:szCs w:val="22"/>
              </w:rPr>
            </w:pPr>
            <w:r>
              <w:rPr>
                <w:sz w:val="22"/>
              </w:rPr>
              <w:t>Če se usklajevalnemu organu odvzame akreditacija, je treba to sporočiti Komisiji.</w:t>
            </w:r>
          </w:p>
        </w:tc>
      </w:tr>
      <w:tr w:rsidR="0079263D" w14:paraId="3D8C771F" w14:textId="77777777">
        <w:trPr>
          <w:trHeight w:val="1411"/>
        </w:trPr>
        <w:tc>
          <w:tcPr>
            <w:tcW w:w="3260" w:type="dxa"/>
            <w:shd w:val="clear" w:color="auto" w:fill="auto"/>
            <w:vAlign w:val="center"/>
          </w:tcPr>
          <w:p w14:paraId="3D8C771C" w14:textId="77777777" w:rsidR="0079263D" w:rsidRDefault="00035E3D">
            <w:pPr>
              <w:pStyle w:val="Text1"/>
              <w:spacing w:after="0"/>
              <w:ind w:left="0"/>
              <w:rPr>
                <w:sz w:val="22"/>
                <w:szCs w:val="22"/>
              </w:rPr>
            </w:pPr>
            <w:r>
              <w:rPr>
                <w:sz w:val="22"/>
              </w:rPr>
              <w:t>Sporočilo v zvezi s pogojno akreditacijo v skladu s členom 3(8) Uredbe (EU) 2022/128</w:t>
            </w:r>
          </w:p>
        </w:tc>
        <w:tc>
          <w:tcPr>
            <w:tcW w:w="6096" w:type="dxa"/>
            <w:shd w:val="clear" w:color="auto" w:fill="auto"/>
            <w:vAlign w:val="center"/>
          </w:tcPr>
          <w:p w14:paraId="3D8C771D" w14:textId="77777777" w:rsidR="0079263D" w:rsidRDefault="00035E3D">
            <w:pPr>
              <w:pStyle w:val="Text1"/>
              <w:spacing w:after="0"/>
              <w:ind w:left="0"/>
              <w:rPr>
                <w:sz w:val="22"/>
                <w:szCs w:val="22"/>
              </w:rPr>
            </w:pPr>
            <w:r>
              <w:rPr>
                <w:sz w:val="22"/>
              </w:rPr>
              <w:t>Takoj po pripravi načrta.</w:t>
            </w:r>
          </w:p>
          <w:p w14:paraId="3D8C771E" w14:textId="77777777" w:rsidR="0079263D" w:rsidRDefault="0079263D">
            <w:pPr>
              <w:pStyle w:val="Text1"/>
              <w:spacing w:after="0"/>
              <w:ind w:left="0"/>
              <w:rPr>
                <w:sz w:val="22"/>
                <w:szCs w:val="22"/>
                <w:highlight w:val="yellow"/>
              </w:rPr>
            </w:pPr>
          </w:p>
        </w:tc>
      </w:tr>
    </w:tbl>
    <w:p w14:paraId="3D8C7720" w14:textId="77777777" w:rsidR="0079263D" w:rsidRDefault="00035E3D">
      <w:pPr>
        <w:pStyle w:val="Text1"/>
        <w:spacing w:before="120"/>
        <w:ind w:left="0"/>
        <w:rPr>
          <w:sz w:val="22"/>
          <w:szCs w:val="22"/>
        </w:rPr>
      </w:pPr>
      <w:r>
        <w:rPr>
          <w:sz w:val="22"/>
        </w:rPr>
        <w:t xml:space="preserve"> </w:t>
      </w:r>
    </w:p>
    <w:p w14:paraId="3D8C7721" w14:textId="77777777" w:rsidR="0079263D" w:rsidRDefault="0079263D">
      <w:pPr>
        <w:pStyle w:val="Text1"/>
        <w:ind w:left="0"/>
        <w:rPr>
          <w:sz w:val="20"/>
        </w:rPr>
      </w:pPr>
    </w:p>
    <w:sectPr w:rsidR="0079263D">
      <w:pgSz w:w="11907" w:h="16840" w:code="9"/>
      <w:pgMar w:top="992" w:right="992" w:bottom="992" w:left="992"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C772B" w14:textId="77777777" w:rsidR="0079263D" w:rsidRDefault="00035E3D">
      <w:r>
        <w:separator/>
      </w:r>
    </w:p>
  </w:endnote>
  <w:endnote w:type="continuationSeparator" w:id="0">
    <w:p w14:paraId="3D8C772C" w14:textId="77777777" w:rsidR="0079263D" w:rsidRDefault="00035E3D">
      <w:r>
        <w:continuationSeparator/>
      </w:r>
    </w:p>
  </w:endnote>
  <w:endnote w:type="continuationNotice" w:id="1">
    <w:p w14:paraId="3D8C772D" w14:textId="77777777" w:rsidR="0079263D" w:rsidRDefault="007926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30" w14:textId="77777777" w:rsidR="0079263D" w:rsidRDefault="0079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31" w14:textId="6A9712E0" w:rsidR="0079263D" w:rsidRDefault="00035E3D">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E20B32">
      <w:rPr>
        <w:rFonts w:ascii="Times New Roman" w:hAnsi="Times New Roman"/>
        <w:noProof/>
      </w:rPr>
      <w:t>3</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33" w14:textId="77777777" w:rsidR="0079263D" w:rsidRDefault="0079263D">
    <w:pPr>
      <w:pStyle w:val="Footer"/>
      <w:rPr>
        <w:sz w:val="24"/>
      </w:rPr>
    </w:pPr>
  </w:p>
  <w:p w14:paraId="3D8C7734" w14:textId="77777777" w:rsidR="0079263D" w:rsidRDefault="00035E3D">
    <w:pPr>
      <w:pStyle w:val="Footer"/>
      <w:rPr>
        <w:rFonts w:ascii="Times New Roman" w:hAnsi="Times New Roman"/>
      </w:rPr>
    </w:pPr>
    <w:r>
      <w:rPr>
        <w:rFonts w:ascii="Times New Roman" w:hAnsi="Times New Roman"/>
      </w:rPr>
      <w:t>Evropska komisija – 1049 Bruselj – Belgija, telefon: +32 22991111.</w:t>
    </w:r>
  </w:p>
  <w:p w14:paraId="3D8C7735" w14:textId="77777777" w:rsidR="0079263D" w:rsidRDefault="00035E3D">
    <w:pPr>
      <w:pStyle w:val="Footer"/>
    </w:pPr>
    <w:r>
      <w:t xml:space="preserve"> </w:t>
    </w:r>
  </w:p>
  <w:p w14:paraId="3D8C7736" w14:textId="77777777" w:rsidR="0079263D" w:rsidRDefault="00035E3D">
    <w:pPr>
      <w:pStyle w:val="Footer"/>
      <w:rPr>
        <w:sz w:val="12"/>
      </w:rP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37" w14:textId="77777777" w:rsidR="0079263D" w:rsidRDefault="0079263D">
    <w:pPr>
      <w:pStyle w:val="Footer"/>
      <w:rPr>
        <w:sz w:val="24"/>
      </w:rPr>
    </w:pPr>
  </w:p>
  <w:p w14:paraId="3D8C7738" w14:textId="77777777" w:rsidR="0079263D" w:rsidRDefault="0079263D">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7728" w14:textId="77777777" w:rsidR="0079263D" w:rsidRDefault="00035E3D">
      <w:r>
        <w:separator/>
      </w:r>
    </w:p>
  </w:footnote>
  <w:footnote w:type="continuationSeparator" w:id="0">
    <w:p w14:paraId="3D8C7729" w14:textId="77777777" w:rsidR="0079263D" w:rsidRDefault="00035E3D">
      <w:r>
        <w:continuationSeparator/>
      </w:r>
    </w:p>
  </w:footnote>
  <w:footnote w:type="continuationNotice" w:id="1">
    <w:p w14:paraId="3D8C772A" w14:textId="77777777" w:rsidR="0079263D" w:rsidRDefault="0079263D"/>
  </w:footnote>
  <w:footnote w:id="2">
    <w:p w14:paraId="3D8C7739" w14:textId="77777777" w:rsidR="0079263D" w:rsidRDefault="00035E3D">
      <w:pPr>
        <w:pStyle w:val="FootnoteText"/>
      </w:pPr>
      <w:r>
        <w:rPr>
          <w:rStyle w:val="FootnoteReference"/>
        </w:rPr>
        <w:footnoteRef/>
      </w:r>
      <w:r>
        <w:t xml:space="preserve"> Odbor sponzorskih organizacij </w:t>
      </w:r>
      <w:proofErr w:type="spellStart"/>
      <w:r>
        <w:t>Treadwayeve</w:t>
      </w:r>
      <w:proofErr w:type="spellEnd"/>
      <w:r>
        <w:t xml:space="preserve"> komisije.</w:t>
      </w:r>
    </w:p>
  </w:footnote>
  <w:footnote w:id="3">
    <w:p w14:paraId="3D8C773A" w14:textId="77777777" w:rsidR="0079263D" w:rsidRDefault="00035E3D">
      <w:pPr>
        <w:pStyle w:val="FootnoteText"/>
      </w:pPr>
      <w:r>
        <w:rPr>
          <w:rStyle w:val="FootnoteReference"/>
        </w:rPr>
        <w:footnoteRef/>
      </w:r>
      <w:r>
        <w:t xml:space="preserve"> </w:t>
      </w:r>
      <w:r>
        <w:t>Odstavek 1 člena 107 Uredbe (EU) 2021/2115.</w:t>
      </w:r>
    </w:p>
  </w:footnote>
  <w:footnote w:id="4">
    <w:p w14:paraId="3D8C773B" w14:textId="77777777" w:rsidR="0079263D" w:rsidRDefault="00035E3D">
      <w:pPr>
        <w:pStyle w:val="FootnoteText"/>
      </w:pPr>
      <w:r>
        <w:rPr>
          <w:rStyle w:val="FootnoteReference"/>
        </w:rPr>
        <w:footnoteRef/>
      </w:r>
      <w:r>
        <w:t xml:space="preserve"> </w:t>
      </w:r>
      <w:r>
        <w:t>Odstavek 2 člena 107 Uredbe (EU) 2021/2115.</w:t>
      </w:r>
    </w:p>
    <w:p w14:paraId="3D8C773C" w14:textId="77777777" w:rsidR="0079263D" w:rsidRDefault="00035E3D">
      <w:pPr>
        <w:pStyle w:val="FootnoteText"/>
      </w:pPr>
      <w:r>
        <w:t xml:space="preserve"> .</w:t>
      </w:r>
    </w:p>
  </w:footnote>
  <w:footnote w:id="5">
    <w:p w14:paraId="3D8C773D" w14:textId="77777777" w:rsidR="0079263D" w:rsidRDefault="00035E3D">
      <w:pPr>
        <w:pStyle w:val="FootnoteText"/>
      </w:pPr>
      <w:r>
        <w:rPr>
          <w:rStyle w:val="FootnoteReference"/>
        </w:rPr>
        <w:footnoteRef/>
      </w:r>
      <w:r>
        <w:t xml:space="preserve"> Tudi za posebno plačilo za bombaž iz naslova III, poglavje II, oddelek 3, pododdelek 2, in podporo za zgodnje upokojevanje iz člena 155(2) Uredbe (EU) 2021/2115, </w:t>
      </w:r>
      <w:r>
        <w:rPr>
          <w:rStyle w:val="normaltextrun"/>
          <w:color w:val="000000"/>
          <w:bdr w:val="none" w:sz="0" w:space="0" w:color="auto" w:frame="1"/>
        </w:rPr>
        <w:t>ki sta vključena v strateški načrt SKP.</w:t>
      </w:r>
    </w:p>
  </w:footnote>
  <w:footnote w:id="6">
    <w:p w14:paraId="3D8C773E" w14:textId="77777777" w:rsidR="0079263D" w:rsidRDefault="00035E3D">
      <w:pPr>
        <w:pStyle w:val="FootnoteText"/>
      </w:pPr>
      <w:r>
        <w:rPr>
          <w:rStyle w:val="FootnoteReference"/>
        </w:rPr>
        <w:footnoteRef/>
      </w:r>
      <w:r>
        <w:t xml:space="preserve"> </w:t>
      </w:r>
      <w:r>
        <w:t xml:space="preserve">Tudi posebno plačilo za bombaž iz naslova III, poglavje II, oddelek 3, pododdelek 2, in podpora za zgodnje upokojevanje iz člena 155(2) Uredbe (EU) 2021/2115, </w:t>
      </w:r>
      <w:r>
        <w:rPr>
          <w:rStyle w:val="normaltextrun"/>
          <w:color w:val="000000"/>
          <w:bdr w:val="none" w:sz="0" w:space="0" w:color="auto" w:frame="1"/>
        </w:rPr>
        <w:t>ki sta vključena v strateški načrt SKP.</w:t>
      </w:r>
    </w:p>
  </w:footnote>
  <w:footnote w:id="7">
    <w:p w14:paraId="3D8C773F" w14:textId="77777777" w:rsidR="0079263D" w:rsidRDefault="00035E3D">
      <w:pPr>
        <w:pStyle w:val="FootnoteText"/>
        <w:spacing w:after="0"/>
        <w:ind w:left="0" w:firstLine="0"/>
      </w:pPr>
      <w:r>
        <w:rPr>
          <w:rStyle w:val="FootnoteReference"/>
        </w:rPr>
        <w:footnoteRef/>
      </w:r>
      <w:r>
        <w:t xml:space="preserve"> </w:t>
      </w:r>
      <w:hyperlink r:id="rId1" w:history="1">
        <w:r>
          <w:rPr>
            <w:rStyle w:val="Hyperlink"/>
          </w:rPr>
          <w:t>https://ec.europa.eu/info/about-european-commission/service-standards-and-principles/ethics-and-good-administration/staff-and-ethics_sl</w:t>
        </w:r>
      </w:hyperlink>
    </w:p>
  </w:footnote>
  <w:footnote w:id="8">
    <w:p w14:paraId="3D8C7740" w14:textId="77777777" w:rsidR="0079263D" w:rsidRDefault="00035E3D">
      <w:pPr>
        <w:pStyle w:val="FootnoteText"/>
      </w:pPr>
      <w:r>
        <w:rPr>
          <w:rStyle w:val="FootnoteReference"/>
        </w:rPr>
        <w:footnoteRef/>
      </w:r>
      <w:r>
        <w:t xml:space="preserve"> </w:t>
      </w:r>
      <w:r>
        <w:t>Kot je opredeljeno v standardih ISO 31000, kjer je tveganje opredeljeno kot učinek negotovosti na cilje, pozitiven ali negativen. Cilje mora torej opredeliti plačilna agencija.</w:t>
      </w:r>
    </w:p>
  </w:footnote>
  <w:footnote w:id="9">
    <w:p w14:paraId="3D8C7741" w14:textId="77777777" w:rsidR="0079263D" w:rsidRDefault="00035E3D">
      <w:pPr>
        <w:pStyle w:val="FootnoteText"/>
        <w:spacing w:after="0"/>
      </w:pPr>
      <w:r>
        <w:rPr>
          <w:rStyle w:val="FootnoteReference"/>
          <w:szCs w:val="16"/>
        </w:rPr>
        <w:footnoteRef/>
      </w:r>
      <w:r>
        <w:t xml:space="preserve"> </w:t>
      </w:r>
      <w:r>
        <w:t>ARACHNE je orodje za podatkovno rudarjenje, ki bo na voljo leta 2023.</w:t>
      </w:r>
    </w:p>
  </w:footnote>
  <w:footnote w:id="10">
    <w:p w14:paraId="3D8C7742" w14:textId="77777777" w:rsidR="0079263D" w:rsidRDefault="00035E3D">
      <w:pPr>
        <w:pStyle w:val="FootnoteText"/>
        <w:spacing w:after="120"/>
        <w:ind w:left="0" w:firstLine="0"/>
      </w:pPr>
      <w:r>
        <w:rPr>
          <w:rStyle w:val="FootnoteReference"/>
        </w:rPr>
        <w:footnoteRef/>
      </w:r>
      <w:r>
        <w:t xml:space="preserve"> </w:t>
      </w:r>
      <w:r>
        <w:rPr>
          <w:color w:val="000000" w:themeColor="text1"/>
        </w:rPr>
        <w:t xml:space="preserve">Uredba (EU, </w:t>
      </w:r>
      <w:proofErr w:type="spellStart"/>
      <w:r>
        <w:rPr>
          <w:color w:val="000000" w:themeColor="text1"/>
        </w:rPr>
        <w:t>Euratom</w:t>
      </w:r>
      <w:proofErr w:type="spellEnd"/>
      <w:r>
        <w:rPr>
          <w:color w:val="000000" w:themeColor="text1"/>
        </w:rPr>
        <w:t xml:space="preserve">) 2018/1046 Evropskega parlamenta in Sveta z dne 18. julija 2018 o finančnih pravilih, ki se uporabljajo za splošni proračun Unije, ter razveljavitvi Uredbe (EU, </w:t>
      </w:r>
      <w:proofErr w:type="spellStart"/>
      <w:r>
        <w:rPr>
          <w:color w:val="000000" w:themeColor="text1"/>
        </w:rPr>
        <w:t>Euratom</w:t>
      </w:r>
      <w:proofErr w:type="spellEnd"/>
      <w:r>
        <w:rPr>
          <w:color w:val="000000" w:themeColor="text1"/>
        </w:rPr>
        <w:t>) št. 966/2012.</w:t>
      </w:r>
    </w:p>
  </w:footnote>
  <w:footnote w:id="11">
    <w:p w14:paraId="3D8C7743" w14:textId="77777777" w:rsidR="0079263D" w:rsidRDefault="00035E3D">
      <w:pPr>
        <w:pStyle w:val="FootnoteText"/>
        <w:spacing w:after="120"/>
        <w:ind w:left="0" w:firstLine="0"/>
      </w:pPr>
      <w:r>
        <w:rPr>
          <w:rStyle w:val="FootnoteReference"/>
        </w:rPr>
        <w:footnoteRef/>
      </w:r>
      <w:r>
        <w:t xml:space="preserve"> </w:t>
      </w:r>
      <w:r>
        <w:t>Uredba (EU) št. 1306/2013 Evropskega parlamenta in Sveta o financiranju, upravljanju in spremljanju skupne kmetijske politike, člen 58 (večletni finančni okvir za obdobje 2014–2020), in Uredba (EU) 2021/2116 o financiranju, upravljanju in spremljanju skupne kmetijske politike, člen 59 (večletni finančni okvir za obdobje 2021–2027).</w:t>
      </w:r>
    </w:p>
  </w:footnote>
  <w:footnote w:id="12">
    <w:p w14:paraId="3D8C7744" w14:textId="77777777" w:rsidR="0079263D" w:rsidRDefault="00035E3D">
      <w:pPr>
        <w:pStyle w:val="FootnoteText"/>
        <w:spacing w:after="120"/>
        <w:ind w:left="0" w:firstLine="0"/>
      </w:pPr>
      <w:r>
        <w:rPr>
          <w:rStyle w:val="FootnoteReference"/>
        </w:rPr>
        <w:footnoteRef/>
      </w:r>
      <w:r>
        <w:t xml:space="preserve"> </w:t>
      </w:r>
      <w:r>
        <w:t>Sporočilo Komisiji z naslovom Sprememba standardov notranje kontrole in s tem povezanega okvira – krepitev uspešnosti kontrole (SEC(2007) 1341 z dne 9. oktobra 2007).</w:t>
      </w:r>
    </w:p>
  </w:footnote>
  <w:footnote w:id="13">
    <w:p w14:paraId="3D8C7745" w14:textId="77777777" w:rsidR="0079263D" w:rsidRDefault="00035E3D">
      <w:pPr>
        <w:pStyle w:val="FootnoteText"/>
        <w:spacing w:after="120"/>
        <w:ind w:left="0" w:firstLine="0"/>
      </w:pPr>
      <w:r>
        <w:rPr>
          <w:rStyle w:val="FootnoteReference"/>
        </w:rPr>
        <w:footnoteRef/>
      </w:r>
      <w:r>
        <w:t xml:space="preserve"> </w:t>
      </w:r>
      <w:r>
        <w:t xml:space="preserve">Uredba (EU, </w:t>
      </w:r>
      <w:proofErr w:type="spellStart"/>
      <w:r>
        <w:t>Euratom</w:t>
      </w:r>
      <w:proofErr w:type="spellEnd"/>
      <w:r>
        <w:t>) 2018/1046.</w:t>
      </w:r>
    </w:p>
  </w:footnote>
  <w:footnote w:id="14">
    <w:p w14:paraId="3D8C7746" w14:textId="61FAC504" w:rsidR="0079263D" w:rsidRDefault="00035E3D">
      <w:pPr>
        <w:pStyle w:val="FootnoteText"/>
        <w:spacing w:after="0"/>
        <w:ind w:left="0" w:firstLine="0"/>
      </w:pPr>
      <w:r>
        <w:rPr>
          <w:rStyle w:val="FootnoteReference"/>
        </w:rPr>
        <w:footnoteRef/>
      </w:r>
      <w:r>
        <w:t xml:space="preserve"> </w:t>
      </w:r>
      <w:r>
        <w:t>Členi 4, 5 in 58 Uredbe (EU) št. 1306/2013 o financiranju, upravljanju in spremljanju skupne kmetijske politike ter členi 5, 6 in 59 Uredbe (EU) 2021/2116 o financiranju, upravljanju in spremljanju skupne kmetijske politike.</w:t>
      </w:r>
    </w:p>
  </w:footnote>
  <w:footnote w:id="15">
    <w:p w14:paraId="3D8C7747" w14:textId="77777777" w:rsidR="0079263D" w:rsidRDefault="00035E3D">
      <w:pPr>
        <w:pStyle w:val="FootnoteText"/>
        <w:spacing w:after="120"/>
      </w:pPr>
      <w:r>
        <w:rPr>
          <w:rStyle w:val="FootnoteReference"/>
        </w:rPr>
        <w:footnoteRef/>
      </w:r>
      <w:r>
        <w:t xml:space="preserve"> </w:t>
      </w:r>
      <w:proofErr w:type="spellStart"/>
      <w:r>
        <w:t>Ares</w:t>
      </w:r>
      <w:proofErr w:type="spellEnd"/>
      <w:r>
        <w:t>(2016)158697 z dne 12. januarja 2016.</w:t>
      </w:r>
    </w:p>
  </w:footnote>
  <w:footnote w:id="16">
    <w:p w14:paraId="3D8C7748" w14:textId="77777777" w:rsidR="0079263D" w:rsidRDefault="00035E3D">
      <w:pPr>
        <w:pStyle w:val="FootnoteText"/>
        <w:spacing w:after="120"/>
      </w:pPr>
      <w:r>
        <w:rPr>
          <w:rStyle w:val="FootnoteReference"/>
        </w:rPr>
        <w:footnoteRef/>
      </w:r>
      <w:r>
        <w:t xml:space="preserve"> </w:t>
      </w:r>
      <w:hyperlink r:id="rId2" w:history="1">
        <w:r>
          <w:rPr>
            <w:rStyle w:val="Hyperlink"/>
          </w:rPr>
          <w:t>https://antifraud-knowledge-centre.ec.europa.eu/guidance-legislation/official-guidelines-and-material_en</w:t>
        </w:r>
      </w:hyperlink>
      <w:r>
        <w:t xml:space="preserve"> </w:t>
      </w:r>
    </w:p>
  </w:footnote>
  <w:footnote w:id="17">
    <w:p w14:paraId="3D8C7749" w14:textId="77777777" w:rsidR="0079263D" w:rsidRDefault="00035E3D">
      <w:pPr>
        <w:pStyle w:val="FootnoteText"/>
        <w:spacing w:after="0"/>
        <w:ind w:left="0" w:firstLine="0"/>
      </w:pPr>
      <w:r>
        <w:rPr>
          <w:rStyle w:val="FootnoteReference"/>
        </w:rPr>
        <w:footnoteRef/>
      </w:r>
      <w:r>
        <w:t xml:space="preserve"> </w:t>
      </w:r>
      <w:r>
        <w:t>Priloga I k Uredbi (EU) 2022/128.</w:t>
      </w:r>
    </w:p>
  </w:footnote>
  <w:footnote w:id="18">
    <w:p w14:paraId="3D8C774A" w14:textId="77777777" w:rsidR="0079263D" w:rsidRDefault="00035E3D">
      <w:pPr>
        <w:pStyle w:val="FootnoteText"/>
        <w:spacing w:after="0"/>
        <w:ind w:left="0" w:firstLine="0"/>
      </w:pPr>
      <w:r>
        <w:rPr>
          <w:rStyle w:val="FootnoteReference"/>
        </w:rPr>
        <w:footnoteRef/>
      </w:r>
      <w:r>
        <w:t xml:space="preserve"> </w:t>
      </w:r>
      <w:r>
        <w:t>Glej tudi delovni dokument D/851357/2012 „Predplačila stroškov“, ki je bil predstavljen na 84. seji Odbora za kmetijske sklade (junij 2012), in zapisnik o točki 6 tega odbora glede zadevnega področja za specifično vprašanje neporavnanih predplačil, ki jih je treba obračunati ob koncu proračunskega leta, kot je določeno v členu 29, točka (j), Izvedbene uredbe Komisije (EU) št. 908/2014 in v novem pravnem okviru v členu 32(1), točka (j), Uredbe (EU) 2022/128.</w:t>
      </w:r>
    </w:p>
  </w:footnote>
  <w:footnote w:id="19">
    <w:p w14:paraId="3D8C774B" w14:textId="77777777" w:rsidR="0079263D" w:rsidRDefault="00035E3D">
      <w:pPr>
        <w:pStyle w:val="FootnoteText"/>
        <w:spacing w:after="0"/>
        <w:ind w:left="0" w:firstLine="0"/>
      </w:pPr>
      <w:r>
        <w:rPr>
          <w:rStyle w:val="FootnoteReference"/>
        </w:rPr>
        <w:footnoteRef/>
      </w:r>
      <w:r>
        <w:t xml:space="preserve"> </w:t>
      </w:r>
      <w:r>
        <w:t>Varnost informacijskih sistemov se certificira v skladu s standardom Mednarodne organizacije za standardizacijo 27001: Sistemi upravljanja informacijske varnosti – Zahteve (ISO). Komisija lahko države članice pooblasti, da certificirajo varnost svojih informacijskih sistemov v skladu z drugimi sprejetimi standardi, če ti standardi zagotavljajo stopnjo varnosti, ki ustreza stopnji, določeni z ISO 27001. Za plačilne agencije, ki so odgovorne za upravljanje in kontrole letnih odhodkov, ki ne presegajo 400 milijonov EUR, se države članice lahko odločijo, da ne bodo uporabile te določbe. Svojo odločitev sporočijo Komisiji.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2E" w14:textId="77777777" w:rsidR="0079263D" w:rsidRDefault="0079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2F" w14:textId="77777777" w:rsidR="0079263D" w:rsidRDefault="0079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7732" w14:textId="77777777" w:rsidR="0079263D" w:rsidRDefault="0079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FEA7D44"/>
    <w:lvl w:ilvl="0">
      <w:start w:val="1"/>
      <w:numFmt w:val="decimal"/>
      <w:pStyle w:val="Heading1"/>
      <w:lvlText w:val="%1."/>
      <w:legacy w:legacy="1" w:legacySpace="0" w:legacyIndent="482"/>
      <w:lvlJc w:val="left"/>
      <w:pPr>
        <w:ind w:left="482" w:hanging="482"/>
      </w:pPr>
    </w:lvl>
    <w:lvl w:ilvl="1">
      <w:start w:val="1"/>
      <w:numFmt w:val="decimal"/>
      <w:pStyle w:val="Heading2"/>
      <w:lvlText w:val="%1.%2."/>
      <w:legacy w:legacy="1" w:legacySpace="0" w:legacyIndent="595"/>
      <w:lvlJc w:val="left"/>
      <w:pPr>
        <w:ind w:left="1021" w:hanging="595"/>
      </w:pPr>
      <w:rPr>
        <w:sz w:val="24"/>
        <w:szCs w:val="24"/>
      </w:rPr>
    </w:lvl>
    <w:lvl w:ilvl="2">
      <w:start w:val="1"/>
      <w:numFmt w:val="decimal"/>
      <w:pStyle w:val="Heading3"/>
      <w:lvlText w:val="%1.%2.%3."/>
      <w:legacy w:legacy="1" w:legacySpace="0" w:legacyIndent="839"/>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2880" w:hanging="708"/>
      </w:pPr>
    </w:lvl>
    <w:lvl w:ilvl="4">
      <w:start w:val="1"/>
      <w:numFmt w:val="decimal"/>
      <w:pStyle w:val="Heading5"/>
      <w:lvlText w:val="%1.%2.%3.%4.%5."/>
      <w:legacy w:legacy="1" w:legacySpace="0" w:legacyIndent="708"/>
      <w:lvlJc w:val="left"/>
      <w:pPr>
        <w:ind w:left="3332" w:hanging="708"/>
      </w:pPr>
    </w:lvl>
    <w:lvl w:ilvl="5">
      <w:start w:val="1"/>
      <w:numFmt w:val="decimal"/>
      <w:pStyle w:val="Heading6"/>
      <w:lvlText w:val="%1.%2.%3.%4.%5.%6."/>
      <w:legacy w:legacy="1" w:legacySpace="0" w:legacyIndent="708"/>
      <w:lvlJc w:val="left"/>
      <w:pPr>
        <w:ind w:left="4040" w:hanging="708"/>
      </w:pPr>
    </w:lvl>
    <w:lvl w:ilvl="6">
      <w:start w:val="1"/>
      <w:numFmt w:val="decimal"/>
      <w:pStyle w:val="Heading7"/>
      <w:lvlText w:val="%1.%2.%3.%4.%5.%6.%7."/>
      <w:legacy w:legacy="1" w:legacySpace="0" w:legacyIndent="708"/>
      <w:lvlJc w:val="left"/>
      <w:pPr>
        <w:ind w:left="4748" w:hanging="708"/>
      </w:pPr>
    </w:lvl>
    <w:lvl w:ilvl="7">
      <w:start w:val="1"/>
      <w:numFmt w:val="decimal"/>
      <w:pStyle w:val="Heading8"/>
      <w:lvlText w:val="%1.%2.%3.%4.%5.%6.%7.%8."/>
      <w:legacy w:legacy="1" w:legacySpace="0" w:legacyIndent="708"/>
      <w:lvlJc w:val="left"/>
      <w:pPr>
        <w:ind w:left="5456" w:hanging="708"/>
      </w:pPr>
    </w:lvl>
    <w:lvl w:ilvl="8">
      <w:start w:val="1"/>
      <w:numFmt w:val="decimal"/>
      <w:pStyle w:val="Heading9"/>
      <w:lvlText w:val="%1.%2.%3.%4.%5.%6.%7.%8.%9."/>
      <w:legacy w:legacy="1" w:legacySpace="0" w:legacyIndent="708"/>
      <w:lvlJc w:val="left"/>
      <w:pPr>
        <w:ind w:left="6164" w:hanging="708"/>
      </w:p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B12A9"/>
    <w:multiLevelType w:val="hybridMultilevel"/>
    <w:tmpl w:val="39B8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102"/>
    <w:multiLevelType w:val="hybridMultilevel"/>
    <w:tmpl w:val="7716E29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C0E2DCE"/>
    <w:multiLevelType w:val="hybridMultilevel"/>
    <w:tmpl w:val="E90CF7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905317"/>
    <w:multiLevelType w:val="hybridMultilevel"/>
    <w:tmpl w:val="69F686E8"/>
    <w:lvl w:ilvl="0" w:tplc="45AAD78A">
      <w:start w:val="1"/>
      <w:numFmt w:val="lowerRoman"/>
      <w:lvlText w:val="%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8142EF"/>
    <w:multiLevelType w:val="hybridMultilevel"/>
    <w:tmpl w:val="FF1C7274"/>
    <w:lvl w:ilvl="0" w:tplc="3F68E5E4">
      <w:start w:val="1"/>
      <w:numFmt w:val="lowerRoman"/>
      <w:lvlText w:val="%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72E3FF5"/>
    <w:multiLevelType w:val="hybridMultilevel"/>
    <w:tmpl w:val="73C26EDC"/>
    <w:lvl w:ilvl="0" w:tplc="4BE2852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57E84"/>
    <w:multiLevelType w:val="hybridMultilevel"/>
    <w:tmpl w:val="B20A96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40619F0"/>
    <w:multiLevelType w:val="hybridMultilevel"/>
    <w:tmpl w:val="33243D2C"/>
    <w:lvl w:ilvl="0" w:tplc="F4F2B264">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40A17FC"/>
    <w:multiLevelType w:val="hybridMultilevel"/>
    <w:tmpl w:val="A6E4E2F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34112D67"/>
    <w:multiLevelType w:val="hybridMultilevel"/>
    <w:tmpl w:val="26169266"/>
    <w:lvl w:ilvl="0" w:tplc="F4F2B26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79A51D9"/>
    <w:multiLevelType w:val="hybridMultilevel"/>
    <w:tmpl w:val="6CB033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4776CE"/>
    <w:multiLevelType w:val="hybridMultilevel"/>
    <w:tmpl w:val="05FE438C"/>
    <w:lvl w:ilvl="0" w:tplc="F4F2B264">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401B0B17"/>
    <w:multiLevelType w:val="hybridMultilevel"/>
    <w:tmpl w:val="4B264174"/>
    <w:lvl w:ilvl="0" w:tplc="6EA89500">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4FE7503"/>
    <w:multiLevelType w:val="hybridMultilevel"/>
    <w:tmpl w:val="A546F8EC"/>
    <w:lvl w:ilvl="0" w:tplc="F4F2B264">
      <w:numFmt w:val="bullet"/>
      <w:lvlText w:val="-"/>
      <w:lvlJc w:val="left"/>
      <w:pPr>
        <w:ind w:left="1287" w:hanging="360"/>
      </w:pPr>
      <w:rPr>
        <w:rFonts w:ascii="Times New Roman" w:eastAsia="Times New Roman" w:hAnsi="Times New Roman"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5481EA4"/>
    <w:multiLevelType w:val="multilevel"/>
    <w:tmpl w:val="28525E6E"/>
    <w:lvl w:ilvl="0">
      <w:start w:val="1"/>
      <w:numFmt w:val="decimal"/>
      <w:pStyle w:val="ListNumber2"/>
      <w:lvlText w:val="(%1)"/>
      <w:lvlJc w:val="left"/>
      <w:pPr>
        <w:tabs>
          <w:tab w:val="num" w:pos="1276"/>
        </w:tabs>
        <w:ind w:left="1276" w:hanging="709"/>
      </w:pPr>
    </w:lvl>
    <w:lvl w:ilvl="1">
      <w:start w:val="1"/>
      <w:numFmt w:val="lowerLetter"/>
      <w:pStyle w:val="ListNumber2Level2"/>
      <w:lvlText w:val="(%2)"/>
      <w:lvlJc w:val="left"/>
      <w:pPr>
        <w:tabs>
          <w:tab w:val="num" w:pos="1984"/>
        </w:tabs>
        <w:ind w:left="1984" w:hanging="708"/>
      </w:pPr>
    </w:lvl>
    <w:lvl w:ilvl="2">
      <w:start w:val="1"/>
      <w:numFmt w:val="bullet"/>
      <w:pStyle w:val="ListNumber2Level3"/>
      <w:lvlText w:val="–"/>
      <w:lvlJc w:val="left"/>
      <w:pPr>
        <w:tabs>
          <w:tab w:val="num" w:pos="2693"/>
        </w:tabs>
        <w:ind w:left="2693" w:hanging="709"/>
      </w:pPr>
      <w:rPr>
        <w:rFonts w:ascii="Times New Roman" w:hAnsi="Times New Roman"/>
      </w:rPr>
    </w:lvl>
    <w:lvl w:ilvl="3">
      <w:start w:val="1"/>
      <w:numFmt w:val="bullet"/>
      <w:pStyle w:val="ListNumber2Level4"/>
      <w:lvlText w:val=""/>
      <w:lvlJc w:val="left"/>
      <w:pPr>
        <w:tabs>
          <w:tab w:val="num" w:pos="3402"/>
        </w:tabs>
        <w:ind w:left="3402" w:hanging="709"/>
      </w:pPr>
      <w:rPr>
        <w:rFonts w:ascii="Symbol" w:hAnsi="Symbol"/>
      </w:rPr>
    </w:lvl>
    <w:lvl w:ilvl="4">
      <w:start w:val="1"/>
      <w:numFmt w:val="lowerLetter"/>
      <w:lvlText w:val="(%5)"/>
      <w:lvlJc w:val="left"/>
      <w:pPr>
        <w:tabs>
          <w:tab w:val="num" w:pos="1290"/>
        </w:tabs>
        <w:ind w:left="1290" w:hanging="360"/>
      </w:pPr>
    </w:lvl>
    <w:lvl w:ilvl="5">
      <w:start w:val="1"/>
      <w:numFmt w:val="lowerRoman"/>
      <w:lvlText w:val="(%6)"/>
      <w:lvlJc w:val="left"/>
      <w:pPr>
        <w:tabs>
          <w:tab w:val="num" w:pos="1650"/>
        </w:tabs>
        <w:ind w:left="1650" w:hanging="360"/>
      </w:pPr>
    </w:lvl>
    <w:lvl w:ilvl="6">
      <w:start w:val="1"/>
      <w:numFmt w:val="decimal"/>
      <w:lvlText w:val="%7."/>
      <w:lvlJc w:val="left"/>
      <w:pPr>
        <w:tabs>
          <w:tab w:val="num" w:pos="2010"/>
        </w:tabs>
        <w:ind w:left="2010" w:hanging="360"/>
      </w:pPr>
    </w:lvl>
    <w:lvl w:ilvl="7">
      <w:start w:val="1"/>
      <w:numFmt w:val="lowerLetter"/>
      <w:lvlText w:val="%8."/>
      <w:lvlJc w:val="left"/>
      <w:pPr>
        <w:tabs>
          <w:tab w:val="num" w:pos="2370"/>
        </w:tabs>
        <w:ind w:left="2370" w:hanging="360"/>
      </w:pPr>
    </w:lvl>
    <w:lvl w:ilvl="8">
      <w:start w:val="1"/>
      <w:numFmt w:val="lowerRoman"/>
      <w:lvlText w:val="%9."/>
      <w:lvlJc w:val="left"/>
      <w:pPr>
        <w:tabs>
          <w:tab w:val="num" w:pos="2730"/>
        </w:tabs>
        <w:ind w:left="2730" w:hanging="360"/>
      </w:pPr>
    </w:lvl>
  </w:abstractNum>
  <w:abstractNum w:abstractNumId="2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DD50DB"/>
    <w:multiLevelType w:val="hybridMultilevel"/>
    <w:tmpl w:val="6C56B8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9E09C8"/>
    <w:multiLevelType w:val="hybridMultilevel"/>
    <w:tmpl w:val="002E2294"/>
    <w:lvl w:ilvl="0" w:tplc="1480C8F0">
      <w:start w:val="1"/>
      <w:numFmt w:val="bullet"/>
      <w:lvlText w:val="-"/>
      <w:lvlJc w:val="left"/>
      <w:pPr>
        <w:ind w:left="720" w:hanging="360"/>
      </w:pPr>
      <w:rPr>
        <w:rFonts w:ascii="&quot;Verdana&quot;,sans-serif" w:hAnsi="&quot;Verdana&quot;,sans-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ADE6687"/>
    <w:multiLevelType w:val="hybridMultilevel"/>
    <w:tmpl w:val="4ECE89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E448B1"/>
    <w:multiLevelType w:val="hybridMultilevel"/>
    <w:tmpl w:val="8C9CE656"/>
    <w:lvl w:ilvl="0" w:tplc="C0C28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C9F7832"/>
    <w:multiLevelType w:val="hybridMultilevel"/>
    <w:tmpl w:val="7716E29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53172F"/>
    <w:multiLevelType w:val="hybridMultilevel"/>
    <w:tmpl w:val="E5B02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7BD7946"/>
    <w:multiLevelType w:val="hybridMultilevel"/>
    <w:tmpl w:val="7C9A9112"/>
    <w:lvl w:ilvl="0" w:tplc="F4F2B26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AAE377A"/>
    <w:multiLevelType w:val="hybridMultilevel"/>
    <w:tmpl w:val="FD72AE5E"/>
    <w:lvl w:ilvl="0" w:tplc="08090017">
      <w:start w:val="1"/>
      <w:numFmt w:val="lowerLetter"/>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abstractNumId w:val="0"/>
  </w:num>
  <w:num w:numId="2">
    <w:abstractNumId w:val="32"/>
    <w:lvlOverride w:ilvl="0">
      <w:startOverride w:val="1"/>
    </w:lvlOverride>
  </w:num>
  <w:num w:numId="3">
    <w:abstractNumId w:val="32"/>
  </w:num>
  <w:num w:numId="4">
    <w:abstractNumId w:val="32"/>
  </w:num>
  <w:num w:numId="5">
    <w:abstractNumId w:val="37"/>
  </w:num>
  <w:num w:numId="6">
    <w:abstractNumId w:val="11"/>
  </w:num>
  <w:num w:numId="7">
    <w:abstractNumId w:val="13"/>
  </w:num>
  <w:num w:numId="8">
    <w:abstractNumId w:val="24"/>
  </w:num>
  <w:num w:numId="9">
    <w:abstractNumId w:val="5"/>
  </w:num>
  <w:num w:numId="10">
    <w:abstractNumId w:val="6"/>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8"/>
  </w:num>
  <w:num w:numId="14">
    <w:abstractNumId w:val="12"/>
  </w:num>
  <w:num w:numId="15">
    <w:abstractNumId w:val="8"/>
  </w:num>
  <w:num w:numId="16">
    <w:abstractNumId w:val="7"/>
  </w:num>
  <w:num w:numId="17">
    <w:abstractNumId w:val="31"/>
  </w:num>
  <w:num w:numId="18">
    <w:abstractNumId w:val="34"/>
  </w:num>
  <w:num w:numId="19">
    <w:abstractNumId w:val="32"/>
  </w:num>
  <w:num w:numId="20">
    <w:abstractNumId w:val="36"/>
  </w:num>
  <w:num w:numId="21">
    <w:abstractNumId w:val="9"/>
  </w:num>
  <w:num w:numId="22">
    <w:abstractNumId w:val="20"/>
  </w:num>
  <w:num w:numId="23">
    <w:abstractNumId w:val="23"/>
  </w:num>
  <w:num w:numId="24">
    <w:abstractNumId w:val="22"/>
  </w:num>
  <w:num w:numId="25">
    <w:abstractNumId w:val="1"/>
  </w:num>
  <w:num w:numId="26">
    <w:abstractNumId w:val="25"/>
  </w:num>
  <w:num w:numId="27">
    <w:abstractNumId w:val="32"/>
  </w:num>
  <w:num w:numId="28">
    <w:abstractNumId w:val="22"/>
  </w:num>
  <w:num w:numId="29">
    <w:abstractNumId w:val="0"/>
  </w:num>
  <w:num w:numId="30">
    <w:abstractNumId w:val="32"/>
  </w:num>
  <w:num w:numId="31">
    <w:abstractNumId w:val="27"/>
  </w:num>
  <w:num w:numId="32">
    <w:abstractNumId w:val="32"/>
  </w:num>
  <w:num w:numId="33">
    <w:abstractNumId w:val="32"/>
  </w:num>
  <w:num w:numId="34">
    <w:abstractNumId w:val="15"/>
  </w:num>
  <w:num w:numId="35">
    <w:abstractNumId w:val="0"/>
  </w:num>
  <w:num w:numId="36">
    <w:abstractNumId w:val="0"/>
  </w:num>
  <w:num w:numId="37">
    <w:abstractNumId w:val="0"/>
  </w:num>
  <w:num w:numId="38">
    <w:abstractNumId w:val="0"/>
  </w:num>
  <w:num w:numId="39">
    <w:abstractNumId w:val="35"/>
  </w:num>
  <w:num w:numId="40">
    <w:abstractNumId w:val="3"/>
  </w:num>
  <w:num w:numId="41">
    <w:abstractNumId w:val="0"/>
  </w:num>
  <w:num w:numId="42">
    <w:abstractNumId w:val="30"/>
  </w:num>
  <w:num w:numId="43">
    <w:abstractNumId w:val="16"/>
  </w:num>
  <w:num w:numId="44">
    <w:abstractNumId w:val="14"/>
  </w:num>
  <w:num w:numId="45">
    <w:abstractNumId w:val="21"/>
  </w:num>
  <w:num w:numId="46">
    <w:abstractNumId w:val="19"/>
  </w:num>
  <w:num w:numId="47">
    <w:abstractNumId w:val="17"/>
  </w:num>
  <w:num w:numId="48">
    <w:abstractNumId w:val="4"/>
  </w:num>
  <w:num w:numId="49">
    <w:abstractNumId w:val="26"/>
  </w:num>
  <w:num w:numId="50">
    <w:abstractNumId w:val="10"/>
  </w:num>
  <w:num w:numId="51">
    <w:abstractNumId w:val="2"/>
  </w:num>
  <w:num w:numId="52">
    <w:abstractNumId w:val="33"/>
  </w:num>
  <w:num w:numId="53">
    <w:abstractNumId w:val="28"/>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num>
  <w:num w:numId="57">
    <w:abstractNumId w:val="0"/>
  </w:num>
  <w:num w:numId="58">
    <w:abstractNumId w:val="0"/>
  </w:num>
  <w:num w:numId="59">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NOT"/>
    <w:docVar w:name="EurolookLanguage" w:val="2057"/>
    <w:docVar w:name="EurolookVersion" w:val="3.7"/>
    <w:docVar w:name="LW_DocType" w:val="NOT"/>
  </w:docVars>
  <w:rsids>
    <w:rsidRoot w:val="0079263D"/>
    <w:rsid w:val="00035E3D"/>
    <w:rsid w:val="000D7E94"/>
    <w:rsid w:val="00630AC3"/>
    <w:rsid w:val="00700E11"/>
    <w:rsid w:val="0079263D"/>
    <w:rsid w:val="00C3439C"/>
    <w:rsid w:val="00D92B8B"/>
    <w:rsid w:val="00E20B32"/>
    <w:rsid w:val="00E51614"/>
    <w:rsid w:val="00F01187"/>
    <w:rsid w:val="00F847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8C753C"/>
  <w15:docId w15:val="{54DB5551-038C-4745-B6D5-C8098F43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jc w:val="both"/>
      <w:textAlignment w:val="baseline"/>
    </w:pPr>
    <w:rPr>
      <w:sz w:val="24"/>
    </w:rPr>
  </w:style>
  <w:style w:type="paragraph" w:styleId="Heading1">
    <w:name w:val="heading 1"/>
    <w:basedOn w:val="Normal"/>
    <w:next w:val="Text1"/>
    <w:qFormat/>
    <w:pPr>
      <w:keepNext/>
      <w:numPr>
        <w:numId w:val="1"/>
      </w:numPr>
      <w:spacing w:before="240"/>
      <w:outlineLvl w:val="0"/>
    </w:pPr>
    <w:rPr>
      <w:b/>
      <w:smallCaps/>
      <w:szCs w:val="24"/>
    </w:rPr>
  </w:style>
  <w:style w:type="paragraph" w:styleId="Heading2">
    <w:name w:val="heading 2"/>
    <w:basedOn w:val="Normal"/>
    <w:next w:val="Text2"/>
    <w:link w:val="Heading2Char"/>
    <w:qFormat/>
    <w:pPr>
      <w:keepNext/>
      <w:numPr>
        <w:ilvl w:val="1"/>
        <w:numId w:val="1"/>
      </w:numPr>
      <w:spacing w:before="120" w:after="120"/>
      <w:outlineLvl w:val="1"/>
    </w:pPr>
    <w:rPr>
      <w:b/>
      <w:szCs w:val="24"/>
    </w:rPr>
  </w:style>
  <w:style w:type="paragraph" w:styleId="Heading3">
    <w:name w:val="heading 3"/>
    <w:basedOn w:val="Normal"/>
    <w:next w:val="Text3"/>
    <w:qFormat/>
    <w:pPr>
      <w:keepNext/>
      <w:numPr>
        <w:ilvl w:val="2"/>
        <w:numId w:val="1"/>
      </w:numPr>
      <w:spacing w:after="120"/>
      <w:outlineLvl w:val="2"/>
    </w:pPr>
    <w:rPr>
      <w:i/>
      <w:szCs w:val="24"/>
    </w:rPr>
  </w:style>
  <w:style w:type="paragraph" w:styleId="Heading4">
    <w:name w:val="heading 4"/>
    <w:basedOn w:val="Normal"/>
    <w:next w:val="Text4"/>
    <w:qFormat/>
    <w:pPr>
      <w:keepNext/>
      <w:numPr>
        <w:ilvl w:val="3"/>
        <w:numId w:val="1"/>
      </w:numPr>
      <w:jc w:val="left"/>
      <w:outlineLvl w:val="3"/>
    </w:pPr>
    <w:rPr>
      <w:kern w:val="36"/>
      <w:sz w:val="20"/>
    </w:rPr>
  </w:style>
  <w:style w:type="paragraph" w:styleId="Heading5">
    <w:name w:val="heading 5"/>
    <w:basedOn w:val="Normal"/>
    <w:next w:val="Normal"/>
    <w:qFormat/>
    <w:pPr>
      <w:numPr>
        <w:ilvl w:val="4"/>
        <w:numId w:val="1"/>
      </w:numPr>
      <w:spacing w:before="240" w:after="60"/>
      <w:jc w:val="left"/>
      <w:outlineLvl w:val="4"/>
    </w:pPr>
    <w:rPr>
      <w:szCs w:val="24"/>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3"/>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7"/>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umPar4">
    <w:name w:val="NumPar 4"/>
    <w:basedOn w:val="Heading4"/>
    <w:next w:val="Text4"/>
    <w:pPr>
      <w:keepNext w:val="0"/>
      <w:numPr>
        <w:ilvl w:val="0"/>
        <w:numId w:val="0"/>
      </w:numPr>
      <w:ind w:left="2880" w:hanging="964"/>
      <w:outlineLvl w:val="9"/>
    </w:pPr>
  </w:style>
  <w:style w:type="paragraph" w:styleId="TOC4">
    <w:name w:val="toc 4"/>
    <w:basedOn w:val="Normal"/>
    <w:next w:val="Normal"/>
    <w:uiPriority w:val="39"/>
    <w:pPr>
      <w:tabs>
        <w:tab w:val="right" w:leader="dot" w:pos="8641"/>
      </w:tabs>
      <w:overflowPunct/>
      <w:autoSpaceDE/>
      <w:autoSpaceDN/>
      <w:adjustRightInd/>
      <w:spacing w:before="60" w:after="60"/>
      <w:ind w:left="2880" w:right="720" w:hanging="964"/>
      <w:textAlignment w:val="auto"/>
    </w:pPr>
    <w:rPr>
      <w:lang w:eastAsia="en-US"/>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customStyle="1" w:styleId="DoubSign">
    <w:name w:val="DoubSign"/>
    <w:basedOn w:val="Normal"/>
    <w:next w:val="Enclosures"/>
    <w:pPr>
      <w:tabs>
        <w:tab w:val="left" w:pos="5103"/>
      </w:tabs>
      <w:spacing w:before="1200" w:after="0"/>
      <w:jc w:val="left"/>
    </w:pPr>
  </w:style>
  <w:style w:type="paragraph" w:styleId="Footer">
    <w:name w:val="footer"/>
    <w:basedOn w:val="Normal"/>
    <w:pPr>
      <w:spacing w:after="0"/>
      <w:ind w:right="-567"/>
      <w:jc w:val="left"/>
    </w:pPr>
    <w:rPr>
      <w:rFonts w:ascii="Arial" w:hAnsi="Arial"/>
      <w:sz w:val="16"/>
    </w:rPr>
  </w:style>
  <w:style w:type="character" w:styleId="FootnoteReference">
    <w:name w:val="footnote reference"/>
    <w:semiHidden/>
    <w:rPr>
      <w:rFonts w:ascii="TimesNewRomanPS" w:hAnsi="TimesNewRomanPS"/>
      <w:position w:val="6"/>
      <w:sz w:val="16"/>
    </w:rPr>
  </w:style>
  <w:style w:type="paragraph" w:styleId="FootnoteText">
    <w:name w:val="footnote text"/>
    <w:basedOn w:val="Normal"/>
    <w:semiHidden/>
    <w:pPr>
      <w:ind w:left="357" w:hanging="357"/>
    </w:pPr>
    <w:rPr>
      <w:sz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numPr>
        <w:numId w:val="0"/>
      </w:numPr>
      <w:spacing w:before="0"/>
      <w:ind w:left="483" w:hanging="483"/>
      <w:outlineLvl w:val="9"/>
    </w:pPr>
    <w:rPr>
      <w:b w:val="0"/>
      <w:smallCaps w:val="0"/>
    </w:rPr>
  </w:style>
  <w:style w:type="paragraph" w:customStyle="1" w:styleId="NumPar2">
    <w:name w:val="NumPar 2"/>
    <w:basedOn w:val="Heading2"/>
    <w:next w:val="Text2"/>
    <w:pPr>
      <w:keepNext w:val="0"/>
      <w:numPr>
        <w:ilvl w:val="0"/>
        <w:numId w:val="0"/>
      </w:numPr>
      <w:ind w:left="1077" w:hanging="595"/>
      <w:outlineLvl w:val="9"/>
    </w:pPr>
    <w:rPr>
      <w:b w:val="0"/>
    </w:rPr>
  </w:style>
  <w:style w:type="paragraph" w:customStyle="1" w:styleId="NumPar3">
    <w:name w:val="NumPar 3"/>
    <w:basedOn w:val="Heading3"/>
    <w:next w:val="Text3"/>
    <w:pPr>
      <w:keepNext w:val="0"/>
      <w:numPr>
        <w:ilvl w:val="0"/>
        <w:numId w:val="0"/>
      </w:numPr>
      <w:ind w:left="1917" w:hanging="840"/>
      <w:outlineLvl w:val="9"/>
    </w:pPr>
    <w:rPr>
      <w:i w:val="0"/>
    </w:rPr>
  </w:style>
  <w:style w:type="paragraph" w:styleId="TOC1">
    <w:name w:val="toc 1"/>
    <w:basedOn w:val="Normal"/>
    <w:next w:val="Normal"/>
    <w:uiPriority w:val="39"/>
    <w:pPr>
      <w:tabs>
        <w:tab w:val="right" w:leader="dot" w:pos="8640"/>
      </w:tabs>
      <w:overflowPunct/>
      <w:autoSpaceDE/>
      <w:autoSpaceDN/>
      <w:adjustRightInd/>
      <w:spacing w:before="120" w:after="120"/>
      <w:ind w:left="482" w:right="720" w:hanging="482"/>
      <w:textAlignment w:val="auto"/>
    </w:pPr>
    <w:rPr>
      <w:caps/>
      <w:lang w:eastAsia="en-US"/>
    </w:rPr>
  </w:style>
  <w:style w:type="paragraph" w:styleId="TOC2">
    <w:name w:val="toc 2"/>
    <w:basedOn w:val="Normal"/>
    <w:next w:val="Normal"/>
    <w:uiPriority w:val="39"/>
    <w:pPr>
      <w:tabs>
        <w:tab w:val="right" w:leader="dot" w:pos="8640"/>
      </w:tabs>
      <w:overflowPunct/>
      <w:autoSpaceDE/>
      <w:autoSpaceDN/>
      <w:adjustRightInd/>
      <w:spacing w:before="60" w:after="60"/>
      <w:ind w:left="1077" w:right="720" w:hanging="595"/>
      <w:textAlignment w:val="auto"/>
    </w:pPr>
    <w:rPr>
      <w:lang w:eastAsia="en-US"/>
    </w:rPr>
  </w:style>
  <w:style w:type="paragraph" w:styleId="TOC3">
    <w:name w:val="toc 3"/>
    <w:basedOn w:val="Normal"/>
    <w:next w:val="Normal"/>
    <w:uiPriority w:val="39"/>
    <w:pPr>
      <w:tabs>
        <w:tab w:val="right" w:leader="dot" w:pos="8640"/>
      </w:tabs>
      <w:overflowPunct/>
      <w:autoSpaceDE/>
      <w:autoSpaceDN/>
      <w:adjustRightInd/>
      <w:spacing w:before="60" w:after="60"/>
      <w:ind w:left="1916" w:right="720" w:hanging="839"/>
      <w:textAlignment w:val="auto"/>
    </w:pPr>
    <w:rPr>
      <w:lang w:eastAsia="en-US"/>
    </w:r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styleId="Header">
    <w:name w:val="header"/>
    <w:basedOn w:val="Normal"/>
    <w:pPr>
      <w:tabs>
        <w:tab w:val="center" w:pos="4153"/>
        <w:tab w:val="right" w:pos="8306"/>
      </w:tabs>
    </w:pPr>
  </w:style>
  <w:style w:type="paragraph" w:customStyle="1" w:styleId="Contact">
    <w:name w:val="Contact"/>
    <w:basedOn w:val="Normal"/>
    <w:next w:val="Normal"/>
    <w:pPr>
      <w:overflowPunct/>
      <w:autoSpaceDE/>
      <w:autoSpaceDN/>
      <w:adjustRightInd/>
      <w:spacing w:before="480" w:after="0"/>
      <w:ind w:left="567" w:hanging="567"/>
      <w:jc w:val="left"/>
      <w:textAlignment w:val="auto"/>
    </w:pPr>
    <w:rPr>
      <w:lang w:eastAsia="en-US"/>
    </w:rPr>
  </w:style>
  <w:style w:type="paragraph" w:styleId="ListBullet">
    <w:name w:val="List Bullet"/>
    <w:basedOn w:val="Normal"/>
    <w:pPr>
      <w:numPr>
        <w:numId w:val="12"/>
      </w:numPr>
      <w:overflowPunct/>
      <w:autoSpaceDE/>
      <w:autoSpaceDN/>
      <w:adjustRightInd/>
      <w:textAlignment w:val="auto"/>
    </w:pPr>
    <w:rPr>
      <w:lang w:eastAsia="en-US"/>
    </w:rPr>
  </w:style>
  <w:style w:type="paragraph" w:customStyle="1" w:styleId="ListBullet1">
    <w:name w:val="List Bullet 1"/>
    <w:basedOn w:val="Text1"/>
    <w:pPr>
      <w:numPr>
        <w:numId w:val="13"/>
      </w:numPr>
      <w:overflowPunct/>
      <w:autoSpaceDE/>
      <w:autoSpaceDN/>
      <w:adjustRightInd/>
      <w:textAlignment w:val="auto"/>
    </w:pPr>
    <w:rPr>
      <w:lang w:eastAsia="en-US"/>
    </w:rPr>
  </w:style>
  <w:style w:type="paragraph" w:styleId="ListBullet2">
    <w:name w:val="List Bullet 2"/>
    <w:basedOn w:val="Text2"/>
    <w:pPr>
      <w:numPr>
        <w:numId w:val="14"/>
      </w:numPr>
      <w:tabs>
        <w:tab w:val="clear" w:pos="2161"/>
      </w:tabs>
      <w:overflowPunct/>
      <w:autoSpaceDE/>
      <w:autoSpaceDN/>
      <w:adjustRightInd/>
      <w:textAlignment w:val="auto"/>
    </w:pPr>
    <w:rPr>
      <w:lang w:eastAsia="en-US"/>
    </w:rPr>
  </w:style>
  <w:style w:type="paragraph" w:styleId="ListBullet3">
    <w:name w:val="List Bullet 3"/>
    <w:basedOn w:val="Text3"/>
    <w:pPr>
      <w:numPr>
        <w:numId w:val="15"/>
      </w:numPr>
      <w:tabs>
        <w:tab w:val="clear" w:pos="2302"/>
      </w:tabs>
      <w:overflowPunct/>
      <w:autoSpaceDE/>
      <w:autoSpaceDN/>
      <w:adjustRightInd/>
      <w:textAlignment w:val="auto"/>
    </w:pPr>
    <w:rPr>
      <w:lang w:eastAsia="en-US"/>
    </w:rPr>
  </w:style>
  <w:style w:type="paragraph" w:styleId="ListBullet4">
    <w:name w:val="List Bullet 4"/>
    <w:basedOn w:val="Text4"/>
    <w:pPr>
      <w:numPr>
        <w:numId w:val="16"/>
      </w:numPr>
      <w:overflowPunct/>
      <w:autoSpaceDE/>
      <w:autoSpaceDN/>
      <w:adjustRightInd/>
      <w:textAlignment w:val="auto"/>
    </w:pPr>
    <w:rPr>
      <w:lang w:eastAsia="en-US"/>
    </w:rPr>
  </w:style>
  <w:style w:type="paragraph" w:customStyle="1" w:styleId="ListDash">
    <w:name w:val="List Dash"/>
    <w:basedOn w:val="Normal"/>
    <w:pPr>
      <w:numPr>
        <w:numId w:val="17"/>
      </w:numPr>
      <w:overflowPunct/>
      <w:autoSpaceDE/>
      <w:autoSpaceDN/>
      <w:adjustRightInd/>
      <w:textAlignment w:val="auto"/>
    </w:pPr>
    <w:rPr>
      <w:lang w:eastAsia="en-US"/>
    </w:rPr>
  </w:style>
  <w:style w:type="paragraph" w:customStyle="1" w:styleId="ListDash1">
    <w:name w:val="List Dash 1"/>
    <w:basedOn w:val="Text1"/>
    <w:pPr>
      <w:numPr>
        <w:numId w:val="18"/>
      </w:numPr>
      <w:overflowPunct/>
      <w:autoSpaceDE/>
      <w:autoSpaceDN/>
      <w:adjustRightInd/>
      <w:textAlignment w:val="auto"/>
    </w:pPr>
    <w:rPr>
      <w:lang w:eastAsia="en-US"/>
    </w:rPr>
  </w:style>
  <w:style w:type="paragraph" w:customStyle="1" w:styleId="ListDash2">
    <w:name w:val="List Dash 2"/>
    <w:basedOn w:val="Text2"/>
    <w:pPr>
      <w:numPr>
        <w:numId w:val="19"/>
      </w:numPr>
      <w:tabs>
        <w:tab w:val="clear" w:pos="2161"/>
      </w:tabs>
      <w:overflowPunct/>
      <w:autoSpaceDE/>
      <w:autoSpaceDN/>
      <w:adjustRightInd/>
      <w:textAlignment w:val="auto"/>
    </w:pPr>
    <w:rPr>
      <w:lang w:eastAsia="en-US"/>
    </w:rPr>
  </w:style>
  <w:style w:type="paragraph" w:customStyle="1" w:styleId="ListDash3">
    <w:name w:val="List Dash 3"/>
    <w:basedOn w:val="Text3"/>
    <w:pPr>
      <w:numPr>
        <w:numId w:val="20"/>
      </w:numPr>
      <w:tabs>
        <w:tab w:val="clear" w:pos="2302"/>
      </w:tabs>
      <w:overflowPunct/>
      <w:autoSpaceDE/>
      <w:autoSpaceDN/>
      <w:adjustRightInd/>
      <w:textAlignment w:val="auto"/>
    </w:pPr>
    <w:rPr>
      <w:lang w:eastAsia="en-US"/>
    </w:rPr>
  </w:style>
  <w:style w:type="paragraph" w:customStyle="1" w:styleId="ListDash4">
    <w:name w:val="List Dash 4"/>
    <w:basedOn w:val="Text4"/>
    <w:pPr>
      <w:numPr>
        <w:numId w:val="21"/>
      </w:numPr>
      <w:overflowPunct/>
      <w:autoSpaceDE/>
      <w:autoSpaceDN/>
      <w:adjustRightInd/>
      <w:textAlignment w:val="auto"/>
    </w:pPr>
    <w:rPr>
      <w:lang w:eastAsia="en-US"/>
    </w:rPr>
  </w:style>
  <w:style w:type="paragraph" w:styleId="ListNumber">
    <w:name w:val="List Number"/>
    <w:basedOn w:val="Normal"/>
    <w:pPr>
      <w:numPr>
        <w:numId w:val="22"/>
      </w:numPr>
      <w:overflowPunct/>
      <w:autoSpaceDE/>
      <w:autoSpaceDN/>
      <w:adjustRightInd/>
      <w:textAlignment w:val="auto"/>
    </w:pPr>
    <w:rPr>
      <w:lang w:eastAsia="en-US"/>
    </w:rPr>
  </w:style>
  <w:style w:type="paragraph" w:customStyle="1" w:styleId="ListNumber1">
    <w:name w:val="List Number 1"/>
    <w:basedOn w:val="Text1"/>
    <w:link w:val="ListNumber1Char"/>
    <w:pPr>
      <w:numPr>
        <w:numId w:val="23"/>
      </w:numPr>
      <w:overflowPunct/>
      <w:autoSpaceDE/>
      <w:autoSpaceDN/>
      <w:adjustRightInd/>
      <w:textAlignment w:val="auto"/>
    </w:pPr>
    <w:rPr>
      <w:lang w:eastAsia="en-US"/>
    </w:rPr>
  </w:style>
  <w:style w:type="paragraph" w:styleId="ListNumber2">
    <w:name w:val="List Number 2"/>
    <w:basedOn w:val="Text2"/>
    <w:pPr>
      <w:numPr>
        <w:numId w:val="24"/>
      </w:numPr>
      <w:tabs>
        <w:tab w:val="clear" w:pos="2161"/>
      </w:tabs>
      <w:overflowPunct/>
      <w:autoSpaceDE/>
      <w:autoSpaceDN/>
      <w:adjustRightInd/>
      <w:textAlignment w:val="auto"/>
    </w:pPr>
    <w:rPr>
      <w:lang w:eastAsia="en-US"/>
    </w:rPr>
  </w:style>
  <w:style w:type="paragraph" w:styleId="ListNumber3">
    <w:name w:val="List Number 3"/>
    <w:basedOn w:val="Text3"/>
    <w:pPr>
      <w:numPr>
        <w:numId w:val="25"/>
      </w:numPr>
      <w:tabs>
        <w:tab w:val="clear" w:pos="2302"/>
      </w:tabs>
      <w:overflowPunct/>
      <w:autoSpaceDE/>
      <w:autoSpaceDN/>
      <w:adjustRightInd/>
      <w:textAlignment w:val="auto"/>
    </w:pPr>
    <w:rPr>
      <w:lang w:eastAsia="en-US"/>
    </w:rPr>
  </w:style>
  <w:style w:type="paragraph" w:styleId="ListNumber4">
    <w:name w:val="List Number 4"/>
    <w:basedOn w:val="Text4"/>
    <w:pPr>
      <w:numPr>
        <w:numId w:val="26"/>
      </w:numPr>
      <w:overflowPunct/>
      <w:autoSpaceDE/>
      <w:autoSpaceDN/>
      <w:adjustRightInd/>
      <w:textAlignment w:val="auto"/>
    </w:pPr>
    <w:rPr>
      <w:lang w:eastAsia="en-US"/>
    </w:rPr>
  </w:style>
  <w:style w:type="paragraph" w:customStyle="1" w:styleId="ListNumberLevel2">
    <w:name w:val="List Number (Level 2)"/>
    <w:basedOn w:val="Normal"/>
    <w:pPr>
      <w:numPr>
        <w:ilvl w:val="1"/>
        <w:numId w:val="22"/>
      </w:numPr>
      <w:overflowPunct/>
      <w:autoSpaceDE/>
      <w:autoSpaceDN/>
      <w:adjustRightInd/>
      <w:textAlignment w:val="auto"/>
    </w:pPr>
    <w:rPr>
      <w:lang w:eastAsia="en-US"/>
    </w:rPr>
  </w:style>
  <w:style w:type="paragraph" w:customStyle="1" w:styleId="ListNumber1Level2">
    <w:name w:val="List Number 1 (Level 2)"/>
    <w:basedOn w:val="Text1"/>
    <w:link w:val="ListNumber1Level2Char"/>
    <w:pPr>
      <w:numPr>
        <w:ilvl w:val="1"/>
        <w:numId w:val="23"/>
      </w:numPr>
      <w:overflowPunct/>
      <w:autoSpaceDE/>
      <w:autoSpaceDN/>
      <w:adjustRightInd/>
      <w:textAlignment w:val="auto"/>
    </w:pPr>
    <w:rPr>
      <w:lang w:eastAsia="en-US"/>
    </w:rPr>
  </w:style>
  <w:style w:type="paragraph" w:customStyle="1" w:styleId="ListNumber2Level2">
    <w:name w:val="List Number 2 (Level 2)"/>
    <w:basedOn w:val="Text2"/>
    <w:pPr>
      <w:numPr>
        <w:ilvl w:val="1"/>
        <w:numId w:val="24"/>
      </w:numPr>
      <w:tabs>
        <w:tab w:val="clear" w:pos="2161"/>
      </w:tabs>
      <w:overflowPunct/>
      <w:autoSpaceDE/>
      <w:autoSpaceDN/>
      <w:adjustRightInd/>
      <w:textAlignment w:val="auto"/>
    </w:pPr>
    <w:rPr>
      <w:lang w:eastAsia="en-US"/>
    </w:rPr>
  </w:style>
  <w:style w:type="paragraph" w:customStyle="1" w:styleId="ListNumber3Level2">
    <w:name w:val="List Number 3 (Level 2)"/>
    <w:basedOn w:val="Text3"/>
    <w:pPr>
      <w:numPr>
        <w:ilvl w:val="1"/>
        <w:numId w:val="25"/>
      </w:numPr>
      <w:tabs>
        <w:tab w:val="clear" w:pos="2302"/>
      </w:tabs>
      <w:overflowPunct/>
      <w:autoSpaceDE/>
      <w:autoSpaceDN/>
      <w:adjustRightInd/>
      <w:textAlignment w:val="auto"/>
    </w:pPr>
    <w:rPr>
      <w:lang w:eastAsia="en-US"/>
    </w:rPr>
  </w:style>
  <w:style w:type="paragraph" w:customStyle="1" w:styleId="ListNumber4Level2">
    <w:name w:val="List Number 4 (Level 2)"/>
    <w:basedOn w:val="Text4"/>
    <w:pPr>
      <w:numPr>
        <w:ilvl w:val="1"/>
        <w:numId w:val="26"/>
      </w:numPr>
      <w:overflowPunct/>
      <w:autoSpaceDE/>
      <w:autoSpaceDN/>
      <w:adjustRightInd/>
      <w:textAlignment w:val="auto"/>
    </w:pPr>
    <w:rPr>
      <w:lang w:eastAsia="en-US"/>
    </w:rPr>
  </w:style>
  <w:style w:type="paragraph" w:customStyle="1" w:styleId="ListNumberLevel3">
    <w:name w:val="List Number (Level 3)"/>
    <w:basedOn w:val="Normal"/>
    <w:pPr>
      <w:numPr>
        <w:ilvl w:val="2"/>
        <w:numId w:val="22"/>
      </w:numPr>
      <w:overflowPunct/>
      <w:autoSpaceDE/>
      <w:autoSpaceDN/>
      <w:adjustRightInd/>
      <w:textAlignment w:val="auto"/>
    </w:pPr>
    <w:rPr>
      <w:lang w:eastAsia="en-US"/>
    </w:rPr>
  </w:style>
  <w:style w:type="paragraph" w:customStyle="1" w:styleId="ListNumber1Level3">
    <w:name w:val="List Number 1 (Level 3)"/>
    <w:basedOn w:val="Text1"/>
    <w:pPr>
      <w:numPr>
        <w:ilvl w:val="2"/>
        <w:numId w:val="23"/>
      </w:numPr>
      <w:overflowPunct/>
      <w:autoSpaceDE/>
      <w:autoSpaceDN/>
      <w:adjustRightInd/>
      <w:textAlignment w:val="auto"/>
    </w:pPr>
    <w:rPr>
      <w:lang w:eastAsia="en-US"/>
    </w:rPr>
  </w:style>
  <w:style w:type="paragraph" w:customStyle="1" w:styleId="ListNumber2Level3">
    <w:name w:val="List Number 2 (Level 3)"/>
    <w:basedOn w:val="Text2"/>
    <w:pPr>
      <w:numPr>
        <w:ilvl w:val="2"/>
        <w:numId w:val="24"/>
      </w:numPr>
      <w:tabs>
        <w:tab w:val="clear" w:pos="2161"/>
      </w:tabs>
      <w:overflowPunct/>
      <w:autoSpaceDE/>
      <w:autoSpaceDN/>
      <w:adjustRightInd/>
      <w:textAlignment w:val="auto"/>
    </w:pPr>
    <w:rPr>
      <w:lang w:eastAsia="en-US"/>
    </w:rPr>
  </w:style>
  <w:style w:type="paragraph" w:customStyle="1" w:styleId="ListNumber3Level3">
    <w:name w:val="List Number 3 (Level 3)"/>
    <w:basedOn w:val="Text3"/>
    <w:pPr>
      <w:numPr>
        <w:ilvl w:val="2"/>
        <w:numId w:val="25"/>
      </w:numPr>
      <w:tabs>
        <w:tab w:val="clear" w:pos="2302"/>
      </w:tabs>
      <w:overflowPunct/>
      <w:autoSpaceDE/>
      <w:autoSpaceDN/>
      <w:adjustRightInd/>
      <w:textAlignment w:val="auto"/>
    </w:pPr>
    <w:rPr>
      <w:lang w:eastAsia="en-US"/>
    </w:rPr>
  </w:style>
  <w:style w:type="paragraph" w:customStyle="1" w:styleId="ListNumber4Level3">
    <w:name w:val="List Number 4 (Level 3)"/>
    <w:basedOn w:val="Text4"/>
    <w:pPr>
      <w:numPr>
        <w:ilvl w:val="2"/>
        <w:numId w:val="26"/>
      </w:numPr>
      <w:overflowPunct/>
      <w:autoSpaceDE/>
      <w:autoSpaceDN/>
      <w:adjustRightInd/>
      <w:textAlignment w:val="auto"/>
    </w:pPr>
    <w:rPr>
      <w:lang w:eastAsia="en-US"/>
    </w:rPr>
  </w:style>
  <w:style w:type="paragraph" w:customStyle="1" w:styleId="ListNumberLevel4">
    <w:name w:val="List Number (Level 4)"/>
    <w:basedOn w:val="Normal"/>
    <w:pPr>
      <w:numPr>
        <w:ilvl w:val="3"/>
        <w:numId w:val="22"/>
      </w:numPr>
      <w:overflowPunct/>
      <w:autoSpaceDE/>
      <w:autoSpaceDN/>
      <w:adjustRightInd/>
      <w:textAlignment w:val="auto"/>
    </w:pPr>
    <w:rPr>
      <w:lang w:eastAsia="en-US"/>
    </w:rPr>
  </w:style>
  <w:style w:type="paragraph" w:customStyle="1" w:styleId="ListNumber1Level4">
    <w:name w:val="List Number 1 (Level 4)"/>
    <w:basedOn w:val="Text1"/>
    <w:pPr>
      <w:numPr>
        <w:ilvl w:val="3"/>
        <w:numId w:val="23"/>
      </w:numPr>
      <w:overflowPunct/>
      <w:autoSpaceDE/>
      <w:autoSpaceDN/>
      <w:adjustRightInd/>
      <w:textAlignment w:val="auto"/>
    </w:pPr>
    <w:rPr>
      <w:lang w:eastAsia="en-US"/>
    </w:rPr>
  </w:style>
  <w:style w:type="paragraph" w:customStyle="1" w:styleId="ListNumber2Level4">
    <w:name w:val="List Number 2 (Level 4)"/>
    <w:basedOn w:val="Text2"/>
    <w:pPr>
      <w:numPr>
        <w:ilvl w:val="3"/>
        <w:numId w:val="24"/>
      </w:numPr>
      <w:tabs>
        <w:tab w:val="clear" w:pos="2161"/>
      </w:tabs>
      <w:overflowPunct/>
      <w:autoSpaceDE/>
      <w:autoSpaceDN/>
      <w:adjustRightInd/>
      <w:textAlignment w:val="auto"/>
    </w:pPr>
    <w:rPr>
      <w:lang w:eastAsia="en-US"/>
    </w:rPr>
  </w:style>
  <w:style w:type="paragraph" w:customStyle="1" w:styleId="ListNumber3Level4">
    <w:name w:val="List Number 3 (Level 4)"/>
    <w:basedOn w:val="Text3"/>
    <w:pPr>
      <w:numPr>
        <w:ilvl w:val="3"/>
        <w:numId w:val="25"/>
      </w:numPr>
      <w:tabs>
        <w:tab w:val="clear" w:pos="2302"/>
      </w:tabs>
      <w:overflowPunct/>
      <w:autoSpaceDE/>
      <w:autoSpaceDN/>
      <w:adjustRightInd/>
      <w:textAlignment w:val="auto"/>
    </w:pPr>
    <w:rPr>
      <w:lang w:eastAsia="en-US"/>
    </w:rPr>
  </w:style>
  <w:style w:type="paragraph" w:customStyle="1" w:styleId="ListNumber4Level4">
    <w:name w:val="List Number 4 (Level 4)"/>
    <w:basedOn w:val="Text4"/>
    <w:pPr>
      <w:numPr>
        <w:ilvl w:val="3"/>
        <w:numId w:val="26"/>
      </w:numPr>
      <w:overflowPunct/>
      <w:autoSpaceDE/>
      <w:autoSpaceDN/>
      <w:adjustRightInd/>
      <w:textAlignment w:val="auto"/>
    </w:pPr>
    <w:rPr>
      <w:lang w:eastAsia="en-US"/>
    </w:rPr>
  </w:style>
  <w:style w:type="paragraph" w:styleId="TOC5">
    <w:name w:val="toc 5"/>
    <w:basedOn w:val="Normal"/>
    <w:next w:val="Normal"/>
    <w:semiHidden/>
    <w:pPr>
      <w:tabs>
        <w:tab w:val="right" w:leader="dot" w:pos="8641"/>
      </w:tabs>
      <w:overflowPunct/>
      <w:autoSpaceDE/>
      <w:autoSpaceDN/>
      <w:adjustRightInd/>
      <w:spacing w:before="240" w:after="120"/>
      <w:ind w:right="720"/>
      <w:textAlignment w:val="auto"/>
    </w:pPr>
    <w:rPr>
      <w:caps/>
      <w:lang w:eastAsia="en-US"/>
    </w:rPr>
  </w:style>
  <w:style w:type="paragraph" w:styleId="TOCHeading">
    <w:name w:val="TOC Heading"/>
    <w:basedOn w:val="Normal"/>
    <w:next w:val="Normal"/>
    <w:uiPriority w:val="39"/>
    <w:qFormat/>
    <w:pPr>
      <w:keepNext/>
      <w:overflowPunct/>
      <w:autoSpaceDE/>
      <w:autoSpaceDN/>
      <w:adjustRightInd/>
      <w:spacing w:before="240"/>
      <w:jc w:val="center"/>
      <w:textAlignment w:val="auto"/>
    </w:pPr>
    <w:rPr>
      <w:b/>
      <w:lang w:eastAsia="en-US"/>
    </w:rPr>
  </w:style>
  <w:style w:type="character" w:customStyle="1" w:styleId="Text1Char">
    <w:name w:val="Text 1 Char"/>
    <w:link w:val="Text1"/>
    <w:rPr>
      <w:sz w:val="24"/>
      <w:lang w:val="sl-SI" w:eastAsia="en-GB" w:bidi="ar-SA"/>
    </w:rPr>
  </w:style>
  <w:style w:type="paragraph" w:customStyle="1" w:styleId="ManualNumPar1">
    <w:name w:val="Manual NumPar 1"/>
    <w:basedOn w:val="Normal"/>
    <w:next w:val="Text1"/>
    <w:pPr>
      <w:overflowPunct/>
      <w:autoSpaceDE/>
      <w:autoSpaceDN/>
      <w:adjustRightInd/>
      <w:spacing w:before="120" w:after="120"/>
      <w:ind w:left="850" w:hanging="850"/>
      <w:textAlignment w:val="auto"/>
    </w:pPr>
  </w:style>
  <w:style w:type="paragraph" w:customStyle="1" w:styleId="CharCharCharCharCharCharCharCharChar">
    <w:name w:val="Char Char Char Char Char Char Char Char Char"/>
    <w:basedOn w:val="Normal"/>
    <w:pPr>
      <w:overflowPunct/>
      <w:autoSpaceDE/>
      <w:autoSpaceDN/>
      <w:adjustRightInd/>
      <w:spacing w:after="160" w:line="240" w:lineRule="exact"/>
      <w:jc w:val="left"/>
      <w:textAlignment w:val="auto"/>
    </w:pPr>
    <w:rPr>
      <w:rFonts w:ascii="Tahoma" w:hAnsi="Tahoma"/>
      <w:sz w:val="20"/>
      <w:lang w:eastAsia="en-US"/>
    </w:rPr>
  </w:style>
  <w:style w:type="character" w:customStyle="1" w:styleId="ListNumber1Level2Char">
    <w:name w:val="List Number 1 (Level 2) Char"/>
    <w:link w:val="ListNumber1Level2"/>
    <w:rPr>
      <w:sz w:val="24"/>
      <w:lang w:eastAsia="en-US"/>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uiPriority w:val="5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Number1Char">
    <w:name w:val="List Number 1 Char"/>
    <w:link w:val="ListNumber1"/>
    <w:rPr>
      <w:sz w:val="24"/>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customStyle="1" w:styleId="Heading2Char">
    <w:name w:val="Heading 2 Char"/>
    <w:link w:val="Heading2"/>
    <w:rPr>
      <w:b/>
      <w:sz w:val="24"/>
      <w:szCs w:val="24"/>
    </w:rPr>
  </w:style>
  <w:style w:type="character" w:styleId="Hyperlink">
    <w:name w:val="Hyperlink"/>
    <w:uiPriority w:val="99"/>
    <w:rPr>
      <w:color w:val="0000FF"/>
      <w:u w:val="single"/>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normaltextrun">
    <w:name w:val="normaltextrun"/>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436">
      <w:bodyDiv w:val="1"/>
      <w:marLeft w:val="0"/>
      <w:marRight w:val="0"/>
      <w:marTop w:val="0"/>
      <w:marBottom w:val="0"/>
      <w:divBdr>
        <w:top w:val="none" w:sz="0" w:space="0" w:color="auto"/>
        <w:left w:val="none" w:sz="0" w:space="0" w:color="auto"/>
        <w:bottom w:val="none" w:sz="0" w:space="0" w:color="auto"/>
        <w:right w:val="none" w:sz="0" w:space="0" w:color="auto"/>
      </w:divBdr>
    </w:div>
    <w:div w:id="109785183">
      <w:bodyDiv w:val="1"/>
      <w:marLeft w:val="0"/>
      <w:marRight w:val="0"/>
      <w:marTop w:val="0"/>
      <w:marBottom w:val="0"/>
      <w:divBdr>
        <w:top w:val="none" w:sz="0" w:space="0" w:color="auto"/>
        <w:left w:val="none" w:sz="0" w:space="0" w:color="auto"/>
        <w:bottom w:val="none" w:sz="0" w:space="0" w:color="auto"/>
        <w:right w:val="none" w:sz="0" w:space="0" w:color="auto"/>
      </w:divBdr>
    </w:div>
    <w:div w:id="199052940">
      <w:bodyDiv w:val="1"/>
      <w:marLeft w:val="0"/>
      <w:marRight w:val="0"/>
      <w:marTop w:val="0"/>
      <w:marBottom w:val="0"/>
      <w:divBdr>
        <w:top w:val="none" w:sz="0" w:space="0" w:color="auto"/>
        <w:left w:val="none" w:sz="0" w:space="0" w:color="auto"/>
        <w:bottom w:val="none" w:sz="0" w:space="0" w:color="auto"/>
        <w:right w:val="none" w:sz="0" w:space="0" w:color="auto"/>
      </w:divBdr>
    </w:div>
    <w:div w:id="291061944">
      <w:bodyDiv w:val="1"/>
      <w:marLeft w:val="0"/>
      <w:marRight w:val="0"/>
      <w:marTop w:val="0"/>
      <w:marBottom w:val="0"/>
      <w:divBdr>
        <w:top w:val="none" w:sz="0" w:space="0" w:color="auto"/>
        <w:left w:val="none" w:sz="0" w:space="0" w:color="auto"/>
        <w:bottom w:val="none" w:sz="0" w:space="0" w:color="auto"/>
        <w:right w:val="none" w:sz="0" w:space="0" w:color="auto"/>
      </w:divBdr>
    </w:div>
    <w:div w:id="508057652">
      <w:bodyDiv w:val="1"/>
      <w:marLeft w:val="0"/>
      <w:marRight w:val="0"/>
      <w:marTop w:val="0"/>
      <w:marBottom w:val="0"/>
      <w:divBdr>
        <w:top w:val="none" w:sz="0" w:space="0" w:color="auto"/>
        <w:left w:val="none" w:sz="0" w:space="0" w:color="auto"/>
        <w:bottom w:val="none" w:sz="0" w:space="0" w:color="auto"/>
        <w:right w:val="none" w:sz="0" w:space="0" w:color="auto"/>
      </w:divBdr>
    </w:div>
    <w:div w:id="595752048">
      <w:bodyDiv w:val="1"/>
      <w:marLeft w:val="0"/>
      <w:marRight w:val="0"/>
      <w:marTop w:val="0"/>
      <w:marBottom w:val="0"/>
      <w:divBdr>
        <w:top w:val="none" w:sz="0" w:space="0" w:color="auto"/>
        <w:left w:val="none" w:sz="0" w:space="0" w:color="auto"/>
        <w:bottom w:val="none" w:sz="0" w:space="0" w:color="auto"/>
        <w:right w:val="none" w:sz="0" w:space="0" w:color="auto"/>
      </w:divBdr>
    </w:div>
    <w:div w:id="818232112">
      <w:bodyDiv w:val="1"/>
      <w:marLeft w:val="0"/>
      <w:marRight w:val="0"/>
      <w:marTop w:val="0"/>
      <w:marBottom w:val="0"/>
      <w:divBdr>
        <w:top w:val="none" w:sz="0" w:space="0" w:color="auto"/>
        <w:left w:val="none" w:sz="0" w:space="0" w:color="auto"/>
        <w:bottom w:val="none" w:sz="0" w:space="0" w:color="auto"/>
        <w:right w:val="none" w:sz="0" w:space="0" w:color="auto"/>
      </w:divBdr>
    </w:div>
    <w:div w:id="975910867">
      <w:bodyDiv w:val="1"/>
      <w:marLeft w:val="0"/>
      <w:marRight w:val="0"/>
      <w:marTop w:val="0"/>
      <w:marBottom w:val="0"/>
      <w:divBdr>
        <w:top w:val="none" w:sz="0" w:space="0" w:color="auto"/>
        <w:left w:val="none" w:sz="0" w:space="0" w:color="auto"/>
        <w:bottom w:val="none" w:sz="0" w:space="0" w:color="auto"/>
        <w:right w:val="none" w:sz="0" w:space="0" w:color="auto"/>
      </w:divBdr>
    </w:div>
    <w:div w:id="1119102358">
      <w:bodyDiv w:val="1"/>
      <w:marLeft w:val="0"/>
      <w:marRight w:val="0"/>
      <w:marTop w:val="0"/>
      <w:marBottom w:val="0"/>
      <w:divBdr>
        <w:top w:val="none" w:sz="0" w:space="0" w:color="auto"/>
        <w:left w:val="none" w:sz="0" w:space="0" w:color="auto"/>
        <w:bottom w:val="none" w:sz="0" w:space="0" w:color="auto"/>
        <w:right w:val="none" w:sz="0" w:space="0" w:color="auto"/>
      </w:divBdr>
    </w:div>
    <w:div w:id="1360669132">
      <w:bodyDiv w:val="1"/>
      <w:marLeft w:val="0"/>
      <w:marRight w:val="0"/>
      <w:marTop w:val="0"/>
      <w:marBottom w:val="0"/>
      <w:divBdr>
        <w:top w:val="none" w:sz="0" w:space="0" w:color="auto"/>
        <w:left w:val="none" w:sz="0" w:space="0" w:color="auto"/>
        <w:bottom w:val="none" w:sz="0" w:space="0" w:color="auto"/>
        <w:right w:val="none" w:sz="0" w:space="0" w:color="auto"/>
      </w:divBdr>
    </w:div>
    <w:div w:id="1373573587">
      <w:bodyDiv w:val="1"/>
      <w:marLeft w:val="0"/>
      <w:marRight w:val="0"/>
      <w:marTop w:val="0"/>
      <w:marBottom w:val="0"/>
      <w:divBdr>
        <w:top w:val="none" w:sz="0" w:space="0" w:color="auto"/>
        <w:left w:val="none" w:sz="0" w:space="0" w:color="auto"/>
        <w:bottom w:val="none" w:sz="0" w:space="0" w:color="auto"/>
        <w:right w:val="none" w:sz="0" w:space="0" w:color="auto"/>
      </w:divBdr>
    </w:div>
    <w:div w:id="1534267205">
      <w:bodyDiv w:val="1"/>
      <w:marLeft w:val="0"/>
      <w:marRight w:val="0"/>
      <w:marTop w:val="0"/>
      <w:marBottom w:val="0"/>
      <w:divBdr>
        <w:top w:val="none" w:sz="0" w:space="0" w:color="auto"/>
        <w:left w:val="none" w:sz="0" w:space="0" w:color="auto"/>
        <w:bottom w:val="none" w:sz="0" w:space="0" w:color="auto"/>
        <w:right w:val="none" w:sz="0" w:space="0" w:color="auto"/>
      </w:divBdr>
      <w:divsChild>
        <w:div w:id="18009493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08389296">
      <w:bodyDiv w:val="1"/>
      <w:marLeft w:val="0"/>
      <w:marRight w:val="0"/>
      <w:marTop w:val="0"/>
      <w:marBottom w:val="0"/>
      <w:divBdr>
        <w:top w:val="none" w:sz="0" w:space="0" w:color="auto"/>
        <w:left w:val="none" w:sz="0" w:space="0" w:color="auto"/>
        <w:bottom w:val="none" w:sz="0" w:space="0" w:color="auto"/>
        <w:right w:val="none" w:sz="0" w:space="0" w:color="auto"/>
      </w:divBdr>
    </w:div>
    <w:div w:id="1639533350">
      <w:bodyDiv w:val="1"/>
      <w:marLeft w:val="0"/>
      <w:marRight w:val="0"/>
      <w:marTop w:val="0"/>
      <w:marBottom w:val="0"/>
      <w:divBdr>
        <w:top w:val="none" w:sz="0" w:space="0" w:color="auto"/>
        <w:left w:val="none" w:sz="0" w:space="0" w:color="auto"/>
        <w:bottom w:val="none" w:sz="0" w:space="0" w:color="auto"/>
        <w:right w:val="none" w:sz="0" w:space="0" w:color="auto"/>
      </w:divBdr>
      <w:divsChild>
        <w:div w:id="1695421334">
          <w:marLeft w:val="0"/>
          <w:marRight w:val="0"/>
          <w:marTop w:val="0"/>
          <w:marBottom w:val="0"/>
          <w:divBdr>
            <w:top w:val="none" w:sz="0" w:space="0" w:color="auto"/>
            <w:left w:val="none" w:sz="0" w:space="0" w:color="auto"/>
            <w:bottom w:val="none" w:sz="0" w:space="0" w:color="auto"/>
            <w:right w:val="none" w:sz="0" w:space="0" w:color="auto"/>
          </w:divBdr>
        </w:div>
      </w:divsChild>
    </w:div>
    <w:div w:id="1653410237">
      <w:bodyDiv w:val="1"/>
      <w:marLeft w:val="0"/>
      <w:marRight w:val="0"/>
      <w:marTop w:val="0"/>
      <w:marBottom w:val="0"/>
      <w:divBdr>
        <w:top w:val="none" w:sz="0" w:space="0" w:color="auto"/>
        <w:left w:val="none" w:sz="0" w:space="0" w:color="auto"/>
        <w:bottom w:val="none" w:sz="0" w:space="0" w:color="auto"/>
        <w:right w:val="none" w:sz="0" w:space="0" w:color="auto"/>
      </w:divBdr>
    </w:div>
    <w:div w:id="1765028619">
      <w:bodyDiv w:val="1"/>
      <w:marLeft w:val="0"/>
      <w:marRight w:val="0"/>
      <w:marTop w:val="0"/>
      <w:marBottom w:val="0"/>
      <w:divBdr>
        <w:top w:val="none" w:sz="0" w:space="0" w:color="auto"/>
        <w:left w:val="none" w:sz="0" w:space="0" w:color="auto"/>
        <w:bottom w:val="none" w:sz="0" w:space="0" w:color="auto"/>
        <w:right w:val="none" w:sz="0" w:space="0" w:color="auto"/>
      </w:divBdr>
    </w:div>
    <w:div w:id="1854831115">
      <w:bodyDiv w:val="1"/>
      <w:marLeft w:val="0"/>
      <w:marRight w:val="0"/>
      <w:marTop w:val="0"/>
      <w:marBottom w:val="0"/>
      <w:divBdr>
        <w:top w:val="none" w:sz="0" w:space="0" w:color="auto"/>
        <w:left w:val="none" w:sz="0" w:space="0" w:color="auto"/>
        <w:bottom w:val="none" w:sz="0" w:space="0" w:color="auto"/>
        <w:right w:val="none" w:sz="0" w:space="0" w:color="auto"/>
      </w:divBdr>
    </w:div>
    <w:div w:id="1921209508">
      <w:bodyDiv w:val="1"/>
      <w:marLeft w:val="0"/>
      <w:marRight w:val="0"/>
      <w:marTop w:val="0"/>
      <w:marBottom w:val="0"/>
      <w:divBdr>
        <w:top w:val="none" w:sz="0" w:space="0" w:color="auto"/>
        <w:left w:val="none" w:sz="0" w:space="0" w:color="auto"/>
        <w:bottom w:val="none" w:sz="0" w:space="0" w:color="auto"/>
        <w:right w:val="none" w:sz="0" w:space="0" w:color="auto"/>
      </w:divBdr>
    </w:div>
    <w:div w:id="1985425842">
      <w:bodyDiv w:val="1"/>
      <w:marLeft w:val="0"/>
      <w:marRight w:val="0"/>
      <w:marTop w:val="0"/>
      <w:marBottom w:val="0"/>
      <w:divBdr>
        <w:top w:val="none" w:sz="0" w:space="0" w:color="auto"/>
        <w:left w:val="none" w:sz="0" w:space="0" w:color="auto"/>
        <w:bottom w:val="none" w:sz="0" w:space="0" w:color="auto"/>
        <w:right w:val="none" w:sz="0" w:space="0" w:color="auto"/>
      </w:divBdr>
    </w:div>
    <w:div w:id="2017489625">
      <w:bodyDiv w:val="1"/>
      <w:marLeft w:val="0"/>
      <w:marRight w:val="0"/>
      <w:marTop w:val="0"/>
      <w:marBottom w:val="0"/>
      <w:divBdr>
        <w:top w:val="none" w:sz="0" w:space="0" w:color="auto"/>
        <w:left w:val="none" w:sz="0" w:space="0" w:color="auto"/>
        <w:bottom w:val="none" w:sz="0" w:space="0" w:color="auto"/>
        <w:right w:val="none" w:sz="0" w:space="0" w:color="auto"/>
      </w:divBdr>
    </w:div>
    <w:div w:id="2112890177">
      <w:bodyDiv w:val="1"/>
      <w:marLeft w:val="0"/>
      <w:marRight w:val="0"/>
      <w:marTop w:val="0"/>
      <w:marBottom w:val="0"/>
      <w:divBdr>
        <w:top w:val="none" w:sz="0" w:space="0" w:color="auto"/>
        <w:left w:val="none" w:sz="0" w:space="0" w:color="auto"/>
        <w:bottom w:val="none" w:sz="0" w:space="0" w:color="auto"/>
        <w:right w:val="none" w:sz="0" w:space="0" w:color="auto"/>
      </w:divBdr>
    </w:div>
    <w:div w:id="21190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ntifraud-knowledge-centre.ec.europa.eu/guidance-legislation/official-guidelines-and-material_en" TargetMode="External"/><Relationship Id="rId1" Type="http://schemas.openxmlformats.org/officeDocument/2006/relationships/hyperlink" Target="https://ec.europa.eu/info/about-european-commission/service-standards-and-principles/ethics-and-good-administration/staff-and-ethics_s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5B48FF0CC296458A06F45EF4467227" ma:contentTypeVersion="6" ma:contentTypeDescription="Create a new document." ma:contentTypeScope="" ma:versionID="cb83346ac03d7250b065d50171c87643">
  <xsd:schema xmlns:xsd="http://www.w3.org/2001/XMLSchema" xmlns:xs="http://www.w3.org/2001/XMLSchema" xmlns:p="http://schemas.microsoft.com/office/2006/metadata/properties" xmlns:ns2="d5375bd6-41ca-4bd6-bd15-cc491fe67d56" xmlns:ns3="ca389862-8822-4f5b-b306-df79f3f1f689" targetNamespace="http://schemas.microsoft.com/office/2006/metadata/properties" ma:root="true" ma:fieldsID="c2e5e7fd1e738ed69e1af2ed5551cd04" ns2:_="" ns3:_="">
    <xsd:import namespace="d5375bd6-41ca-4bd6-bd15-cc491fe67d56"/>
    <xsd:import namespace="ca389862-8822-4f5b-b306-df79f3f1f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75bd6-41ca-4bd6-bd15-cc491fe6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89862-8822-4f5b-b306-df79f3f1f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A83E-4003-48CD-B627-26003A356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29756-D3C2-456F-A5A5-40915177D4D3}">
  <ds:schemaRefs>
    <ds:schemaRef ds:uri="http://schemas.microsoft.com/sharepoint/v3/contenttype/forms"/>
  </ds:schemaRefs>
</ds:datastoreItem>
</file>

<file path=customXml/itemProps3.xml><?xml version="1.0" encoding="utf-8"?>
<ds:datastoreItem xmlns:ds="http://schemas.openxmlformats.org/officeDocument/2006/customXml" ds:itemID="{A36B8B2A-A86D-4DE4-8E39-92F19F90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75bd6-41ca-4bd6-bd15-cc491fe67d56"/>
    <ds:schemaRef ds:uri="ca389862-8822-4f5b-b306-df79f3f1f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85E59-79DC-4036-AABE-EFB35B23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107</TotalTime>
  <Pages>28</Pages>
  <Words>9321</Words>
  <Characters>56398</Characters>
  <Application>Microsoft Office Word</Application>
  <DocSecurity>0</DocSecurity>
  <Lines>1007</Lines>
  <Paragraphs>505</Paragraphs>
  <ScaleCrop>false</ScaleCrop>
  <HeadingPairs>
    <vt:vector size="2" baseType="variant">
      <vt:variant>
        <vt:lpstr>Title</vt:lpstr>
      </vt:variant>
      <vt:variant>
        <vt:i4>1</vt:i4>
      </vt:variant>
    </vt:vector>
  </HeadingPairs>
  <TitlesOfParts>
    <vt:vector size="1" baseType="lpstr">
      <vt:lpstr>Accreditaion guideline</vt:lpstr>
    </vt:vector>
  </TitlesOfParts>
  <Company>European Commission</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Accreditaion guideline</dc:title>
  <dc:creator>Anett Török</dc:creator>
  <cp:keywords>EL3</cp:keywords>
  <cp:lastModifiedBy>JARC Mateja (DGT)</cp:lastModifiedBy>
  <cp:revision>29</cp:revision>
  <cp:lastPrinted>2015-06-15T15:07:00Z</cp:lastPrinted>
  <dcterms:created xsi:type="dcterms:W3CDTF">2022-10-13T07:40:00Z</dcterms:created>
  <dcterms:modified xsi:type="dcterms:W3CDTF">2023-02-14T11:06:00Z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40001</vt:lpwstr>
  </property>
  <property fmtid="{D5CDD505-2E9C-101B-9397-08002B2CF9AE}" pid="5" name="Formatting">
    <vt:lpwstr>4.1</vt:lpwstr>
  </property>
  <property fmtid="{D5CDD505-2E9C-101B-9397-08002B2CF9AE}" pid="6" name="_NewReviewCycle">
    <vt:lpwstr/>
  </property>
  <property fmtid="{D5CDD505-2E9C-101B-9397-08002B2CF9AE}" pid="7" name="ELDocType">
    <vt:lpwstr>NOT.DOT</vt:lpwstr>
  </property>
  <property fmtid="{D5CDD505-2E9C-101B-9397-08002B2CF9AE}" pid="8" name="ContentTypeId">
    <vt:lpwstr>0x010100355B48FF0CC296458A06F45EF4467227</vt:lpwstr>
  </property>
  <property fmtid="{D5CDD505-2E9C-101B-9397-08002B2CF9AE}" pid="9" name="MSIP_Label_6bd9ddd1-4d20-43f6-abfa-fc3c07406f94_Enabled">
    <vt:lpwstr>true</vt:lpwstr>
  </property>
  <property fmtid="{D5CDD505-2E9C-101B-9397-08002B2CF9AE}" pid="10" name="MSIP_Label_6bd9ddd1-4d20-43f6-abfa-fc3c07406f94_SetDate">
    <vt:lpwstr>2022-06-12T14:32:57Z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b5031c3f-483d-4ce8-89ff-95a64f53548f</vt:lpwstr>
  </property>
  <property fmtid="{D5CDD505-2E9C-101B-9397-08002B2CF9AE}" pid="15" name="MSIP_Label_6bd9ddd1-4d20-43f6-abfa-fc3c07406f94_ContentBits">
    <vt:lpwstr>0</vt:lpwstr>
  </property>
</Properties>
</file>