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DEFC" w14:textId="06B4F7DF" w:rsidR="00C21C3F" w:rsidRPr="00FF358E" w:rsidRDefault="00171BDD" w:rsidP="00EC5871">
      <w:pPr>
        <w:ind w:left="-1701"/>
        <w:rPr>
          <w:rFonts w:cs="Arial"/>
          <w:szCs w:val="20"/>
        </w:rPr>
        <w:sectPr w:rsidR="00C21C3F" w:rsidRPr="00FF358E" w:rsidSect="004E3A1C">
          <w:footerReference w:type="default" r:id="rId11"/>
          <w:type w:val="continuous"/>
          <w:pgSz w:w="11906" w:h="16838"/>
          <w:pgMar w:top="0" w:right="1701" w:bottom="1134" w:left="1701" w:header="709" w:footer="709" w:gutter="0"/>
          <w:cols w:space="708"/>
          <w:docGrid w:linePitch="360"/>
        </w:sectPr>
      </w:pPr>
      <w:r>
        <w:rPr>
          <w:rFonts w:cs="Arial"/>
          <w:szCs w:val="20"/>
        </w:rPr>
        <w:t xml:space="preserve">  </w:t>
      </w:r>
      <w:r w:rsidR="00391A75" w:rsidRPr="00D30051">
        <w:rPr>
          <w:rFonts w:cs="Arial"/>
          <w:noProof/>
          <w:szCs w:val="20"/>
        </w:rPr>
        <w:drawing>
          <wp:inline distT="0" distB="0" distL="0" distR="0" wp14:anchorId="0D05B99E" wp14:editId="2FAE8FF5">
            <wp:extent cx="4333240" cy="1352550"/>
            <wp:effectExtent l="0" t="0" r="0" b="0"/>
            <wp:docPr id="3" name="Slika 3" descr="REPUBLIKA SLOVENIJA&#10;MINISTRSVO ZA FINANCE&#10;Urad Republike Slovenije za nadzor prorač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REPUBLIKA SLOVENIJA&#10;MINISTRSVO ZA FINANCE&#10;Urad Republike Slovenije za nadzor proraču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40" cy="1352550"/>
                    </a:xfrm>
                    <a:prstGeom prst="rect">
                      <a:avLst/>
                    </a:prstGeom>
                    <a:noFill/>
                  </pic:spPr>
                </pic:pic>
              </a:graphicData>
            </a:graphic>
          </wp:inline>
        </w:drawing>
      </w:r>
    </w:p>
    <w:p w14:paraId="15A11815" w14:textId="7CCE01FD" w:rsidR="007676E4" w:rsidRPr="00FF358E" w:rsidRDefault="00171BDD" w:rsidP="00C11C99">
      <w:pPr>
        <w:tabs>
          <w:tab w:val="left" w:pos="5114"/>
        </w:tabs>
        <w:spacing w:before="120"/>
        <w:ind w:left="-993" w:firstLine="993"/>
        <w:rPr>
          <w:rFonts w:cs="Arial"/>
          <w:sz w:val="16"/>
          <w:szCs w:val="16"/>
        </w:rPr>
        <w:sectPr w:rsidR="007676E4" w:rsidRPr="00FF358E" w:rsidSect="004E3A1C">
          <w:type w:val="continuous"/>
          <w:pgSz w:w="11906" w:h="16838"/>
          <w:pgMar w:top="0" w:right="1701" w:bottom="1134" w:left="1701" w:header="709" w:footer="709" w:gutter="0"/>
          <w:cols w:space="708"/>
          <w:docGrid w:linePitch="360"/>
        </w:sectPr>
      </w:pPr>
      <w:r>
        <w:rPr>
          <w:rFonts w:cs="Arial"/>
          <w:sz w:val="16"/>
          <w:szCs w:val="16"/>
        </w:rPr>
        <w:t xml:space="preserve">  </w:t>
      </w:r>
      <w:r w:rsidR="00391A75" w:rsidRPr="00FF358E">
        <w:rPr>
          <w:rFonts w:cs="Arial"/>
          <w:sz w:val="16"/>
          <w:szCs w:val="16"/>
        </w:rPr>
        <w:t xml:space="preserve">Fajfarjeva </w:t>
      </w:r>
      <w:r w:rsidR="00B02BE6">
        <w:rPr>
          <w:rFonts w:cs="Arial"/>
          <w:sz w:val="16"/>
          <w:szCs w:val="16"/>
        </w:rPr>
        <w:t xml:space="preserve">ulica </w:t>
      </w:r>
      <w:r w:rsidR="00391A75" w:rsidRPr="00FF358E">
        <w:rPr>
          <w:rFonts w:cs="Arial"/>
          <w:sz w:val="16"/>
          <w:szCs w:val="16"/>
        </w:rPr>
        <w:t>33, 1502 Ljubljana</w:t>
      </w:r>
      <w:r w:rsidR="00B13222" w:rsidRPr="00FF358E">
        <w:rPr>
          <w:rFonts w:cs="Arial"/>
          <w:sz w:val="16"/>
          <w:szCs w:val="16"/>
        </w:rPr>
        <w:tab/>
        <w:t xml:space="preserve">T: 01 </w:t>
      </w:r>
      <w:r w:rsidR="00391A75" w:rsidRPr="00FF358E">
        <w:rPr>
          <w:rFonts w:cs="Arial"/>
          <w:sz w:val="16"/>
          <w:szCs w:val="16"/>
        </w:rPr>
        <w:t>369 69 00</w:t>
      </w:r>
      <w:r w:rsidR="00C11C99" w:rsidRPr="00FF358E">
        <w:rPr>
          <w:rFonts w:cs="Arial"/>
          <w:sz w:val="16"/>
          <w:szCs w:val="16"/>
        </w:rPr>
        <w:br/>
      </w:r>
      <w:r w:rsidR="00B13222" w:rsidRPr="00FF358E">
        <w:rPr>
          <w:rFonts w:cs="Arial"/>
          <w:sz w:val="16"/>
          <w:szCs w:val="16"/>
        </w:rPr>
        <w:tab/>
        <w:t xml:space="preserve">E: </w:t>
      </w:r>
      <w:r w:rsidR="00391A75" w:rsidRPr="00FF358E">
        <w:rPr>
          <w:rFonts w:cs="Arial"/>
          <w:sz w:val="16"/>
          <w:szCs w:val="16"/>
        </w:rPr>
        <w:t>mf.unp</w:t>
      </w:r>
      <w:r w:rsidR="00E35CBB" w:rsidRPr="00FF358E">
        <w:rPr>
          <w:rFonts w:cs="Arial"/>
          <w:sz w:val="16"/>
          <w:szCs w:val="16"/>
        </w:rPr>
        <w:t>@gov.si</w:t>
      </w:r>
      <w:r w:rsidR="00C11C99" w:rsidRPr="00FF358E">
        <w:rPr>
          <w:rFonts w:cs="Arial"/>
          <w:sz w:val="16"/>
          <w:szCs w:val="16"/>
        </w:rPr>
        <w:br/>
      </w:r>
      <w:r w:rsidR="00B13222" w:rsidRPr="00FF358E">
        <w:rPr>
          <w:rFonts w:cs="Arial"/>
          <w:sz w:val="16"/>
          <w:szCs w:val="16"/>
        </w:rPr>
        <w:tab/>
      </w:r>
      <w:r w:rsidR="00391A75" w:rsidRPr="00FF358E">
        <w:rPr>
          <w:rFonts w:cs="Arial"/>
          <w:sz w:val="16"/>
          <w:szCs w:val="16"/>
        </w:rPr>
        <w:t>www.unp.gov.si</w:t>
      </w:r>
    </w:p>
    <w:p w14:paraId="57B6C6C8" w14:textId="77777777" w:rsidR="001D4FA8" w:rsidRPr="00FF358E" w:rsidRDefault="00356258" w:rsidP="00F72A33">
      <w:pPr>
        <w:tabs>
          <w:tab w:val="left" w:pos="5114"/>
        </w:tabs>
        <w:spacing w:after="520"/>
        <w:rPr>
          <w:rFonts w:cs="Arial"/>
          <w:szCs w:val="20"/>
        </w:rPr>
        <w:sectPr w:rsidR="001D4FA8" w:rsidRPr="00FF358E" w:rsidSect="00314F62">
          <w:type w:val="continuous"/>
          <w:pgSz w:w="11906" w:h="16838"/>
          <w:pgMar w:top="0" w:right="1701" w:bottom="1134" w:left="1701" w:header="709" w:footer="709" w:gutter="0"/>
          <w:cols w:num="2" w:space="708"/>
          <w:docGrid w:linePitch="360"/>
        </w:sectPr>
      </w:pPr>
      <w:r w:rsidRPr="00FF358E">
        <w:rPr>
          <w:rFonts w:cs="Arial"/>
          <w:noProof/>
          <w:szCs w:val="20"/>
          <w:lang w:eastAsia="sl-SI"/>
        </w:rPr>
        <mc:AlternateContent>
          <mc:Choice Requires="wps">
            <w:drawing>
              <wp:anchor distT="0" distB="0" distL="114300" distR="114300" simplePos="0" relativeHeight="251659264" behindDoc="1" locked="0" layoutInCell="0" allowOverlap="1" wp14:anchorId="56D56E43" wp14:editId="54F3EC63">
                <wp:simplePos x="0" y="0"/>
                <wp:positionH relativeFrom="column">
                  <wp:posOffset>-431800</wp:posOffset>
                </wp:positionH>
                <wp:positionV relativeFrom="page">
                  <wp:posOffset>3600450</wp:posOffset>
                </wp:positionV>
                <wp:extent cx="252000"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4207" id="Raven povezovalnik 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" o:allowincell="f" strokecolor="#428299" strokeweight=".5pt">
                <w10:wrap anchory="page"/>
              </v:line>
            </w:pict>
          </mc:Fallback>
        </mc:AlternateContent>
      </w:r>
    </w:p>
    <w:p w14:paraId="60258963" w14:textId="77777777" w:rsidR="00685E54" w:rsidRPr="00FF358E" w:rsidRDefault="00685E54" w:rsidP="00F72A33">
      <w:pPr>
        <w:tabs>
          <w:tab w:val="left" w:pos="5114"/>
        </w:tabs>
        <w:spacing w:after="520"/>
        <w:rPr>
          <w:rFonts w:cs="Arial"/>
          <w:szCs w:val="20"/>
        </w:rPr>
      </w:pPr>
    </w:p>
    <w:p w14:paraId="68A2E6AD" w14:textId="77777777" w:rsidR="001824E3" w:rsidRDefault="001824E3" w:rsidP="00FF358E">
      <w:pPr>
        <w:pStyle w:val="datumtevilka"/>
        <w:rPr>
          <w:rFonts w:cs="Arial"/>
        </w:rPr>
      </w:pPr>
    </w:p>
    <w:p w14:paraId="7B44CF55" w14:textId="4A942D41" w:rsidR="00685E54" w:rsidRPr="002D236D" w:rsidRDefault="00685E54" w:rsidP="00FF358E">
      <w:pPr>
        <w:pStyle w:val="datumtevilka"/>
        <w:rPr>
          <w:rFonts w:cs="Arial"/>
          <w:color w:val="FF0000"/>
        </w:rPr>
      </w:pPr>
      <w:r w:rsidRPr="00FF358E">
        <w:rPr>
          <w:rFonts w:cs="Arial"/>
        </w:rPr>
        <w:t>Številka:</w:t>
      </w:r>
      <w:r w:rsidRPr="00FF358E">
        <w:rPr>
          <w:rFonts w:cs="Arial"/>
        </w:rPr>
        <w:tab/>
      </w:r>
      <w:r w:rsidR="00F93AB7">
        <w:rPr>
          <w:rFonts w:cs="Arial"/>
        </w:rPr>
        <w:t>06102-15/2024-1619-24</w:t>
      </w:r>
    </w:p>
    <w:p w14:paraId="19D2E43F" w14:textId="21932E44" w:rsidR="009F340F" w:rsidRDefault="00685E54" w:rsidP="00FF358E">
      <w:pPr>
        <w:pStyle w:val="datumtevilka"/>
        <w:rPr>
          <w:rFonts w:cs="Arial"/>
          <w:color w:val="FF0000"/>
        </w:rPr>
      </w:pPr>
      <w:r w:rsidRPr="00FF358E">
        <w:rPr>
          <w:rFonts w:cs="Arial"/>
        </w:rPr>
        <w:t>Datum:</w:t>
      </w:r>
      <w:bookmarkStart w:id="0" w:name="_Hlk121136076"/>
      <w:r w:rsidR="009F340F" w:rsidRPr="00FF358E">
        <w:rPr>
          <w:rFonts w:cs="Arial"/>
        </w:rPr>
        <w:tab/>
      </w:r>
      <w:bookmarkEnd w:id="0"/>
      <w:r w:rsidR="00F93AB7" w:rsidRPr="00F93AB7">
        <w:rPr>
          <w:rFonts w:cs="Arial"/>
          <w:color w:val="000000" w:themeColor="text1"/>
        </w:rPr>
        <w:t>26. 6. 2025</w:t>
      </w:r>
    </w:p>
    <w:p w14:paraId="2B4B9E22" w14:textId="4D30243B" w:rsidR="001824E3" w:rsidRPr="00F93AB7" w:rsidRDefault="001824E3" w:rsidP="00FF358E">
      <w:pPr>
        <w:pStyle w:val="datumtevilka"/>
        <w:rPr>
          <w:rFonts w:cs="Arial"/>
          <w:color w:val="000000" w:themeColor="text1"/>
        </w:rPr>
      </w:pPr>
      <w:r w:rsidRPr="00F93AB7">
        <w:rPr>
          <w:rFonts w:cs="Arial"/>
          <w:color w:val="000000" w:themeColor="text1"/>
        </w:rPr>
        <w:t>U. p.:</w:t>
      </w:r>
      <w:r w:rsidRPr="00F93AB7">
        <w:rPr>
          <w:rFonts w:cs="Arial"/>
          <w:color w:val="000000" w:themeColor="text1"/>
        </w:rPr>
        <w:tab/>
        <w:t>UNP200</w:t>
      </w:r>
    </w:p>
    <w:p w14:paraId="27D94BC2" w14:textId="77777777" w:rsidR="001D4FA8" w:rsidRPr="00FF358E" w:rsidRDefault="001D4FA8" w:rsidP="00FF358E">
      <w:pPr>
        <w:rPr>
          <w:rFonts w:cs="Arial"/>
          <w:szCs w:val="20"/>
        </w:rPr>
      </w:pPr>
      <w:bookmarkStart w:id="1" w:name="_Hlk121135817"/>
    </w:p>
    <w:p w14:paraId="5B066EBD" w14:textId="77777777" w:rsidR="001D4FA8" w:rsidRPr="00FF358E" w:rsidRDefault="001D4FA8" w:rsidP="00FF358E">
      <w:pPr>
        <w:rPr>
          <w:rFonts w:cs="Arial"/>
          <w:szCs w:val="20"/>
        </w:rPr>
      </w:pPr>
    </w:p>
    <w:bookmarkEnd w:id="1"/>
    <w:p w14:paraId="392093E4" w14:textId="77777777" w:rsidR="001D4FA8" w:rsidRPr="00FF358E" w:rsidRDefault="001D4FA8" w:rsidP="00FF358E">
      <w:pPr>
        <w:pStyle w:val="podpisi"/>
        <w:spacing w:line="260" w:lineRule="atLeast"/>
        <w:rPr>
          <w:rFonts w:cs="Arial"/>
          <w:szCs w:val="20"/>
          <w:lang w:val="sl-SI"/>
        </w:rPr>
      </w:pPr>
    </w:p>
    <w:p w14:paraId="50597B58" w14:textId="7C7214FE" w:rsidR="007770B3" w:rsidRPr="001C3480" w:rsidRDefault="007770B3" w:rsidP="00667191">
      <w:pPr>
        <w:pStyle w:val="Naslovakta"/>
      </w:pPr>
      <w:r w:rsidRPr="001C3480">
        <w:t>Z</w:t>
      </w:r>
      <w:r w:rsidR="00DC5703" w:rsidRPr="001C3480">
        <w:t>APISNIK</w:t>
      </w:r>
    </w:p>
    <w:p w14:paraId="5E76CA0D" w14:textId="77777777" w:rsidR="007770B3" w:rsidRPr="00DC5703" w:rsidRDefault="007770B3" w:rsidP="00667191">
      <w:pPr>
        <w:pStyle w:val="Naslovakta"/>
      </w:pPr>
    </w:p>
    <w:p w14:paraId="21707BBA" w14:textId="01EFE971" w:rsidR="00B02BE6" w:rsidRPr="001C3480" w:rsidRDefault="007770B3" w:rsidP="00667191">
      <w:pPr>
        <w:pStyle w:val="Naslovakta"/>
      </w:pPr>
      <w:r w:rsidRPr="001C3480">
        <w:t xml:space="preserve">o inšpekcijskem nadzoru nad izvajanjem </w:t>
      </w:r>
      <w:r w:rsidR="00B02BE6" w:rsidRPr="001C3480">
        <w:t>Zakona o javnih financah</w:t>
      </w:r>
      <w:r w:rsidR="00366923" w:rsidRPr="001C3480">
        <w:t xml:space="preserve"> </w:t>
      </w:r>
      <w:r w:rsidR="00B02BE6" w:rsidRPr="001C3480">
        <w:t>in predpisov, ki urejajo poslovanje s</w:t>
      </w:r>
      <w:r w:rsidR="00E268E1" w:rsidRPr="001C3480">
        <w:t xml:space="preserve"> </w:t>
      </w:r>
      <w:r w:rsidR="00B02BE6" w:rsidRPr="001C3480">
        <w:t>sredstvi državnega proračuna</w:t>
      </w:r>
      <w:r w:rsidR="00366923" w:rsidRPr="001C3480">
        <w:t xml:space="preserve"> </w:t>
      </w:r>
    </w:p>
    <w:p w14:paraId="30E24F4D" w14:textId="0F21F5D2" w:rsidR="007770B3" w:rsidRPr="001C3480" w:rsidRDefault="007770B3" w:rsidP="00667191">
      <w:pPr>
        <w:pStyle w:val="Naslovakta"/>
      </w:pPr>
      <w:r w:rsidRPr="001C3480">
        <w:t xml:space="preserve">pri </w:t>
      </w:r>
      <w:r w:rsidR="00E9729C" w:rsidRPr="001C3480">
        <w:t xml:space="preserve">posrednem </w:t>
      </w:r>
      <w:r w:rsidRPr="001C3480">
        <w:t>proračunskem uporabniku</w:t>
      </w:r>
    </w:p>
    <w:p w14:paraId="2F725853" w14:textId="77777777" w:rsidR="007770B3" w:rsidRPr="00951F0E" w:rsidRDefault="007770B3" w:rsidP="00B02BE6">
      <w:pPr>
        <w:jc w:val="center"/>
        <w:rPr>
          <w:rFonts w:cs="Arial"/>
          <w:b/>
          <w:bCs/>
          <w:i/>
          <w:iCs/>
          <w:color w:val="0070C0"/>
          <w:szCs w:val="20"/>
        </w:rPr>
      </w:pPr>
    </w:p>
    <w:p w14:paraId="3588F75E" w14:textId="4FD7D55C" w:rsidR="00B02BE6" w:rsidRPr="00B02BE6" w:rsidRDefault="00E9729C" w:rsidP="00B02BE6">
      <w:pPr>
        <w:jc w:val="center"/>
        <w:rPr>
          <w:rFonts w:cs="Arial"/>
          <w:b/>
          <w:bCs/>
          <w:color w:val="000000" w:themeColor="text1"/>
          <w:szCs w:val="20"/>
        </w:rPr>
      </w:pPr>
      <w:r>
        <w:rPr>
          <w:rFonts w:cs="Arial"/>
          <w:b/>
          <w:bCs/>
          <w:color w:val="000000" w:themeColor="text1"/>
          <w:szCs w:val="20"/>
        </w:rPr>
        <w:t>STANOVANJSKI SKLAD REPUBLIKE SLOVENIJE</w:t>
      </w:r>
      <w:r w:rsidR="008A7230">
        <w:rPr>
          <w:rFonts w:cs="Arial"/>
          <w:b/>
          <w:bCs/>
          <w:color w:val="000000" w:themeColor="text1"/>
          <w:szCs w:val="20"/>
        </w:rPr>
        <w:t>,</w:t>
      </w:r>
    </w:p>
    <w:p w14:paraId="47BF6ECE" w14:textId="043A4243" w:rsidR="00B02BE6" w:rsidRPr="00B02BE6" w:rsidRDefault="00E9729C" w:rsidP="00B02BE6">
      <w:pPr>
        <w:jc w:val="center"/>
        <w:rPr>
          <w:rFonts w:cs="Arial"/>
          <w:color w:val="0070C0"/>
          <w:szCs w:val="20"/>
        </w:rPr>
        <w:sectPr w:rsidR="00B02BE6" w:rsidRPr="00B02BE6" w:rsidSect="001D4FA8">
          <w:type w:val="continuous"/>
          <w:pgSz w:w="11906" w:h="16838"/>
          <w:pgMar w:top="0" w:right="1701" w:bottom="1134" w:left="1701" w:header="709" w:footer="709" w:gutter="0"/>
          <w:cols w:space="708"/>
          <w:docGrid w:linePitch="360"/>
        </w:sectPr>
      </w:pPr>
      <w:r>
        <w:rPr>
          <w:rFonts w:cs="Arial"/>
          <w:b/>
          <w:bCs/>
          <w:color w:val="000000" w:themeColor="text1"/>
          <w:szCs w:val="20"/>
        </w:rPr>
        <w:t>Poljanska cesta 31</w:t>
      </w:r>
      <w:r w:rsidR="00B02BE6" w:rsidRPr="00B02BE6">
        <w:rPr>
          <w:rFonts w:cs="Arial"/>
          <w:b/>
          <w:bCs/>
          <w:color w:val="000000" w:themeColor="text1"/>
          <w:szCs w:val="20"/>
        </w:rPr>
        <w:t xml:space="preserve">, </w:t>
      </w:r>
      <w:r w:rsidR="008A7230">
        <w:rPr>
          <w:rFonts w:cs="Arial"/>
          <w:b/>
          <w:bCs/>
          <w:color w:val="000000" w:themeColor="text1"/>
          <w:szCs w:val="20"/>
        </w:rPr>
        <w:t>1</w:t>
      </w:r>
      <w:r w:rsidR="00BE32B9">
        <w:rPr>
          <w:rFonts w:cs="Arial"/>
          <w:b/>
          <w:bCs/>
          <w:color w:val="000000" w:themeColor="text1"/>
          <w:szCs w:val="20"/>
        </w:rPr>
        <w:t xml:space="preserve">000 </w:t>
      </w:r>
      <w:r w:rsidR="008A7230">
        <w:rPr>
          <w:rFonts w:cs="Arial"/>
          <w:b/>
          <w:bCs/>
          <w:color w:val="000000" w:themeColor="text1"/>
          <w:szCs w:val="20"/>
        </w:rPr>
        <w:t>Ljubljana</w:t>
      </w:r>
    </w:p>
    <w:p w14:paraId="78A262CD" w14:textId="77777777" w:rsidR="001D4FA8" w:rsidRPr="00FF358E" w:rsidRDefault="001D4FA8" w:rsidP="00FF358E">
      <w:pPr>
        <w:pStyle w:val="podpisi"/>
        <w:spacing w:line="260" w:lineRule="atLeast"/>
        <w:rPr>
          <w:rFonts w:cs="Arial"/>
          <w:color w:val="0070C0"/>
          <w:szCs w:val="20"/>
          <w:lang w:val="sl-SI"/>
        </w:rPr>
      </w:pPr>
    </w:p>
    <w:p w14:paraId="1B1E8964" w14:textId="77777777" w:rsidR="001D4FA8" w:rsidRPr="00FF358E" w:rsidRDefault="001D4FA8" w:rsidP="00FF358E">
      <w:pPr>
        <w:pStyle w:val="podpisi"/>
        <w:spacing w:line="260" w:lineRule="atLeast"/>
        <w:ind w:left="2836"/>
        <w:rPr>
          <w:rFonts w:cs="Arial"/>
          <w:szCs w:val="20"/>
          <w:lang w:val="sl-SI"/>
        </w:rPr>
        <w:sectPr w:rsidR="001D4FA8" w:rsidRPr="00FF358E" w:rsidSect="007770B3">
          <w:type w:val="continuous"/>
          <w:pgSz w:w="11906" w:h="16838"/>
          <w:pgMar w:top="0" w:right="1701" w:bottom="1134" w:left="1701" w:header="709" w:footer="709" w:gutter="0"/>
          <w:cols w:space="708"/>
          <w:docGrid w:linePitch="360"/>
        </w:sectPr>
      </w:pPr>
    </w:p>
    <w:p w14:paraId="469ECB94" w14:textId="459E412E" w:rsidR="007F7A67" w:rsidRPr="00FF358E" w:rsidRDefault="001D4FA8" w:rsidP="00B02BE6">
      <w:pPr>
        <w:pStyle w:val="podpisi"/>
        <w:tabs>
          <w:tab w:val="clear" w:pos="3402"/>
        </w:tabs>
        <w:spacing w:line="260" w:lineRule="atLeast"/>
        <w:rPr>
          <w:rFonts w:cs="Arial"/>
          <w:szCs w:val="20"/>
          <w:lang w:val="sl-SI"/>
        </w:rPr>
      </w:pPr>
      <w:r w:rsidRPr="00FF358E">
        <w:rPr>
          <w:rFonts w:cs="Arial"/>
          <w:szCs w:val="20"/>
          <w:lang w:val="sl-SI"/>
        </w:rPr>
        <w:tab/>
      </w:r>
    </w:p>
    <w:p w14:paraId="66EE6E54" w14:textId="433692E6" w:rsidR="007F7A67" w:rsidRPr="00FF358E" w:rsidRDefault="007F7A67" w:rsidP="00FF358E">
      <w:pPr>
        <w:jc w:val="both"/>
        <w:rPr>
          <w:rFonts w:cs="Arial"/>
          <w:szCs w:val="20"/>
          <w:shd w:val="clear" w:color="auto" w:fill="FFFFFF"/>
        </w:rPr>
      </w:pPr>
      <w:r w:rsidRPr="00FF358E">
        <w:rPr>
          <w:rFonts w:cs="Arial"/>
          <w:szCs w:val="20"/>
        </w:rPr>
        <w:t>Inšpekcijski nadzor je bil opravljen na podlagi 102. do 10</w:t>
      </w:r>
      <w:r w:rsidR="003F362F">
        <w:rPr>
          <w:rFonts w:cs="Arial"/>
          <w:szCs w:val="20"/>
        </w:rPr>
        <w:t>4</w:t>
      </w:r>
      <w:r w:rsidRPr="00FF358E">
        <w:rPr>
          <w:rFonts w:cs="Arial"/>
          <w:szCs w:val="20"/>
        </w:rPr>
        <w:t>. člena Zakona o javnih financah</w:t>
      </w:r>
      <w:bookmarkStart w:id="2" w:name="_Hlk135818009"/>
      <w:r w:rsidRPr="00FF358E">
        <w:rPr>
          <w:rStyle w:val="Sprotnaopomba-sklic"/>
          <w:rFonts w:cs="Arial"/>
          <w:szCs w:val="20"/>
        </w:rPr>
        <w:footnoteReference w:id="1"/>
      </w:r>
      <w:bookmarkEnd w:id="2"/>
      <w:r w:rsidR="00D21787" w:rsidRPr="00FF358E">
        <w:rPr>
          <w:rFonts w:cs="Arial"/>
          <w:szCs w:val="20"/>
        </w:rPr>
        <w:t xml:space="preserve"> - ZJF</w:t>
      </w:r>
      <w:r w:rsidRPr="00FF358E">
        <w:rPr>
          <w:rFonts w:cs="Arial"/>
          <w:szCs w:val="20"/>
        </w:rPr>
        <w:t>.</w:t>
      </w:r>
    </w:p>
    <w:p w14:paraId="640B6E12" w14:textId="77777777" w:rsidR="007F7A67" w:rsidRPr="00FF358E" w:rsidRDefault="007F7A67" w:rsidP="00FF358E">
      <w:pPr>
        <w:jc w:val="both"/>
        <w:rPr>
          <w:rFonts w:cs="Arial"/>
          <w:b/>
          <w:bCs/>
          <w:szCs w:val="20"/>
          <w:shd w:val="clear" w:color="auto" w:fill="FFFFFF"/>
        </w:rPr>
      </w:pPr>
    </w:p>
    <w:p w14:paraId="258A9569" w14:textId="77777777" w:rsidR="007F7A67" w:rsidRPr="00FF358E" w:rsidRDefault="007F7A67" w:rsidP="00FF358E">
      <w:pPr>
        <w:jc w:val="both"/>
        <w:rPr>
          <w:rFonts w:cs="Arial"/>
          <w:szCs w:val="20"/>
        </w:rPr>
      </w:pPr>
      <w:r w:rsidRPr="00FF358E">
        <w:rPr>
          <w:rFonts w:cs="Arial"/>
          <w:szCs w:val="20"/>
        </w:rPr>
        <w:t>Zapisnik je sestavljen v skladu s tretjim odstavkom 102. člena ZJF.</w:t>
      </w:r>
    </w:p>
    <w:p w14:paraId="5092B410" w14:textId="77777777" w:rsidR="007F7A67" w:rsidRPr="00FF358E" w:rsidRDefault="007F7A67" w:rsidP="00FF358E">
      <w:pPr>
        <w:jc w:val="both"/>
        <w:rPr>
          <w:rFonts w:cs="Arial"/>
          <w:szCs w:val="20"/>
        </w:rPr>
      </w:pPr>
    </w:p>
    <w:p w14:paraId="27129844" w14:textId="6C588C3D" w:rsidR="007F7A67" w:rsidRPr="00FF358E" w:rsidRDefault="007F7A67" w:rsidP="00FF358E">
      <w:pPr>
        <w:jc w:val="both"/>
        <w:rPr>
          <w:rFonts w:cs="Arial"/>
          <w:szCs w:val="20"/>
        </w:rPr>
      </w:pPr>
      <w:r w:rsidRPr="00FF358E">
        <w:rPr>
          <w:rFonts w:cs="Arial"/>
          <w:szCs w:val="20"/>
        </w:rPr>
        <w:t xml:space="preserve">Inšpekcijski nadzor </w:t>
      </w:r>
      <w:r w:rsidR="00DC43D5">
        <w:rPr>
          <w:rFonts w:cs="Arial"/>
          <w:szCs w:val="20"/>
        </w:rPr>
        <w:t>je</w:t>
      </w:r>
      <w:r w:rsidRPr="00FF358E">
        <w:rPr>
          <w:rFonts w:cs="Arial"/>
          <w:szCs w:val="20"/>
        </w:rPr>
        <w:t xml:space="preserve"> izvajal </w:t>
      </w:r>
      <w:r w:rsidR="00446436">
        <w:rPr>
          <w:rFonts w:cs="Arial"/>
          <w:szCs w:val="20"/>
        </w:rPr>
        <w:t>█</w:t>
      </w:r>
      <w:r w:rsidR="00FA0286">
        <w:rPr>
          <w:rFonts w:cs="Arial"/>
          <w:szCs w:val="20"/>
        </w:rPr>
        <w:t xml:space="preserve">, </w:t>
      </w:r>
      <w:r w:rsidR="00171DDA">
        <w:rPr>
          <w:rFonts w:cs="Arial"/>
          <w:szCs w:val="20"/>
        </w:rPr>
        <w:t>proračunsk</w:t>
      </w:r>
      <w:r w:rsidR="00DC43D5">
        <w:rPr>
          <w:rFonts w:cs="Arial"/>
          <w:szCs w:val="20"/>
        </w:rPr>
        <w:t>i</w:t>
      </w:r>
      <w:r w:rsidR="00171DDA">
        <w:rPr>
          <w:rFonts w:cs="Arial"/>
          <w:szCs w:val="20"/>
        </w:rPr>
        <w:t xml:space="preserve"> i</w:t>
      </w:r>
      <w:r w:rsidR="00171DDA" w:rsidRPr="00FF358E">
        <w:rPr>
          <w:rFonts w:cs="Arial"/>
          <w:szCs w:val="20"/>
        </w:rPr>
        <w:t>nšpektor Urada Republike Slovenije za nadzor proračuna</w:t>
      </w:r>
      <w:r w:rsidR="00171DDA">
        <w:rPr>
          <w:rFonts w:cs="Arial"/>
          <w:szCs w:val="20"/>
        </w:rPr>
        <w:t>.</w:t>
      </w:r>
    </w:p>
    <w:p w14:paraId="0F682300" w14:textId="77777777" w:rsidR="007F7A67" w:rsidRPr="00FF358E" w:rsidRDefault="007F7A67" w:rsidP="00FF358E">
      <w:pPr>
        <w:jc w:val="both"/>
        <w:rPr>
          <w:rFonts w:cs="Arial"/>
          <w:szCs w:val="20"/>
        </w:rPr>
      </w:pPr>
    </w:p>
    <w:p w14:paraId="77EE1940" w14:textId="2D6B75E6" w:rsidR="00F57AA5" w:rsidRDefault="007F7A67" w:rsidP="0003790E">
      <w:pPr>
        <w:spacing w:line="276" w:lineRule="auto"/>
        <w:jc w:val="both"/>
        <w:rPr>
          <w:rFonts w:cs="Arial"/>
          <w:color w:val="000000" w:themeColor="text1"/>
          <w:szCs w:val="20"/>
        </w:rPr>
      </w:pPr>
      <w:r w:rsidRPr="009D3A40">
        <w:rPr>
          <w:rFonts w:cs="Arial"/>
          <w:color w:val="000000" w:themeColor="text1"/>
          <w:szCs w:val="20"/>
        </w:rPr>
        <w:t xml:space="preserve">Nadzor je bil </w:t>
      </w:r>
      <w:r w:rsidR="00496CD1">
        <w:rPr>
          <w:rFonts w:cs="Arial"/>
          <w:color w:val="000000" w:themeColor="text1"/>
          <w:szCs w:val="20"/>
        </w:rPr>
        <w:t xml:space="preserve">dne 10. 6. in 11. 6. 2025 </w:t>
      </w:r>
      <w:r w:rsidRPr="009D3A40">
        <w:rPr>
          <w:rFonts w:cs="Arial"/>
          <w:color w:val="000000" w:themeColor="text1"/>
          <w:szCs w:val="20"/>
        </w:rPr>
        <w:t xml:space="preserve">opravljen v poslovnih </w:t>
      </w:r>
      <w:r w:rsidR="008F14FC" w:rsidRPr="009D3A40">
        <w:rPr>
          <w:rFonts w:cs="Arial"/>
          <w:color w:val="000000" w:themeColor="text1"/>
          <w:szCs w:val="20"/>
        </w:rPr>
        <w:t xml:space="preserve">prostorih </w:t>
      </w:r>
      <w:r w:rsidR="00D3028D" w:rsidRPr="009D3A40">
        <w:rPr>
          <w:rFonts w:cs="Arial"/>
          <w:color w:val="000000" w:themeColor="text1"/>
          <w:szCs w:val="20"/>
        </w:rPr>
        <w:t>proračunskega uporabnika</w:t>
      </w:r>
      <w:r w:rsidR="008F14FC" w:rsidRPr="009D3A40">
        <w:rPr>
          <w:rFonts w:cs="Arial"/>
          <w:color w:val="000000" w:themeColor="text1"/>
          <w:szCs w:val="20"/>
        </w:rPr>
        <w:t xml:space="preserve"> na naslovu </w:t>
      </w:r>
      <w:r w:rsidR="00496CD1">
        <w:rPr>
          <w:rFonts w:cs="Arial"/>
          <w:color w:val="000000" w:themeColor="text1"/>
          <w:szCs w:val="20"/>
        </w:rPr>
        <w:t>Poljanska cesta 31</w:t>
      </w:r>
      <w:r w:rsidR="008A7230">
        <w:rPr>
          <w:rFonts w:cs="Arial"/>
          <w:color w:val="000000" w:themeColor="text1"/>
          <w:szCs w:val="20"/>
        </w:rPr>
        <w:t>, Ljubljana</w:t>
      </w:r>
      <w:r w:rsidR="003F362F" w:rsidRPr="009D3A40">
        <w:rPr>
          <w:rFonts w:cs="Arial"/>
          <w:color w:val="000000" w:themeColor="text1"/>
          <w:szCs w:val="20"/>
        </w:rPr>
        <w:t xml:space="preserve"> </w:t>
      </w:r>
      <w:r w:rsidR="008F14FC" w:rsidRPr="009D3A40">
        <w:rPr>
          <w:rFonts w:cs="Arial"/>
          <w:color w:val="000000" w:themeColor="text1"/>
          <w:szCs w:val="20"/>
        </w:rPr>
        <w:t xml:space="preserve">in v poslovnih prostorih </w:t>
      </w:r>
      <w:r w:rsidRPr="009D3A40">
        <w:rPr>
          <w:rFonts w:cs="Arial"/>
          <w:color w:val="000000" w:themeColor="text1"/>
          <w:szCs w:val="20"/>
        </w:rPr>
        <w:t>Urada Republike Slovenije za nadzor proračuna, Fajfarjeva</w:t>
      </w:r>
      <w:r w:rsidR="00B02BE6" w:rsidRPr="009D3A40">
        <w:rPr>
          <w:rFonts w:cs="Arial"/>
          <w:color w:val="000000" w:themeColor="text1"/>
          <w:szCs w:val="20"/>
        </w:rPr>
        <w:t xml:space="preserve"> ulica</w:t>
      </w:r>
      <w:r w:rsidRPr="009D3A40">
        <w:rPr>
          <w:rFonts w:cs="Arial"/>
          <w:color w:val="000000" w:themeColor="text1"/>
          <w:szCs w:val="20"/>
        </w:rPr>
        <w:t xml:space="preserve"> 33, Ljubljana v času od </w:t>
      </w:r>
      <w:r w:rsidR="00D3028D" w:rsidRPr="009D3A40">
        <w:rPr>
          <w:rFonts w:cs="Arial"/>
          <w:color w:val="000000" w:themeColor="text1"/>
          <w:szCs w:val="20"/>
        </w:rPr>
        <w:t>1</w:t>
      </w:r>
      <w:r w:rsidR="008A7230">
        <w:rPr>
          <w:rFonts w:cs="Arial"/>
          <w:color w:val="000000" w:themeColor="text1"/>
          <w:szCs w:val="20"/>
        </w:rPr>
        <w:t>3</w:t>
      </w:r>
      <w:r w:rsidR="00B02BE6" w:rsidRPr="009D3A40">
        <w:rPr>
          <w:rFonts w:cs="Arial"/>
          <w:color w:val="000000" w:themeColor="text1"/>
          <w:szCs w:val="20"/>
        </w:rPr>
        <w:t xml:space="preserve">. </w:t>
      </w:r>
      <w:r w:rsidR="008A7230">
        <w:rPr>
          <w:rFonts w:cs="Arial"/>
          <w:color w:val="000000" w:themeColor="text1"/>
          <w:szCs w:val="20"/>
        </w:rPr>
        <w:t>11</w:t>
      </w:r>
      <w:r w:rsidR="00B02BE6" w:rsidRPr="009D3A40">
        <w:rPr>
          <w:rFonts w:cs="Arial"/>
          <w:color w:val="000000" w:themeColor="text1"/>
          <w:szCs w:val="20"/>
        </w:rPr>
        <w:t xml:space="preserve">. </w:t>
      </w:r>
      <w:r w:rsidR="00B02BE6" w:rsidRPr="00F57AA5">
        <w:rPr>
          <w:rFonts w:cs="Arial"/>
          <w:color w:val="000000" w:themeColor="text1"/>
          <w:szCs w:val="20"/>
        </w:rPr>
        <w:t>202</w:t>
      </w:r>
      <w:r w:rsidR="00D3028D" w:rsidRPr="00F57AA5">
        <w:rPr>
          <w:rFonts w:cs="Arial"/>
          <w:color w:val="000000" w:themeColor="text1"/>
          <w:szCs w:val="20"/>
        </w:rPr>
        <w:t>4</w:t>
      </w:r>
      <w:r w:rsidRPr="00F57AA5">
        <w:rPr>
          <w:rFonts w:cs="Arial"/>
          <w:color w:val="000000" w:themeColor="text1"/>
          <w:szCs w:val="20"/>
        </w:rPr>
        <w:t xml:space="preserve"> do </w:t>
      </w:r>
      <w:r w:rsidR="00F57AA5" w:rsidRPr="00F57AA5">
        <w:rPr>
          <w:rFonts w:cs="Arial"/>
          <w:color w:val="000000" w:themeColor="text1"/>
          <w:szCs w:val="20"/>
        </w:rPr>
        <w:t>19</w:t>
      </w:r>
      <w:r w:rsidR="00B02BE6" w:rsidRPr="00F57AA5">
        <w:rPr>
          <w:rFonts w:cs="Arial"/>
          <w:color w:val="000000" w:themeColor="text1"/>
          <w:szCs w:val="20"/>
        </w:rPr>
        <w:t>.</w:t>
      </w:r>
      <w:r w:rsidR="009D3A40" w:rsidRPr="00F57AA5">
        <w:rPr>
          <w:rFonts w:cs="Arial"/>
          <w:color w:val="000000" w:themeColor="text1"/>
          <w:szCs w:val="20"/>
        </w:rPr>
        <w:t xml:space="preserve"> </w:t>
      </w:r>
      <w:r w:rsidR="00F57AA5" w:rsidRPr="00F57AA5">
        <w:rPr>
          <w:rFonts w:cs="Arial"/>
          <w:color w:val="000000" w:themeColor="text1"/>
          <w:szCs w:val="20"/>
        </w:rPr>
        <w:t>06</w:t>
      </w:r>
      <w:r w:rsidR="00B02BE6" w:rsidRPr="00F57AA5">
        <w:rPr>
          <w:rFonts w:cs="Arial"/>
          <w:color w:val="000000" w:themeColor="text1"/>
          <w:szCs w:val="20"/>
        </w:rPr>
        <w:t xml:space="preserve">. </w:t>
      </w:r>
      <w:r w:rsidR="009D3A40" w:rsidRPr="00F57AA5">
        <w:rPr>
          <w:rFonts w:cs="Arial"/>
          <w:color w:val="000000" w:themeColor="text1"/>
          <w:szCs w:val="20"/>
        </w:rPr>
        <w:t>202</w:t>
      </w:r>
      <w:r w:rsidR="00073656" w:rsidRPr="00F57AA5">
        <w:rPr>
          <w:rFonts w:cs="Arial"/>
          <w:color w:val="000000" w:themeColor="text1"/>
          <w:szCs w:val="20"/>
        </w:rPr>
        <w:t>5</w:t>
      </w:r>
      <w:r w:rsidRPr="00F57AA5">
        <w:rPr>
          <w:rFonts w:cs="Arial"/>
          <w:color w:val="000000" w:themeColor="text1"/>
          <w:szCs w:val="20"/>
        </w:rPr>
        <w:t xml:space="preserve"> </w:t>
      </w:r>
      <w:r w:rsidR="009D3A40" w:rsidRPr="009D3A40">
        <w:rPr>
          <w:rFonts w:cs="Arial"/>
          <w:color w:val="000000" w:themeColor="text1"/>
          <w:szCs w:val="20"/>
        </w:rPr>
        <w:t>z</w:t>
      </w:r>
      <w:r w:rsidR="00FE1B29" w:rsidRPr="009D3A40">
        <w:rPr>
          <w:rFonts w:cs="Arial"/>
          <w:color w:val="000000" w:themeColor="text1"/>
          <w:szCs w:val="20"/>
        </w:rPr>
        <w:t xml:space="preserve"> vmesnimi prekinitvami</w:t>
      </w:r>
      <w:r w:rsidR="008F14FC" w:rsidRPr="009D3A40">
        <w:rPr>
          <w:rFonts w:cs="Arial"/>
          <w:color w:val="000000" w:themeColor="text1"/>
          <w:szCs w:val="20"/>
        </w:rPr>
        <w:t>.</w:t>
      </w:r>
      <w:r w:rsidR="00D102B6">
        <w:rPr>
          <w:rFonts w:cs="Arial"/>
          <w:color w:val="000000" w:themeColor="text1"/>
          <w:szCs w:val="20"/>
        </w:rPr>
        <w:t xml:space="preserve"> V postopku nadzora  </w:t>
      </w:r>
      <w:r w:rsidR="00F57AA5">
        <w:rPr>
          <w:rFonts w:cs="Arial"/>
          <w:color w:val="000000" w:themeColor="text1"/>
          <w:szCs w:val="20"/>
        </w:rPr>
        <w:t xml:space="preserve">so </w:t>
      </w:r>
      <w:r w:rsidR="00D102B6">
        <w:rPr>
          <w:rFonts w:cs="Arial"/>
          <w:color w:val="000000" w:themeColor="text1"/>
          <w:szCs w:val="20"/>
        </w:rPr>
        <w:t>s strani Stanovanjskega sklada sodeloval</w:t>
      </w:r>
      <w:r w:rsidR="00F57AA5">
        <w:rPr>
          <w:rFonts w:cs="Arial"/>
          <w:color w:val="000000" w:themeColor="text1"/>
          <w:szCs w:val="20"/>
        </w:rPr>
        <w:t xml:space="preserve">i </w:t>
      </w:r>
      <w:r w:rsidR="00446436">
        <w:rPr>
          <w:rFonts w:cs="Arial"/>
          <w:color w:val="000000" w:themeColor="text1"/>
          <w:szCs w:val="20"/>
        </w:rPr>
        <w:t>█</w:t>
      </w:r>
      <w:r w:rsidR="00F57AA5">
        <w:rPr>
          <w:rFonts w:cs="Arial"/>
          <w:color w:val="000000" w:themeColor="text1"/>
          <w:szCs w:val="20"/>
        </w:rPr>
        <w:t xml:space="preserve"> in </w:t>
      </w:r>
      <w:r w:rsidR="00446436">
        <w:rPr>
          <w:rFonts w:cs="Arial"/>
          <w:color w:val="000000" w:themeColor="text1"/>
          <w:szCs w:val="20"/>
        </w:rPr>
        <w:t>█</w:t>
      </w:r>
      <w:r w:rsidR="00F57AA5">
        <w:rPr>
          <w:rFonts w:cs="Arial"/>
          <w:color w:val="000000" w:themeColor="text1"/>
          <w:szCs w:val="20"/>
        </w:rPr>
        <w:t>.</w:t>
      </w:r>
    </w:p>
    <w:p w14:paraId="6391526A" w14:textId="77777777" w:rsidR="00F57AA5" w:rsidRDefault="00F57AA5" w:rsidP="0003790E">
      <w:pPr>
        <w:spacing w:line="276" w:lineRule="auto"/>
        <w:jc w:val="both"/>
        <w:rPr>
          <w:rFonts w:cs="Arial"/>
          <w:color w:val="000000" w:themeColor="text1"/>
          <w:szCs w:val="20"/>
        </w:rPr>
      </w:pPr>
    </w:p>
    <w:p w14:paraId="6C85684B" w14:textId="729B400F" w:rsidR="00CF3DE4" w:rsidRPr="00F57AA5" w:rsidRDefault="00CF3DE4" w:rsidP="0003790E">
      <w:pPr>
        <w:spacing w:line="276" w:lineRule="auto"/>
        <w:jc w:val="both"/>
        <w:rPr>
          <w:rFonts w:cs="Arial"/>
          <w:color w:val="000000" w:themeColor="text1"/>
          <w:szCs w:val="20"/>
        </w:rPr>
      </w:pPr>
      <w:r w:rsidRPr="001C3480">
        <w:rPr>
          <w:rFonts w:cs="Arial"/>
          <w:szCs w:val="20"/>
        </w:rPr>
        <w:t>O ugotovitvah proračunske inšpekcije je bil</w:t>
      </w:r>
      <w:r w:rsidR="001C3480" w:rsidRPr="001C3480">
        <w:rPr>
          <w:rFonts w:cs="Arial"/>
          <w:szCs w:val="20"/>
        </w:rPr>
        <w:t>a</w:t>
      </w:r>
      <w:r w:rsidR="00993E16" w:rsidRPr="001C3480">
        <w:rPr>
          <w:rFonts w:cs="Arial"/>
          <w:szCs w:val="20"/>
        </w:rPr>
        <w:t xml:space="preserve"> </w:t>
      </w:r>
      <w:r w:rsidR="001C3480" w:rsidRPr="001C3480">
        <w:rPr>
          <w:rFonts w:cs="Arial"/>
          <w:szCs w:val="20"/>
        </w:rPr>
        <w:t>vodja računovodske službe</w:t>
      </w:r>
      <w:r w:rsidR="001C3480">
        <w:rPr>
          <w:rFonts w:cs="Arial"/>
          <w:szCs w:val="20"/>
        </w:rPr>
        <w:t xml:space="preserve"> Stanovanjskega sklada Republike Slovenije</w:t>
      </w:r>
      <w:r w:rsidR="001C3480" w:rsidRPr="001C3480">
        <w:rPr>
          <w:rFonts w:cs="Arial"/>
          <w:szCs w:val="20"/>
        </w:rPr>
        <w:t xml:space="preserve"> </w:t>
      </w:r>
      <w:r w:rsidR="00446436">
        <w:rPr>
          <w:rFonts w:cs="Arial"/>
          <w:szCs w:val="20"/>
        </w:rPr>
        <w:t xml:space="preserve">█ </w:t>
      </w:r>
      <w:r w:rsidR="00993E16" w:rsidRPr="001C3480">
        <w:rPr>
          <w:rFonts w:cs="Arial"/>
          <w:szCs w:val="20"/>
        </w:rPr>
        <w:t xml:space="preserve">obveščena v telefonskem razgovoru </w:t>
      </w:r>
      <w:r w:rsidR="00993E16" w:rsidRPr="00F57AA5">
        <w:rPr>
          <w:rFonts w:cs="Arial"/>
          <w:color w:val="000000" w:themeColor="text1"/>
          <w:szCs w:val="20"/>
        </w:rPr>
        <w:t xml:space="preserve">dne </w:t>
      </w:r>
      <w:r w:rsidR="00F57AA5" w:rsidRPr="00F57AA5">
        <w:rPr>
          <w:rFonts w:cs="Arial"/>
          <w:color w:val="000000" w:themeColor="text1"/>
          <w:szCs w:val="20"/>
        </w:rPr>
        <w:t>20</w:t>
      </w:r>
      <w:r w:rsidR="00993E16" w:rsidRPr="00F57AA5">
        <w:rPr>
          <w:rFonts w:cs="Arial"/>
          <w:color w:val="000000" w:themeColor="text1"/>
          <w:szCs w:val="20"/>
        </w:rPr>
        <w:t xml:space="preserve">. </w:t>
      </w:r>
      <w:r w:rsidR="00F57AA5" w:rsidRPr="00F57AA5">
        <w:rPr>
          <w:rFonts w:cs="Arial"/>
          <w:color w:val="000000" w:themeColor="text1"/>
          <w:szCs w:val="20"/>
        </w:rPr>
        <w:t>6</w:t>
      </w:r>
      <w:r w:rsidR="00993E16" w:rsidRPr="00F57AA5">
        <w:rPr>
          <w:rFonts w:cs="Arial"/>
          <w:color w:val="000000" w:themeColor="text1"/>
          <w:szCs w:val="20"/>
        </w:rPr>
        <w:t>. 202</w:t>
      </w:r>
      <w:r w:rsidR="00073656" w:rsidRPr="00F57AA5">
        <w:rPr>
          <w:rFonts w:cs="Arial"/>
          <w:color w:val="000000" w:themeColor="text1"/>
          <w:szCs w:val="20"/>
        </w:rPr>
        <w:t>5</w:t>
      </w:r>
      <w:r w:rsidR="00993E16" w:rsidRPr="00F57AA5">
        <w:rPr>
          <w:rFonts w:cs="Arial"/>
          <w:color w:val="000000" w:themeColor="text1"/>
          <w:szCs w:val="20"/>
        </w:rPr>
        <w:t>.</w:t>
      </w:r>
      <w:r w:rsidRPr="00F57AA5">
        <w:rPr>
          <w:rFonts w:cs="Arial"/>
          <w:color w:val="000000" w:themeColor="text1"/>
          <w:szCs w:val="20"/>
        </w:rPr>
        <w:t xml:space="preserve"> </w:t>
      </w:r>
    </w:p>
    <w:p w14:paraId="6232F2C8" w14:textId="77777777" w:rsidR="00B67E84" w:rsidRPr="001824E3" w:rsidRDefault="00B67E84" w:rsidP="00FF358E">
      <w:pPr>
        <w:jc w:val="both"/>
        <w:rPr>
          <w:rFonts w:cs="Arial"/>
          <w:color w:val="000000" w:themeColor="text1"/>
          <w:szCs w:val="20"/>
        </w:rPr>
      </w:pPr>
    </w:p>
    <w:p w14:paraId="1667C0EE" w14:textId="77777777" w:rsidR="001824E3" w:rsidRPr="00DC5703" w:rsidRDefault="001824E3" w:rsidP="001824E3">
      <w:pPr>
        <w:rPr>
          <w:b/>
          <w:bCs/>
        </w:rPr>
      </w:pPr>
      <w:r w:rsidRPr="00DC5703">
        <w:rPr>
          <w:b/>
          <w:bCs/>
        </w:rPr>
        <w:t xml:space="preserve">I. Osnovni podatki </w:t>
      </w:r>
    </w:p>
    <w:p w14:paraId="1157A214" w14:textId="77777777" w:rsidR="001824E3" w:rsidRDefault="001824E3" w:rsidP="001824E3">
      <w:pPr>
        <w:jc w:val="both"/>
        <w:rPr>
          <w:rFonts w:cs="Arial"/>
          <w:color w:val="000000" w:themeColor="text1"/>
          <w:szCs w:val="20"/>
        </w:rPr>
      </w:pPr>
    </w:p>
    <w:p w14:paraId="0D2B9784" w14:textId="2F412B82" w:rsidR="001824E3" w:rsidRPr="001824E3" w:rsidRDefault="001824E3" w:rsidP="001824E3">
      <w:pPr>
        <w:jc w:val="both"/>
        <w:rPr>
          <w:rFonts w:cs="Arial"/>
          <w:color w:val="000000" w:themeColor="text1"/>
          <w:szCs w:val="20"/>
        </w:rPr>
      </w:pPr>
      <w:r w:rsidRPr="001824E3">
        <w:rPr>
          <w:rFonts w:cs="Arial"/>
          <w:color w:val="000000" w:themeColor="text1"/>
          <w:szCs w:val="20"/>
        </w:rPr>
        <w:t xml:space="preserve">Stanovanjski sklad Republike Slovenije (v nadaljevanju: SSRS) kot osrednji državni organ za financiranje stanovanjske oskrbe glede na finančna in druga sredstva, previdena v proračunu države in lastna razpoložljiva sredstva, spodbuja gradnjo, prenovo in vzdrževanje stanovanj in stanovanjskih hiš, pri čemer ne opravlja pridobitne dejavnosti s ciljem maksimiranja dobička, </w:t>
      </w:r>
      <w:r w:rsidRPr="001824E3">
        <w:rPr>
          <w:rFonts w:cs="Arial"/>
          <w:color w:val="000000" w:themeColor="text1"/>
          <w:szCs w:val="20"/>
        </w:rPr>
        <w:lastRenderedPageBreak/>
        <w:t xml:space="preserve">temveč za doseganje ciljev, za katere je bil ustanovljen . SSRS deluje na območju celotne države in izvaja sprejeti nacionalni stanovanjski program. </w:t>
      </w:r>
    </w:p>
    <w:p w14:paraId="10C1B283" w14:textId="77777777" w:rsidR="001824E3" w:rsidRDefault="001824E3" w:rsidP="001824E3">
      <w:pPr>
        <w:jc w:val="both"/>
        <w:rPr>
          <w:rFonts w:cs="Arial"/>
          <w:color w:val="000000" w:themeColor="text1"/>
          <w:szCs w:val="20"/>
        </w:rPr>
      </w:pPr>
    </w:p>
    <w:p w14:paraId="5C604E09" w14:textId="369517E0" w:rsidR="001824E3" w:rsidRPr="001824E3" w:rsidRDefault="001824E3" w:rsidP="001824E3">
      <w:pPr>
        <w:jc w:val="both"/>
        <w:rPr>
          <w:rFonts w:cs="Arial"/>
          <w:color w:val="000000" w:themeColor="text1"/>
          <w:szCs w:val="20"/>
        </w:rPr>
      </w:pPr>
      <w:r w:rsidRPr="001824E3">
        <w:rPr>
          <w:rFonts w:cs="Arial"/>
          <w:color w:val="000000" w:themeColor="text1"/>
          <w:szCs w:val="20"/>
        </w:rPr>
        <w:t xml:space="preserve">SSRS je v letu 2023 najprej sodil v pristojnost in delovno področje ministrstva, pristojnega za okolje in prostor, nato pa je na podlagi določb Zakona o spremembah in dopolnitvah Zakona o državni upravi – ZDU-1O  prešel pod novo Ministrstvo za solidarno prihodnost, ki je pristojno za stanovanjske zadeve.   </w:t>
      </w:r>
    </w:p>
    <w:p w14:paraId="4BAA5626" w14:textId="77777777" w:rsidR="001824E3" w:rsidRPr="001824E3" w:rsidRDefault="001824E3" w:rsidP="00FF358E">
      <w:pPr>
        <w:jc w:val="both"/>
        <w:rPr>
          <w:rFonts w:cs="Arial"/>
          <w:color w:val="000000" w:themeColor="text1"/>
          <w:szCs w:val="20"/>
        </w:rPr>
      </w:pPr>
    </w:p>
    <w:p w14:paraId="3A46CD11" w14:textId="4B1A7BC8" w:rsidR="001824E3" w:rsidRPr="001824E3" w:rsidRDefault="001824E3" w:rsidP="00FF358E">
      <w:pPr>
        <w:jc w:val="both"/>
        <w:rPr>
          <w:rFonts w:cs="Arial"/>
          <w:b/>
          <w:bCs/>
          <w:color w:val="000000" w:themeColor="text1"/>
          <w:szCs w:val="20"/>
        </w:rPr>
      </w:pPr>
      <w:r w:rsidRPr="001824E3">
        <w:rPr>
          <w:rFonts w:cs="Arial"/>
          <w:b/>
          <w:bCs/>
          <w:color w:val="000000" w:themeColor="text1"/>
          <w:szCs w:val="20"/>
        </w:rPr>
        <w:t>Tabela številka 1:</w:t>
      </w:r>
      <w:r>
        <w:rPr>
          <w:rFonts w:cs="Arial"/>
          <w:b/>
          <w:bCs/>
          <w:color w:val="000000" w:themeColor="text1"/>
          <w:szCs w:val="20"/>
        </w:rPr>
        <w:t xml:space="preserve"> Podatki iz Registra proračunskih uporabnikov</w:t>
      </w:r>
    </w:p>
    <w:p w14:paraId="3942F52A" w14:textId="77777777" w:rsidR="00803E30" w:rsidRDefault="00803E30" w:rsidP="00DC5703">
      <w:pPr>
        <w:rPr>
          <w:rFonts w:cs="Arial"/>
          <w:b/>
          <w:bCs/>
          <w:szCs w:val="20"/>
        </w:rPr>
      </w:pPr>
    </w:p>
    <w:tbl>
      <w:tblPr>
        <w:tblStyle w:val="Tabelamrea"/>
        <w:tblW w:w="0" w:type="auto"/>
        <w:tblLook w:val="04A0" w:firstRow="1" w:lastRow="0" w:firstColumn="1" w:lastColumn="0" w:noHBand="0" w:noVBand="1"/>
      </w:tblPr>
      <w:tblGrid>
        <w:gridCol w:w="2122"/>
        <w:gridCol w:w="5948"/>
      </w:tblGrid>
      <w:tr w:rsidR="00D102B6" w:rsidRPr="003C0B2F" w14:paraId="40BDC6CC" w14:textId="77777777" w:rsidTr="00FD1051">
        <w:trPr>
          <w:trHeight w:val="283"/>
        </w:trPr>
        <w:tc>
          <w:tcPr>
            <w:tcW w:w="2122" w:type="dxa"/>
            <w:tcBorders>
              <w:top w:val="single" w:sz="4" w:space="0" w:color="auto"/>
              <w:left w:val="single" w:sz="4" w:space="0" w:color="auto"/>
              <w:bottom w:val="single" w:sz="4" w:space="0" w:color="auto"/>
              <w:right w:val="single" w:sz="4" w:space="0" w:color="auto"/>
            </w:tcBorders>
            <w:hideMark/>
          </w:tcPr>
          <w:p w14:paraId="07E2DD53" w14:textId="77777777" w:rsidR="00D102B6" w:rsidRPr="003C0B2F" w:rsidRDefault="00D102B6" w:rsidP="00FD1051">
            <w:pPr>
              <w:jc w:val="both"/>
              <w:rPr>
                <w:rFonts w:cs="Arial"/>
                <w:szCs w:val="20"/>
              </w:rPr>
            </w:pPr>
            <w:r w:rsidRPr="003C0B2F">
              <w:rPr>
                <w:rFonts w:cs="Arial"/>
                <w:szCs w:val="20"/>
              </w:rPr>
              <w:t>Naziv zavezanca</w:t>
            </w:r>
          </w:p>
        </w:tc>
        <w:tc>
          <w:tcPr>
            <w:tcW w:w="5948" w:type="dxa"/>
            <w:tcBorders>
              <w:top w:val="single" w:sz="4" w:space="0" w:color="auto"/>
              <w:left w:val="single" w:sz="4" w:space="0" w:color="auto"/>
              <w:bottom w:val="single" w:sz="4" w:space="0" w:color="auto"/>
              <w:right w:val="single" w:sz="4" w:space="0" w:color="auto"/>
            </w:tcBorders>
          </w:tcPr>
          <w:p w14:paraId="25517337" w14:textId="335D0C38" w:rsidR="00D102B6" w:rsidRPr="003C0B2F" w:rsidRDefault="00F57AA5" w:rsidP="00FD1051">
            <w:pPr>
              <w:jc w:val="both"/>
              <w:rPr>
                <w:szCs w:val="20"/>
              </w:rPr>
            </w:pPr>
            <w:r>
              <w:rPr>
                <w:szCs w:val="20"/>
              </w:rPr>
              <w:t>Stanovanjski sklad Republike Slovenije</w:t>
            </w:r>
          </w:p>
        </w:tc>
      </w:tr>
      <w:tr w:rsidR="00D102B6" w:rsidRPr="003C0B2F" w14:paraId="15420477" w14:textId="77777777" w:rsidTr="00FD1051">
        <w:trPr>
          <w:trHeight w:val="283"/>
        </w:trPr>
        <w:tc>
          <w:tcPr>
            <w:tcW w:w="2122" w:type="dxa"/>
            <w:tcBorders>
              <w:top w:val="single" w:sz="4" w:space="0" w:color="auto"/>
              <w:left w:val="single" w:sz="4" w:space="0" w:color="auto"/>
              <w:bottom w:val="single" w:sz="4" w:space="0" w:color="auto"/>
              <w:right w:val="single" w:sz="4" w:space="0" w:color="auto"/>
            </w:tcBorders>
            <w:hideMark/>
          </w:tcPr>
          <w:p w14:paraId="4B804D6F" w14:textId="77777777" w:rsidR="00D102B6" w:rsidRPr="003C0B2F" w:rsidRDefault="00D102B6" w:rsidP="00FD1051">
            <w:pPr>
              <w:jc w:val="both"/>
              <w:rPr>
                <w:rFonts w:cs="Arial"/>
                <w:szCs w:val="20"/>
              </w:rPr>
            </w:pPr>
            <w:r w:rsidRPr="003C0B2F">
              <w:rPr>
                <w:rFonts w:cs="Arial"/>
                <w:szCs w:val="20"/>
              </w:rPr>
              <w:t>Področje dela</w:t>
            </w:r>
          </w:p>
        </w:tc>
        <w:tc>
          <w:tcPr>
            <w:tcW w:w="5948" w:type="dxa"/>
            <w:tcBorders>
              <w:top w:val="single" w:sz="4" w:space="0" w:color="auto"/>
              <w:left w:val="single" w:sz="4" w:space="0" w:color="auto"/>
              <w:bottom w:val="single" w:sz="4" w:space="0" w:color="auto"/>
              <w:right w:val="single" w:sz="4" w:space="0" w:color="auto"/>
            </w:tcBorders>
          </w:tcPr>
          <w:p w14:paraId="7675837B" w14:textId="3410A6B7" w:rsidR="00D102B6" w:rsidRPr="001824E3" w:rsidRDefault="00F57AA5" w:rsidP="00FD1051">
            <w:pPr>
              <w:jc w:val="both"/>
              <w:rPr>
                <w:rFonts w:cs="Arial"/>
                <w:szCs w:val="20"/>
                <w:lang w:eastAsia="sl-SI"/>
              </w:rPr>
            </w:pPr>
            <w:r>
              <w:rPr>
                <w:rFonts w:cs="Arial"/>
                <w:szCs w:val="20"/>
                <w:lang w:eastAsia="sl-SI"/>
              </w:rPr>
              <w:t>Drugo kreditiranje</w:t>
            </w:r>
          </w:p>
        </w:tc>
      </w:tr>
      <w:tr w:rsidR="00D102B6" w:rsidRPr="003C0B2F" w14:paraId="147FBD2F" w14:textId="77777777" w:rsidTr="00FD1051">
        <w:trPr>
          <w:trHeight w:val="283"/>
        </w:trPr>
        <w:tc>
          <w:tcPr>
            <w:tcW w:w="2122" w:type="dxa"/>
            <w:tcBorders>
              <w:top w:val="single" w:sz="4" w:space="0" w:color="auto"/>
              <w:left w:val="single" w:sz="4" w:space="0" w:color="auto"/>
              <w:bottom w:val="single" w:sz="4" w:space="0" w:color="auto"/>
              <w:right w:val="single" w:sz="4" w:space="0" w:color="auto"/>
            </w:tcBorders>
            <w:hideMark/>
          </w:tcPr>
          <w:p w14:paraId="20B20999" w14:textId="77777777" w:rsidR="00D102B6" w:rsidRPr="003C0B2F" w:rsidRDefault="00D102B6" w:rsidP="00FD1051">
            <w:pPr>
              <w:jc w:val="both"/>
              <w:rPr>
                <w:rFonts w:cs="Arial"/>
                <w:szCs w:val="20"/>
              </w:rPr>
            </w:pPr>
            <w:r w:rsidRPr="003C0B2F">
              <w:rPr>
                <w:rFonts w:cs="Arial"/>
                <w:szCs w:val="20"/>
              </w:rPr>
              <w:t>Matična št.</w:t>
            </w:r>
          </w:p>
        </w:tc>
        <w:tc>
          <w:tcPr>
            <w:tcW w:w="5948" w:type="dxa"/>
            <w:tcBorders>
              <w:top w:val="single" w:sz="4" w:space="0" w:color="auto"/>
              <w:left w:val="single" w:sz="4" w:space="0" w:color="auto"/>
              <w:bottom w:val="single" w:sz="4" w:space="0" w:color="auto"/>
              <w:right w:val="single" w:sz="4" w:space="0" w:color="auto"/>
            </w:tcBorders>
          </w:tcPr>
          <w:p w14:paraId="6926E72E" w14:textId="211705F1" w:rsidR="00D102B6" w:rsidRPr="003C0B2F" w:rsidRDefault="00F57AA5" w:rsidP="00FD1051">
            <w:pPr>
              <w:jc w:val="both"/>
              <w:rPr>
                <w:rFonts w:cs="Arial"/>
                <w:szCs w:val="20"/>
              </w:rPr>
            </w:pPr>
            <w:r>
              <w:rPr>
                <w:rFonts w:cs="Arial"/>
                <w:szCs w:val="20"/>
              </w:rPr>
              <w:t>5539153000</w:t>
            </w:r>
          </w:p>
        </w:tc>
      </w:tr>
      <w:tr w:rsidR="00D102B6" w:rsidRPr="003C0B2F" w14:paraId="3472C87B" w14:textId="77777777" w:rsidTr="00FD1051">
        <w:trPr>
          <w:trHeight w:val="283"/>
        </w:trPr>
        <w:tc>
          <w:tcPr>
            <w:tcW w:w="2122" w:type="dxa"/>
            <w:tcBorders>
              <w:top w:val="single" w:sz="4" w:space="0" w:color="auto"/>
              <w:left w:val="single" w:sz="4" w:space="0" w:color="auto"/>
              <w:bottom w:val="single" w:sz="4" w:space="0" w:color="auto"/>
              <w:right w:val="single" w:sz="4" w:space="0" w:color="auto"/>
            </w:tcBorders>
            <w:hideMark/>
          </w:tcPr>
          <w:p w14:paraId="03897604" w14:textId="77777777" w:rsidR="00D102B6" w:rsidRPr="003C0B2F" w:rsidRDefault="00D102B6" w:rsidP="00FD1051">
            <w:pPr>
              <w:jc w:val="both"/>
              <w:rPr>
                <w:rFonts w:cs="Arial"/>
                <w:szCs w:val="20"/>
              </w:rPr>
            </w:pPr>
            <w:r w:rsidRPr="003C0B2F">
              <w:rPr>
                <w:rFonts w:cs="Arial"/>
                <w:szCs w:val="20"/>
              </w:rPr>
              <w:t>Davčna št.</w:t>
            </w:r>
          </w:p>
        </w:tc>
        <w:tc>
          <w:tcPr>
            <w:tcW w:w="5948" w:type="dxa"/>
            <w:tcBorders>
              <w:top w:val="single" w:sz="4" w:space="0" w:color="auto"/>
              <w:left w:val="single" w:sz="4" w:space="0" w:color="auto"/>
              <w:bottom w:val="single" w:sz="4" w:space="0" w:color="auto"/>
              <w:right w:val="single" w:sz="4" w:space="0" w:color="auto"/>
            </w:tcBorders>
          </w:tcPr>
          <w:p w14:paraId="4B8124EF" w14:textId="32CC054C" w:rsidR="00D102B6" w:rsidRPr="003C0B2F" w:rsidRDefault="00F57AA5" w:rsidP="00FD1051">
            <w:pPr>
              <w:jc w:val="both"/>
              <w:rPr>
                <w:rFonts w:cs="Arial"/>
                <w:szCs w:val="20"/>
              </w:rPr>
            </w:pPr>
            <w:r>
              <w:rPr>
                <w:rFonts w:cs="Arial"/>
                <w:szCs w:val="20"/>
              </w:rPr>
              <w:t>79034217</w:t>
            </w:r>
          </w:p>
        </w:tc>
      </w:tr>
      <w:tr w:rsidR="00D102B6" w:rsidRPr="003C0B2F" w14:paraId="4F8ACF7B" w14:textId="77777777" w:rsidTr="00FD1051">
        <w:trPr>
          <w:trHeight w:val="283"/>
        </w:trPr>
        <w:tc>
          <w:tcPr>
            <w:tcW w:w="2122" w:type="dxa"/>
            <w:tcBorders>
              <w:top w:val="single" w:sz="4" w:space="0" w:color="auto"/>
              <w:left w:val="single" w:sz="4" w:space="0" w:color="auto"/>
              <w:bottom w:val="single" w:sz="4" w:space="0" w:color="auto"/>
              <w:right w:val="single" w:sz="4" w:space="0" w:color="auto"/>
            </w:tcBorders>
          </w:tcPr>
          <w:p w14:paraId="3281E07D" w14:textId="77777777" w:rsidR="00D102B6" w:rsidRPr="003C0B2F" w:rsidRDefault="00D102B6" w:rsidP="00FD1051">
            <w:pPr>
              <w:jc w:val="both"/>
              <w:rPr>
                <w:rFonts w:cs="Arial"/>
                <w:szCs w:val="20"/>
              </w:rPr>
            </w:pPr>
            <w:r>
              <w:rPr>
                <w:rFonts w:cs="Arial"/>
                <w:szCs w:val="20"/>
              </w:rPr>
              <w:t>Ustanovitelj</w:t>
            </w:r>
          </w:p>
        </w:tc>
        <w:tc>
          <w:tcPr>
            <w:tcW w:w="5948" w:type="dxa"/>
            <w:tcBorders>
              <w:top w:val="single" w:sz="4" w:space="0" w:color="auto"/>
              <w:left w:val="single" w:sz="4" w:space="0" w:color="auto"/>
              <w:bottom w:val="single" w:sz="4" w:space="0" w:color="auto"/>
              <w:right w:val="single" w:sz="4" w:space="0" w:color="auto"/>
            </w:tcBorders>
          </w:tcPr>
          <w:p w14:paraId="3B8DF207" w14:textId="7FA123DF" w:rsidR="00D102B6" w:rsidRPr="003C0B2F" w:rsidRDefault="00F57AA5" w:rsidP="00FD1051">
            <w:pPr>
              <w:jc w:val="both"/>
              <w:rPr>
                <w:bCs/>
                <w:szCs w:val="20"/>
              </w:rPr>
            </w:pPr>
            <w:r>
              <w:rPr>
                <w:bCs/>
                <w:szCs w:val="20"/>
              </w:rPr>
              <w:t>Republika Slovenija</w:t>
            </w:r>
          </w:p>
        </w:tc>
      </w:tr>
      <w:tr w:rsidR="00D102B6" w:rsidRPr="003C0B2F" w14:paraId="07E21B16" w14:textId="77777777" w:rsidTr="00FD1051">
        <w:trPr>
          <w:trHeight w:val="283"/>
        </w:trPr>
        <w:tc>
          <w:tcPr>
            <w:tcW w:w="2122" w:type="dxa"/>
            <w:tcBorders>
              <w:top w:val="single" w:sz="4" w:space="0" w:color="auto"/>
              <w:left w:val="single" w:sz="4" w:space="0" w:color="auto"/>
              <w:bottom w:val="single" w:sz="4" w:space="0" w:color="auto"/>
              <w:right w:val="single" w:sz="4" w:space="0" w:color="auto"/>
            </w:tcBorders>
            <w:hideMark/>
          </w:tcPr>
          <w:p w14:paraId="1B4692D4" w14:textId="77777777" w:rsidR="00D102B6" w:rsidRPr="003C0B2F" w:rsidRDefault="00D102B6" w:rsidP="00FD1051">
            <w:pPr>
              <w:rPr>
                <w:rFonts w:cs="Arial"/>
                <w:szCs w:val="20"/>
              </w:rPr>
            </w:pPr>
            <w:r w:rsidRPr="003C0B2F">
              <w:rPr>
                <w:rFonts w:cs="Arial"/>
                <w:szCs w:val="20"/>
              </w:rPr>
              <w:t>Vrsta  proračunskega uporabnika</w:t>
            </w:r>
          </w:p>
        </w:tc>
        <w:tc>
          <w:tcPr>
            <w:tcW w:w="5948" w:type="dxa"/>
            <w:tcBorders>
              <w:top w:val="single" w:sz="4" w:space="0" w:color="auto"/>
              <w:left w:val="single" w:sz="4" w:space="0" w:color="auto"/>
              <w:bottom w:val="single" w:sz="4" w:space="0" w:color="auto"/>
              <w:right w:val="single" w:sz="4" w:space="0" w:color="auto"/>
            </w:tcBorders>
          </w:tcPr>
          <w:p w14:paraId="7D7B8D21" w14:textId="518D0546" w:rsidR="00D102B6" w:rsidRPr="003C0B2F" w:rsidRDefault="00F57AA5" w:rsidP="00FD1051">
            <w:pPr>
              <w:jc w:val="both"/>
              <w:rPr>
                <w:rFonts w:cs="Arial"/>
                <w:szCs w:val="20"/>
              </w:rPr>
            </w:pPr>
            <w:r>
              <w:rPr>
                <w:rFonts w:cs="Arial"/>
                <w:szCs w:val="20"/>
              </w:rPr>
              <w:t>Posredni proračunski uporabnik</w:t>
            </w:r>
          </w:p>
        </w:tc>
      </w:tr>
      <w:tr w:rsidR="00D102B6" w:rsidRPr="003C0B2F" w14:paraId="4FA1FFF6" w14:textId="77777777" w:rsidTr="00FD1051">
        <w:trPr>
          <w:trHeight w:val="283"/>
        </w:trPr>
        <w:tc>
          <w:tcPr>
            <w:tcW w:w="2122" w:type="dxa"/>
            <w:tcBorders>
              <w:top w:val="single" w:sz="4" w:space="0" w:color="auto"/>
              <w:left w:val="single" w:sz="4" w:space="0" w:color="auto"/>
              <w:bottom w:val="single" w:sz="4" w:space="0" w:color="auto"/>
              <w:right w:val="single" w:sz="4" w:space="0" w:color="auto"/>
            </w:tcBorders>
            <w:hideMark/>
          </w:tcPr>
          <w:p w14:paraId="0835C448" w14:textId="77777777" w:rsidR="00D102B6" w:rsidRPr="003C0B2F" w:rsidRDefault="00D102B6" w:rsidP="00FD1051">
            <w:pPr>
              <w:rPr>
                <w:rFonts w:cs="Arial"/>
                <w:szCs w:val="20"/>
              </w:rPr>
            </w:pPr>
            <w:r w:rsidRPr="003C0B2F">
              <w:rPr>
                <w:rFonts w:cs="Arial"/>
                <w:szCs w:val="20"/>
              </w:rPr>
              <w:t>Št</w:t>
            </w:r>
            <w:r>
              <w:rPr>
                <w:rFonts w:cs="Arial"/>
                <w:szCs w:val="20"/>
              </w:rPr>
              <w:t>.</w:t>
            </w:r>
            <w:r w:rsidRPr="003C0B2F">
              <w:rPr>
                <w:rFonts w:cs="Arial"/>
                <w:szCs w:val="20"/>
              </w:rPr>
              <w:t xml:space="preserve"> </w:t>
            </w:r>
            <w:r>
              <w:rPr>
                <w:rFonts w:cs="Arial"/>
                <w:szCs w:val="20"/>
              </w:rPr>
              <w:t>p</w:t>
            </w:r>
            <w:r w:rsidRPr="003C0B2F">
              <w:rPr>
                <w:rFonts w:cs="Arial"/>
                <w:szCs w:val="20"/>
              </w:rPr>
              <w:t>roračunskega uporabnika</w:t>
            </w:r>
          </w:p>
        </w:tc>
        <w:tc>
          <w:tcPr>
            <w:tcW w:w="5948" w:type="dxa"/>
            <w:tcBorders>
              <w:top w:val="single" w:sz="4" w:space="0" w:color="auto"/>
              <w:left w:val="single" w:sz="4" w:space="0" w:color="auto"/>
              <w:bottom w:val="single" w:sz="4" w:space="0" w:color="auto"/>
              <w:right w:val="single" w:sz="4" w:space="0" w:color="auto"/>
            </w:tcBorders>
          </w:tcPr>
          <w:p w14:paraId="11B7B4DB" w14:textId="44F971D8" w:rsidR="00D102B6" w:rsidRPr="003C0B2F" w:rsidRDefault="00F57AA5" w:rsidP="00FD1051">
            <w:pPr>
              <w:jc w:val="both"/>
              <w:rPr>
                <w:rFonts w:cs="Arial"/>
                <w:szCs w:val="20"/>
              </w:rPr>
            </w:pPr>
            <w:r>
              <w:rPr>
                <w:rFonts w:cs="Arial"/>
                <w:szCs w:val="20"/>
              </w:rPr>
              <w:t>96024</w:t>
            </w:r>
          </w:p>
        </w:tc>
      </w:tr>
      <w:tr w:rsidR="00D102B6" w:rsidRPr="003C0B2F" w14:paraId="5208AED2" w14:textId="77777777" w:rsidTr="00FD1051">
        <w:trPr>
          <w:trHeight w:val="283"/>
        </w:trPr>
        <w:tc>
          <w:tcPr>
            <w:tcW w:w="2122" w:type="dxa"/>
            <w:tcBorders>
              <w:top w:val="single" w:sz="4" w:space="0" w:color="auto"/>
              <w:left w:val="single" w:sz="4" w:space="0" w:color="auto"/>
              <w:bottom w:val="single" w:sz="4" w:space="0" w:color="auto"/>
              <w:right w:val="single" w:sz="4" w:space="0" w:color="auto"/>
            </w:tcBorders>
            <w:hideMark/>
          </w:tcPr>
          <w:p w14:paraId="14E5685F" w14:textId="77777777" w:rsidR="00D102B6" w:rsidRPr="003C0B2F" w:rsidRDefault="00D102B6" w:rsidP="00FD1051">
            <w:pPr>
              <w:jc w:val="both"/>
              <w:rPr>
                <w:rFonts w:cs="Arial"/>
                <w:szCs w:val="20"/>
              </w:rPr>
            </w:pPr>
            <w:r w:rsidRPr="003C0B2F">
              <w:rPr>
                <w:rFonts w:cs="Arial"/>
                <w:szCs w:val="20"/>
              </w:rPr>
              <w:t>Odgovorna oseba</w:t>
            </w:r>
          </w:p>
        </w:tc>
        <w:tc>
          <w:tcPr>
            <w:tcW w:w="5948" w:type="dxa"/>
            <w:tcBorders>
              <w:top w:val="single" w:sz="4" w:space="0" w:color="auto"/>
              <w:left w:val="single" w:sz="4" w:space="0" w:color="auto"/>
              <w:bottom w:val="single" w:sz="4" w:space="0" w:color="auto"/>
              <w:right w:val="single" w:sz="4" w:space="0" w:color="auto"/>
            </w:tcBorders>
          </w:tcPr>
          <w:p w14:paraId="3FE1BC7C" w14:textId="35402AC5" w:rsidR="00D102B6" w:rsidRPr="003C0B2F" w:rsidRDefault="00B51767" w:rsidP="00FD1051">
            <w:pPr>
              <w:jc w:val="both"/>
              <w:rPr>
                <w:rFonts w:cs="Arial"/>
                <w:szCs w:val="20"/>
              </w:rPr>
            </w:pPr>
            <w:r>
              <w:rPr>
                <w:rFonts w:cs="Arial"/>
                <w:szCs w:val="20"/>
              </w:rPr>
              <w:t>█</w:t>
            </w:r>
          </w:p>
        </w:tc>
      </w:tr>
    </w:tbl>
    <w:p w14:paraId="46C48160" w14:textId="77777777" w:rsidR="00D102B6" w:rsidRPr="00DC5703" w:rsidRDefault="00D102B6" w:rsidP="00DC5703">
      <w:pPr>
        <w:rPr>
          <w:rFonts w:cs="Arial"/>
          <w:b/>
          <w:bCs/>
          <w:szCs w:val="20"/>
        </w:rPr>
      </w:pPr>
    </w:p>
    <w:p w14:paraId="143C3CD8" w14:textId="520BC2D3" w:rsidR="0003790E" w:rsidRPr="007837B1" w:rsidRDefault="007837B1" w:rsidP="0003790E">
      <w:pPr>
        <w:jc w:val="both"/>
        <w:rPr>
          <w:rFonts w:cs="Arial"/>
          <w:color w:val="000000" w:themeColor="text1"/>
          <w:szCs w:val="20"/>
        </w:rPr>
      </w:pPr>
      <w:r w:rsidRPr="007837B1">
        <w:rPr>
          <w:rFonts w:cs="Arial"/>
          <w:color w:val="000000" w:themeColor="text1"/>
          <w:szCs w:val="20"/>
        </w:rPr>
        <w:t>S</w:t>
      </w:r>
      <w:r w:rsidR="00BF3337">
        <w:rPr>
          <w:rFonts w:cs="Arial"/>
          <w:color w:val="000000" w:themeColor="text1"/>
          <w:szCs w:val="20"/>
        </w:rPr>
        <w:t>S</w:t>
      </w:r>
      <w:r w:rsidRPr="007837B1">
        <w:rPr>
          <w:rFonts w:cs="Arial"/>
          <w:color w:val="000000" w:themeColor="text1"/>
          <w:szCs w:val="20"/>
        </w:rPr>
        <w:t>RS je pravna oseba javnega prava, ki po Standardni klasifikaciji dejavnosti</w:t>
      </w:r>
      <w:r w:rsidRPr="007837B1">
        <w:rPr>
          <w:rStyle w:val="Sprotnaopomba-sklic"/>
          <w:rFonts w:cs="Arial"/>
          <w:color w:val="000000" w:themeColor="text1"/>
          <w:szCs w:val="20"/>
        </w:rPr>
        <w:footnoteReference w:id="2"/>
      </w:r>
      <w:r w:rsidRPr="007837B1">
        <w:rPr>
          <w:rFonts w:cs="Arial"/>
          <w:color w:val="000000" w:themeColor="text1"/>
          <w:szCs w:val="20"/>
        </w:rPr>
        <w:t xml:space="preserve"> opravlja naslednje dejavnosti:</w:t>
      </w:r>
    </w:p>
    <w:p w14:paraId="65F6BCA9" w14:textId="77777777" w:rsidR="007837B1" w:rsidRPr="007837B1" w:rsidRDefault="007837B1" w:rsidP="0003790E">
      <w:pPr>
        <w:jc w:val="both"/>
        <w:rPr>
          <w:rFonts w:cs="Arial"/>
          <w:color w:val="000000" w:themeColor="text1"/>
          <w:szCs w:val="20"/>
        </w:rPr>
      </w:pPr>
    </w:p>
    <w:p w14:paraId="608A079A" w14:textId="77777777" w:rsidR="007837B1" w:rsidRPr="007837B1" w:rsidRDefault="007837B1" w:rsidP="007837B1">
      <w:pPr>
        <w:pStyle w:val="Odstavekseznama"/>
        <w:numPr>
          <w:ilvl w:val="0"/>
          <w:numId w:val="6"/>
        </w:numPr>
        <w:jc w:val="both"/>
        <w:rPr>
          <w:rFonts w:cs="Arial"/>
          <w:color w:val="FF0000"/>
          <w:szCs w:val="20"/>
        </w:rPr>
      </w:pPr>
      <w:r>
        <w:t xml:space="preserve">K64.920 Drugo kreditiranje, </w:t>
      </w:r>
    </w:p>
    <w:p w14:paraId="54C92C3F" w14:textId="77777777" w:rsidR="007837B1" w:rsidRPr="007837B1" w:rsidRDefault="007837B1" w:rsidP="007837B1">
      <w:pPr>
        <w:pStyle w:val="Odstavekseznama"/>
        <w:numPr>
          <w:ilvl w:val="0"/>
          <w:numId w:val="6"/>
        </w:numPr>
        <w:jc w:val="both"/>
        <w:rPr>
          <w:rFonts w:cs="Arial"/>
          <w:color w:val="FF0000"/>
          <w:szCs w:val="20"/>
        </w:rPr>
      </w:pPr>
      <w:r>
        <w:t>K64.990 Druge nerazvrščene dejavnosti finančnih storitev, razen zavarovalništva in pokojninskih skladov</w:t>
      </w:r>
    </w:p>
    <w:p w14:paraId="31FF06BC" w14:textId="77777777" w:rsidR="007837B1" w:rsidRPr="007837B1" w:rsidRDefault="007837B1" w:rsidP="007837B1">
      <w:pPr>
        <w:pStyle w:val="Odstavekseznama"/>
        <w:numPr>
          <w:ilvl w:val="0"/>
          <w:numId w:val="6"/>
        </w:numPr>
        <w:jc w:val="both"/>
        <w:rPr>
          <w:rFonts w:cs="Arial"/>
          <w:color w:val="FF0000"/>
          <w:szCs w:val="20"/>
        </w:rPr>
      </w:pPr>
      <w:r>
        <w:t>F41.100 Organizacijo izvedbe stavbnih projektov</w:t>
      </w:r>
    </w:p>
    <w:p w14:paraId="28E02213" w14:textId="77777777" w:rsidR="007837B1" w:rsidRPr="007837B1" w:rsidRDefault="007837B1" w:rsidP="007837B1">
      <w:pPr>
        <w:pStyle w:val="Odstavekseznama"/>
        <w:numPr>
          <w:ilvl w:val="0"/>
          <w:numId w:val="6"/>
        </w:numPr>
        <w:jc w:val="both"/>
        <w:rPr>
          <w:rFonts w:cs="Arial"/>
          <w:color w:val="FF0000"/>
          <w:szCs w:val="20"/>
        </w:rPr>
      </w:pPr>
      <w:r>
        <w:t>L68.100 Trgovanje z lastnimi nepremičninami</w:t>
      </w:r>
    </w:p>
    <w:p w14:paraId="02840F3F" w14:textId="77777777" w:rsidR="007837B1" w:rsidRPr="007837B1" w:rsidRDefault="007837B1" w:rsidP="007837B1">
      <w:pPr>
        <w:pStyle w:val="Odstavekseznama"/>
        <w:numPr>
          <w:ilvl w:val="0"/>
          <w:numId w:val="6"/>
        </w:numPr>
        <w:jc w:val="both"/>
        <w:rPr>
          <w:rFonts w:cs="Arial"/>
          <w:color w:val="FF0000"/>
          <w:szCs w:val="20"/>
        </w:rPr>
      </w:pPr>
      <w:r>
        <w:t>L68.310 Posredništvo v prometu z nepremičninami</w:t>
      </w:r>
    </w:p>
    <w:p w14:paraId="5347D0E0" w14:textId="77777777" w:rsidR="007837B1" w:rsidRPr="007837B1" w:rsidRDefault="007837B1" w:rsidP="007837B1">
      <w:pPr>
        <w:pStyle w:val="Odstavekseznama"/>
        <w:numPr>
          <w:ilvl w:val="0"/>
          <w:numId w:val="6"/>
        </w:numPr>
        <w:jc w:val="both"/>
        <w:rPr>
          <w:rFonts w:cs="Arial"/>
          <w:color w:val="FF0000"/>
          <w:szCs w:val="20"/>
        </w:rPr>
      </w:pPr>
      <w:r>
        <w:t>L68.200 Oddajanje in obratovanje lastnih in najetih nepremičnin</w:t>
      </w:r>
    </w:p>
    <w:p w14:paraId="28841D83" w14:textId="5767215C" w:rsidR="007837B1" w:rsidRPr="007837B1" w:rsidRDefault="007837B1" w:rsidP="007837B1">
      <w:pPr>
        <w:pStyle w:val="Odstavekseznama"/>
        <w:numPr>
          <w:ilvl w:val="0"/>
          <w:numId w:val="6"/>
        </w:numPr>
        <w:jc w:val="both"/>
        <w:rPr>
          <w:rFonts w:cs="Arial"/>
          <w:color w:val="FF0000"/>
          <w:szCs w:val="20"/>
        </w:rPr>
      </w:pPr>
      <w:r>
        <w:t>L68.320 Upravljanje nepremičnin za plačilo ali po pogodbi.</w:t>
      </w:r>
    </w:p>
    <w:p w14:paraId="22F60D1F" w14:textId="77777777" w:rsidR="007837B1" w:rsidRDefault="007837B1" w:rsidP="0003790E">
      <w:pPr>
        <w:jc w:val="both"/>
        <w:rPr>
          <w:rFonts w:cs="Arial"/>
          <w:color w:val="FF0000"/>
          <w:szCs w:val="20"/>
        </w:rPr>
      </w:pPr>
    </w:p>
    <w:p w14:paraId="64D8C13C" w14:textId="2DF5F812" w:rsidR="007F7A67" w:rsidRPr="00DC5703" w:rsidRDefault="007F7A67" w:rsidP="00DC5703">
      <w:pPr>
        <w:rPr>
          <w:b/>
          <w:bCs/>
        </w:rPr>
      </w:pPr>
      <w:r w:rsidRPr="00DC5703">
        <w:rPr>
          <w:b/>
          <w:bCs/>
        </w:rPr>
        <w:t>I</w:t>
      </w:r>
      <w:r w:rsidR="00803E30" w:rsidRPr="00DC5703">
        <w:rPr>
          <w:b/>
          <w:bCs/>
        </w:rPr>
        <w:t>I</w:t>
      </w:r>
      <w:r w:rsidRPr="00DC5703">
        <w:rPr>
          <w:b/>
          <w:bCs/>
        </w:rPr>
        <w:t>. Predmet inšpekcijskega nadzora</w:t>
      </w:r>
    </w:p>
    <w:p w14:paraId="6A7A086B" w14:textId="77777777" w:rsidR="007F7A67" w:rsidRDefault="007F7A67" w:rsidP="00FF358E">
      <w:pPr>
        <w:jc w:val="both"/>
        <w:rPr>
          <w:rFonts w:cs="Arial"/>
          <w:b/>
          <w:bCs/>
          <w:szCs w:val="20"/>
        </w:rPr>
      </w:pPr>
    </w:p>
    <w:p w14:paraId="638F6BC5" w14:textId="540255A0" w:rsidR="00AE3421" w:rsidRPr="0016498E" w:rsidRDefault="00AE3421" w:rsidP="00AE3421">
      <w:pPr>
        <w:jc w:val="both"/>
        <w:rPr>
          <w:rFonts w:eastAsia="Times New Roman" w:cs="Arial"/>
          <w:color w:val="000000" w:themeColor="text1"/>
          <w:szCs w:val="20"/>
        </w:rPr>
      </w:pPr>
      <w:bookmarkStart w:id="3" w:name="_Hlk201310590"/>
      <w:bookmarkStart w:id="4" w:name="_Hlk123110425"/>
      <w:bookmarkStart w:id="5" w:name="_Hlk152234723"/>
      <w:r w:rsidRPr="0016498E">
        <w:rPr>
          <w:rFonts w:eastAsia="Times New Roman" w:cs="Arial"/>
          <w:color w:val="000000" w:themeColor="text1"/>
          <w:szCs w:val="20"/>
        </w:rPr>
        <w:t xml:space="preserve">Ministrstvo za finance, Urad Republike Slovenije za nadzor proračuna, je pri </w:t>
      </w:r>
      <w:r w:rsidR="0003790E" w:rsidRPr="0016498E">
        <w:rPr>
          <w:rFonts w:eastAsia="Times New Roman" w:cs="Arial"/>
          <w:color w:val="000000" w:themeColor="text1"/>
          <w:szCs w:val="20"/>
        </w:rPr>
        <w:t>prora</w:t>
      </w:r>
      <w:r w:rsidRPr="0016498E">
        <w:rPr>
          <w:rFonts w:eastAsia="Times New Roman" w:cs="Arial"/>
          <w:color w:val="000000" w:themeColor="text1"/>
          <w:szCs w:val="20"/>
        </w:rPr>
        <w:t xml:space="preserve">čunskem uporabniku </w:t>
      </w:r>
      <w:r w:rsidR="007837B1" w:rsidRPr="0016498E">
        <w:rPr>
          <w:rFonts w:eastAsia="Times New Roman" w:cs="Arial"/>
          <w:color w:val="000000" w:themeColor="text1"/>
          <w:szCs w:val="20"/>
        </w:rPr>
        <w:t>S</w:t>
      </w:r>
      <w:r w:rsidR="00BF3337">
        <w:rPr>
          <w:rFonts w:eastAsia="Times New Roman" w:cs="Arial"/>
          <w:color w:val="000000" w:themeColor="text1"/>
          <w:szCs w:val="20"/>
        </w:rPr>
        <w:t>SR</w:t>
      </w:r>
      <w:r w:rsidR="007837B1" w:rsidRPr="0016498E">
        <w:rPr>
          <w:rFonts w:eastAsia="Times New Roman" w:cs="Arial"/>
          <w:color w:val="000000" w:themeColor="text1"/>
          <w:szCs w:val="20"/>
        </w:rPr>
        <w:t>S</w:t>
      </w:r>
      <w:r w:rsidRPr="0016498E">
        <w:rPr>
          <w:rFonts w:eastAsia="Times New Roman" w:cs="Arial"/>
          <w:color w:val="000000" w:themeColor="text1"/>
          <w:szCs w:val="20"/>
        </w:rPr>
        <w:t xml:space="preserve"> izved</w:t>
      </w:r>
      <w:r w:rsidR="00ED0704" w:rsidRPr="0016498E">
        <w:rPr>
          <w:rFonts w:eastAsia="Times New Roman" w:cs="Arial"/>
          <w:color w:val="000000" w:themeColor="text1"/>
          <w:szCs w:val="20"/>
        </w:rPr>
        <w:t>e</w:t>
      </w:r>
      <w:r w:rsidRPr="0016498E">
        <w:rPr>
          <w:rFonts w:eastAsia="Times New Roman" w:cs="Arial"/>
          <w:color w:val="000000" w:themeColor="text1"/>
          <w:szCs w:val="20"/>
        </w:rPr>
        <w:t>l inšpekcijski pregled</w:t>
      </w:r>
      <w:r w:rsidR="0016498E" w:rsidRPr="0016498E">
        <w:rPr>
          <w:rFonts w:eastAsia="Times New Roman" w:cs="Arial"/>
          <w:color w:val="000000" w:themeColor="text1"/>
          <w:szCs w:val="20"/>
        </w:rPr>
        <w:t xml:space="preserve"> porabe sredstev, prejetih iz državnega proračuna RS za leto 2023, kot izhajajo iz računovodskih evidenc Ministrstva za finance.</w:t>
      </w:r>
      <w:r w:rsidRPr="0016498E">
        <w:rPr>
          <w:rFonts w:eastAsia="Times New Roman" w:cs="Arial"/>
          <w:color w:val="000000" w:themeColor="text1"/>
          <w:szCs w:val="20"/>
        </w:rPr>
        <w:t xml:space="preserve"> </w:t>
      </w:r>
    </w:p>
    <w:bookmarkEnd w:id="3"/>
    <w:p w14:paraId="7A7E2A69" w14:textId="77777777" w:rsidR="00CE4469" w:rsidRDefault="00CE4469" w:rsidP="00AE3421">
      <w:pPr>
        <w:jc w:val="both"/>
        <w:rPr>
          <w:rFonts w:eastAsia="Times New Roman" w:cs="Arial"/>
          <w:szCs w:val="20"/>
        </w:rPr>
      </w:pPr>
    </w:p>
    <w:p w14:paraId="102646CD" w14:textId="51315EE9" w:rsidR="00AE3421" w:rsidRPr="0016498E" w:rsidRDefault="00CE4469" w:rsidP="00AE3421">
      <w:pPr>
        <w:jc w:val="both"/>
        <w:rPr>
          <w:rFonts w:eastAsia="Times New Roman" w:cs="Arial"/>
          <w:b/>
          <w:bCs/>
          <w:color w:val="000000" w:themeColor="text1"/>
          <w:szCs w:val="20"/>
        </w:rPr>
      </w:pPr>
      <w:bookmarkStart w:id="6" w:name="_Hlk200101835"/>
      <w:r w:rsidRPr="0016498E">
        <w:rPr>
          <w:rFonts w:eastAsia="Times New Roman" w:cs="Arial"/>
          <w:b/>
          <w:bCs/>
          <w:color w:val="000000" w:themeColor="text1"/>
          <w:szCs w:val="20"/>
        </w:rPr>
        <w:t xml:space="preserve">Tabela številka </w:t>
      </w:r>
      <w:r w:rsidR="00FC0C9E">
        <w:rPr>
          <w:rFonts w:eastAsia="Times New Roman" w:cs="Arial"/>
          <w:b/>
          <w:bCs/>
          <w:color w:val="000000" w:themeColor="text1"/>
          <w:szCs w:val="20"/>
        </w:rPr>
        <w:t>2</w:t>
      </w:r>
      <w:r w:rsidRPr="0016498E">
        <w:rPr>
          <w:rFonts w:eastAsia="Times New Roman" w:cs="Arial"/>
          <w:b/>
          <w:bCs/>
          <w:color w:val="000000" w:themeColor="text1"/>
          <w:szCs w:val="20"/>
        </w:rPr>
        <w:t xml:space="preserve">: </w:t>
      </w:r>
      <w:r w:rsidR="00AA60A6" w:rsidRPr="0016498E">
        <w:rPr>
          <w:rFonts w:eastAsia="Times New Roman" w:cs="Arial"/>
          <w:b/>
          <w:bCs/>
          <w:color w:val="000000" w:themeColor="text1"/>
          <w:szCs w:val="20"/>
        </w:rPr>
        <w:t xml:space="preserve">Znesek nadziranih sredstev </w:t>
      </w:r>
    </w:p>
    <w:p w14:paraId="06B0C9C8" w14:textId="77777777" w:rsidR="00AA60A6" w:rsidRPr="009300AF" w:rsidRDefault="00AA60A6" w:rsidP="00AE3421">
      <w:pPr>
        <w:jc w:val="both"/>
        <w:rPr>
          <w:rFonts w:eastAsia="Times New Roman" w:cs="Arial"/>
          <w:szCs w:val="20"/>
        </w:rPr>
      </w:pPr>
      <w:bookmarkStart w:id="7" w:name="_Hlk200028746"/>
      <w:bookmarkEnd w:id="6"/>
    </w:p>
    <w:tbl>
      <w:tblPr>
        <w:tblStyle w:val="Tabelamrea1"/>
        <w:tblW w:w="8500" w:type="dxa"/>
        <w:tblLook w:val="04A0" w:firstRow="1" w:lastRow="0" w:firstColumn="1" w:lastColumn="0" w:noHBand="0" w:noVBand="1"/>
      </w:tblPr>
      <w:tblGrid>
        <w:gridCol w:w="988"/>
        <w:gridCol w:w="4819"/>
        <w:gridCol w:w="2693"/>
      </w:tblGrid>
      <w:tr w:rsidR="00AE3421" w:rsidRPr="009300AF" w14:paraId="4D8C4D30" w14:textId="77777777" w:rsidTr="004441ED">
        <w:tc>
          <w:tcPr>
            <w:tcW w:w="988" w:type="dxa"/>
            <w:shd w:val="clear" w:color="auto" w:fill="BDD6EE" w:themeFill="accent5" w:themeFillTint="66"/>
          </w:tcPr>
          <w:p w14:paraId="2776DEF8" w14:textId="77777777" w:rsidR="00AE3421" w:rsidRPr="009300AF" w:rsidRDefault="00AE3421" w:rsidP="004441ED">
            <w:pPr>
              <w:spacing w:after="160" w:line="276" w:lineRule="auto"/>
              <w:rPr>
                <w:color w:val="000000"/>
              </w:rPr>
            </w:pPr>
            <w:bookmarkStart w:id="8" w:name="_Hlk136437397"/>
            <w:bookmarkEnd w:id="4"/>
            <w:r w:rsidRPr="009300AF">
              <w:rPr>
                <w:color w:val="000000"/>
              </w:rPr>
              <w:t>LETO</w:t>
            </w:r>
          </w:p>
        </w:tc>
        <w:tc>
          <w:tcPr>
            <w:tcW w:w="4819" w:type="dxa"/>
            <w:shd w:val="clear" w:color="auto" w:fill="BDD6EE" w:themeFill="accent5" w:themeFillTint="66"/>
          </w:tcPr>
          <w:p w14:paraId="5A0752EE" w14:textId="427A7141" w:rsidR="00AE3421" w:rsidRPr="009300AF" w:rsidRDefault="00AE3421" w:rsidP="004441ED">
            <w:pPr>
              <w:spacing w:after="160" w:line="276" w:lineRule="auto"/>
              <w:rPr>
                <w:color w:val="000000"/>
              </w:rPr>
            </w:pPr>
            <w:r w:rsidRPr="009300AF">
              <w:rPr>
                <w:color w:val="000000"/>
              </w:rPr>
              <w:t>VRSTA</w:t>
            </w:r>
            <w:r w:rsidR="009300AF">
              <w:rPr>
                <w:color w:val="000000"/>
              </w:rPr>
              <w:t xml:space="preserve"> </w:t>
            </w:r>
            <w:r w:rsidRPr="009300AF">
              <w:rPr>
                <w:color w:val="000000"/>
              </w:rPr>
              <w:t>PREJETIH SREDSTEV</w:t>
            </w:r>
          </w:p>
        </w:tc>
        <w:tc>
          <w:tcPr>
            <w:tcW w:w="2693" w:type="dxa"/>
            <w:shd w:val="clear" w:color="auto" w:fill="BDD6EE" w:themeFill="accent5" w:themeFillTint="66"/>
          </w:tcPr>
          <w:p w14:paraId="2D310B53" w14:textId="4A5958DC" w:rsidR="00AE3421" w:rsidRPr="009300AF" w:rsidRDefault="00AE3421" w:rsidP="004441ED">
            <w:pPr>
              <w:spacing w:after="160" w:line="276" w:lineRule="auto"/>
              <w:jc w:val="right"/>
              <w:rPr>
                <w:color w:val="000000"/>
              </w:rPr>
            </w:pPr>
            <w:r w:rsidRPr="009300AF">
              <w:rPr>
                <w:color w:val="000000"/>
              </w:rPr>
              <w:t>VIŠINA</w:t>
            </w:r>
            <w:r w:rsidR="009300AF">
              <w:rPr>
                <w:color w:val="000000"/>
              </w:rPr>
              <w:t xml:space="preserve"> </w:t>
            </w:r>
            <w:r w:rsidRPr="009300AF">
              <w:rPr>
                <w:color w:val="000000"/>
              </w:rPr>
              <w:t>SREDSTEV V EUR</w:t>
            </w:r>
          </w:p>
        </w:tc>
      </w:tr>
      <w:tr w:rsidR="00AE3421" w:rsidRPr="009300AF" w14:paraId="432934BB" w14:textId="77777777" w:rsidTr="004441ED">
        <w:trPr>
          <w:trHeight w:val="339"/>
        </w:trPr>
        <w:tc>
          <w:tcPr>
            <w:tcW w:w="988" w:type="dxa"/>
          </w:tcPr>
          <w:p w14:paraId="1A7A02B5" w14:textId="542A4502" w:rsidR="00AE3421" w:rsidRPr="009300AF" w:rsidRDefault="00AE3421" w:rsidP="004441ED">
            <w:pPr>
              <w:spacing w:after="160" w:line="276" w:lineRule="auto"/>
              <w:rPr>
                <w:color w:val="000000"/>
              </w:rPr>
            </w:pPr>
            <w:bookmarkStart w:id="9" w:name="_Hlk127180001"/>
            <w:r w:rsidRPr="009300AF">
              <w:rPr>
                <w:color w:val="000000"/>
              </w:rPr>
              <w:t>202</w:t>
            </w:r>
            <w:r w:rsidR="00DC324B">
              <w:rPr>
                <w:color w:val="000000"/>
              </w:rPr>
              <w:t>3</w:t>
            </w:r>
          </w:p>
        </w:tc>
        <w:tc>
          <w:tcPr>
            <w:tcW w:w="4819" w:type="dxa"/>
          </w:tcPr>
          <w:p w14:paraId="55C68C2E" w14:textId="77777777" w:rsidR="00AE3421" w:rsidRPr="009300AF" w:rsidRDefault="00AE3421" w:rsidP="004441ED">
            <w:pPr>
              <w:spacing w:after="160" w:line="276" w:lineRule="auto"/>
              <w:rPr>
                <w:color w:val="000000"/>
              </w:rPr>
            </w:pPr>
            <w:r w:rsidRPr="009300AF">
              <w:rPr>
                <w:color w:val="000000"/>
              </w:rPr>
              <w:t>SREDSTVA DRŽAVNEGA PRORAČUNA</w:t>
            </w:r>
          </w:p>
        </w:tc>
        <w:tc>
          <w:tcPr>
            <w:tcW w:w="2693" w:type="dxa"/>
          </w:tcPr>
          <w:p w14:paraId="3CFCA3EB" w14:textId="7427E333" w:rsidR="00AE3421" w:rsidRPr="009300AF" w:rsidRDefault="007475D2" w:rsidP="004441ED">
            <w:pPr>
              <w:spacing w:after="160" w:line="276" w:lineRule="auto"/>
              <w:jc w:val="right"/>
              <w:rPr>
                <w:color w:val="000000"/>
              </w:rPr>
            </w:pPr>
            <w:r w:rsidRPr="007475D2">
              <w:rPr>
                <w:color w:val="000000" w:themeColor="text1"/>
              </w:rPr>
              <w:t xml:space="preserve">           39.751.897,52</w:t>
            </w:r>
          </w:p>
        </w:tc>
      </w:tr>
      <w:bookmarkEnd w:id="5"/>
      <w:bookmarkEnd w:id="7"/>
      <w:bookmarkEnd w:id="8"/>
      <w:bookmarkEnd w:id="9"/>
    </w:tbl>
    <w:p w14:paraId="74577F06" w14:textId="77777777" w:rsidR="00FC0C9E" w:rsidRDefault="00FC0C9E" w:rsidP="00AE3421">
      <w:pPr>
        <w:spacing w:line="276" w:lineRule="auto"/>
        <w:jc w:val="both"/>
        <w:rPr>
          <w:rFonts w:eastAsia="Times New Roman" w:cs="Arial"/>
          <w:b/>
          <w:bCs/>
          <w:szCs w:val="20"/>
        </w:rPr>
      </w:pPr>
    </w:p>
    <w:p w14:paraId="22C77E17" w14:textId="77777777" w:rsidR="00BF75D7" w:rsidRDefault="00BF75D7" w:rsidP="00AE3421">
      <w:pPr>
        <w:spacing w:line="276" w:lineRule="auto"/>
        <w:jc w:val="both"/>
        <w:rPr>
          <w:rFonts w:eastAsia="Times New Roman" w:cs="Arial"/>
          <w:b/>
          <w:bCs/>
          <w:szCs w:val="20"/>
        </w:rPr>
      </w:pPr>
    </w:p>
    <w:p w14:paraId="12EF4466" w14:textId="77777777" w:rsidR="00EC4D17" w:rsidRDefault="00EC4D17" w:rsidP="00AE3421">
      <w:pPr>
        <w:spacing w:line="276" w:lineRule="auto"/>
        <w:jc w:val="both"/>
        <w:rPr>
          <w:rFonts w:eastAsia="Times New Roman" w:cs="Arial"/>
          <w:b/>
          <w:bCs/>
          <w:szCs w:val="20"/>
        </w:rPr>
      </w:pPr>
    </w:p>
    <w:p w14:paraId="5A0F0B39" w14:textId="77777777" w:rsidR="00EC4D17" w:rsidRDefault="00EC4D17" w:rsidP="00AE3421">
      <w:pPr>
        <w:spacing w:line="276" w:lineRule="auto"/>
        <w:jc w:val="both"/>
        <w:rPr>
          <w:rFonts w:eastAsia="Times New Roman" w:cs="Arial"/>
          <w:b/>
          <w:bCs/>
          <w:szCs w:val="20"/>
        </w:rPr>
      </w:pPr>
    </w:p>
    <w:p w14:paraId="6E21BCB2" w14:textId="77777777" w:rsidR="00BF75D7" w:rsidRDefault="00BF75D7" w:rsidP="00AE3421">
      <w:pPr>
        <w:spacing w:line="276" w:lineRule="auto"/>
        <w:jc w:val="both"/>
        <w:rPr>
          <w:rFonts w:eastAsia="Times New Roman" w:cs="Arial"/>
          <w:b/>
          <w:bCs/>
          <w:szCs w:val="20"/>
        </w:rPr>
      </w:pPr>
    </w:p>
    <w:p w14:paraId="7DADADBE" w14:textId="77777777" w:rsidR="00BF75D7" w:rsidRDefault="00BF75D7" w:rsidP="00AE3421">
      <w:pPr>
        <w:spacing w:line="276" w:lineRule="auto"/>
        <w:jc w:val="both"/>
        <w:rPr>
          <w:rFonts w:eastAsia="Times New Roman" w:cs="Arial"/>
          <w:b/>
          <w:bCs/>
          <w:szCs w:val="20"/>
        </w:rPr>
      </w:pPr>
    </w:p>
    <w:p w14:paraId="1AB966D1" w14:textId="77777777" w:rsidR="00BF75D7" w:rsidRDefault="00BF75D7" w:rsidP="00AE3421">
      <w:pPr>
        <w:spacing w:line="276" w:lineRule="auto"/>
        <w:jc w:val="both"/>
        <w:rPr>
          <w:rFonts w:eastAsia="Times New Roman" w:cs="Arial"/>
          <w:b/>
          <w:bCs/>
          <w:szCs w:val="20"/>
        </w:rPr>
      </w:pPr>
    </w:p>
    <w:p w14:paraId="7A74B40B" w14:textId="77777777" w:rsidR="00BF75D7" w:rsidRDefault="00BF75D7" w:rsidP="00AE3421">
      <w:pPr>
        <w:spacing w:line="276" w:lineRule="auto"/>
        <w:jc w:val="both"/>
        <w:rPr>
          <w:rFonts w:eastAsia="Times New Roman" w:cs="Arial"/>
          <w:b/>
          <w:bCs/>
          <w:szCs w:val="20"/>
        </w:rPr>
      </w:pPr>
    </w:p>
    <w:p w14:paraId="32C1A40B" w14:textId="77777777" w:rsidR="00BF75D7" w:rsidRDefault="00BF75D7" w:rsidP="00AE3421">
      <w:pPr>
        <w:spacing w:line="276" w:lineRule="auto"/>
        <w:jc w:val="both"/>
        <w:rPr>
          <w:rFonts w:eastAsia="Times New Roman" w:cs="Arial"/>
          <w:b/>
          <w:bCs/>
          <w:szCs w:val="20"/>
        </w:rPr>
      </w:pPr>
    </w:p>
    <w:p w14:paraId="3E9C9A01" w14:textId="6A2BF0CC" w:rsidR="00AE3421" w:rsidRPr="00AE3421" w:rsidRDefault="00AE3421" w:rsidP="00AE3421">
      <w:pPr>
        <w:spacing w:line="276" w:lineRule="auto"/>
        <w:jc w:val="both"/>
        <w:rPr>
          <w:rFonts w:eastAsia="Times New Roman" w:cs="Arial"/>
          <w:szCs w:val="20"/>
        </w:rPr>
      </w:pPr>
      <w:r w:rsidRPr="00AE3421">
        <w:rPr>
          <w:rFonts w:eastAsia="Times New Roman" w:cs="Arial"/>
          <w:b/>
          <w:bCs/>
          <w:szCs w:val="20"/>
        </w:rPr>
        <w:t>III.  Materialnopravna ureditev nadziranega področja</w:t>
      </w:r>
    </w:p>
    <w:p w14:paraId="18CCEA6A" w14:textId="77777777" w:rsidR="00AE3421" w:rsidRPr="00AE3421" w:rsidRDefault="00AE3421" w:rsidP="00AE3421">
      <w:pPr>
        <w:spacing w:line="276" w:lineRule="auto"/>
        <w:jc w:val="both"/>
        <w:rPr>
          <w:rFonts w:eastAsia="Times New Roman" w:cs="Arial"/>
          <w:szCs w:val="20"/>
        </w:rPr>
      </w:pPr>
    </w:p>
    <w:p w14:paraId="08499404" w14:textId="7695DBD0" w:rsidR="00AE3421" w:rsidRP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Zakon o javnih financah (Uradni list RS, št. 11/11 – uradno prečiščeno besedilo, 14/13 – popr., 101/13, 55/15 – ZFisP, 96/15 – ZIPRS1617, 13/18, 195/20 – odl. US, 18/23 – ZDU-1O</w:t>
      </w:r>
      <w:r w:rsidR="00DC5703">
        <w:rPr>
          <w:rFonts w:eastAsia="Times New Roman" w:cs="Arial"/>
          <w:szCs w:val="20"/>
        </w:rPr>
        <w:t>,</w:t>
      </w:r>
      <w:r w:rsidRPr="00AE3421">
        <w:rPr>
          <w:rFonts w:eastAsia="Times New Roman" w:cs="Arial"/>
          <w:szCs w:val="20"/>
        </w:rPr>
        <w:t xml:space="preserve"> 76/23</w:t>
      </w:r>
      <w:r w:rsidR="00DC5703">
        <w:rPr>
          <w:rFonts w:eastAsia="Times New Roman" w:cs="Arial"/>
          <w:szCs w:val="20"/>
        </w:rPr>
        <w:t xml:space="preserve"> in 24/25-ZFisP-1</w:t>
      </w:r>
      <w:r w:rsidR="003F362F">
        <w:rPr>
          <w:rFonts w:eastAsia="Times New Roman" w:cs="Arial"/>
          <w:szCs w:val="20"/>
        </w:rPr>
        <w:t xml:space="preserve"> – v nadaljevanju: ZJF</w:t>
      </w:r>
      <w:r w:rsidRPr="00AE3421">
        <w:rPr>
          <w:rFonts w:eastAsia="Times New Roman" w:cs="Arial"/>
          <w:szCs w:val="20"/>
        </w:rPr>
        <w:t>),</w:t>
      </w:r>
    </w:p>
    <w:p w14:paraId="09C01714" w14:textId="7D8C513E" w:rsidR="00AE3421" w:rsidRDefault="00AE3421" w:rsidP="00AE3421">
      <w:pPr>
        <w:numPr>
          <w:ilvl w:val="0"/>
          <w:numId w:val="1"/>
        </w:numPr>
        <w:spacing w:after="160" w:line="276" w:lineRule="auto"/>
        <w:ind w:left="284" w:hanging="284"/>
        <w:contextualSpacing/>
        <w:jc w:val="both"/>
        <w:rPr>
          <w:rFonts w:eastAsia="Times New Roman" w:cs="Arial"/>
          <w:szCs w:val="20"/>
        </w:rPr>
      </w:pPr>
      <w:r w:rsidRPr="00AE3421">
        <w:rPr>
          <w:rFonts w:eastAsia="Times New Roman" w:cs="Arial"/>
          <w:szCs w:val="20"/>
        </w:rPr>
        <w:t>Zakon o izvrševanju proračunov Republike Slovenije za leti 202</w:t>
      </w:r>
      <w:r w:rsidR="008E35BD">
        <w:rPr>
          <w:rFonts w:eastAsia="Times New Roman" w:cs="Arial"/>
          <w:szCs w:val="20"/>
        </w:rPr>
        <w:t>3</w:t>
      </w:r>
      <w:r w:rsidRPr="00AE3421">
        <w:rPr>
          <w:rFonts w:eastAsia="Times New Roman" w:cs="Arial"/>
          <w:szCs w:val="20"/>
        </w:rPr>
        <w:t xml:space="preserve"> in 202</w:t>
      </w:r>
      <w:r w:rsidR="008E35BD">
        <w:rPr>
          <w:rFonts w:eastAsia="Times New Roman" w:cs="Arial"/>
          <w:szCs w:val="20"/>
        </w:rPr>
        <w:t>4</w:t>
      </w:r>
      <w:r w:rsidRPr="00AE3421">
        <w:rPr>
          <w:rFonts w:eastAsia="Times New Roman" w:cs="Arial"/>
          <w:szCs w:val="20"/>
        </w:rPr>
        <w:t xml:space="preserve"> </w:t>
      </w:r>
      <w:r w:rsidR="008E35BD" w:rsidRPr="008E35BD">
        <w:rPr>
          <w:rFonts w:eastAsia="Times New Roman" w:cs="Arial"/>
          <w:szCs w:val="20"/>
        </w:rPr>
        <w:t xml:space="preserve">Uradni list RS, št. 150/22, 65/23, 76/23 – ZJF-I, 97/23 in 123/23 – </w:t>
      </w:r>
      <w:r w:rsidR="00FF79B3">
        <w:rPr>
          <w:rFonts w:eastAsia="Times New Roman" w:cs="Arial"/>
          <w:szCs w:val="20"/>
        </w:rPr>
        <w:t xml:space="preserve">v nadaljevanju: </w:t>
      </w:r>
      <w:r w:rsidR="008E35BD" w:rsidRPr="008E35BD">
        <w:rPr>
          <w:rFonts w:eastAsia="Times New Roman" w:cs="Arial"/>
          <w:szCs w:val="20"/>
        </w:rPr>
        <w:t>ZIPRS2</w:t>
      </w:r>
      <w:r w:rsidR="00FF79B3">
        <w:rPr>
          <w:rFonts w:eastAsia="Times New Roman" w:cs="Arial"/>
          <w:szCs w:val="20"/>
        </w:rPr>
        <w:t>3</w:t>
      </w:r>
      <w:r w:rsidR="008E35BD" w:rsidRPr="008E35BD">
        <w:rPr>
          <w:rFonts w:eastAsia="Times New Roman" w:cs="Arial"/>
          <w:szCs w:val="20"/>
        </w:rPr>
        <w:t>2</w:t>
      </w:r>
      <w:r w:rsidR="00FF79B3">
        <w:rPr>
          <w:rFonts w:eastAsia="Times New Roman" w:cs="Arial"/>
          <w:szCs w:val="20"/>
        </w:rPr>
        <w:t>4</w:t>
      </w:r>
      <w:r w:rsidR="008E35BD">
        <w:rPr>
          <w:rFonts w:eastAsia="Times New Roman" w:cs="Arial"/>
          <w:szCs w:val="20"/>
        </w:rPr>
        <w:t>),</w:t>
      </w:r>
    </w:p>
    <w:p w14:paraId="11E1F3B1" w14:textId="19164AE5" w:rsidR="007C7527" w:rsidRDefault="007C7527" w:rsidP="00AE3421">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Zakon o računovodstvu (</w:t>
      </w:r>
      <w:r w:rsidRPr="007C7527">
        <w:rPr>
          <w:rFonts w:eastAsia="Times New Roman" w:cs="Arial"/>
          <w:szCs w:val="20"/>
        </w:rPr>
        <w:t>Uradni list RS, št. 23/99, 30/02 – ZJF-C in 114/06 – ZUE</w:t>
      </w:r>
      <w:r>
        <w:rPr>
          <w:rFonts w:eastAsia="Times New Roman" w:cs="Arial"/>
          <w:szCs w:val="20"/>
        </w:rPr>
        <w:t>),</w:t>
      </w:r>
    </w:p>
    <w:p w14:paraId="203CAE76" w14:textId="3E3927A4" w:rsidR="00343CFC" w:rsidRDefault="00343CFC" w:rsidP="00AE3421">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 xml:space="preserve">Zakon o državni </w:t>
      </w:r>
      <w:r w:rsidRPr="00343CFC">
        <w:rPr>
          <w:rFonts w:eastAsia="Times New Roman" w:cs="Arial"/>
          <w:szCs w:val="20"/>
        </w:rPr>
        <w:t>upravi (Uradni list RS, št. 113/05 – uradno prečiščeno besedilo, 89/07 – odl. US, 126/07 – ZUP-E, 48/09, 8/10 – ZUP-G, 8/12 – ZVRS-F, 21/12, 47/13, 12/14, 90/14, 51/16, 36/21, 82/21, 189/21, 153/22 in 18/23),</w:t>
      </w:r>
    </w:p>
    <w:p w14:paraId="1CDA0ECC" w14:textId="1E76A7BC" w:rsidR="00794847" w:rsidRDefault="00794847" w:rsidP="00AE3421">
      <w:pPr>
        <w:numPr>
          <w:ilvl w:val="0"/>
          <w:numId w:val="1"/>
        </w:numPr>
        <w:spacing w:after="160" w:line="276" w:lineRule="auto"/>
        <w:ind w:left="284" w:hanging="284"/>
        <w:contextualSpacing/>
        <w:jc w:val="both"/>
        <w:rPr>
          <w:rFonts w:eastAsia="Times New Roman" w:cs="Arial"/>
          <w:szCs w:val="20"/>
        </w:rPr>
      </w:pPr>
      <w:r>
        <w:rPr>
          <w:rFonts w:eastAsia="Times New Roman" w:cs="Arial"/>
          <w:szCs w:val="20"/>
        </w:rPr>
        <w:t>Zakon o javnih skladih (</w:t>
      </w:r>
      <w:r w:rsidRPr="00794847">
        <w:rPr>
          <w:rFonts w:eastAsia="Times New Roman" w:cs="Arial"/>
          <w:szCs w:val="20"/>
        </w:rPr>
        <w:t>Uradni list RS, št. 77/08, 8/10 – ZSKZ-B, 61/20 – ZDLGPE in 206/21 – ZDUPŠOP</w:t>
      </w:r>
      <w:r>
        <w:rPr>
          <w:rFonts w:eastAsia="Times New Roman" w:cs="Arial"/>
          <w:szCs w:val="20"/>
        </w:rPr>
        <w:t>),</w:t>
      </w:r>
    </w:p>
    <w:p w14:paraId="7801FE6B" w14:textId="24E0C02C" w:rsidR="00D53CA6" w:rsidRDefault="00D53CA6" w:rsidP="00AE3421">
      <w:pPr>
        <w:numPr>
          <w:ilvl w:val="0"/>
          <w:numId w:val="1"/>
        </w:numPr>
        <w:spacing w:after="160" w:line="276" w:lineRule="auto"/>
        <w:ind w:left="284" w:hanging="284"/>
        <w:contextualSpacing/>
        <w:jc w:val="both"/>
        <w:rPr>
          <w:rFonts w:eastAsia="Times New Roman" w:cs="Arial"/>
          <w:color w:val="000000" w:themeColor="text1"/>
          <w:szCs w:val="20"/>
        </w:rPr>
      </w:pPr>
      <w:r w:rsidRPr="003E4201">
        <w:rPr>
          <w:rFonts w:eastAsia="Times New Roman" w:cs="Arial"/>
          <w:color w:val="000000" w:themeColor="text1"/>
          <w:szCs w:val="20"/>
        </w:rPr>
        <w:t>Stanovanjski zakon (Uradni list RS, št. 69/03, 18/04 – ZVKSES, 47/06 – ZEN, 45/08 – ZVEtL, 57/08, 62/10 – ZUPJS, 56/11 – odl. US, 87/11, 40/12 – ZUJF, 14/17 – odl. US, 27/17, 59/19, 189/20 – ZFRO, 90/21, 18/23 – ZDU-1O, 77/23 – odl. US),</w:t>
      </w:r>
    </w:p>
    <w:p w14:paraId="20D5FC2E" w14:textId="517A787E" w:rsidR="00A22D63" w:rsidRDefault="00A22D63" w:rsidP="00AE3421">
      <w:pPr>
        <w:numPr>
          <w:ilvl w:val="0"/>
          <w:numId w:val="1"/>
        </w:numPr>
        <w:spacing w:after="160" w:line="276" w:lineRule="auto"/>
        <w:ind w:left="284" w:hanging="284"/>
        <w:contextualSpacing/>
        <w:jc w:val="both"/>
        <w:rPr>
          <w:rFonts w:eastAsia="Times New Roman" w:cs="Arial"/>
          <w:color w:val="000000" w:themeColor="text1"/>
          <w:szCs w:val="20"/>
        </w:rPr>
      </w:pPr>
      <w:r>
        <w:rPr>
          <w:rFonts w:eastAsia="Times New Roman" w:cs="Arial"/>
          <w:color w:val="000000" w:themeColor="text1"/>
          <w:szCs w:val="20"/>
        </w:rPr>
        <w:t>Zakon o začasni zaščiti razseljenih oseb (</w:t>
      </w:r>
      <w:r w:rsidRPr="00A22D63">
        <w:rPr>
          <w:rFonts w:eastAsia="Times New Roman" w:cs="Arial"/>
          <w:color w:val="000000" w:themeColor="text1"/>
          <w:szCs w:val="20"/>
        </w:rPr>
        <w:t xml:space="preserve">Uradni list RS, št. 65/05, 5/17 – ZTuj-2D in 16/17 – </w:t>
      </w:r>
      <w:r>
        <w:rPr>
          <w:rFonts w:eastAsia="Times New Roman" w:cs="Arial"/>
          <w:color w:val="000000" w:themeColor="text1"/>
          <w:szCs w:val="20"/>
        </w:rPr>
        <w:t>UPB</w:t>
      </w:r>
      <w:r w:rsidR="00FB0874">
        <w:rPr>
          <w:rFonts w:eastAsia="Times New Roman" w:cs="Arial"/>
          <w:color w:val="000000" w:themeColor="text1"/>
          <w:szCs w:val="20"/>
        </w:rPr>
        <w:t>)</w:t>
      </w:r>
      <w:r w:rsidR="00685777">
        <w:rPr>
          <w:rStyle w:val="Sprotnaopomba-sklic"/>
          <w:rFonts w:eastAsia="Times New Roman" w:cs="Arial"/>
          <w:color w:val="000000" w:themeColor="text1"/>
          <w:szCs w:val="20"/>
        </w:rPr>
        <w:footnoteReference w:id="3"/>
      </w:r>
      <w:r w:rsidR="00145C95">
        <w:rPr>
          <w:rFonts w:eastAsia="Times New Roman" w:cs="Arial"/>
          <w:color w:val="000000" w:themeColor="text1"/>
          <w:szCs w:val="20"/>
        </w:rPr>
        <w:t>,</w:t>
      </w:r>
    </w:p>
    <w:p w14:paraId="15EE6E11" w14:textId="7CBCD084" w:rsidR="00145C95" w:rsidRDefault="00145C95" w:rsidP="00AE3421">
      <w:pPr>
        <w:numPr>
          <w:ilvl w:val="0"/>
          <w:numId w:val="1"/>
        </w:numPr>
        <w:spacing w:after="160" w:line="276" w:lineRule="auto"/>
        <w:ind w:left="284" w:hanging="284"/>
        <w:contextualSpacing/>
        <w:jc w:val="both"/>
        <w:rPr>
          <w:rFonts w:eastAsia="Times New Roman" w:cs="Arial"/>
          <w:color w:val="000000" w:themeColor="text1"/>
          <w:szCs w:val="20"/>
        </w:rPr>
      </w:pPr>
      <w:r>
        <w:rPr>
          <w:rFonts w:eastAsia="Times New Roman" w:cs="Arial"/>
          <w:color w:val="000000" w:themeColor="text1"/>
          <w:szCs w:val="20"/>
        </w:rPr>
        <w:t>Uredba o izvajanju javnega najema stanovanj (197/21),</w:t>
      </w:r>
    </w:p>
    <w:p w14:paraId="3E7E632C" w14:textId="147DD2EF" w:rsidR="00CA6F89" w:rsidRPr="003E4201" w:rsidRDefault="00CA6F89" w:rsidP="00AE3421">
      <w:pPr>
        <w:numPr>
          <w:ilvl w:val="0"/>
          <w:numId w:val="1"/>
        </w:numPr>
        <w:spacing w:after="160" w:line="276" w:lineRule="auto"/>
        <w:ind w:left="284" w:hanging="284"/>
        <w:contextualSpacing/>
        <w:jc w:val="both"/>
        <w:rPr>
          <w:rFonts w:eastAsia="Times New Roman" w:cs="Arial"/>
          <w:color w:val="000000" w:themeColor="text1"/>
          <w:szCs w:val="20"/>
        </w:rPr>
      </w:pPr>
      <w:r w:rsidRPr="00CA6F89">
        <w:rPr>
          <w:rFonts w:eastAsia="Times New Roman" w:cs="Arial"/>
          <w:color w:val="000000" w:themeColor="text1"/>
          <w:szCs w:val="20"/>
        </w:rPr>
        <w:t>Pravilnik o dodeljevanju neprofitnih stanovanj v najem (Uradni list RS, št. 14/04, 34/04, 62/06, 11/09, 81/11, 47/14, 153/21, 62/23, 61/24 – SZ-1F in 108/24)</w:t>
      </w:r>
      <w:r>
        <w:rPr>
          <w:rFonts w:eastAsia="Times New Roman" w:cs="Arial"/>
          <w:color w:val="000000" w:themeColor="text1"/>
          <w:szCs w:val="20"/>
        </w:rPr>
        <w:t>,</w:t>
      </w:r>
    </w:p>
    <w:p w14:paraId="522D84C4" w14:textId="7EE8050A" w:rsidR="003E4201" w:rsidRPr="003E4201" w:rsidRDefault="003E4201" w:rsidP="00AE3421">
      <w:pPr>
        <w:numPr>
          <w:ilvl w:val="0"/>
          <w:numId w:val="1"/>
        </w:numPr>
        <w:spacing w:after="160" w:line="276" w:lineRule="auto"/>
        <w:ind w:left="284" w:hanging="284"/>
        <w:contextualSpacing/>
        <w:jc w:val="both"/>
        <w:rPr>
          <w:rFonts w:eastAsia="Times New Roman" w:cs="Arial"/>
          <w:color w:val="000000" w:themeColor="text1"/>
          <w:szCs w:val="20"/>
        </w:rPr>
      </w:pPr>
      <w:r w:rsidRPr="003E4201">
        <w:rPr>
          <w:rFonts w:eastAsia="Times New Roman" w:cs="Arial"/>
          <w:color w:val="000000" w:themeColor="text1"/>
          <w:szCs w:val="20"/>
        </w:rPr>
        <w:t>Nacionalni stanovanjski program (Uradni list, št. 43/00),</w:t>
      </w:r>
    </w:p>
    <w:p w14:paraId="0A906055" w14:textId="0AD7FF77" w:rsidR="00396561" w:rsidRDefault="003E4201" w:rsidP="00396561">
      <w:pPr>
        <w:numPr>
          <w:ilvl w:val="0"/>
          <w:numId w:val="1"/>
        </w:numPr>
        <w:spacing w:after="160" w:line="276" w:lineRule="auto"/>
        <w:ind w:left="284" w:hanging="284"/>
        <w:contextualSpacing/>
        <w:jc w:val="both"/>
        <w:rPr>
          <w:rFonts w:eastAsia="Times New Roman" w:cs="Arial"/>
          <w:color w:val="000000" w:themeColor="text1"/>
          <w:szCs w:val="20"/>
        </w:rPr>
      </w:pPr>
      <w:r w:rsidRPr="003E4201">
        <w:rPr>
          <w:rFonts w:eastAsia="Times New Roman" w:cs="Arial"/>
          <w:color w:val="000000" w:themeColor="text1"/>
          <w:szCs w:val="20"/>
        </w:rPr>
        <w:t>Resolucija o nacionalnem stanovanjskem programu 2015 – 2025 (Uradni list, št. 92/15)</w:t>
      </w:r>
    </w:p>
    <w:p w14:paraId="37FEFF4D" w14:textId="2AF9B913" w:rsidR="00794847" w:rsidRDefault="00794847" w:rsidP="00396561">
      <w:pPr>
        <w:numPr>
          <w:ilvl w:val="0"/>
          <w:numId w:val="1"/>
        </w:numPr>
        <w:spacing w:after="160" w:line="276" w:lineRule="auto"/>
        <w:ind w:left="284" w:hanging="284"/>
        <w:contextualSpacing/>
        <w:jc w:val="both"/>
        <w:rPr>
          <w:rFonts w:eastAsia="Times New Roman" w:cs="Arial"/>
          <w:color w:val="000000" w:themeColor="text1"/>
          <w:szCs w:val="20"/>
        </w:rPr>
      </w:pPr>
      <w:r>
        <w:rPr>
          <w:rFonts w:eastAsia="Times New Roman" w:cs="Arial"/>
          <w:color w:val="000000" w:themeColor="text1"/>
          <w:szCs w:val="20"/>
        </w:rPr>
        <w:t>Akt o ustanovitvi Stanovanjskega sklada Republike Slovenije kot javnega sklada (</w:t>
      </w:r>
      <w:r w:rsidRPr="00794847">
        <w:rPr>
          <w:rFonts w:eastAsia="Times New Roman" w:cs="Arial"/>
          <w:color w:val="000000" w:themeColor="text1"/>
          <w:szCs w:val="20"/>
        </w:rPr>
        <w:t>Uradni list RS, št. 6/11, 60/17, 17/18, 4/19, 31/21</w:t>
      </w:r>
      <w:r w:rsidR="00E743F4">
        <w:rPr>
          <w:rFonts w:eastAsia="Times New Roman" w:cs="Arial"/>
          <w:color w:val="000000" w:themeColor="text1"/>
          <w:szCs w:val="20"/>
        </w:rPr>
        <w:t>,</w:t>
      </w:r>
      <w:r w:rsidRPr="00794847">
        <w:rPr>
          <w:rFonts w:eastAsia="Times New Roman" w:cs="Arial"/>
          <w:color w:val="000000" w:themeColor="text1"/>
          <w:szCs w:val="20"/>
        </w:rPr>
        <w:t xml:space="preserve"> 132/23</w:t>
      </w:r>
      <w:r w:rsidR="00E743F4">
        <w:rPr>
          <w:rFonts w:eastAsia="Times New Roman" w:cs="Arial"/>
          <w:color w:val="000000" w:themeColor="text1"/>
          <w:szCs w:val="20"/>
        </w:rPr>
        <w:t xml:space="preserve"> in 87/24</w:t>
      </w:r>
      <w:r>
        <w:rPr>
          <w:rFonts w:eastAsia="Times New Roman" w:cs="Arial"/>
          <w:color w:val="000000" w:themeColor="text1"/>
          <w:szCs w:val="20"/>
        </w:rPr>
        <w:t>)</w:t>
      </w:r>
      <w:r w:rsidR="00C657FA">
        <w:rPr>
          <w:rFonts w:eastAsia="Times New Roman" w:cs="Arial"/>
          <w:color w:val="000000" w:themeColor="text1"/>
          <w:szCs w:val="20"/>
        </w:rPr>
        <w:t>,</w:t>
      </w:r>
    </w:p>
    <w:p w14:paraId="0EF61AD1" w14:textId="12813539" w:rsidR="007A64DB" w:rsidRDefault="007A64DB" w:rsidP="00396561">
      <w:pPr>
        <w:numPr>
          <w:ilvl w:val="0"/>
          <w:numId w:val="1"/>
        </w:numPr>
        <w:spacing w:after="160" w:line="276" w:lineRule="auto"/>
        <w:ind w:left="284" w:hanging="284"/>
        <w:contextualSpacing/>
        <w:jc w:val="both"/>
        <w:rPr>
          <w:rFonts w:eastAsia="Times New Roman" w:cs="Arial"/>
          <w:color w:val="000000" w:themeColor="text1"/>
          <w:szCs w:val="20"/>
        </w:rPr>
      </w:pPr>
      <w:r>
        <w:rPr>
          <w:rFonts w:eastAsia="Times New Roman" w:cs="Arial"/>
          <w:color w:val="000000" w:themeColor="text1"/>
          <w:szCs w:val="20"/>
        </w:rPr>
        <w:t>Splošni pogoji poslovanja Stanovanjskega sklada Republike Slovenije, javnega sklada (</w:t>
      </w:r>
      <w:r w:rsidRPr="007A64DB">
        <w:rPr>
          <w:rFonts w:eastAsia="Times New Roman" w:cs="Arial"/>
          <w:color w:val="000000" w:themeColor="text1"/>
          <w:szCs w:val="20"/>
        </w:rPr>
        <w:t>Uradni list RS, št. 119/00, 28/01 in 6/11</w:t>
      </w:r>
      <w:r>
        <w:rPr>
          <w:rFonts w:eastAsia="Times New Roman" w:cs="Arial"/>
          <w:color w:val="000000" w:themeColor="text1"/>
          <w:szCs w:val="20"/>
        </w:rPr>
        <w:t>),</w:t>
      </w:r>
    </w:p>
    <w:p w14:paraId="07264E2B" w14:textId="43A3708F" w:rsidR="00396561" w:rsidRPr="00396561" w:rsidRDefault="00396561" w:rsidP="00396561">
      <w:pPr>
        <w:numPr>
          <w:ilvl w:val="0"/>
          <w:numId w:val="1"/>
        </w:numPr>
        <w:spacing w:after="160" w:line="276" w:lineRule="auto"/>
        <w:ind w:left="284" w:hanging="284"/>
        <w:contextualSpacing/>
        <w:jc w:val="both"/>
        <w:rPr>
          <w:rFonts w:eastAsia="Times New Roman" w:cs="Arial"/>
          <w:color w:val="000000" w:themeColor="text1"/>
          <w:szCs w:val="20"/>
        </w:rPr>
      </w:pPr>
      <w:r>
        <w:rPr>
          <w:rFonts w:eastAsia="Times New Roman" w:cs="Arial"/>
          <w:color w:val="000000" w:themeColor="text1"/>
          <w:szCs w:val="20"/>
        </w:rPr>
        <w:t>Sklep o uvedbi začasne zaščite za razseljene osebe iz Ukrajine (Uradni list, št. 32/22</w:t>
      </w:r>
      <w:r w:rsidR="00DC43D5">
        <w:rPr>
          <w:rFonts w:eastAsia="Times New Roman" w:cs="Arial"/>
          <w:color w:val="000000" w:themeColor="text1"/>
          <w:szCs w:val="20"/>
        </w:rPr>
        <w:t>, 4/24 in 74/24</w:t>
      </w:r>
      <w:r>
        <w:rPr>
          <w:rFonts w:eastAsia="Times New Roman" w:cs="Arial"/>
          <w:color w:val="000000" w:themeColor="text1"/>
          <w:szCs w:val="20"/>
        </w:rPr>
        <w:t>).</w:t>
      </w:r>
    </w:p>
    <w:p w14:paraId="564F91AE" w14:textId="77777777" w:rsidR="00343CFC" w:rsidRDefault="00343CFC" w:rsidP="00343CFC">
      <w:pPr>
        <w:spacing w:after="160" w:line="276" w:lineRule="auto"/>
        <w:contextualSpacing/>
        <w:jc w:val="both"/>
        <w:rPr>
          <w:rFonts w:eastAsia="Times New Roman" w:cs="Arial"/>
          <w:szCs w:val="20"/>
        </w:rPr>
      </w:pPr>
    </w:p>
    <w:p w14:paraId="6CC0B0B3" w14:textId="03E47C02" w:rsidR="00DB660F" w:rsidRDefault="00DB660F" w:rsidP="00343CFC">
      <w:pPr>
        <w:spacing w:after="160" w:line="276" w:lineRule="auto"/>
        <w:contextualSpacing/>
        <w:jc w:val="both"/>
        <w:rPr>
          <w:rFonts w:eastAsia="Times New Roman" w:cs="Arial"/>
          <w:szCs w:val="20"/>
        </w:rPr>
      </w:pPr>
      <w:r>
        <w:t>V skladu z drugim odstavkom 2. člena ZJF se lahko sredstva proračuna uporabljajo le za financiranje funkcij državnih in občinskih organov, za izvajanje njihovih nalog in druge namene, ki so opredeljeni z ustavo, zakoni ali občinskimi predpisi ter v višini, ki je nujna za delovanje in izvajanje njihovih nalog in programov. Nadalje je v tretjem odstavku istega člena opredeljeno, da je potrebno pri pripravi in izvrševanju proračuna spoštovati načelo gospodarnosti in učinkovitosti.</w:t>
      </w:r>
    </w:p>
    <w:p w14:paraId="03C848E1" w14:textId="77777777" w:rsidR="00DB660F" w:rsidRDefault="00DB660F" w:rsidP="00D53CA6">
      <w:pPr>
        <w:spacing w:after="160" w:line="276" w:lineRule="auto"/>
        <w:contextualSpacing/>
        <w:jc w:val="both"/>
      </w:pPr>
    </w:p>
    <w:p w14:paraId="169B7E02" w14:textId="5689E94E" w:rsidR="00D53CA6" w:rsidRDefault="00D53CA6" w:rsidP="00D53CA6">
      <w:pPr>
        <w:spacing w:after="160" w:line="276" w:lineRule="auto"/>
        <w:contextualSpacing/>
        <w:jc w:val="both"/>
      </w:pPr>
      <w:r>
        <w:t>ZJF v prvem odstavku 102. člena opredeljuje, da nadzor nad izvajanjem predmetnega zakona in predpisov, ki urejajo poslovanje s sredstvi državnega proračuna RS opravlja ministrstvo, pristojno za finance. Nadalje prvi odstavek 103. člena istega zakona določa, da je stranka v inšpekcijskem postopku neposredni ali posredni uporabnik državnega ali občinskega proračuna za sredstva prejeta iz državnega proračuna. V skladu z drugim odstavkom 103. člena ZJF pa mora drug prejemnik sredstev državnega proračuna omogočiti nadzor za sredstva pridobljena iz državnega proračuna.</w:t>
      </w:r>
    </w:p>
    <w:p w14:paraId="663DCA79" w14:textId="77777777" w:rsidR="00D53CA6" w:rsidRDefault="00D53CA6" w:rsidP="00D53CA6">
      <w:pPr>
        <w:spacing w:after="160" w:line="276" w:lineRule="auto"/>
        <w:contextualSpacing/>
        <w:jc w:val="both"/>
      </w:pPr>
    </w:p>
    <w:p w14:paraId="13DCC020" w14:textId="6B8D6330" w:rsidR="006B07F6" w:rsidRDefault="00D53CA6" w:rsidP="00FC0C9E">
      <w:pPr>
        <w:spacing w:line="276" w:lineRule="auto"/>
        <w:contextualSpacing/>
        <w:jc w:val="both"/>
      </w:pPr>
      <w:r>
        <w:t>ZIPRS2324 v poglavju Izvrševanje proračuna v petem členu opredeljuje, da se v tekočem letu izvršuje proračun tekočega leta. Proračun se izvršuje skladno z določbami ZJF, vsakokratnega zakona o izvrševanju proračunov ter v skladu s podzakonskimi predpisi, izdanimi na njuni podlagi.</w:t>
      </w:r>
    </w:p>
    <w:p w14:paraId="55B8D946" w14:textId="77777777" w:rsidR="003E4201" w:rsidRDefault="003E4201" w:rsidP="00FC0C9E">
      <w:pPr>
        <w:spacing w:line="276" w:lineRule="auto"/>
        <w:contextualSpacing/>
        <w:jc w:val="both"/>
      </w:pPr>
    </w:p>
    <w:p w14:paraId="0AC6FA6F" w14:textId="62474B5D" w:rsidR="0011041B" w:rsidRDefault="0011041B" w:rsidP="00FC0C9E">
      <w:pPr>
        <w:jc w:val="both"/>
      </w:pPr>
      <w:r>
        <w:t xml:space="preserve">V Zakonu o javnih skladih je </w:t>
      </w:r>
      <w:r w:rsidR="00E743F4">
        <w:t xml:space="preserve">v </w:t>
      </w:r>
      <w:r>
        <w:t xml:space="preserve">prvem odstavku 2. člena določeno, da je javni sklad pravna oseba javnega prava, ki jo ustanovitelj ustanovi za izvajanje svoje politike na določenem področju. Javni </w:t>
      </w:r>
      <w:r>
        <w:lastRenderedPageBreak/>
        <w:t xml:space="preserve">sklad se ustanovi za izvajanje socialne, kulturne, </w:t>
      </w:r>
      <w:r w:rsidR="000101F5">
        <w:t>prostorske, stanovanjske in drugih politik ustanovitelja.</w:t>
      </w:r>
    </w:p>
    <w:p w14:paraId="064EC708" w14:textId="0E822AA7" w:rsidR="001F5380" w:rsidRDefault="001F5380" w:rsidP="00FC0C9E">
      <w:pPr>
        <w:jc w:val="both"/>
      </w:pPr>
      <w:r w:rsidRPr="001F5380">
        <w:t xml:space="preserve">V </w:t>
      </w:r>
      <w:r>
        <w:t xml:space="preserve">poglavju XIII.3 Stanovanjskega zakona je v 146. členu opredeljeno, da je Stanovanjski sklad Republike </w:t>
      </w:r>
      <w:r w:rsidR="00985AC7">
        <w:t>S</w:t>
      </w:r>
      <w:r>
        <w:t>lovenije javni sklad, ki je ustanovljen za namene financiranja in izvajanja nacionalnega stanovanjskega programa, spodbujanja stanovanjske gradnje, prenove in vzdrževanja stanovanj in stanovanjskih stavb. Nadalje je v drugem odstavku istega člena opredeljeno, da je ustanovitelj sklada Republika Slovenija.</w:t>
      </w:r>
      <w:r w:rsidR="0011041B">
        <w:t xml:space="preserve"> Sredstva za poslovanje sklada se zagotavljajo v državnem proračunu, z namenskimi dotacijami domačih in tujih pravnih in fizičnih oseb, iz prihodkov, ustvarjenih z razpolaganjem s premoženjem sklada ali države v upravljanju sklada, iz prihodkov, ustvarjenih z lastnim poslovanjem ter iz drugih virov, ki so našteti v prvem odstavku 147. člena Stanovanjskega zakona.</w:t>
      </w:r>
    </w:p>
    <w:p w14:paraId="1064D64F" w14:textId="77777777" w:rsidR="007A64DB" w:rsidRDefault="007A64DB" w:rsidP="00667191">
      <w:pPr>
        <w:pStyle w:val="Naslovdostopnost"/>
      </w:pPr>
    </w:p>
    <w:p w14:paraId="65027981" w14:textId="173643AB" w:rsidR="00803E30" w:rsidRPr="00914B7D" w:rsidRDefault="00803E30" w:rsidP="00914B7D">
      <w:pPr>
        <w:rPr>
          <w:b/>
          <w:bCs/>
        </w:rPr>
      </w:pPr>
      <w:r w:rsidRPr="00914B7D">
        <w:rPr>
          <w:b/>
          <w:bCs/>
        </w:rPr>
        <w:t>IV. Opravljene preveritve, ugotovitve in izrečeni ukrepi</w:t>
      </w:r>
    </w:p>
    <w:p w14:paraId="50DE3F56" w14:textId="77777777" w:rsidR="00DF4DCC" w:rsidRPr="00EE0582" w:rsidRDefault="00DF4DCC" w:rsidP="00667191">
      <w:pPr>
        <w:pStyle w:val="Naslovdostopnost"/>
      </w:pPr>
    </w:p>
    <w:p w14:paraId="21149653" w14:textId="4397AE95" w:rsidR="00D53CA6" w:rsidRPr="00AA7494" w:rsidRDefault="00D53CA6" w:rsidP="00FC0C9E">
      <w:pPr>
        <w:jc w:val="both"/>
      </w:pPr>
      <w:bookmarkStart w:id="10" w:name="_Hlk201310751"/>
      <w:r w:rsidRPr="00AA7494">
        <w:t>Proračunski inšpektor je v postopku nadzora porabe sredstev državnega proračuna za leto 2023 izvršil pregled p</w:t>
      </w:r>
      <w:r w:rsidR="00524F1E" w:rsidRPr="00AA7494">
        <w:t xml:space="preserve">orabe proračunskih sredstev, ki jih je Stanovanjski sklad Republike Slovenije </w:t>
      </w:r>
      <w:r w:rsidR="00340774" w:rsidRPr="00AA7494">
        <w:t xml:space="preserve">prejel za izvajanje javne najemne službe, </w:t>
      </w:r>
      <w:r w:rsidR="0082064E" w:rsidRPr="00AA7494">
        <w:t xml:space="preserve">sredstev </w:t>
      </w:r>
      <w:r w:rsidR="00340774" w:rsidRPr="00AA7494">
        <w:t>za nastanitev oseb z začasno zaščito za razseljene osebe iz Ukrajine</w:t>
      </w:r>
      <w:r w:rsidR="00AA7494" w:rsidRPr="00AA7494">
        <w:t>, sredstev iz dokapitalizacije ter</w:t>
      </w:r>
      <w:r w:rsidR="0082064E" w:rsidRPr="00AA7494">
        <w:t xml:space="preserve"> sredstev iz naslova evropskega mehanizma za okrevanje in odpornost</w:t>
      </w:r>
      <w:r w:rsidR="004D7168" w:rsidRPr="00AA7494">
        <w:t xml:space="preserve">. </w:t>
      </w:r>
      <w:r w:rsidR="008E59E6" w:rsidRPr="00AA7494">
        <w:t>Nadzirana s</w:t>
      </w:r>
      <w:r w:rsidR="004D7168" w:rsidRPr="00AA7494">
        <w:t>redstva proračuna</w:t>
      </w:r>
      <w:r w:rsidR="008E59E6" w:rsidRPr="00AA7494">
        <w:t xml:space="preserve"> RS, ki so v letu 2023 </w:t>
      </w:r>
      <w:r w:rsidR="004D7168" w:rsidRPr="00AA7494">
        <w:t>preje</w:t>
      </w:r>
      <w:r w:rsidR="008E59E6" w:rsidRPr="00AA7494">
        <w:t>ta</w:t>
      </w:r>
      <w:r w:rsidR="004D7168" w:rsidRPr="00AA7494">
        <w:t xml:space="preserve"> s strani </w:t>
      </w:r>
      <w:r w:rsidR="008E59E6" w:rsidRPr="00AA7494">
        <w:t>različnih p</w:t>
      </w:r>
      <w:r w:rsidR="004D7168" w:rsidRPr="00AA7494">
        <w:t>roračunskih uporabnikov</w:t>
      </w:r>
      <w:r w:rsidR="008E59E6" w:rsidRPr="00AA7494">
        <w:t xml:space="preserve"> je SSRS prejel</w:t>
      </w:r>
      <w:r w:rsidR="004D7168" w:rsidRPr="00AA7494">
        <w:t xml:space="preserve"> za namene in </w:t>
      </w:r>
      <w:r w:rsidR="00444A4D" w:rsidRPr="00AA7494">
        <w:t xml:space="preserve">v obsegu, kot </w:t>
      </w:r>
      <w:r w:rsidR="004D7168" w:rsidRPr="00AA7494">
        <w:t xml:space="preserve">je razvidno </w:t>
      </w:r>
      <w:r w:rsidR="00444A4D" w:rsidRPr="00AA7494">
        <w:t>iz spodnje tabele</w:t>
      </w:r>
      <w:r w:rsidR="004D7168" w:rsidRPr="00AA7494">
        <w:t>.</w:t>
      </w:r>
    </w:p>
    <w:bookmarkEnd w:id="10"/>
    <w:p w14:paraId="187638EE" w14:textId="77777777" w:rsidR="00867745" w:rsidRDefault="00867745" w:rsidP="00667191">
      <w:pPr>
        <w:pStyle w:val="Naslovdostopnost"/>
      </w:pPr>
    </w:p>
    <w:p w14:paraId="670A9297" w14:textId="236079AC" w:rsidR="00867745" w:rsidRPr="008121E3" w:rsidRDefault="00867745" w:rsidP="00867745">
      <w:pPr>
        <w:jc w:val="both"/>
        <w:rPr>
          <w:rFonts w:eastAsia="Times New Roman" w:cs="Arial"/>
          <w:b/>
          <w:bCs/>
          <w:color w:val="000000" w:themeColor="text1"/>
          <w:szCs w:val="20"/>
        </w:rPr>
      </w:pPr>
      <w:bookmarkStart w:id="11" w:name="_Hlk200109252"/>
      <w:r w:rsidRPr="008121E3">
        <w:rPr>
          <w:rFonts w:eastAsia="Times New Roman" w:cs="Arial"/>
          <w:b/>
          <w:bCs/>
          <w:color w:val="000000" w:themeColor="text1"/>
          <w:szCs w:val="20"/>
        </w:rPr>
        <w:t xml:space="preserve">Tabela številka 2: </w:t>
      </w:r>
      <w:r w:rsidR="005E539B" w:rsidRPr="008121E3">
        <w:rPr>
          <w:rFonts w:eastAsia="Times New Roman" w:cs="Arial"/>
          <w:b/>
          <w:bCs/>
          <w:color w:val="000000" w:themeColor="text1"/>
          <w:szCs w:val="20"/>
        </w:rPr>
        <w:t>Seznam izplačil proračunskih sredstev</w:t>
      </w:r>
    </w:p>
    <w:bookmarkEnd w:id="11"/>
    <w:p w14:paraId="3038848A" w14:textId="77777777" w:rsidR="004D7168" w:rsidRPr="008121E3" w:rsidRDefault="004D7168" w:rsidP="00667191">
      <w:pPr>
        <w:pStyle w:val="Naslovdostopnost"/>
      </w:pPr>
    </w:p>
    <w:tbl>
      <w:tblPr>
        <w:tblStyle w:val="Tabelamrea1"/>
        <w:tblW w:w="8494" w:type="dxa"/>
        <w:jc w:val="right"/>
        <w:tblLook w:val="04A0" w:firstRow="1" w:lastRow="0" w:firstColumn="1" w:lastColumn="0" w:noHBand="0" w:noVBand="1"/>
      </w:tblPr>
      <w:tblGrid>
        <w:gridCol w:w="2257"/>
        <w:gridCol w:w="1004"/>
        <w:gridCol w:w="3118"/>
        <w:gridCol w:w="2115"/>
      </w:tblGrid>
      <w:tr w:rsidR="008121E3" w:rsidRPr="008121E3" w14:paraId="04C0D15E" w14:textId="77777777" w:rsidTr="00E721A4">
        <w:trPr>
          <w:jc w:val="right"/>
        </w:trPr>
        <w:tc>
          <w:tcPr>
            <w:tcW w:w="2257" w:type="dxa"/>
            <w:shd w:val="clear" w:color="auto" w:fill="BDD6EE" w:themeFill="accent5" w:themeFillTint="66"/>
          </w:tcPr>
          <w:p w14:paraId="1900ED89" w14:textId="0800E8AD" w:rsidR="004D7168" w:rsidRPr="008121E3" w:rsidRDefault="004D7168" w:rsidP="008C218E">
            <w:pPr>
              <w:spacing w:after="160" w:line="276" w:lineRule="auto"/>
              <w:rPr>
                <w:color w:val="000000" w:themeColor="text1"/>
              </w:rPr>
            </w:pPr>
            <w:r w:rsidRPr="008121E3">
              <w:rPr>
                <w:color w:val="000000" w:themeColor="text1"/>
              </w:rPr>
              <w:t xml:space="preserve">NAZIV </w:t>
            </w:r>
            <w:r w:rsidR="008E59E6" w:rsidRPr="008121E3">
              <w:rPr>
                <w:color w:val="000000" w:themeColor="text1"/>
              </w:rPr>
              <w:t>IZPLAČEVALCA</w:t>
            </w:r>
          </w:p>
        </w:tc>
        <w:tc>
          <w:tcPr>
            <w:tcW w:w="1004" w:type="dxa"/>
            <w:shd w:val="clear" w:color="auto" w:fill="BDD6EE" w:themeFill="accent5" w:themeFillTint="66"/>
          </w:tcPr>
          <w:p w14:paraId="0F87817F" w14:textId="31F69464" w:rsidR="004D7168" w:rsidRPr="008121E3" w:rsidRDefault="004D7168" w:rsidP="008C218E">
            <w:pPr>
              <w:spacing w:after="160" w:line="276" w:lineRule="auto"/>
              <w:rPr>
                <w:color w:val="000000" w:themeColor="text1"/>
              </w:rPr>
            </w:pPr>
            <w:r w:rsidRPr="008121E3">
              <w:rPr>
                <w:color w:val="000000" w:themeColor="text1"/>
              </w:rPr>
              <w:t>ŠIFRA PU</w:t>
            </w:r>
          </w:p>
        </w:tc>
        <w:tc>
          <w:tcPr>
            <w:tcW w:w="3118" w:type="dxa"/>
            <w:shd w:val="clear" w:color="auto" w:fill="BDD6EE" w:themeFill="accent5" w:themeFillTint="66"/>
          </w:tcPr>
          <w:p w14:paraId="49E42480" w14:textId="2F23E7FC" w:rsidR="004D7168" w:rsidRPr="008121E3" w:rsidRDefault="004D7168" w:rsidP="008C218E">
            <w:pPr>
              <w:spacing w:after="160" w:line="276" w:lineRule="auto"/>
              <w:rPr>
                <w:color w:val="000000" w:themeColor="text1"/>
              </w:rPr>
            </w:pPr>
            <w:r w:rsidRPr="008121E3">
              <w:rPr>
                <w:color w:val="000000" w:themeColor="text1"/>
              </w:rPr>
              <w:t>NAMEN PREJETIH SREDSTEV PRORAČUNA RS</w:t>
            </w:r>
          </w:p>
        </w:tc>
        <w:tc>
          <w:tcPr>
            <w:tcW w:w="2115" w:type="dxa"/>
            <w:shd w:val="clear" w:color="auto" w:fill="BDD6EE" w:themeFill="accent5" w:themeFillTint="66"/>
          </w:tcPr>
          <w:p w14:paraId="5059167E" w14:textId="77777777" w:rsidR="004D7168" w:rsidRPr="008121E3" w:rsidRDefault="004D7168" w:rsidP="008C218E">
            <w:pPr>
              <w:spacing w:after="160" w:line="276" w:lineRule="auto"/>
              <w:jc w:val="right"/>
              <w:rPr>
                <w:color w:val="000000" w:themeColor="text1"/>
              </w:rPr>
            </w:pPr>
            <w:r w:rsidRPr="008121E3">
              <w:rPr>
                <w:color w:val="000000" w:themeColor="text1"/>
              </w:rPr>
              <w:t>VIŠINA SREDSTEV V EUR</w:t>
            </w:r>
          </w:p>
        </w:tc>
      </w:tr>
      <w:tr w:rsidR="008121E3" w:rsidRPr="008121E3" w14:paraId="7BAA72A8" w14:textId="77777777" w:rsidTr="00E721A4">
        <w:trPr>
          <w:trHeight w:val="284"/>
          <w:jc w:val="right"/>
        </w:trPr>
        <w:tc>
          <w:tcPr>
            <w:tcW w:w="2257" w:type="dxa"/>
          </w:tcPr>
          <w:p w14:paraId="07DA4F5B" w14:textId="17B81C16" w:rsidR="004D7168" w:rsidRPr="008121E3" w:rsidRDefault="004D7168" w:rsidP="004D7168">
            <w:pPr>
              <w:spacing w:after="160" w:line="240" w:lineRule="auto"/>
              <w:rPr>
                <w:color w:val="000000" w:themeColor="text1"/>
              </w:rPr>
            </w:pPr>
            <w:r w:rsidRPr="008121E3">
              <w:rPr>
                <w:color w:val="000000" w:themeColor="text1"/>
              </w:rPr>
              <w:t xml:space="preserve">Ministrstvo za solidarno prihodnost </w:t>
            </w:r>
          </w:p>
        </w:tc>
        <w:tc>
          <w:tcPr>
            <w:tcW w:w="1004" w:type="dxa"/>
          </w:tcPr>
          <w:p w14:paraId="267EABAA" w14:textId="73D08143" w:rsidR="004D7168" w:rsidRPr="008121E3" w:rsidRDefault="00E721A4" w:rsidP="00B56BFC">
            <w:pPr>
              <w:spacing w:after="160" w:line="240" w:lineRule="auto"/>
              <w:rPr>
                <w:color w:val="000000" w:themeColor="text1"/>
              </w:rPr>
            </w:pPr>
            <w:r w:rsidRPr="008121E3">
              <w:rPr>
                <w:color w:val="000000" w:themeColor="text1"/>
              </w:rPr>
              <w:t>2720</w:t>
            </w:r>
          </w:p>
        </w:tc>
        <w:tc>
          <w:tcPr>
            <w:tcW w:w="3118" w:type="dxa"/>
          </w:tcPr>
          <w:p w14:paraId="7483517B" w14:textId="5C7F9B89" w:rsidR="004D7168" w:rsidRPr="008121E3" w:rsidRDefault="004D7168" w:rsidP="00B56BFC">
            <w:pPr>
              <w:spacing w:after="160" w:line="240" w:lineRule="auto"/>
              <w:rPr>
                <w:color w:val="000000" w:themeColor="text1"/>
              </w:rPr>
            </w:pPr>
            <w:r w:rsidRPr="008121E3">
              <w:rPr>
                <w:color w:val="000000" w:themeColor="text1"/>
              </w:rPr>
              <w:t>Kritje stroškov za izvajanje javne najemne službe</w:t>
            </w:r>
          </w:p>
        </w:tc>
        <w:tc>
          <w:tcPr>
            <w:tcW w:w="2115" w:type="dxa"/>
          </w:tcPr>
          <w:p w14:paraId="6CD9D417" w14:textId="0A5A6147" w:rsidR="004D7168" w:rsidRPr="008121E3" w:rsidRDefault="00E721A4" w:rsidP="00B56BFC">
            <w:pPr>
              <w:spacing w:after="160" w:line="276" w:lineRule="auto"/>
              <w:rPr>
                <w:color w:val="000000" w:themeColor="text1"/>
              </w:rPr>
            </w:pPr>
            <w:r w:rsidRPr="008121E3">
              <w:rPr>
                <w:color w:val="000000" w:themeColor="text1"/>
              </w:rPr>
              <w:t xml:space="preserve">                  </w:t>
            </w:r>
            <w:r w:rsidR="00155A90" w:rsidRPr="008121E3">
              <w:rPr>
                <w:color w:val="000000" w:themeColor="text1"/>
              </w:rPr>
              <w:t>34.307,49</w:t>
            </w:r>
          </w:p>
        </w:tc>
      </w:tr>
      <w:tr w:rsidR="008121E3" w:rsidRPr="008121E3" w14:paraId="5D3EFD3D" w14:textId="77777777" w:rsidTr="00E721A4">
        <w:trPr>
          <w:trHeight w:val="284"/>
          <w:jc w:val="right"/>
        </w:trPr>
        <w:tc>
          <w:tcPr>
            <w:tcW w:w="2257" w:type="dxa"/>
          </w:tcPr>
          <w:p w14:paraId="25E0CB0B" w14:textId="45FB7DE9" w:rsidR="004D7168" w:rsidRPr="008121E3" w:rsidRDefault="004D7168" w:rsidP="00B56BFC">
            <w:pPr>
              <w:spacing w:after="160" w:line="240" w:lineRule="auto"/>
              <w:rPr>
                <w:color w:val="000000" w:themeColor="text1"/>
              </w:rPr>
            </w:pPr>
            <w:r w:rsidRPr="008121E3">
              <w:rPr>
                <w:color w:val="000000" w:themeColor="text1"/>
              </w:rPr>
              <w:t xml:space="preserve">Urad </w:t>
            </w:r>
            <w:r w:rsidR="00FB07D2" w:rsidRPr="008121E3">
              <w:rPr>
                <w:color w:val="000000" w:themeColor="text1"/>
              </w:rPr>
              <w:t xml:space="preserve">VRS </w:t>
            </w:r>
            <w:r w:rsidRPr="008121E3">
              <w:rPr>
                <w:color w:val="000000" w:themeColor="text1"/>
              </w:rPr>
              <w:t>za oskrbo in integracijo migrantov</w:t>
            </w:r>
          </w:p>
        </w:tc>
        <w:tc>
          <w:tcPr>
            <w:tcW w:w="1004" w:type="dxa"/>
          </w:tcPr>
          <w:p w14:paraId="79ED1692" w14:textId="52B1658A" w:rsidR="004D7168" w:rsidRPr="008121E3" w:rsidRDefault="00E721A4" w:rsidP="00B56BFC">
            <w:pPr>
              <w:spacing w:after="160" w:line="240" w:lineRule="auto"/>
              <w:rPr>
                <w:color w:val="000000" w:themeColor="text1"/>
              </w:rPr>
            </w:pPr>
            <w:r w:rsidRPr="008121E3">
              <w:rPr>
                <w:color w:val="000000" w:themeColor="text1"/>
              </w:rPr>
              <w:t>1542</w:t>
            </w:r>
          </w:p>
        </w:tc>
        <w:tc>
          <w:tcPr>
            <w:tcW w:w="3118" w:type="dxa"/>
          </w:tcPr>
          <w:p w14:paraId="040E36F9" w14:textId="648C6AE1" w:rsidR="004D7168" w:rsidRPr="008121E3" w:rsidRDefault="004D7168" w:rsidP="00B56BFC">
            <w:pPr>
              <w:spacing w:after="160" w:line="240" w:lineRule="auto"/>
              <w:rPr>
                <w:color w:val="000000" w:themeColor="text1"/>
              </w:rPr>
            </w:pPr>
            <w:r w:rsidRPr="008121E3">
              <w:rPr>
                <w:color w:val="000000" w:themeColor="text1"/>
              </w:rPr>
              <w:t>Sredstva za nastanitev oseb z začasno zaščito</w:t>
            </w:r>
          </w:p>
        </w:tc>
        <w:tc>
          <w:tcPr>
            <w:tcW w:w="2115" w:type="dxa"/>
          </w:tcPr>
          <w:p w14:paraId="305F90B3" w14:textId="3791093B" w:rsidR="004D7168" w:rsidRPr="008121E3" w:rsidRDefault="00E721A4" w:rsidP="00B56BFC">
            <w:pPr>
              <w:spacing w:after="160" w:line="276" w:lineRule="auto"/>
              <w:rPr>
                <w:color w:val="000000" w:themeColor="text1"/>
              </w:rPr>
            </w:pPr>
            <w:r w:rsidRPr="008121E3">
              <w:rPr>
                <w:color w:val="000000" w:themeColor="text1"/>
              </w:rPr>
              <w:t xml:space="preserve">                  </w:t>
            </w:r>
            <w:r w:rsidR="00155A90" w:rsidRPr="008121E3">
              <w:rPr>
                <w:color w:val="000000" w:themeColor="text1"/>
              </w:rPr>
              <w:t>69.794,53</w:t>
            </w:r>
          </w:p>
        </w:tc>
      </w:tr>
      <w:tr w:rsidR="008121E3" w:rsidRPr="008121E3" w14:paraId="19426510" w14:textId="77777777" w:rsidTr="00E721A4">
        <w:trPr>
          <w:trHeight w:val="284"/>
          <w:jc w:val="right"/>
        </w:trPr>
        <w:tc>
          <w:tcPr>
            <w:tcW w:w="2257" w:type="dxa"/>
          </w:tcPr>
          <w:p w14:paraId="3DF171B1" w14:textId="7D2DF905" w:rsidR="004D7168" w:rsidRPr="008121E3" w:rsidRDefault="00FB07D2" w:rsidP="00B56BFC">
            <w:pPr>
              <w:spacing w:after="160" w:line="240" w:lineRule="auto"/>
              <w:rPr>
                <w:color w:val="000000" w:themeColor="text1"/>
              </w:rPr>
            </w:pPr>
            <w:r w:rsidRPr="008121E3">
              <w:rPr>
                <w:color w:val="000000" w:themeColor="text1"/>
              </w:rPr>
              <w:t>Ministrstvo za solidarno prihodnost</w:t>
            </w:r>
          </w:p>
        </w:tc>
        <w:tc>
          <w:tcPr>
            <w:tcW w:w="1004" w:type="dxa"/>
          </w:tcPr>
          <w:p w14:paraId="52D9BBDA" w14:textId="274F562E" w:rsidR="004D7168" w:rsidRPr="008121E3" w:rsidRDefault="00E721A4" w:rsidP="00B56BFC">
            <w:pPr>
              <w:spacing w:after="160" w:line="240" w:lineRule="auto"/>
              <w:rPr>
                <w:color w:val="000000" w:themeColor="text1"/>
              </w:rPr>
            </w:pPr>
            <w:r w:rsidRPr="008121E3">
              <w:rPr>
                <w:color w:val="000000" w:themeColor="text1"/>
              </w:rPr>
              <w:t>2720</w:t>
            </w:r>
          </w:p>
        </w:tc>
        <w:tc>
          <w:tcPr>
            <w:tcW w:w="3118" w:type="dxa"/>
          </w:tcPr>
          <w:p w14:paraId="416D2CF3" w14:textId="7EBF8689" w:rsidR="004D7168" w:rsidRPr="008121E3" w:rsidRDefault="00155A90" w:rsidP="00B56BFC">
            <w:pPr>
              <w:spacing w:after="160" w:line="240" w:lineRule="auto"/>
              <w:rPr>
                <w:color w:val="000000" w:themeColor="text1"/>
              </w:rPr>
            </w:pPr>
            <w:r w:rsidRPr="008121E3">
              <w:rPr>
                <w:color w:val="000000" w:themeColor="text1"/>
              </w:rPr>
              <w:t>Sredstva za dokapitalizacijo SSRS</w:t>
            </w:r>
          </w:p>
        </w:tc>
        <w:tc>
          <w:tcPr>
            <w:tcW w:w="2115" w:type="dxa"/>
          </w:tcPr>
          <w:p w14:paraId="146246CA" w14:textId="4F1926B2" w:rsidR="004D7168" w:rsidRPr="008121E3" w:rsidRDefault="00E721A4" w:rsidP="00B56BFC">
            <w:pPr>
              <w:spacing w:after="160" w:line="276" w:lineRule="auto"/>
              <w:rPr>
                <w:color w:val="000000" w:themeColor="text1"/>
              </w:rPr>
            </w:pPr>
            <w:r w:rsidRPr="008121E3">
              <w:rPr>
                <w:color w:val="000000" w:themeColor="text1"/>
              </w:rPr>
              <w:t xml:space="preserve">           </w:t>
            </w:r>
            <w:r w:rsidR="00155A90" w:rsidRPr="008121E3">
              <w:rPr>
                <w:color w:val="000000" w:themeColor="text1"/>
              </w:rPr>
              <w:t>25.</w:t>
            </w:r>
            <w:r w:rsidRPr="008121E3">
              <w:rPr>
                <w:color w:val="000000" w:themeColor="text1"/>
              </w:rPr>
              <w:t>500.0</w:t>
            </w:r>
            <w:r w:rsidR="004910A4" w:rsidRPr="008121E3">
              <w:rPr>
                <w:color w:val="000000" w:themeColor="text1"/>
              </w:rPr>
              <w:t>0</w:t>
            </w:r>
            <w:r w:rsidRPr="008121E3">
              <w:rPr>
                <w:color w:val="000000" w:themeColor="text1"/>
              </w:rPr>
              <w:t>0,0</w:t>
            </w:r>
            <w:r w:rsidR="004910A4" w:rsidRPr="008121E3">
              <w:rPr>
                <w:color w:val="000000" w:themeColor="text1"/>
              </w:rPr>
              <w:t>0</w:t>
            </w:r>
          </w:p>
        </w:tc>
      </w:tr>
      <w:tr w:rsidR="008121E3" w:rsidRPr="008121E3" w14:paraId="7D019907" w14:textId="77777777" w:rsidTr="00E721A4">
        <w:trPr>
          <w:trHeight w:val="284"/>
          <w:jc w:val="right"/>
        </w:trPr>
        <w:tc>
          <w:tcPr>
            <w:tcW w:w="2257" w:type="dxa"/>
          </w:tcPr>
          <w:p w14:paraId="01D598CF" w14:textId="08A19065" w:rsidR="004D7168" w:rsidRPr="008121E3" w:rsidRDefault="00FB07D2" w:rsidP="00B56BFC">
            <w:pPr>
              <w:spacing w:after="160" w:line="240" w:lineRule="auto"/>
              <w:rPr>
                <w:color w:val="000000" w:themeColor="text1"/>
              </w:rPr>
            </w:pPr>
            <w:r w:rsidRPr="008121E3">
              <w:rPr>
                <w:color w:val="000000" w:themeColor="text1"/>
              </w:rPr>
              <w:t>Urad RS za okrevanje in odpornost</w:t>
            </w:r>
          </w:p>
        </w:tc>
        <w:tc>
          <w:tcPr>
            <w:tcW w:w="1004" w:type="dxa"/>
          </w:tcPr>
          <w:p w14:paraId="0FF05112" w14:textId="6BFE2BCC" w:rsidR="004D7168" w:rsidRPr="008121E3" w:rsidRDefault="00C63AE0" w:rsidP="00B56BFC">
            <w:pPr>
              <w:spacing w:after="160" w:line="240" w:lineRule="auto"/>
              <w:rPr>
                <w:color w:val="000000" w:themeColor="text1"/>
              </w:rPr>
            </w:pPr>
            <w:r w:rsidRPr="008121E3">
              <w:rPr>
                <w:color w:val="000000" w:themeColor="text1"/>
              </w:rPr>
              <w:t>1621</w:t>
            </w:r>
          </w:p>
        </w:tc>
        <w:tc>
          <w:tcPr>
            <w:tcW w:w="3118" w:type="dxa"/>
          </w:tcPr>
          <w:p w14:paraId="232BDAB3" w14:textId="06088559" w:rsidR="004D7168" w:rsidRPr="008121E3" w:rsidRDefault="004D7168" w:rsidP="00B56BFC">
            <w:pPr>
              <w:spacing w:after="160" w:line="240" w:lineRule="auto"/>
              <w:rPr>
                <w:color w:val="000000" w:themeColor="text1"/>
              </w:rPr>
            </w:pPr>
            <w:r w:rsidRPr="008121E3">
              <w:rPr>
                <w:color w:val="000000" w:themeColor="text1"/>
              </w:rPr>
              <w:t>Sredstva za nakup in gradnjo stanovanj</w:t>
            </w:r>
          </w:p>
        </w:tc>
        <w:tc>
          <w:tcPr>
            <w:tcW w:w="2115" w:type="dxa"/>
          </w:tcPr>
          <w:p w14:paraId="6471CE3B" w14:textId="5C2C95F7" w:rsidR="004D7168" w:rsidRPr="008121E3" w:rsidRDefault="00E721A4" w:rsidP="00B56BFC">
            <w:pPr>
              <w:spacing w:after="160" w:line="276" w:lineRule="auto"/>
              <w:rPr>
                <w:color w:val="000000" w:themeColor="text1"/>
              </w:rPr>
            </w:pPr>
            <w:r w:rsidRPr="008121E3">
              <w:rPr>
                <w:color w:val="000000" w:themeColor="text1"/>
              </w:rPr>
              <w:t xml:space="preserve">           14.147.795,50</w:t>
            </w:r>
          </w:p>
        </w:tc>
      </w:tr>
      <w:tr w:rsidR="004F1F6B" w:rsidRPr="008121E3" w14:paraId="4F657A8A" w14:textId="77777777" w:rsidTr="00E721A4">
        <w:trPr>
          <w:trHeight w:hRule="exact" w:val="284"/>
          <w:jc w:val="right"/>
        </w:trPr>
        <w:tc>
          <w:tcPr>
            <w:tcW w:w="2257" w:type="dxa"/>
          </w:tcPr>
          <w:p w14:paraId="7E708F1C" w14:textId="77777777" w:rsidR="004D7168" w:rsidRPr="008121E3" w:rsidRDefault="004D7168" w:rsidP="00B56BFC">
            <w:pPr>
              <w:spacing w:after="160" w:line="240" w:lineRule="auto"/>
              <w:rPr>
                <w:color w:val="000000" w:themeColor="text1"/>
              </w:rPr>
            </w:pPr>
          </w:p>
        </w:tc>
        <w:tc>
          <w:tcPr>
            <w:tcW w:w="1004" w:type="dxa"/>
          </w:tcPr>
          <w:p w14:paraId="1845E69E" w14:textId="7A53DDCA" w:rsidR="004D7168" w:rsidRPr="008121E3" w:rsidRDefault="004D7168" w:rsidP="00B56BFC">
            <w:pPr>
              <w:spacing w:after="160" w:line="240" w:lineRule="auto"/>
              <w:rPr>
                <w:color w:val="000000" w:themeColor="text1"/>
              </w:rPr>
            </w:pPr>
          </w:p>
        </w:tc>
        <w:tc>
          <w:tcPr>
            <w:tcW w:w="3118" w:type="dxa"/>
          </w:tcPr>
          <w:p w14:paraId="506A3F27" w14:textId="1162D9B0" w:rsidR="004D7168" w:rsidRPr="00CE7DC6" w:rsidRDefault="004D7168" w:rsidP="00B56BFC">
            <w:pPr>
              <w:spacing w:after="160" w:line="240" w:lineRule="auto"/>
              <w:rPr>
                <w:b/>
                <w:bCs/>
                <w:color w:val="000000" w:themeColor="text1"/>
              </w:rPr>
            </w:pPr>
            <w:r w:rsidRPr="00CE7DC6">
              <w:rPr>
                <w:b/>
                <w:bCs/>
                <w:color w:val="000000" w:themeColor="text1"/>
              </w:rPr>
              <w:t>SKUPAJ</w:t>
            </w:r>
          </w:p>
        </w:tc>
        <w:tc>
          <w:tcPr>
            <w:tcW w:w="2115" w:type="dxa"/>
          </w:tcPr>
          <w:p w14:paraId="1705AA5D" w14:textId="27C87F18" w:rsidR="004D7168" w:rsidRPr="00CE7DC6" w:rsidRDefault="004040FF" w:rsidP="00B56BFC">
            <w:pPr>
              <w:spacing w:after="160" w:line="276" w:lineRule="auto"/>
              <w:rPr>
                <w:b/>
                <w:bCs/>
                <w:color w:val="000000" w:themeColor="text1"/>
              </w:rPr>
            </w:pPr>
            <w:r w:rsidRPr="00CE7DC6">
              <w:rPr>
                <w:b/>
                <w:bCs/>
                <w:color w:val="000000" w:themeColor="text1"/>
              </w:rPr>
              <w:t xml:space="preserve">           39.751.897,52</w:t>
            </w:r>
          </w:p>
        </w:tc>
      </w:tr>
    </w:tbl>
    <w:p w14:paraId="54FDA46C" w14:textId="77777777" w:rsidR="00B56BFC" w:rsidRPr="008121E3" w:rsidRDefault="00B56BFC" w:rsidP="00B56BFC">
      <w:pPr>
        <w:spacing w:line="276" w:lineRule="auto"/>
        <w:jc w:val="both"/>
        <w:rPr>
          <w:rFonts w:eastAsia="Times New Roman" w:cs="Arial"/>
          <w:color w:val="000000" w:themeColor="text1"/>
          <w:szCs w:val="20"/>
        </w:rPr>
      </w:pPr>
    </w:p>
    <w:p w14:paraId="455FB18C" w14:textId="66CD9939" w:rsidR="00673D38" w:rsidRPr="008121E3" w:rsidRDefault="005F0ECE" w:rsidP="00914B7D">
      <w:pPr>
        <w:rPr>
          <w:b/>
          <w:bCs/>
          <w:color w:val="000000" w:themeColor="text1"/>
        </w:rPr>
      </w:pPr>
      <w:bookmarkStart w:id="12" w:name="_Hlk200381445"/>
      <w:r w:rsidRPr="008121E3">
        <w:rPr>
          <w:b/>
          <w:bCs/>
          <w:color w:val="000000" w:themeColor="text1"/>
        </w:rPr>
        <w:t>IV. 1 Nadzor porabe sredstev za izvajanje javne najemne službe</w:t>
      </w:r>
    </w:p>
    <w:bookmarkEnd w:id="12"/>
    <w:p w14:paraId="7DE04537" w14:textId="77777777" w:rsidR="00145C95" w:rsidRPr="008121E3" w:rsidRDefault="00145C95" w:rsidP="00667191">
      <w:pPr>
        <w:pStyle w:val="Naslovdostopnost"/>
      </w:pPr>
    </w:p>
    <w:p w14:paraId="0C45622B" w14:textId="71FFBBE0" w:rsidR="00173616" w:rsidRDefault="00145C95" w:rsidP="00FC0C9E">
      <w:pPr>
        <w:jc w:val="both"/>
      </w:pPr>
      <w:r>
        <w:t xml:space="preserve">Iz </w:t>
      </w:r>
      <w:r w:rsidR="00E320FA">
        <w:t xml:space="preserve">osme alineje </w:t>
      </w:r>
      <w:r>
        <w:t>148. člena Stanovanjskega zakona izhaja, da SSRS iz zbranih sredstev</w:t>
      </w:r>
      <w:r w:rsidR="00E320FA">
        <w:t xml:space="preserve"> </w:t>
      </w:r>
      <w:r>
        <w:t>izvaja tudi javni najem stanovanj.</w:t>
      </w:r>
      <w:r w:rsidR="00E320FA">
        <w:t xml:space="preserve"> Javni najem stanovanj je dejavnost sklada, ki zaradi javnega interesa oskrbe z najemnimi stanovanji najema stanovanja na trgu in jih oddaja v podnajem po neprofitni najemnini. Sklad na podlagi stalno odprtega javnega razpisa najema stanovanja na trgu za najmanj tri leta.</w:t>
      </w:r>
      <w:r w:rsidR="00173616">
        <w:t xml:space="preserve"> Pri tem najema stanovanja na podlagi naslednjih meril:</w:t>
      </w:r>
      <w:r w:rsidR="00FC0C9E">
        <w:t xml:space="preserve"> - </w:t>
      </w:r>
      <w:r w:rsidR="00173616">
        <w:t>splošne potrebe po najemnih stanovanjih na posameznem območju,</w:t>
      </w:r>
      <w:r w:rsidR="00FC0C9E">
        <w:t xml:space="preserve"> </w:t>
      </w:r>
      <w:r w:rsidR="00173616">
        <w:t>potrebe po stanovanjih posamičnega površinskega razreda na posameznem območju,</w:t>
      </w:r>
      <w:r w:rsidR="00FC0C9E">
        <w:t xml:space="preserve"> </w:t>
      </w:r>
      <w:r w:rsidR="00173616">
        <w:t>kakovost stanovanj z vidika vzdrževanja,</w:t>
      </w:r>
      <w:r w:rsidR="00FC0C9E">
        <w:t xml:space="preserve"> </w:t>
      </w:r>
      <w:r w:rsidR="00173616">
        <w:t>razpoložljivost stanovanj za takojšen najem in oddajo v podnajem ter</w:t>
      </w:r>
      <w:r w:rsidR="00FC0C9E">
        <w:t xml:space="preserve"> </w:t>
      </w:r>
      <w:r w:rsidR="00173616">
        <w:t>višina najemnine.</w:t>
      </w:r>
    </w:p>
    <w:p w14:paraId="42068E5E" w14:textId="77777777" w:rsidR="00173616" w:rsidRDefault="00173616" w:rsidP="00FC0C9E">
      <w:pPr>
        <w:jc w:val="both"/>
      </w:pPr>
    </w:p>
    <w:p w14:paraId="290D9914" w14:textId="5161530D" w:rsidR="00173616" w:rsidRPr="00145C95" w:rsidRDefault="00315158" w:rsidP="00FC0C9E">
      <w:pPr>
        <w:jc w:val="both"/>
      </w:pPr>
      <w:r>
        <w:t>V skladu z drugo točko 148. c člena Stanovanjskega zakona morajo p</w:t>
      </w:r>
      <w:r w:rsidR="00173616">
        <w:t>rosilci za podnajem stanovanja za upravičenost do dodelitve stanovanja v podnajem izpolnjevati splošne pogoje glede premoženja in dohodkov, določenih v predpisu, ki</w:t>
      </w:r>
      <w:r>
        <w:t xml:space="preserve"> ureja dodeljevanje neprofitnih stanovanj.</w:t>
      </w:r>
      <w:r>
        <w:rPr>
          <w:rStyle w:val="Sprotnaopomba-sklic"/>
        </w:rPr>
        <w:footnoteReference w:id="4"/>
      </w:r>
    </w:p>
    <w:p w14:paraId="0AD8FD5B" w14:textId="3EA54C08" w:rsidR="005F0ECE" w:rsidRPr="00315158" w:rsidRDefault="00315158" w:rsidP="00FC0C9E">
      <w:pPr>
        <w:jc w:val="both"/>
      </w:pPr>
      <w:r>
        <w:lastRenderedPageBreak/>
        <w:t xml:space="preserve">SSRS o upravičenosti prosilca do podnajema stanovanja </w:t>
      </w:r>
      <w:r w:rsidR="007D1D41">
        <w:t xml:space="preserve">odloči z odločbo v 30 dneh od vložitve popolne vloge za dodelitev stanovanja v podnajem. </w:t>
      </w:r>
    </w:p>
    <w:p w14:paraId="067E1E21" w14:textId="4BA872D4" w:rsidR="00AF1C4E" w:rsidRPr="005F0ECE" w:rsidRDefault="00AF1C4E" w:rsidP="00FC0C9E">
      <w:pPr>
        <w:jc w:val="both"/>
      </w:pPr>
      <w:r>
        <w:t>Upravičenci do podnajema stanovanj se razvrstijo na sezname upravičencev, ki jih SSRS vodi ločeno za območje vsake občine posebej, glede na število uporabnikov stanovanja. Na seznamu se vodijo naslednji podatki: ime in priimek upravičenca, datum vložitve popolne vloge za dodelitev stanovanja v podnajem in prednostna kategorija, če upravičenec spada v katero izmed predpisanih prednostnih kategorij, kot so mladi (ki ni</w:t>
      </w:r>
      <w:r w:rsidR="00E07589">
        <w:t>so</w:t>
      </w:r>
      <w:r>
        <w:t xml:space="preserve"> starejši od 35 let niti ni starejši od 35 let noben uporabnik stanovanja, ki je naveden v vlogi za dodelitev stanovanja v pod</w:t>
      </w:r>
      <w:r w:rsidR="00E07589">
        <w:t>najem</w:t>
      </w:r>
      <w:r>
        <w:t xml:space="preserve">), mlade družine </w:t>
      </w:r>
      <w:r w:rsidR="00E07589">
        <w:t>(</w:t>
      </w:r>
      <w:r>
        <w:t>z vsaj enim mladoletnim otrokom</w:t>
      </w:r>
      <w:r w:rsidR="00E07589">
        <w:t>, katerih člani niso starejši od 40 let) ter upravičenci, ki so se na javnem razpisu za najem neprofitnega stanovanja vsaj dvakrat uvrstili na prednostni seznam iz drugega odstavka 87. člena Stanovanjskega zakona</w:t>
      </w:r>
      <w:r w:rsidR="00E07589">
        <w:rPr>
          <w:rStyle w:val="Sprotnaopomba-sklic"/>
        </w:rPr>
        <w:footnoteReference w:id="5"/>
      </w:r>
      <w:r w:rsidR="00E07589">
        <w:t>, vendar jim stanovanje ni bilo dodeljeno.</w:t>
      </w:r>
    </w:p>
    <w:p w14:paraId="29E953FE" w14:textId="77777777" w:rsidR="00673D38" w:rsidRDefault="00673D38" w:rsidP="00667191">
      <w:pPr>
        <w:pStyle w:val="Naslovdostopnost"/>
      </w:pPr>
    </w:p>
    <w:p w14:paraId="207B0898" w14:textId="40259B46" w:rsidR="00673D38" w:rsidRDefault="00197888" w:rsidP="00FC0C9E">
      <w:pPr>
        <w:jc w:val="both"/>
      </w:pPr>
      <w:r>
        <w:t xml:space="preserve">6. člen Uredbe o izvajanju javnega najema stanovanj določa, da se </w:t>
      </w:r>
      <w:r w:rsidR="00C578AA">
        <w:t>SSRS za izvajanje dejavnosti javnega najema stanovanj iz državnega proračuna zagotovijo sredstva za kritje</w:t>
      </w:r>
      <w:r>
        <w:t xml:space="preserve"> naslednjih</w:t>
      </w:r>
      <w:r w:rsidR="00C578AA">
        <w:t xml:space="preserve"> stroškov:</w:t>
      </w:r>
    </w:p>
    <w:p w14:paraId="0C7F2C1C" w14:textId="4A5910BA" w:rsidR="00673D38" w:rsidRDefault="007E40F9" w:rsidP="008F1C4C">
      <w:pPr>
        <w:pStyle w:val="Odstavekseznama"/>
        <w:numPr>
          <w:ilvl w:val="0"/>
          <w:numId w:val="6"/>
        </w:numPr>
        <w:jc w:val="both"/>
      </w:pPr>
      <w:r>
        <w:t>z</w:t>
      </w:r>
      <w:r w:rsidR="00C578AA">
        <w:t>aposlenih za izvajanje javnega najema stanovanj glede na število stanovanj, ki jih ima</w:t>
      </w:r>
      <w:r w:rsidR="00074551">
        <w:t xml:space="preserve"> </w:t>
      </w:r>
      <w:r w:rsidR="00C578AA">
        <w:t>sklad v najemu;</w:t>
      </w:r>
    </w:p>
    <w:p w14:paraId="00A95C1C" w14:textId="2775E0C7" w:rsidR="00C578AA" w:rsidRDefault="00C578AA" w:rsidP="008F1C4C">
      <w:pPr>
        <w:pStyle w:val="Odstavekseznama"/>
        <w:numPr>
          <w:ilvl w:val="0"/>
          <w:numId w:val="6"/>
        </w:numPr>
        <w:jc w:val="both"/>
      </w:pPr>
      <w:r>
        <w:t xml:space="preserve">nezasedenosti stanovanj s podnajemniki v času od najema stanovanja do oddaje v </w:t>
      </w:r>
      <w:r w:rsidR="003F38C8">
        <w:t>p</w:t>
      </w:r>
      <w:r>
        <w:t>odnajem;</w:t>
      </w:r>
    </w:p>
    <w:p w14:paraId="7F254C4E" w14:textId="10B87188" w:rsidR="00C578AA" w:rsidRDefault="00C578AA" w:rsidP="008F1C4C">
      <w:pPr>
        <w:pStyle w:val="Odstavekseznama"/>
        <w:numPr>
          <w:ilvl w:val="0"/>
          <w:numId w:val="6"/>
        </w:numPr>
        <w:jc w:val="both"/>
      </w:pPr>
      <w:r>
        <w:t>neuspele izterjave stroškov od podnajemnikov, ki izvirajo iz podnajema stanovanja;</w:t>
      </w:r>
    </w:p>
    <w:p w14:paraId="1670F602" w14:textId="14093B85" w:rsidR="00C578AA" w:rsidRDefault="00C578AA" w:rsidP="008F1C4C">
      <w:pPr>
        <w:pStyle w:val="Odstavekseznama"/>
        <w:numPr>
          <w:ilvl w:val="0"/>
          <w:numId w:val="6"/>
        </w:numPr>
        <w:jc w:val="both"/>
      </w:pPr>
      <w:r>
        <w:t xml:space="preserve">neuspele </w:t>
      </w:r>
      <w:r w:rsidR="00CA6F89">
        <w:t>izterjave terjatev od podnajemnikov, ki izhajajo iz subsidiarne odgovornosti za neplačilo obratovalnih stroškov;</w:t>
      </w:r>
    </w:p>
    <w:p w14:paraId="4804AB7A" w14:textId="66939C77" w:rsidR="00CA6F89" w:rsidRDefault="00CA6F89" w:rsidP="008F1C4C">
      <w:pPr>
        <w:pStyle w:val="Odstavekseznama"/>
        <w:numPr>
          <w:ilvl w:val="0"/>
          <w:numId w:val="6"/>
        </w:numPr>
        <w:jc w:val="both"/>
      </w:pPr>
      <w:r>
        <w:t>razlike med najemnino, ki jo plačuje sklad, in neprofitno najemnino za vsako najeto</w:t>
      </w:r>
      <w:r w:rsidR="007E40F9">
        <w:t xml:space="preserve"> </w:t>
      </w:r>
      <w:r w:rsidR="00F90109">
        <w:t>stanovanje.</w:t>
      </w:r>
    </w:p>
    <w:p w14:paraId="602BA039" w14:textId="77777777" w:rsidR="00074551" w:rsidRDefault="00074551" w:rsidP="00667191">
      <w:pPr>
        <w:pStyle w:val="Naslovdostopnost"/>
      </w:pPr>
    </w:p>
    <w:p w14:paraId="3476DB35" w14:textId="7EF0F2F6" w:rsidR="00234980" w:rsidRDefault="00F90109" w:rsidP="00FC0C9E">
      <w:pPr>
        <w:jc w:val="both"/>
      </w:pPr>
      <w:r>
        <w:t>Obseg sredstev za kritje navedenih stroškov predlaga ministrstvo, pristojno za stanovanjske zadeve, v izhodiščih za pripravo finančnega načrta</w:t>
      </w:r>
      <w:r w:rsidR="00740EA3">
        <w:t xml:space="preserve"> na podlagi meril</w:t>
      </w:r>
      <w:r w:rsidR="00327FFD">
        <w:t>, kot so našteta v nadaljevanju.</w:t>
      </w:r>
    </w:p>
    <w:p w14:paraId="7944810C" w14:textId="77777777" w:rsidR="00740EA3" w:rsidRDefault="00740EA3" w:rsidP="00FC0C9E">
      <w:pPr>
        <w:jc w:val="both"/>
      </w:pPr>
    </w:p>
    <w:p w14:paraId="29B437CA" w14:textId="104FF34C" w:rsidR="00740EA3" w:rsidRDefault="00740EA3" w:rsidP="00FC0C9E">
      <w:pPr>
        <w:jc w:val="both"/>
      </w:pPr>
      <w:r>
        <w:t xml:space="preserve">Za stroške zaposlenih sklada se priznajo stroški za zaposlitev naslednjega števila </w:t>
      </w:r>
      <w:r w:rsidR="0058269C">
        <w:t>zaposlenih glede na število stanovanj, ki jih ima sklad v najemu:</w:t>
      </w:r>
    </w:p>
    <w:p w14:paraId="285BC42F" w14:textId="3C580677" w:rsidR="0058269C" w:rsidRDefault="0058269C" w:rsidP="00FC0C9E">
      <w:pPr>
        <w:jc w:val="both"/>
      </w:pPr>
      <w:r>
        <w:t>ob začetku izvajanja javnega najema je sklad upravičen do dveh dodatno zaposlenih;</w:t>
      </w:r>
    </w:p>
    <w:p w14:paraId="58619ADC" w14:textId="5B18E48F" w:rsidR="0058269C" w:rsidRDefault="0058269C" w:rsidP="00FC0C9E">
      <w:pPr>
        <w:jc w:val="both"/>
      </w:pPr>
      <w:r>
        <w:t>ob najetju 125 stanovanj in za vsakih 75 nadalje najetih stanovanj do skupno 500 stanovanj je sklad upravičen do enega dodatno zaposlenega;</w:t>
      </w:r>
    </w:p>
    <w:p w14:paraId="2784366E" w14:textId="16150364" w:rsidR="0058269C" w:rsidRDefault="0058269C" w:rsidP="00FC0C9E">
      <w:pPr>
        <w:jc w:val="both"/>
      </w:pPr>
      <w:r>
        <w:t>nad 500 stanovanj je sklad za vsakih 100 nadalje najetih stanovanj upravičen do enega</w:t>
      </w:r>
      <w:r w:rsidR="007E40F9">
        <w:t xml:space="preserve"> </w:t>
      </w:r>
      <w:r>
        <w:t>dodatno zaposlenega.</w:t>
      </w:r>
    </w:p>
    <w:p w14:paraId="0F23F5BA" w14:textId="77777777" w:rsidR="0058269C" w:rsidRDefault="0058269C" w:rsidP="00FC0C9E">
      <w:pPr>
        <w:jc w:val="both"/>
      </w:pPr>
    </w:p>
    <w:p w14:paraId="38AEE28D" w14:textId="0D1D4A2C" w:rsidR="0058269C" w:rsidRDefault="0058269C" w:rsidP="00FC0C9E">
      <w:pPr>
        <w:jc w:val="both"/>
      </w:pPr>
      <w:r>
        <w:t xml:space="preserve">Za plačilo najemnine v primeru nezasedenosti stanovanja s podnajemniki v času od najema stanovanja do oddaje v podnajem se skladu za vsako sklenjeno pogodbo o oddaji stanovanja v javni najem prizna enkraten strošek v višini dveh mesečnih najemnin, ki jih sklad plačuje lastniku stanovanja. </w:t>
      </w:r>
    </w:p>
    <w:p w14:paraId="0B764490" w14:textId="77777777" w:rsidR="00DE68B4" w:rsidRDefault="00DE68B4" w:rsidP="00FC0C9E">
      <w:pPr>
        <w:jc w:val="both"/>
      </w:pPr>
    </w:p>
    <w:p w14:paraId="178359B7" w14:textId="5A1C0BCF" w:rsidR="00DE68B4" w:rsidRDefault="00DE68B4" w:rsidP="00FC0C9E">
      <w:pPr>
        <w:jc w:val="both"/>
      </w:pPr>
      <w:r>
        <w:t>Stroški neuspele izterjave stroškov od podnajemnikov, ki izvirajo iz podnajema stanovanj in iz subsidiarne odgovornosti za neplačilo obratovalnih stroškov, se krijejo v celoti, pri čemer se med te stroške vštevajo tudi morebitni stroški sodnih postopkov.</w:t>
      </w:r>
    </w:p>
    <w:p w14:paraId="275B6A60" w14:textId="77777777" w:rsidR="00DE68B4" w:rsidRDefault="00DE68B4" w:rsidP="00FC0C9E">
      <w:pPr>
        <w:jc w:val="both"/>
      </w:pPr>
    </w:p>
    <w:p w14:paraId="74A7C192" w14:textId="73B25157" w:rsidR="00DE68B4" w:rsidRDefault="00DE68B4" w:rsidP="00FC0C9E">
      <w:pPr>
        <w:jc w:val="both"/>
      </w:pPr>
      <w:r>
        <w:t>Za poravnavo razlike med najemnino, ki jo plačuje sklad, in neprofitno najemnino se zagotovijo sredstva v višini 0,2-kratnika neprofitne najemnine za vsako najeto stanovanje.</w:t>
      </w:r>
    </w:p>
    <w:p w14:paraId="3B6FA443" w14:textId="77777777" w:rsidR="00DE68B4" w:rsidRDefault="00DE68B4" w:rsidP="00FC0C9E">
      <w:pPr>
        <w:jc w:val="both"/>
      </w:pPr>
    </w:p>
    <w:p w14:paraId="3ECF9D56" w14:textId="128230FD" w:rsidR="00444A4D" w:rsidRDefault="00302A95" w:rsidP="00FC0C9E">
      <w:pPr>
        <w:jc w:val="both"/>
      </w:pPr>
      <w:bookmarkStart w:id="14" w:name="_Hlk201310803"/>
      <w:r>
        <w:lastRenderedPageBreak/>
        <w:t>Inšpekcijsk</w:t>
      </w:r>
      <w:r w:rsidR="0060028C">
        <w:t>emu</w:t>
      </w:r>
      <w:r>
        <w:t xml:space="preserve"> organ</w:t>
      </w:r>
      <w:r w:rsidR="0060028C">
        <w:t>u</w:t>
      </w:r>
      <w:r>
        <w:t xml:space="preserve"> </w:t>
      </w:r>
      <w:r w:rsidR="00791F42">
        <w:t xml:space="preserve">je </w:t>
      </w:r>
      <w:r>
        <w:t xml:space="preserve">v postopku nadzora </w:t>
      </w:r>
      <w:r w:rsidR="00327FFD">
        <w:t xml:space="preserve">sredstev za kritje stroškov sklada pri izvajanju javne najemniške službe v letu 2023 </w:t>
      </w:r>
      <w:r w:rsidR="0060028C">
        <w:t>predložen zahtev</w:t>
      </w:r>
      <w:r w:rsidR="00327FFD">
        <w:t>ek</w:t>
      </w:r>
      <w:r w:rsidR="0060028C">
        <w:t xml:space="preserve"> </w:t>
      </w:r>
      <w:r w:rsidR="007D1EE5">
        <w:t xml:space="preserve">za nakazilo </w:t>
      </w:r>
      <w:r w:rsidR="00791F42">
        <w:t xml:space="preserve">proračunskih </w:t>
      </w:r>
      <w:r w:rsidR="007D1EE5">
        <w:t>sredstev št.</w:t>
      </w:r>
      <w:r w:rsidR="00327FFD">
        <w:t xml:space="preserve"> 007-7-2020 z dne 20. 10. 2023</w:t>
      </w:r>
      <w:r w:rsidR="00791F42">
        <w:t xml:space="preserve"> </w:t>
      </w:r>
      <w:r w:rsidR="00327FFD">
        <w:t xml:space="preserve">ter </w:t>
      </w:r>
      <w:r w:rsidR="00644F30">
        <w:t xml:space="preserve">račun št. OBR-000549/2023 z dne 20. 10. 2023, oba v višini </w:t>
      </w:r>
      <w:r w:rsidR="00644F30" w:rsidRPr="00444A4D">
        <w:t xml:space="preserve">4.862,69 EUR. Nadalje je v postopku predložen </w:t>
      </w:r>
      <w:r w:rsidR="00327FFD" w:rsidRPr="00444A4D">
        <w:t xml:space="preserve">zahtevek </w:t>
      </w:r>
      <w:r w:rsidR="00791F42" w:rsidRPr="00444A4D">
        <w:t xml:space="preserve">za nakazilo proračunskih sredstev </w:t>
      </w:r>
      <w:r w:rsidR="00327FFD" w:rsidRPr="00444A4D">
        <w:t>št. 007-7-2020 z dne 23. 11. 2023</w:t>
      </w:r>
      <w:r w:rsidR="00791F42" w:rsidRPr="00444A4D">
        <w:t xml:space="preserve"> </w:t>
      </w:r>
      <w:r w:rsidR="00644F30" w:rsidRPr="00444A4D">
        <w:t>ter račun št. OBR-000692/2023 z dne 24. 11. 2023</w:t>
      </w:r>
      <w:r w:rsidR="008661DB" w:rsidRPr="00444A4D">
        <w:t>, oba v višini 29.444,80 EUR.</w:t>
      </w:r>
      <w:r w:rsidR="00644F30">
        <w:t xml:space="preserve"> </w:t>
      </w:r>
      <w:r w:rsidR="00791F42">
        <w:t xml:space="preserve">Oba zahtevka </w:t>
      </w:r>
      <w:r w:rsidR="008661DB">
        <w:t xml:space="preserve">in računa </w:t>
      </w:r>
      <w:r w:rsidR="00791F42">
        <w:t>za nakazilo proračunskih sredstev</w:t>
      </w:r>
      <w:r w:rsidR="00644F30">
        <w:t xml:space="preserve"> </w:t>
      </w:r>
      <w:r w:rsidR="00644F30" w:rsidRPr="00644F30">
        <w:t xml:space="preserve">v skupni višini </w:t>
      </w:r>
      <w:r w:rsidR="00644F30" w:rsidRPr="00444A4D">
        <w:t>34.307,49 EUR</w:t>
      </w:r>
      <w:r w:rsidR="00791F42">
        <w:t xml:space="preserve"> sta s strani SSRS naslovljena na Ministrstvo za solidarno prihodnost</w:t>
      </w:r>
      <w:r w:rsidR="00327FFD">
        <w:t xml:space="preserve">. </w:t>
      </w:r>
    </w:p>
    <w:p w14:paraId="7ED92E05" w14:textId="77777777" w:rsidR="00444A4D" w:rsidRDefault="00444A4D" w:rsidP="00FC0C9E">
      <w:pPr>
        <w:jc w:val="both"/>
      </w:pPr>
    </w:p>
    <w:p w14:paraId="3F72E8BB" w14:textId="335EA2CF" w:rsidR="00FE0425" w:rsidRDefault="00FE0425" w:rsidP="00FC0C9E">
      <w:pPr>
        <w:jc w:val="both"/>
      </w:pPr>
      <w:r>
        <w:t xml:space="preserve">Iz izpisa prometa izhaja, da je zahtevek SSRS za kritje stroškov za izvajanje dejavnosti javnega najema stanovanj v višini 4.862,69 EUR poravnan dne 17. 11. 2023, medtem ko je zahtevek SSRS v višini 29.444,80 EUR poravnan dne 22. 12. 2023. </w:t>
      </w:r>
    </w:p>
    <w:p w14:paraId="2E4F93DE" w14:textId="77777777" w:rsidR="00FE0425" w:rsidRDefault="00FE0425" w:rsidP="00FC0C9E">
      <w:pPr>
        <w:jc w:val="both"/>
      </w:pPr>
    </w:p>
    <w:p w14:paraId="2F3E171E" w14:textId="7A1CC68E" w:rsidR="00791F42" w:rsidRDefault="0000006C" w:rsidP="00FC0C9E">
      <w:pPr>
        <w:jc w:val="both"/>
      </w:pPr>
      <w:r>
        <w:t xml:space="preserve">Inšpekcijskemu organu je v </w:t>
      </w:r>
      <w:r w:rsidR="00644F30">
        <w:t xml:space="preserve">postopku nadzora predložen </w:t>
      </w:r>
      <w:r w:rsidR="00197888">
        <w:t>seznam s podatki o vsebini in višini kritja stroškov, kot jih predvideva 6. člen Uredbe o izvajanju javnega najema stanovanj.</w:t>
      </w:r>
      <w:r>
        <w:t xml:space="preserve"> </w:t>
      </w:r>
      <w:r w:rsidR="00197888">
        <w:t xml:space="preserve">Nadalje je v postopku predložena tudi </w:t>
      </w:r>
      <w:r>
        <w:t>specifikacij</w:t>
      </w:r>
      <w:r w:rsidR="00197888">
        <w:t>a</w:t>
      </w:r>
      <w:r>
        <w:t xml:space="preserve"> </w:t>
      </w:r>
      <w:r w:rsidR="00197888">
        <w:t xml:space="preserve">za kritje </w:t>
      </w:r>
      <w:r>
        <w:t xml:space="preserve">stroškov zaposlenih </w:t>
      </w:r>
      <w:r w:rsidR="00197888">
        <w:t>za izvajanje javne najemne službe</w:t>
      </w:r>
      <w:r w:rsidR="001A3E1A">
        <w:t>, pri čemer je ugotovljeno</w:t>
      </w:r>
      <w:r w:rsidR="00FE3D58">
        <w:t>,</w:t>
      </w:r>
      <w:r w:rsidR="001A3E1A">
        <w:t xml:space="preserve"> da se </w:t>
      </w:r>
      <w:r>
        <w:t>v obravnavanem obdobju uveljavlja za največ dva zaposlena delavca</w:t>
      </w:r>
      <w:r w:rsidR="001A3E1A">
        <w:t xml:space="preserve"> in sicer </w:t>
      </w:r>
      <w:r w:rsidR="004C0064">
        <w:t xml:space="preserve">za izdatke </w:t>
      </w:r>
      <w:r w:rsidR="001A3E1A">
        <w:t xml:space="preserve">v zvezi </w:t>
      </w:r>
      <w:r w:rsidR="004C0064">
        <w:t>z izplačili</w:t>
      </w:r>
      <w:r>
        <w:t xml:space="preserve"> plač in </w:t>
      </w:r>
      <w:r w:rsidR="004C0064">
        <w:t>drugih</w:t>
      </w:r>
      <w:r>
        <w:t xml:space="preserve"> zakonsk</w:t>
      </w:r>
      <w:r w:rsidR="004C0064">
        <w:t>ih</w:t>
      </w:r>
      <w:r>
        <w:t xml:space="preserve"> dajat</w:t>
      </w:r>
      <w:r w:rsidR="004C0064">
        <w:t>ev</w:t>
      </w:r>
      <w:r>
        <w:t xml:space="preserve"> </w:t>
      </w:r>
      <w:r w:rsidR="001A3E1A">
        <w:t>v zvezi z delom</w:t>
      </w:r>
      <w:r>
        <w:t xml:space="preserve"> zaposlenih.</w:t>
      </w:r>
    </w:p>
    <w:p w14:paraId="173659E4" w14:textId="77777777" w:rsidR="00791F42" w:rsidRDefault="00791F42" w:rsidP="00667191">
      <w:pPr>
        <w:pStyle w:val="Naslovdostopnost"/>
      </w:pPr>
    </w:p>
    <w:p w14:paraId="7DB277BA" w14:textId="0BE822A5" w:rsidR="001A3E1A" w:rsidRPr="00E051C4" w:rsidRDefault="001A3E1A" w:rsidP="001A3E1A">
      <w:pPr>
        <w:jc w:val="both"/>
        <w:rPr>
          <w:b/>
          <w:bCs/>
        </w:rPr>
      </w:pPr>
      <w:r w:rsidRPr="00E051C4">
        <w:rPr>
          <w:b/>
          <w:bCs/>
        </w:rPr>
        <w:t xml:space="preserve">Proračunski inšpektor pri preveritvi izplačil iz proračuna za </w:t>
      </w:r>
      <w:r>
        <w:rPr>
          <w:b/>
          <w:bCs/>
        </w:rPr>
        <w:t>kritje stroškov za izvajanje javnega najema stanovanj ni</w:t>
      </w:r>
      <w:r w:rsidRPr="00E051C4">
        <w:rPr>
          <w:b/>
          <w:bCs/>
        </w:rPr>
        <w:t xml:space="preserve"> ugotovil nepravilnosti.</w:t>
      </w:r>
    </w:p>
    <w:bookmarkEnd w:id="14"/>
    <w:p w14:paraId="4FB94451" w14:textId="77777777" w:rsidR="00791F42" w:rsidRDefault="00791F42" w:rsidP="00667191">
      <w:pPr>
        <w:pStyle w:val="Naslovdostopnost"/>
      </w:pPr>
    </w:p>
    <w:p w14:paraId="06CCAC7D" w14:textId="221CA501" w:rsidR="007F5D36" w:rsidRPr="00A66619" w:rsidRDefault="007F5D36" w:rsidP="00A66619">
      <w:pPr>
        <w:rPr>
          <w:b/>
          <w:bCs/>
        </w:rPr>
      </w:pPr>
      <w:r w:rsidRPr="00A66619">
        <w:rPr>
          <w:b/>
          <w:bCs/>
        </w:rPr>
        <w:t xml:space="preserve">IV. </w:t>
      </w:r>
      <w:r w:rsidR="00FE6BE4">
        <w:rPr>
          <w:b/>
          <w:bCs/>
        </w:rPr>
        <w:t>2</w:t>
      </w:r>
      <w:r w:rsidRPr="00A66619">
        <w:rPr>
          <w:b/>
          <w:bCs/>
        </w:rPr>
        <w:t xml:space="preserve"> </w:t>
      </w:r>
      <w:bookmarkStart w:id="15" w:name="_Hlk199501268"/>
      <w:r w:rsidR="005F0ECE" w:rsidRPr="00A66619">
        <w:rPr>
          <w:b/>
          <w:bCs/>
        </w:rPr>
        <w:t>Nadzor porabe s</w:t>
      </w:r>
      <w:r w:rsidR="00524F1E" w:rsidRPr="00A66619">
        <w:rPr>
          <w:b/>
          <w:bCs/>
        </w:rPr>
        <w:t>redst</w:t>
      </w:r>
      <w:r w:rsidR="005F0ECE" w:rsidRPr="00A66619">
        <w:rPr>
          <w:b/>
          <w:bCs/>
        </w:rPr>
        <w:t>ev</w:t>
      </w:r>
      <w:r w:rsidR="00524F1E" w:rsidRPr="00A66619">
        <w:rPr>
          <w:b/>
          <w:bCs/>
        </w:rPr>
        <w:t xml:space="preserve"> za n</w:t>
      </w:r>
      <w:r w:rsidR="00FD2E85" w:rsidRPr="00A66619">
        <w:rPr>
          <w:b/>
          <w:bCs/>
        </w:rPr>
        <w:t>astanitev razseljenih oseb z začasno zaščito</w:t>
      </w:r>
      <w:r w:rsidR="00524F1E" w:rsidRPr="00A66619">
        <w:rPr>
          <w:b/>
          <w:bCs/>
        </w:rPr>
        <w:t xml:space="preserve">  </w:t>
      </w:r>
      <w:bookmarkEnd w:id="15"/>
    </w:p>
    <w:p w14:paraId="1B02EFDF" w14:textId="77777777" w:rsidR="007F5D36" w:rsidRPr="00206DA6" w:rsidRDefault="007F5D36" w:rsidP="00667191">
      <w:pPr>
        <w:pStyle w:val="Naslovdostopnost"/>
      </w:pPr>
    </w:p>
    <w:p w14:paraId="4B5439F8" w14:textId="48441060" w:rsidR="00FD2E85" w:rsidRDefault="006143B3" w:rsidP="00FC0C9E">
      <w:pPr>
        <w:jc w:val="both"/>
      </w:pPr>
      <w:r>
        <w:t xml:space="preserve">V skladu </w:t>
      </w:r>
      <w:r w:rsidR="00C21D12">
        <w:t xml:space="preserve">z drugim odstavkom 2. člena </w:t>
      </w:r>
      <w:r w:rsidR="00FD2E85">
        <w:t>Zakon</w:t>
      </w:r>
      <w:r w:rsidR="00C21D12">
        <w:t>a</w:t>
      </w:r>
      <w:r w:rsidR="00FD2E85">
        <w:t xml:space="preserve"> o začasni zaščiti razseljenih oseb</w:t>
      </w:r>
      <w:r w:rsidR="00C21D12">
        <w:t xml:space="preserve"> </w:t>
      </w:r>
      <w:r>
        <w:t xml:space="preserve">Republika Slovenija </w:t>
      </w:r>
      <w:r w:rsidR="00C21D12">
        <w:t xml:space="preserve">dodeli začasno zaščito razseljenim osebam, ki se ne morejo varno in trajno vrniti v </w:t>
      </w:r>
      <w:r w:rsidR="00FB0874">
        <w:t xml:space="preserve">državo ali regijo izvora zaradi vojne in njej podobnih razmer, oboroženih spopadov, okupacije ali množičnih kršitev človekovih pravic, zaradi česar je ogroženo njihovo življenje ali telo ali so žrtve sistematičnega ali splošnega kršenja človekovih pravic in temeljnih svoboščin. </w:t>
      </w:r>
    </w:p>
    <w:p w14:paraId="50818752" w14:textId="77777777" w:rsidR="00FB0874" w:rsidRDefault="00FB0874" w:rsidP="00FC0C9E">
      <w:pPr>
        <w:jc w:val="both"/>
      </w:pPr>
    </w:p>
    <w:p w14:paraId="3D27500D" w14:textId="7423A8E9" w:rsidR="00FB0874" w:rsidRDefault="00FB0874" w:rsidP="00FC0C9E">
      <w:pPr>
        <w:jc w:val="both"/>
      </w:pPr>
      <w:r>
        <w:t>Začasna zaščita pomeni izredni postopek, ki v primeru množičnega prihoda ali neizbežnega množičnega prihoda razseljenih oseb iz tretjih držav, ki se ne morejo vrniti v svojo matično državo, zagotavlja takojšnjo začasno zaščito takšnim osebam, zlasti če obstaja nevarnost</w:t>
      </w:r>
      <w:r w:rsidR="00F24D48">
        <w:t xml:space="preserve">, da azilni sistem ne bo zmožen obravnavati prihoda brez neželenih učinkov na njegovo uspešno delovanje v korist navedenih oseb in drugih oseb, ki prosijo, ki prosijo za zaščito. </w:t>
      </w:r>
      <w:r w:rsidR="00AA1449">
        <w:t>Razseljene osebe so državljani tretjih držav ali osebe brez državljanstva, ki so morale zapustiti svojo matično državo ali regijo ali so bile evakuirane, zlasti na poziv mednarodnih organizacij in ki se ne morejo varno in trajno vrniti zaradi prevladujočega stanja v tej državi ali regiji in se lahko štejejo med tiste osebe iz Konvencije o statusu beguncev ali drugih predpisov, ki omogočajo mednarodno zaščito, zlasti osebe, ki so pribežale z območij oboroženih konfliktov ali endemičnega nasilja ter zelo ogrožene osebe ali tiste, ki so že bile žrtve sistematičnega ali splošnega kršenja njihovih človekovih pravic in temeljnih svoboščin.</w:t>
      </w:r>
      <w:r>
        <w:t xml:space="preserve"> </w:t>
      </w:r>
    </w:p>
    <w:p w14:paraId="2D66FDCC" w14:textId="77777777" w:rsidR="007915FC" w:rsidRDefault="007915FC" w:rsidP="00FC0C9E">
      <w:pPr>
        <w:jc w:val="both"/>
      </w:pPr>
    </w:p>
    <w:p w14:paraId="59FB086D" w14:textId="0B288AD3" w:rsidR="007915FC" w:rsidRDefault="007915FC" w:rsidP="00FC0C9E">
      <w:pPr>
        <w:jc w:val="both"/>
      </w:pPr>
      <w:r>
        <w:t>Proračunski inšpektor je v postopku nadzora preveril pravne podlage za izplačila iz proračuna, pregledane so naključno izbrane najemne pogodbe za nastanitev razseljenih oseb z začasno zaščito, pripadajoči sklepi o višini najemnine, izdani računi v tej zvezi in podatki o plačilih najemnin ter evidenca najemnih stanovanj iz tega naslova.</w:t>
      </w:r>
    </w:p>
    <w:p w14:paraId="41EB2A6C" w14:textId="77777777" w:rsidR="00206DA6" w:rsidRDefault="00206DA6" w:rsidP="00667191">
      <w:pPr>
        <w:pStyle w:val="Naslovdostopnost"/>
      </w:pPr>
    </w:p>
    <w:p w14:paraId="5FE296C7" w14:textId="0E9BC488" w:rsidR="00A66619" w:rsidRPr="00A66619" w:rsidRDefault="00AB3233" w:rsidP="00A66619">
      <w:pPr>
        <w:rPr>
          <w:b/>
          <w:bCs/>
        </w:rPr>
      </w:pPr>
      <w:r w:rsidRPr="00A66619">
        <w:rPr>
          <w:b/>
          <w:bCs/>
        </w:rPr>
        <w:t xml:space="preserve">IV. </w:t>
      </w:r>
      <w:r w:rsidR="00914B7D">
        <w:rPr>
          <w:b/>
          <w:bCs/>
        </w:rPr>
        <w:t>2</w:t>
      </w:r>
      <w:r w:rsidR="00835555" w:rsidRPr="00A66619">
        <w:rPr>
          <w:b/>
          <w:bCs/>
        </w:rPr>
        <w:t>. 1 Preveritev pravnih podlag za izplačila iz proračuna</w:t>
      </w:r>
      <w:r w:rsidR="00206DA6" w:rsidRPr="00A66619">
        <w:rPr>
          <w:b/>
          <w:bCs/>
        </w:rPr>
        <w:t xml:space="preserve"> za nastanitev razseljenih oseb</w:t>
      </w:r>
      <w:r w:rsidR="00A66619" w:rsidRPr="00A66619">
        <w:rPr>
          <w:b/>
          <w:bCs/>
        </w:rPr>
        <w:t xml:space="preserve"> </w:t>
      </w:r>
    </w:p>
    <w:p w14:paraId="294A4E3C" w14:textId="51932C7A" w:rsidR="00AB3233" w:rsidRPr="00A66619" w:rsidRDefault="00A66619" w:rsidP="00A66619">
      <w:pPr>
        <w:rPr>
          <w:b/>
          <w:bCs/>
        </w:rPr>
      </w:pPr>
      <w:r w:rsidRPr="00A66619">
        <w:rPr>
          <w:b/>
          <w:bCs/>
        </w:rPr>
        <w:t xml:space="preserve">             z začasno zaščito </w:t>
      </w:r>
      <w:r w:rsidR="00AB3233" w:rsidRPr="00A66619">
        <w:rPr>
          <w:b/>
          <w:bCs/>
        </w:rPr>
        <w:t xml:space="preserve">  </w:t>
      </w:r>
    </w:p>
    <w:p w14:paraId="24009089" w14:textId="77777777" w:rsidR="00AB3233" w:rsidRDefault="00AB3233" w:rsidP="00667191">
      <w:pPr>
        <w:pStyle w:val="Naslovdostopnost"/>
      </w:pPr>
    </w:p>
    <w:p w14:paraId="393CCB29" w14:textId="14875656" w:rsidR="00F80109" w:rsidRDefault="00F80109" w:rsidP="00FC0C9E">
      <w:pPr>
        <w:jc w:val="both"/>
      </w:pPr>
      <w:r>
        <w:t>S Sklepom o uvedbi začasne zaščite za razseljene osebe iz Ukrajine</w:t>
      </w:r>
      <w:r w:rsidR="00914B7D">
        <w:t>, ki je pričel veljati 10. 3. 2022</w:t>
      </w:r>
      <w:r>
        <w:t xml:space="preserve"> </w:t>
      </w:r>
      <w:r w:rsidR="00914B7D">
        <w:t xml:space="preserve"> </w:t>
      </w:r>
      <w:r>
        <w:t xml:space="preserve">je Republika Slovenija uvedla </w:t>
      </w:r>
      <w:r w:rsidR="00673D38">
        <w:t xml:space="preserve">začasno zaščito za osebe, ki so 24. februarja 2022 ali kasneje razseljene iz Ukrajine zaradi vojaške invazije ruskih oboroženih sil, ki se je začela na navedeni datum. </w:t>
      </w:r>
    </w:p>
    <w:p w14:paraId="7E8F99D5" w14:textId="77777777" w:rsidR="00673D38" w:rsidRDefault="00673D38" w:rsidP="00FC0C9E">
      <w:pPr>
        <w:jc w:val="both"/>
      </w:pPr>
    </w:p>
    <w:p w14:paraId="3EFC11DC" w14:textId="77777777" w:rsidR="00BF75D7" w:rsidRDefault="00BF75D7" w:rsidP="00FC0C9E">
      <w:pPr>
        <w:jc w:val="both"/>
      </w:pPr>
      <w:bookmarkStart w:id="16" w:name="_Hlk201310888"/>
    </w:p>
    <w:p w14:paraId="2E52AE27" w14:textId="49BEFCFB" w:rsidR="00673D38" w:rsidRDefault="00673D38" w:rsidP="00FC0C9E">
      <w:pPr>
        <w:jc w:val="both"/>
      </w:pPr>
      <w:r>
        <w:t>Začasna zaščita razseljenih oseb iz Ukrajine se uvede z dnem uveljavitve sklepa iz preteklega odstavka, to je dne 10. 3. 2022, in traja eno leto. Začasna zaščita se podaljša v skladu z Direktivo Sveta 2001/55/ES z dne 20. 7. 2001 o najnižjih standardih za dodelitev začasne zaščite v primeru množičnega prihoda razseljenih oseb in o ukrepih za uravnoteženje prizadevanj in posledic za države članice pri sprejemanju takšnih oseb</w:t>
      </w:r>
      <w:r w:rsidR="00FF330F">
        <w:t xml:space="preserve"> (UL L št. 212 z dne 7. 8. 2001, str. 12), v skladu z Izvedbenim sklepom Sveta (EU) 2023/2409 z dne 19. oktobra 2023 o podaljšanju začasne zaščite, kot je bila uvedena z Izvedbenim sklepom</w:t>
      </w:r>
      <w:r w:rsidR="00356EE3">
        <w:t xml:space="preserve"> Sveta</w:t>
      </w:r>
      <w:r w:rsidR="00FF330F">
        <w:t xml:space="preserve"> (EU) 2022/382 (UL L št. 2023/2409 z dne 24. 10. 2023)</w:t>
      </w:r>
      <w:r>
        <w:t xml:space="preserve"> </w:t>
      </w:r>
      <w:r w:rsidR="00FF330F">
        <w:t xml:space="preserve">in v skladu z Izvedbenim sklepom Sveta (EU) 2024/1836 z dne 25. 6. 2024 o podaljšanju začasne zaščite, kot je bila uvedena z Izvedbenim sklepom </w:t>
      </w:r>
      <w:r w:rsidR="00356EE3">
        <w:t xml:space="preserve">Sveta </w:t>
      </w:r>
      <w:r w:rsidR="00FF330F">
        <w:t>(EU) 2022/382 (UL L št. 2024/1836 z dne 3. 7. 2024).</w:t>
      </w:r>
      <w:r w:rsidR="008F4C9B">
        <w:t xml:space="preserve"> Izvedbeni sklep Sveta (EU) z dne 25. 6. 2024 v 2. členu določa, da se začasna zaščita za osebe, razseljene iz Ukrajine podaljša za nadaljnje obdobje ene</w:t>
      </w:r>
      <w:r w:rsidR="00426EBC">
        <w:t xml:space="preserve">ga leta, in sicer do </w:t>
      </w:r>
      <w:r w:rsidR="00426EBC" w:rsidRPr="00DC1444">
        <w:t>4. 3. 2026</w:t>
      </w:r>
      <w:r w:rsidR="00426EBC">
        <w:t>.</w:t>
      </w:r>
    </w:p>
    <w:p w14:paraId="0C4E1B8F" w14:textId="77777777" w:rsidR="00E051C4" w:rsidRDefault="00E051C4" w:rsidP="00667191">
      <w:pPr>
        <w:pStyle w:val="Naslovdostopnost"/>
      </w:pPr>
    </w:p>
    <w:p w14:paraId="740FD91F" w14:textId="2D2F64E7" w:rsidR="00D61CA2" w:rsidRPr="00E051C4" w:rsidRDefault="00E051C4" w:rsidP="00E051C4">
      <w:pPr>
        <w:jc w:val="both"/>
        <w:rPr>
          <w:b/>
          <w:bCs/>
        </w:rPr>
      </w:pPr>
      <w:bookmarkStart w:id="17" w:name="_Hlk200548885"/>
      <w:r w:rsidRPr="00E051C4">
        <w:rPr>
          <w:b/>
          <w:bCs/>
        </w:rPr>
        <w:t>Proračunski inšpektor pri preveritvi pravnih podlag za izplačila iz proračuna za nastanitev razseljenih oseb ni ugotovil nepravilnosti.</w:t>
      </w:r>
    </w:p>
    <w:bookmarkEnd w:id="16"/>
    <w:bookmarkEnd w:id="17"/>
    <w:p w14:paraId="43A1671C" w14:textId="77777777" w:rsidR="00E051C4" w:rsidRDefault="00E051C4" w:rsidP="00667191">
      <w:pPr>
        <w:pStyle w:val="Naslovdostopnost"/>
      </w:pPr>
    </w:p>
    <w:p w14:paraId="378A0CE6" w14:textId="1667B288" w:rsidR="00E5139F" w:rsidRPr="00A66619" w:rsidRDefault="00E5139F" w:rsidP="00A66619">
      <w:pPr>
        <w:rPr>
          <w:b/>
          <w:bCs/>
        </w:rPr>
      </w:pPr>
      <w:r w:rsidRPr="00A66619">
        <w:rPr>
          <w:b/>
          <w:bCs/>
        </w:rPr>
        <w:t xml:space="preserve">IV. </w:t>
      </w:r>
      <w:r w:rsidR="00914B7D">
        <w:rPr>
          <w:b/>
          <w:bCs/>
        </w:rPr>
        <w:t>2</w:t>
      </w:r>
      <w:r w:rsidRPr="00A66619">
        <w:rPr>
          <w:b/>
          <w:bCs/>
        </w:rPr>
        <w:t xml:space="preserve">. </w:t>
      </w:r>
      <w:r w:rsidR="00A66619">
        <w:rPr>
          <w:b/>
          <w:bCs/>
        </w:rPr>
        <w:t>2</w:t>
      </w:r>
      <w:r w:rsidRPr="00A66619">
        <w:rPr>
          <w:b/>
          <w:bCs/>
        </w:rPr>
        <w:t xml:space="preserve"> Pregled najemnih pogodb</w:t>
      </w:r>
    </w:p>
    <w:p w14:paraId="7922096C" w14:textId="77777777" w:rsidR="00E5139F" w:rsidRDefault="00E5139F" w:rsidP="00667191">
      <w:pPr>
        <w:pStyle w:val="Naslovdostopnost"/>
      </w:pPr>
    </w:p>
    <w:p w14:paraId="46D4B9C6" w14:textId="461D9D22" w:rsidR="00D61CA2" w:rsidRDefault="00BF3337" w:rsidP="001F04C8">
      <w:pPr>
        <w:jc w:val="both"/>
      </w:pPr>
      <w:r>
        <w:t>SSRS je z Uradom Vlade RS za oskrbo in integracijo migrantov</w:t>
      </w:r>
      <w:r w:rsidR="004840C8">
        <w:t xml:space="preserve"> (v nadaljevanju: UOIM)</w:t>
      </w:r>
      <w:r>
        <w:t xml:space="preserve"> zaradi potreb namestitve izseljenih prebivalcev iz Ukrajine, ki imajo v Republiki Sloveniji status osebe z začasno zaščito,  sklenil najemne pogodbe za oddajo stanovanjskih enot sklada v najem.</w:t>
      </w:r>
      <w:r w:rsidR="00257972">
        <w:t xml:space="preserve"> </w:t>
      </w:r>
      <w:r w:rsidR="00DC43D5">
        <w:t>Iz pogodb o najemu stanovanjskih enot izhaja, da</w:t>
      </w:r>
      <w:r w:rsidR="00257972">
        <w:t xml:space="preserve"> so sklenjene za določen čas z možnostjo podaljšanja za isti namen v primeru, da bodo s strani najemnika Urada Vlade RS za oskrbo in integracijo migrantov</w:t>
      </w:r>
      <w:r>
        <w:t xml:space="preserve"> </w:t>
      </w:r>
      <w:r w:rsidR="00257972">
        <w:t>poravnane in redno izvajane vse obveznosti po najemni pogodbi.</w:t>
      </w:r>
      <w:r w:rsidR="004840C8">
        <w:t xml:space="preserve"> Plačila pogodbenih vrednosti se vršijo mesečno. Obračunavanje storitev bo najemodajalec SSRS opravil z izstavitvijo mesečnih e-računov s specifikacijo do petega dne v mesecu za najemnino v preteklem mesecu. Naročnik UOIM</w:t>
      </w:r>
      <w:r w:rsidR="00DC43D5">
        <w:t xml:space="preserve"> </w:t>
      </w:r>
      <w:r w:rsidR="004840C8">
        <w:t>bo najem in opravljene storitve plačeval v roku 30 dni od uradnega prejema pravilno izstavljenega računa, pri čemer začne plačilni rok teči naslednji dan po prejemu računa. V primeru zamude plačila lahko najemodajalec zahteva plačilo zakonskih zamudnih obresti.</w:t>
      </w:r>
    </w:p>
    <w:p w14:paraId="7F49999D" w14:textId="77777777" w:rsidR="00C11B4F" w:rsidRDefault="00C11B4F" w:rsidP="00667191">
      <w:pPr>
        <w:pStyle w:val="Naslovdostopnost"/>
      </w:pPr>
    </w:p>
    <w:p w14:paraId="0BFA3070" w14:textId="455D2476" w:rsidR="000A3BFB" w:rsidRPr="006115EE" w:rsidRDefault="00C11B4F" w:rsidP="00660355">
      <w:pPr>
        <w:jc w:val="both"/>
        <w:rPr>
          <w:color w:val="000000" w:themeColor="text1"/>
        </w:rPr>
      </w:pPr>
      <w:r w:rsidRPr="006115EE">
        <w:rPr>
          <w:color w:val="000000" w:themeColor="text1"/>
        </w:rPr>
        <w:t>Inšpekcijski organ je pri pregledu naključno izbrane najemne pogodbe št. NS-22</w:t>
      </w:r>
      <w:r w:rsidR="000A3BFB" w:rsidRPr="006115EE">
        <w:rPr>
          <w:color w:val="000000" w:themeColor="text1"/>
        </w:rPr>
        <w:t>28</w:t>
      </w:r>
      <w:r w:rsidRPr="006115EE">
        <w:rPr>
          <w:color w:val="000000" w:themeColor="text1"/>
        </w:rPr>
        <w:t>/20</w:t>
      </w:r>
      <w:r w:rsidR="000A3BFB" w:rsidRPr="006115EE">
        <w:rPr>
          <w:color w:val="000000" w:themeColor="text1"/>
        </w:rPr>
        <w:t>1</w:t>
      </w:r>
      <w:r w:rsidRPr="006115EE">
        <w:rPr>
          <w:color w:val="000000" w:themeColor="text1"/>
        </w:rPr>
        <w:t xml:space="preserve">7 za </w:t>
      </w:r>
      <w:r w:rsidR="00980F56">
        <w:rPr>
          <w:color w:val="000000" w:themeColor="text1"/>
        </w:rPr>
        <w:t xml:space="preserve">stanovanje na </w:t>
      </w:r>
      <w:r w:rsidRPr="006115EE">
        <w:rPr>
          <w:color w:val="000000" w:themeColor="text1"/>
        </w:rPr>
        <w:t>lokacij</w:t>
      </w:r>
      <w:r w:rsidR="00980F56">
        <w:rPr>
          <w:color w:val="000000" w:themeColor="text1"/>
        </w:rPr>
        <w:t>i</w:t>
      </w:r>
      <w:r w:rsidRPr="006115EE">
        <w:rPr>
          <w:color w:val="000000" w:themeColor="text1"/>
        </w:rPr>
        <w:t xml:space="preserve"> </w:t>
      </w:r>
      <w:r w:rsidR="000A3BFB" w:rsidRPr="006115EE">
        <w:rPr>
          <w:color w:val="000000" w:themeColor="text1"/>
        </w:rPr>
        <w:t>Nov</w:t>
      </w:r>
      <w:r w:rsidR="00980F56">
        <w:rPr>
          <w:color w:val="000000" w:themeColor="text1"/>
        </w:rPr>
        <w:t>ega</w:t>
      </w:r>
      <w:r w:rsidR="000A3BFB" w:rsidRPr="006115EE">
        <w:rPr>
          <w:color w:val="000000" w:themeColor="text1"/>
        </w:rPr>
        <w:t xml:space="preserve"> mest</w:t>
      </w:r>
      <w:r w:rsidR="00980F56">
        <w:rPr>
          <w:color w:val="000000" w:themeColor="text1"/>
        </w:rPr>
        <w:t>a</w:t>
      </w:r>
      <w:r w:rsidRPr="006115EE">
        <w:rPr>
          <w:color w:val="000000" w:themeColor="text1"/>
        </w:rPr>
        <w:t xml:space="preserve"> ugotovil</w:t>
      </w:r>
      <w:r w:rsidR="000A3BFB" w:rsidRPr="006115EE">
        <w:rPr>
          <w:color w:val="000000" w:themeColor="text1"/>
        </w:rPr>
        <w:t xml:space="preserve"> sledeče:</w:t>
      </w:r>
    </w:p>
    <w:p w14:paraId="4B05134A" w14:textId="75A949A7" w:rsidR="000A3BFB" w:rsidRPr="006115EE" w:rsidRDefault="006115EE" w:rsidP="006115EE">
      <w:pPr>
        <w:jc w:val="both"/>
        <w:rPr>
          <w:color w:val="000000" w:themeColor="text1"/>
        </w:rPr>
      </w:pPr>
      <w:r w:rsidRPr="006115EE">
        <w:rPr>
          <w:color w:val="000000" w:themeColor="text1"/>
        </w:rPr>
        <w:t xml:space="preserve">- </w:t>
      </w:r>
      <w:r w:rsidR="000A3BFB" w:rsidRPr="006115EE">
        <w:rPr>
          <w:color w:val="000000" w:themeColor="text1"/>
        </w:rPr>
        <w:t>v četrti alineji prvega člena pogodbe je navedeno, da je bila dne 3. 3. 2023 sklenjena najemna pogodba NS-2228/2017 za določen čas (do 4. 3. 2023) z možnostjo podaljšanja</w:t>
      </w:r>
      <w:r w:rsidRPr="006115EE">
        <w:rPr>
          <w:color w:val="000000" w:themeColor="text1"/>
        </w:rPr>
        <w:t>.</w:t>
      </w:r>
    </w:p>
    <w:p w14:paraId="635FDC60" w14:textId="1C3F65B9" w:rsidR="006115EE" w:rsidRDefault="006115EE" w:rsidP="006115EE">
      <w:pPr>
        <w:jc w:val="both"/>
        <w:rPr>
          <w:b/>
          <w:bCs/>
          <w:color w:val="000000" w:themeColor="text1"/>
        </w:rPr>
      </w:pPr>
      <w:r w:rsidRPr="006115EE">
        <w:rPr>
          <w:b/>
          <w:bCs/>
          <w:color w:val="000000" w:themeColor="text1"/>
        </w:rPr>
        <w:t xml:space="preserve">Glede na datume podpisov odgovornih oseb (23. 2. 2024 ter 31. 3. 2024) organ nadzora predvideva, da bi moral biti pravilen datum najema </w:t>
      </w:r>
      <w:r w:rsidR="00971717">
        <w:rPr>
          <w:b/>
          <w:bCs/>
          <w:color w:val="000000" w:themeColor="text1"/>
        </w:rPr>
        <w:t>do 4. 3.</w:t>
      </w:r>
      <w:r w:rsidRPr="006115EE">
        <w:rPr>
          <w:b/>
          <w:bCs/>
          <w:color w:val="000000" w:themeColor="text1"/>
        </w:rPr>
        <w:t xml:space="preserve"> 202</w:t>
      </w:r>
      <w:r w:rsidR="009966B9">
        <w:rPr>
          <w:b/>
          <w:bCs/>
          <w:color w:val="000000" w:themeColor="text1"/>
        </w:rPr>
        <w:t>5</w:t>
      </w:r>
      <w:r w:rsidRPr="006115EE">
        <w:rPr>
          <w:b/>
          <w:bCs/>
          <w:color w:val="000000" w:themeColor="text1"/>
        </w:rPr>
        <w:t xml:space="preserve">.  </w:t>
      </w:r>
    </w:p>
    <w:p w14:paraId="7B28EE12" w14:textId="6BCE0DA6" w:rsidR="00C11B4F" w:rsidRDefault="006115EE" w:rsidP="006115EE">
      <w:pPr>
        <w:jc w:val="both"/>
        <w:rPr>
          <w:color w:val="000000" w:themeColor="text1"/>
        </w:rPr>
      </w:pPr>
      <w:r w:rsidRPr="006115EE">
        <w:rPr>
          <w:color w:val="000000" w:themeColor="text1"/>
        </w:rPr>
        <w:t>-</w:t>
      </w:r>
      <w:r>
        <w:rPr>
          <w:color w:val="000000" w:themeColor="text1"/>
        </w:rPr>
        <w:t xml:space="preserve"> </w:t>
      </w:r>
      <w:r w:rsidR="000A3BFB" w:rsidRPr="006115EE">
        <w:rPr>
          <w:color w:val="000000" w:themeColor="text1"/>
        </w:rPr>
        <w:t>pogodba ne</w:t>
      </w:r>
      <w:r w:rsidR="00C11B4F" w:rsidRPr="006115EE">
        <w:rPr>
          <w:color w:val="000000" w:themeColor="text1"/>
        </w:rPr>
        <w:t xml:space="preserve"> vsebuje </w:t>
      </w:r>
      <w:r w:rsidR="000A3BFB" w:rsidRPr="006115EE">
        <w:rPr>
          <w:color w:val="000000" w:themeColor="text1"/>
        </w:rPr>
        <w:t xml:space="preserve">celotnega </w:t>
      </w:r>
      <w:r w:rsidR="00AA45DD" w:rsidRPr="006115EE">
        <w:rPr>
          <w:color w:val="000000" w:themeColor="text1"/>
        </w:rPr>
        <w:t>trajanja</w:t>
      </w:r>
      <w:r w:rsidR="00C11B4F" w:rsidRPr="006115EE">
        <w:rPr>
          <w:color w:val="000000" w:themeColor="text1"/>
        </w:rPr>
        <w:t xml:space="preserve"> obdobja oddajanja v najem, ampak je</w:t>
      </w:r>
      <w:r w:rsidR="00AA45DD" w:rsidRPr="006115EE">
        <w:rPr>
          <w:color w:val="000000" w:themeColor="text1"/>
        </w:rPr>
        <w:t xml:space="preserve"> </w:t>
      </w:r>
      <w:r w:rsidR="00A57BC1">
        <w:rPr>
          <w:color w:val="000000" w:themeColor="text1"/>
        </w:rPr>
        <w:t xml:space="preserve">v </w:t>
      </w:r>
      <w:r w:rsidRPr="006115EE">
        <w:rPr>
          <w:color w:val="000000" w:themeColor="text1"/>
        </w:rPr>
        <w:t>3. členu</w:t>
      </w:r>
      <w:r w:rsidR="00AA45DD" w:rsidRPr="006115EE">
        <w:rPr>
          <w:color w:val="000000" w:themeColor="text1"/>
        </w:rPr>
        <w:t xml:space="preserve">  naveden samo datum</w:t>
      </w:r>
      <w:r w:rsidR="000A3BFB" w:rsidRPr="006115EE">
        <w:rPr>
          <w:color w:val="000000" w:themeColor="text1"/>
        </w:rPr>
        <w:t xml:space="preserve"> poteka najema</w:t>
      </w:r>
      <w:r w:rsidR="008121E3">
        <w:rPr>
          <w:color w:val="000000" w:themeColor="text1"/>
        </w:rPr>
        <w:t xml:space="preserve"> stanovanja</w:t>
      </w:r>
      <w:r w:rsidR="000A3BFB" w:rsidRPr="006115EE">
        <w:rPr>
          <w:color w:val="000000" w:themeColor="text1"/>
        </w:rPr>
        <w:t xml:space="preserve"> do 4. 3. 2025</w:t>
      </w:r>
      <w:r w:rsidR="008121E3">
        <w:rPr>
          <w:color w:val="000000" w:themeColor="text1"/>
        </w:rPr>
        <w:t>.</w:t>
      </w:r>
    </w:p>
    <w:p w14:paraId="1CF95415" w14:textId="05BCDF79" w:rsidR="006115EE" w:rsidRPr="00C65B54" w:rsidRDefault="00C65B54" w:rsidP="006115EE">
      <w:pPr>
        <w:jc w:val="both"/>
        <w:rPr>
          <w:b/>
          <w:bCs/>
          <w:color w:val="000000" w:themeColor="text1"/>
        </w:rPr>
      </w:pPr>
      <w:r w:rsidRPr="00C65B54">
        <w:rPr>
          <w:b/>
          <w:bCs/>
          <w:color w:val="000000" w:themeColor="text1"/>
        </w:rPr>
        <w:t xml:space="preserve">Inšpekcijski organ predlaga, da najemne pogodbe vsebujejo bolj jasno opredelitev obdobja oddajanja v najem in sicer z začetkom in koncem obdobja oddajanja </w:t>
      </w:r>
      <w:r w:rsidR="00B155BB">
        <w:rPr>
          <w:b/>
          <w:bCs/>
          <w:color w:val="000000" w:themeColor="text1"/>
        </w:rPr>
        <w:t xml:space="preserve">stanovanja </w:t>
      </w:r>
      <w:r w:rsidRPr="00C65B54">
        <w:rPr>
          <w:b/>
          <w:bCs/>
          <w:color w:val="000000" w:themeColor="text1"/>
        </w:rPr>
        <w:t>v najem</w:t>
      </w:r>
      <w:r w:rsidR="008121E3">
        <w:rPr>
          <w:b/>
          <w:bCs/>
          <w:color w:val="000000" w:themeColor="text1"/>
        </w:rPr>
        <w:t>.</w:t>
      </w:r>
    </w:p>
    <w:p w14:paraId="200149F8" w14:textId="58ACFDF8" w:rsidR="00C65B54" w:rsidRDefault="00C65B54" w:rsidP="00B155BB">
      <w:pPr>
        <w:jc w:val="both"/>
      </w:pPr>
      <w:r w:rsidRPr="00C65B54">
        <w:rPr>
          <w:color w:val="000000" w:themeColor="text1"/>
        </w:rPr>
        <w:t>-</w:t>
      </w:r>
      <w:r>
        <w:rPr>
          <w:color w:val="000000" w:themeColor="text1"/>
        </w:rPr>
        <w:t xml:space="preserve"> </w:t>
      </w:r>
      <w:r w:rsidR="000A3BFB" w:rsidRPr="00C65B54">
        <w:rPr>
          <w:color w:val="000000" w:themeColor="text1"/>
        </w:rPr>
        <w:t>pogodba ne vsebuje razloga</w:t>
      </w:r>
      <w:r w:rsidR="006115EE" w:rsidRPr="00C65B54">
        <w:rPr>
          <w:color w:val="000000" w:themeColor="text1"/>
        </w:rPr>
        <w:t xml:space="preserve"> za prenehanje najemne pogodbe v primeru, da začasno izseljene osebe iz Ukrajine izgubijo status osebe z začasno zaščito</w:t>
      </w:r>
      <w:r w:rsidR="008121E3">
        <w:rPr>
          <w:color w:val="000000" w:themeColor="text1"/>
        </w:rPr>
        <w:t xml:space="preserve">. </w:t>
      </w:r>
      <w:r>
        <w:t xml:space="preserve">Iz 4. člena najemne pogodbe </w:t>
      </w:r>
      <w:r w:rsidR="008121E3">
        <w:t xml:space="preserve">namreč jasno </w:t>
      </w:r>
      <w:r>
        <w:t xml:space="preserve">izhaja, da se najemnik (to je UOIM) s podpisom pogodbe izrecno zavezuje, da bo predmet pogodbe uporabljal izključno za namestitev izseljenih prebivalcev iz Ukrajine, ki imajo v Sloveniji status osebe z začasno zaščito. </w:t>
      </w:r>
    </w:p>
    <w:p w14:paraId="358925FD" w14:textId="2C109B37" w:rsidR="00B155BB" w:rsidRDefault="00C65B54" w:rsidP="00B155BB">
      <w:pPr>
        <w:jc w:val="both"/>
        <w:rPr>
          <w:b/>
          <w:bCs/>
        </w:rPr>
      </w:pPr>
      <w:r w:rsidRPr="00B155BB">
        <w:rPr>
          <w:b/>
          <w:bCs/>
        </w:rPr>
        <w:t xml:space="preserve">Navedeno pomeni, da </w:t>
      </w:r>
      <w:r w:rsidR="00B155BB" w:rsidRPr="00B155BB">
        <w:rPr>
          <w:b/>
          <w:bCs/>
        </w:rPr>
        <w:t>se</w:t>
      </w:r>
      <w:r w:rsidRPr="00B155BB">
        <w:rPr>
          <w:b/>
          <w:bCs/>
        </w:rPr>
        <w:t>, v kolikor bi navedeni</w:t>
      </w:r>
      <w:r w:rsidR="00980F56">
        <w:rPr>
          <w:b/>
          <w:bCs/>
        </w:rPr>
        <w:t>m osebam prenehal</w:t>
      </w:r>
      <w:r w:rsidRPr="00B155BB">
        <w:rPr>
          <w:b/>
          <w:bCs/>
        </w:rPr>
        <w:t xml:space="preserve"> status osebe z začasno zaščito</w:t>
      </w:r>
      <w:r w:rsidR="00B155BB" w:rsidRPr="00B155BB">
        <w:rPr>
          <w:b/>
          <w:bCs/>
        </w:rPr>
        <w:t xml:space="preserve">, predmet pogodbe (najemno stanovanje) ne bi smel več uporabljati. Inšpektor predlaga, da se v najemni pogodbi takšna možnost opredeli med razlogi za prenehanje najemnega razmerja.  </w:t>
      </w:r>
    </w:p>
    <w:p w14:paraId="01DE40F1" w14:textId="77777777" w:rsidR="00BF75D7" w:rsidRDefault="00BF75D7" w:rsidP="00B155BB">
      <w:pPr>
        <w:jc w:val="both"/>
        <w:rPr>
          <w:b/>
          <w:bCs/>
        </w:rPr>
      </w:pPr>
    </w:p>
    <w:p w14:paraId="0570C3AA" w14:textId="77777777" w:rsidR="00BF75D7" w:rsidRDefault="00BF75D7" w:rsidP="00B155BB">
      <w:pPr>
        <w:jc w:val="both"/>
        <w:rPr>
          <w:b/>
          <w:bCs/>
        </w:rPr>
      </w:pPr>
    </w:p>
    <w:p w14:paraId="38AC2ACB" w14:textId="77777777" w:rsidR="00B155BB" w:rsidRDefault="00B155BB" w:rsidP="00B155BB">
      <w:pPr>
        <w:jc w:val="both"/>
      </w:pPr>
    </w:p>
    <w:p w14:paraId="6B09E914" w14:textId="62C40A59" w:rsidR="008121E3" w:rsidRPr="009300AF" w:rsidRDefault="008121E3" w:rsidP="008121E3">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szCs w:val="20"/>
        </w:rPr>
      </w:pPr>
      <w:r w:rsidRPr="008121E3">
        <w:rPr>
          <w:rFonts w:eastAsia="Times New Roman" w:cs="Arial"/>
          <w:b/>
          <w:bCs/>
          <w:color w:val="000000" w:themeColor="text1"/>
          <w:szCs w:val="20"/>
        </w:rPr>
        <w:t xml:space="preserve">UKREP ŠT. 1: Proračunski </w:t>
      </w:r>
      <w:r w:rsidRPr="009426A9">
        <w:rPr>
          <w:rFonts w:eastAsia="Times New Roman" w:cs="Arial"/>
          <w:b/>
          <w:bCs/>
          <w:szCs w:val="20"/>
        </w:rPr>
        <w:t xml:space="preserve">inšpektor glede na gornje ugotovitve na podlagi drugega odstavka 104. člena ZJF predlaga, da proračunski uporabnik </w:t>
      </w:r>
      <w:r>
        <w:rPr>
          <w:rFonts w:eastAsia="Times New Roman" w:cs="Arial"/>
          <w:b/>
          <w:bCs/>
          <w:szCs w:val="20"/>
        </w:rPr>
        <w:t>Stanovanjski sklad Republike Slovenije</w:t>
      </w:r>
      <w:r w:rsidRPr="009426A9">
        <w:rPr>
          <w:rFonts w:eastAsia="Times New Roman" w:cs="Arial"/>
          <w:b/>
          <w:bCs/>
          <w:szCs w:val="20"/>
        </w:rPr>
        <w:t xml:space="preserve"> okrepi notranje kontrole </w:t>
      </w:r>
      <w:r>
        <w:rPr>
          <w:rFonts w:eastAsia="Times New Roman" w:cs="Arial"/>
          <w:b/>
          <w:bCs/>
          <w:szCs w:val="20"/>
        </w:rPr>
        <w:t xml:space="preserve">na </w:t>
      </w:r>
      <w:r w:rsidRPr="009426A9">
        <w:rPr>
          <w:rFonts w:eastAsia="Times New Roman" w:cs="Arial"/>
          <w:b/>
          <w:bCs/>
          <w:szCs w:val="20"/>
        </w:rPr>
        <w:t xml:space="preserve">področju </w:t>
      </w:r>
      <w:r>
        <w:rPr>
          <w:rFonts w:eastAsia="Times New Roman" w:cs="Arial"/>
          <w:b/>
          <w:bCs/>
          <w:szCs w:val="20"/>
        </w:rPr>
        <w:t>priprave pogodb pri oddajanju stanovanj v najem</w:t>
      </w:r>
      <w:r w:rsidR="00A57BC1">
        <w:rPr>
          <w:rFonts w:eastAsia="Times New Roman" w:cs="Arial"/>
          <w:b/>
          <w:bCs/>
          <w:szCs w:val="20"/>
        </w:rPr>
        <w:t xml:space="preserve">, tudi s tem, da </w:t>
      </w:r>
      <w:r w:rsidR="00A57BC1" w:rsidRPr="00A57BC1">
        <w:rPr>
          <w:rFonts w:eastAsia="Times New Roman" w:cs="Arial"/>
          <w:b/>
          <w:bCs/>
          <w:szCs w:val="20"/>
        </w:rPr>
        <w:t>najemne pogodbe vsebujejo bolj jasno opredelitev obdobja oddajanja v najem</w:t>
      </w:r>
      <w:r w:rsidR="00A57BC1">
        <w:rPr>
          <w:rFonts w:eastAsia="Times New Roman" w:cs="Arial"/>
          <w:b/>
          <w:bCs/>
          <w:szCs w:val="20"/>
        </w:rPr>
        <w:t>,</w:t>
      </w:r>
      <w:r w:rsidR="00A57BC1" w:rsidRPr="00A57BC1">
        <w:rPr>
          <w:rFonts w:eastAsia="Times New Roman" w:cs="Arial"/>
          <w:b/>
          <w:bCs/>
          <w:szCs w:val="20"/>
        </w:rPr>
        <w:t xml:space="preserve"> in sicer z začetkom in koncem obdobja oddajanja stanovanja v najem</w:t>
      </w:r>
      <w:r>
        <w:rPr>
          <w:rFonts w:eastAsia="Times New Roman" w:cs="Arial"/>
          <w:b/>
          <w:bCs/>
          <w:szCs w:val="20"/>
        </w:rPr>
        <w:t xml:space="preserve">. Stanovanjski sklad Republike Slovenije naj v roku </w:t>
      </w:r>
      <w:r w:rsidR="00A57BC1">
        <w:rPr>
          <w:rFonts w:eastAsia="Times New Roman" w:cs="Arial"/>
          <w:b/>
          <w:bCs/>
          <w:szCs w:val="20"/>
        </w:rPr>
        <w:t xml:space="preserve">15 dni od prejema tega zapisnika </w:t>
      </w:r>
      <w:r>
        <w:rPr>
          <w:rFonts w:eastAsia="Times New Roman" w:cs="Arial"/>
          <w:b/>
          <w:bCs/>
          <w:szCs w:val="20"/>
        </w:rPr>
        <w:t>posreduje dokazilo</w:t>
      </w:r>
      <w:r w:rsidR="00A57BC1">
        <w:rPr>
          <w:rFonts w:eastAsia="Times New Roman" w:cs="Arial"/>
          <w:b/>
          <w:bCs/>
          <w:szCs w:val="20"/>
        </w:rPr>
        <w:t xml:space="preserve"> proračunski inšpekciji</w:t>
      </w:r>
      <w:r>
        <w:rPr>
          <w:rFonts w:eastAsia="Times New Roman" w:cs="Arial"/>
          <w:b/>
          <w:bCs/>
          <w:szCs w:val="20"/>
        </w:rPr>
        <w:t>, da so bile z ukrepom seznanjene osebe, ki pripravljajo in nadzirajo vsebino navedenih pogodb.</w:t>
      </w:r>
    </w:p>
    <w:p w14:paraId="2FF20221" w14:textId="77777777" w:rsidR="002448D6" w:rsidRDefault="002448D6" w:rsidP="00B155BB">
      <w:pPr>
        <w:jc w:val="both"/>
        <w:rPr>
          <w:b/>
          <w:bCs/>
        </w:rPr>
      </w:pPr>
    </w:p>
    <w:p w14:paraId="351C43EF" w14:textId="77F5E8D4" w:rsidR="00E5139F" w:rsidRPr="00B155BB" w:rsidRDefault="00E5139F" w:rsidP="00B155BB">
      <w:pPr>
        <w:jc w:val="both"/>
        <w:rPr>
          <w:b/>
          <w:bCs/>
        </w:rPr>
      </w:pPr>
      <w:r w:rsidRPr="00B155BB">
        <w:rPr>
          <w:b/>
          <w:bCs/>
        </w:rPr>
        <w:t xml:space="preserve">IV. </w:t>
      </w:r>
      <w:r w:rsidR="00E051C4" w:rsidRPr="00B155BB">
        <w:rPr>
          <w:b/>
          <w:bCs/>
        </w:rPr>
        <w:t>2</w:t>
      </w:r>
      <w:r w:rsidRPr="00B155BB">
        <w:rPr>
          <w:b/>
          <w:bCs/>
        </w:rPr>
        <w:t xml:space="preserve">. </w:t>
      </w:r>
      <w:r w:rsidR="00FE6BE4" w:rsidRPr="00B155BB">
        <w:rPr>
          <w:b/>
          <w:bCs/>
        </w:rPr>
        <w:t>3</w:t>
      </w:r>
      <w:r w:rsidRPr="00B155BB">
        <w:rPr>
          <w:b/>
          <w:bCs/>
        </w:rPr>
        <w:t xml:space="preserve"> Pregled računov in plačil</w:t>
      </w:r>
    </w:p>
    <w:p w14:paraId="43E8BA10" w14:textId="77777777" w:rsidR="000F3274" w:rsidRDefault="000F3274" w:rsidP="00B155BB">
      <w:pPr>
        <w:jc w:val="both"/>
      </w:pPr>
    </w:p>
    <w:p w14:paraId="4C052A7F" w14:textId="108A995F" w:rsidR="008121E3" w:rsidRDefault="000F3274" w:rsidP="00B155BB">
      <w:pPr>
        <w:jc w:val="both"/>
      </w:pPr>
      <w:r>
        <w:t xml:space="preserve">Proračunski inšpektor je izvršil pregled naključno izbranih računov za plačilo najemnine ter podatkov o plačilih najemnin. Pri tem so ugotovljene </w:t>
      </w:r>
      <w:r w:rsidR="00B6070E">
        <w:t>nepravilnosti, da je račun št. OBR-000566/2023 za plačilo opravljene storitve najema stanovanja v Črnomlju za obdobje od 1. 9. 2023 do 30. 9</w:t>
      </w:r>
      <w:r w:rsidR="00B6070E" w:rsidRPr="00496CD1">
        <w:t xml:space="preserve">. 2023 izdan šele 7. 11. 2023 in ne </w:t>
      </w:r>
      <w:r w:rsidR="009966B9">
        <w:t xml:space="preserve">v obdobju od 1. 10. do </w:t>
      </w:r>
      <w:r w:rsidR="00B6070E" w:rsidRPr="00496CD1">
        <w:t>5. 10. 2023, kot</w:t>
      </w:r>
      <w:r w:rsidR="00B6070E">
        <w:t xml:space="preserve"> bi moral biti izdan glede na tretji odstavek 7. člena najemne pogodbe</w:t>
      </w:r>
      <w:r w:rsidR="00265644">
        <w:t xml:space="preserve"> št. NS-2272/2017</w:t>
      </w:r>
      <w:r w:rsidR="009966B9">
        <w:t>, v katerem je opredeljeno, da bodo mesečni računi najemodajalca izstavljeni do petega v mesecu za pretekli mesec</w:t>
      </w:r>
      <w:r w:rsidR="00B6070E">
        <w:t xml:space="preserve">. </w:t>
      </w:r>
    </w:p>
    <w:p w14:paraId="7322A376" w14:textId="77777777" w:rsidR="008121E3" w:rsidRDefault="008121E3" w:rsidP="00B155BB">
      <w:pPr>
        <w:jc w:val="both"/>
      </w:pPr>
    </w:p>
    <w:p w14:paraId="0A1FBE42" w14:textId="556FA1C4" w:rsidR="008121E3" w:rsidRDefault="00B6070E" w:rsidP="00B155BB">
      <w:pPr>
        <w:jc w:val="both"/>
      </w:pPr>
      <w:r>
        <w:t xml:space="preserve">Iz seznama stanovanj </w:t>
      </w:r>
      <w:r w:rsidR="00496CD1">
        <w:t xml:space="preserve">tudi </w:t>
      </w:r>
      <w:r>
        <w:t>izhaja, da je začetek najemnega obdobja predmetnega stanovanja 5. 9. 2023</w:t>
      </w:r>
      <w:r w:rsidR="00E60479">
        <w:t xml:space="preserve"> (iz najemnih pogodb ni mogoče razbrati datuma začetka najemnega razmerja</w:t>
      </w:r>
      <w:r w:rsidR="00265644">
        <w:t>!</w:t>
      </w:r>
      <w:r w:rsidR="00E60479">
        <w:t>)</w:t>
      </w:r>
      <w:r>
        <w:t>, posledično bi moralo tudi iz računa izhajati</w:t>
      </w:r>
      <w:r w:rsidR="00265644">
        <w:t xml:space="preserve"> (v navedbi datuma storitve)</w:t>
      </w:r>
      <w:r>
        <w:t xml:space="preserve">, da je izdan za navedeno obdobje, saj je najemnina obračunana v ustreznem deležu </w:t>
      </w:r>
      <w:r w:rsidR="006F6C7D">
        <w:t xml:space="preserve">od mesečne </w:t>
      </w:r>
      <w:r>
        <w:t>najemnine</w:t>
      </w:r>
      <w:r w:rsidR="006F6C7D">
        <w:t xml:space="preserve"> v višini 485,00 EUR</w:t>
      </w:r>
      <w:r>
        <w:t xml:space="preserve"> </w:t>
      </w:r>
      <w:r w:rsidR="006F6C7D">
        <w:t xml:space="preserve">– to je </w:t>
      </w:r>
      <w:r>
        <w:t xml:space="preserve">za 25 dni </w:t>
      </w:r>
      <w:r w:rsidR="00206DA6">
        <w:t>najema</w:t>
      </w:r>
      <w:r w:rsidR="008C6BE7">
        <w:t xml:space="preserve"> stanovanja v višini</w:t>
      </w:r>
      <w:r>
        <w:t xml:space="preserve"> 404,17 EUR.</w:t>
      </w:r>
      <w:r w:rsidR="000F3274">
        <w:t xml:space="preserve"> </w:t>
      </w:r>
    </w:p>
    <w:p w14:paraId="185C166D" w14:textId="77777777" w:rsidR="008121E3" w:rsidRDefault="008121E3" w:rsidP="00B155BB">
      <w:pPr>
        <w:jc w:val="both"/>
      </w:pPr>
    </w:p>
    <w:p w14:paraId="1F3C2BE1" w14:textId="7B35BDCE" w:rsidR="00265644" w:rsidRDefault="006F6C7D" w:rsidP="00B155BB">
      <w:pPr>
        <w:jc w:val="both"/>
      </w:pPr>
      <w:r>
        <w:t xml:space="preserve">Nadalje je na obravnavanem računu </w:t>
      </w:r>
      <w:r w:rsidR="002448D6">
        <w:t xml:space="preserve">št. OBR- 000566/2023 </w:t>
      </w:r>
      <w:r>
        <w:t xml:space="preserve">navedena napačna valutacija za plačilo najemnine 30. 11. 2023. Iz tretjega odstavka </w:t>
      </w:r>
      <w:r w:rsidR="004E5962">
        <w:t xml:space="preserve">7. člena </w:t>
      </w:r>
      <w:r>
        <w:t xml:space="preserve">najemne pogodbe izhaja, da mora naročnik opravljene storitve plačati v 30 dneh od prejema računa. Plačilni rok začne teči naslednji dan po prejemu računa. Račun za najem v obdobju od 5. 9. 2023 do 30. 9. 2023 je </w:t>
      </w:r>
      <w:r w:rsidR="004E5962">
        <w:t xml:space="preserve">datiran </w:t>
      </w:r>
      <w:r>
        <w:t xml:space="preserve">7. 11. 2023, </w:t>
      </w:r>
      <w:r w:rsidR="008C6BE7">
        <w:t>kar pomeni, da bi</w:t>
      </w:r>
      <w:r>
        <w:t xml:space="preserve"> moral biti plačan najkasneje do 7. 12. 2023</w:t>
      </w:r>
      <w:r w:rsidR="008C6BE7">
        <w:t xml:space="preserve"> in ne do 30. 11. 2023, kot je navedeno na računu. Iz podatkov o plačilih najemnine sicer izhaja, da je </w:t>
      </w:r>
      <w:r w:rsidR="0035215F">
        <w:t>UIO</w:t>
      </w:r>
      <w:r>
        <w:t xml:space="preserve">M </w:t>
      </w:r>
      <w:r w:rsidR="008C6BE7">
        <w:t>najemnino po obravnavanem računu plača</w:t>
      </w:r>
      <w:r w:rsidR="00A12A5D">
        <w:t>l</w:t>
      </w:r>
      <w:r w:rsidR="008C6BE7">
        <w:t xml:space="preserve"> </w:t>
      </w:r>
      <w:r w:rsidR="00A12A5D">
        <w:t xml:space="preserve">dne </w:t>
      </w:r>
      <w:r w:rsidR="008C6BE7">
        <w:t>7. 12. 2023</w:t>
      </w:r>
      <w:r>
        <w:t>.</w:t>
      </w:r>
      <w:r w:rsidR="0035215F">
        <w:t xml:space="preserve"> </w:t>
      </w:r>
    </w:p>
    <w:p w14:paraId="6888525A" w14:textId="77777777" w:rsidR="00265644" w:rsidRDefault="00265644" w:rsidP="00B155BB">
      <w:pPr>
        <w:jc w:val="both"/>
      </w:pPr>
    </w:p>
    <w:p w14:paraId="28D6E87D" w14:textId="115DB3D0" w:rsidR="005D0DC9" w:rsidRDefault="009966B9" w:rsidP="00B155BB">
      <w:pPr>
        <w:jc w:val="both"/>
      </w:pPr>
      <w:r>
        <w:t>R</w:t>
      </w:r>
      <w:r w:rsidR="0035215F">
        <w:t>ačun št. OBR-000635/2023 za najem v obdobju od 1. 11. 2023 do 30. 11. 2023 izdan prekmalu, saj je izdan že dne 7. 11. 2023</w:t>
      </w:r>
      <w:r w:rsidR="00206DA6">
        <w:t xml:space="preserve"> in </w:t>
      </w:r>
      <w:r w:rsidR="003B14BD">
        <w:t xml:space="preserve">ne </w:t>
      </w:r>
      <w:r w:rsidR="006955D2">
        <w:t xml:space="preserve">od 1. 12. 2023 do najkasneje do </w:t>
      </w:r>
      <w:r w:rsidR="00206DA6">
        <w:t>5. 12. 2023</w:t>
      </w:r>
      <w:r w:rsidR="006955D2">
        <w:t xml:space="preserve"> za pretekli mesec</w:t>
      </w:r>
      <w:r w:rsidR="0035215F">
        <w:t xml:space="preserve">. </w:t>
      </w:r>
      <w:r w:rsidR="000939A5">
        <w:t xml:space="preserve">Enako je tudi račun št. OBR-000714/2023 za najem stanovanja za mesec december </w:t>
      </w:r>
      <w:r w:rsidR="00206DA6">
        <w:t xml:space="preserve">2023 </w:t>
      </w:r>
      <w:r w:rsidR="000939A5">
        <w:t xml:space="preserve">izdan prekmalu 8. 12. 2023 in ne </w:t>
      </w:r>
      <w:r w:rsidR="006955D2">
        <w:t xml:space="preserve">od 1. 1. 2024 do najkasneje </w:t>
      </w:r>
      <w:r w:rsidR="000939A5">
        <w:t>5.</w:t>
      </w:r>
      <w:r w:rsidR="006955D2">
        <w:t xml:space="preserve"> </w:t>
      </w:r>
      <w:r w:rsidR="000939A5">
        <w:t xml:space="preserve">1. 2024, kot izhaja iz </w:t>
      </w:r>
      <w:r w:rsidR="00B26B33">
        <w:t>7. člena</w:t>
      </w:r>
      <w:r w:rsidR="000939A5">
        <w:t xml:space="preserve"> v najemni pogodbi. </w:t>
      </w:r>
    </w:p>
    <w:p w14:paraId="51FFC8CA" w14:textId="77777777" w:rsidR="00EC21D1" w:rsidRDefault="00EC21D1" w:rsidP="00B155BB">
      <w:pPr>
        <w:jc w:val="both"/>
      </w:pPr>
    </w:p>
    <w:p w14:paraId="196FDA78" w14:textId="4643BF64" w:rsidR="000939A5" w:rsidRPr="008121E3" w:rsidRDefault="000939A5" w:rsidP="008121E3">
      <w:pPr>
        <w:pBdr>
          <w:top w:val="single" w:sz="4" w:space="1" w:color="auto"/>
          <w:left w:val="single" w:sz="4" w:space="4" w:color="auto"/>
          <w:bottom w:val="single" w:sz="4" w:space="1" w:color="auto"/>
          <w:right w:val="single" w:sz="4" w:space="4" w:color="auto"/>
        </w:pBdr>
        <w:jc w:val="both"/>
        <w:rPr>
          <w:b/>
          <w:bCs/>
          <w:color w:val="000000" w:themeColor="text1"/>
        </w:rPr>
      </w:pPr>
      <w:r w:rsidRPr="008121E3">
        <w:rPr>
          <w:b/>
          <w:bCs/>
          <w:color w:val="000000" w:themeColor="text1"/>
        </w:rPr>
        <w:t xml:space="preserve">UKREP ŠT. </w:t>
      </w:r>
      <w:r w:rsidR="008121E3">
        <w:rPr>
          <w:b/>
          <w:bCs/>
          <w:color w:val="000000" w:themeColor="text1"/>
        </w:rPr>
        <w:t>2</w:t>
      </w:r>
      <w:r w:rsidRPr="008121E3">
        <w:rPr>
          <w:b/>
          <w:bCs/>
          <w:color w:val="000000" w:themeColor="text1"/>
        </w:rPr>
        <w:t xml:space="preserve">: </w:t>
      </w:r>
      <w:r w:rsidR="008121E3" w:rsidRPr="008121E3">
        <w:rPr>
          <w:b/>
          <w:bCs/>
          <w:color w:val="000000" w:themeColor="text1"/>
        </w:rPr>
        <w:t>Glede na navedene ugotovitve p</w:t>
      </w:r>
      <w:r w:rsidRPr="008121E3">
        <w:rPr>
          <w:b/>
          <w:bCs/>
          <w:color w:val="000000" w:themeColor="text1"/>
        </w:rPr>
        <w:t xml:space="preserve">roračunski inšpektor na podlagi drugega odstavka 104. člena ZJF Stanovanjskemu skladu Republike Slovenije predlaga okrepitev notranjih kontrol pri sestavi in odpremi knjigovodskih listin </w:t>
      </w:r>
      <w:r w:rsidR="00265644">
        <w:rPr>
          <w:b/>
          <w:bCs/>
          <w:color w:val="000000" w:themeColor="text1"/>
        </w:rPr>
        <w:t>sklada</w:t>
      </w:r>
      <w:r w:rsidRPr="008121E3">
        <w:rPr>
          <w:b/>
          <w:bCs/>
          <w:color w:val="000000" w:themeColor="text1"/>
        </w:rPr>
        <w:t xml:space="preserve">, pri čemer naj se o tem obvestijo osebe, ki predlagajo izdajo računa (ažurnost) in osebe zadolžene za pripravo ter podpis in izdajo računa (pravočasnost); o obvestitvi oseb naj </w:t>
      </w:r>
      <w:r w:rsidR="008121E3" w:rsidRPr="008121E3">
        <w:rPr>
          <w:b/>
          <w:bCs/>
          <w:color w:val="000000" w:themeColor="text1"/>
        </w:rPr>
        <w:t xml:space="preserve">sklad </w:t>
      </w:r>
      <w:r w:rsidR="00073656">
        <w:rPr>
          <w:b/>
          <w:bCs/>
          <w:color w:val="000000" w:themeColor="text1"/>
        </w:rPr>
        <w:t xml:space="preserve">v roku </w:t>
      </w:r>
      <w:r w:rsidR="0000714D">
        <w:rPr>
          <w:rFonts w:eastAsia="Times New Roman" w:cs="Arial"/>
          <w:b/>
          <w:bCs/>
          <w:szCs w:val="20"/>
        </w:rPr>
        <w:t xml:space="preserve">15 dni od prejema tega zapisnika </w:t>
      </w:r>
      <w:r w:rsidRPr="008121E3">
        <w:rPr>
          <w:b/>
          <w:bCs/>
          <w:color w:val="000000" w:themeColor="text1"/>
        </w:rPr>
        <w:t>predloži dokazilo inšpekcijskemu organu.</w:t>
      </w:r>
    </w:p>
    <w:p w14:paraId="115CD3F1" w14:textId="77777777" w:rsidR="000939A5" w:rsidRDefault="000939A5" w:rsidP="00667191">
      <w:pPr>
        <w:pStyle w:val="Naslovdostopnost"/>
      </w:pPr>
    </w:p>
    <w:p w14:paraId="5196E041" w14:textId="7EBBB27B" w:rsidR="00914B7D" w:rsidRDefault="00E061A2" w:rsidP="00891996">
      <w:pPr>
        <w:rPr>
          <w:b/>
          <w:bCs/>
        </w:rPr>
      </w:pPr>
      <w:r w:rsidRPr="00891996">
        <w:rPr>
          <w:b/>
          <w:bCs/>
        </w:rPr>
        <w:t xml:space="preserve">IV. </w:t>
      </w:r>
      <w:r w:rsidR="00E051C4">
        <w:rPr>
          <w:b/>
          <w:bCs/>
        </w:rPr>
        <w:t>2</w:t>
      </w:r>
      <w:r w:rsidRPr="00891996">
        <w:rPr>
          <w:b/>
          <w:bCs/>
        </w:rPr>
        <w:t>.</w:t>
      </w:r>
      <w:r w:rsidR="00914B7D">
        <w:rPr>
          <w:b/>
          <w:bCs/>
        </w:rPr>
        <w:t xml:space="preserve"> 4 </w:t>
      </w:r>
      <w:r w:rsidRPr="00891996">
        <w:rPr>
          <w:b/>
          <w:bCs/>
        </w:rPr>
        <w:t xml:space="preserve">Evidenca pogodb o oddaji stanovanj za nastanitev razseljenih oseb z začasno </w:t>
      </w:r>
      <w:r w:rsidR="00914B7D">
        <w:rPr>
          <w:b/>
          <w:bCs/>
        </w:rPr>
        <w:t xml:space="preserve"> </w:t>
      </w:r>
    </w:p>
    <w:p w14:paraId="22B2912B" w14:textId="2C515BAD" w:rsidR="00E061A2" w:rsidRPr="00891996" w:rsidRDefault="00914B7D" w:rsidP="00891996">
      <w:pPr>
        <w:rPr>
          <w:b/>
          <w:bCs/>
        </w:rPr>
      </w:pPr>
      <w:r>
        <w:rPr>
          <w:b/>
          <w:bCs/>
        </w:rPr>
        <w:t xml:space="preserve">             </w:t>
      </w:r>
      <w:r w:rsidR="00E061A2" w:rsidRPr="00891996">
        <w:rPr>
          <w:b/>
          <w:bCs/>
        </w:rPr>
        <w:t>zaščito</w:t>
      </w:r>
    </w:p>
    <w:p w14:paraId="3777D59F" w14:textId="77777777" w:rsidR="00E061A2" w:rsidRDefault="00E061A2" w:rsidP="00667191">
      <w:pPr>
        <w:pStyle w:val="Naslovdostopnost"/>
      </w:pPr>
    </w:p>
    <w:p w14:paraId="2D16C506" w14:textId="2E77744A" w:rsidR="00E061A2" w:rsidRDefault="00E061A2" w:rsidP="00386B01">
      <w:pPr>
        <w:spacing w:line="276" w:lineRule="auto"/>
        <w:jc w:val="both"/>
      </w:pPr>
      <w:r>
        <w:t xml:space="preserve">Inšpekcijskemu organu je v postopku nadzora predložen seznam sklenjenih najemnih pogodb za nastanitev razseljenih oseb z začasno zaščito. Seznam vsebuje podatke, kot so ID najemnika in pogodbe, številko pogodbe, datum podpisa pogodbe in datum izteka pogodbe, ID stanovanja, šifra stanovanja, katastrsko občino, številko stavbe, številko stanovanja, naslov, višino najemnine </w:t>
      </w:r>
      <w:r>
        <w:lastRenderedPageBreak/>
        <w:t xml:space="preserve">ter začetek in konec najemnega razmerja. </w:t>
      </w:r>
      <w:r w:rsidR="003668F4">
        <w:t>V postopku nadzora so se podatki iz navedenega seznama primerjali s posamičnimi naključno izbranimi najemnimi pogodbami</w:t>
      </w:r>
      <w:r w:rsidR="00891996">
        <w:t xml:space="preserve"> </w:t>
      </w:r>
      <w:r w:rsidR="00A66619">
        <w:t>ter izdanimi sklepi o višini najemnine iz tega naslova</w:t>
      </w:r>
      <w:r w:rsidR="0000293D">
        <w:t>, pri čemer v postopku ni bilo ugotovljenih neskladnosti.</w:t>
      </w:r>
    </w:p>
    <w:p w14:paraId="376FB375" w14:textId="77777777" w:rsidR="00E051C4" w:rsidRDefault="00E051C4" w:rsidP="00891996">
      <w:pPr>
        <w:jc w:val="both"/>
      </w:pPr>
    </w:p>
    <w:p w14:paraId="19A39008" w14:textId="231AB8C4" w:rsidR="000A3BFB" w:rsidRPr="00E051C4" w:rsidRDefault="000A3BFB" w:rsidP="000A3BFB">
      <w:pPr>
        <w:jc w:val="both"/>
        <w:rPr>
          <w:b/>
          <w:bCs/>
        </w:rPr>
      </w:pPr>
      <w:r w:rsidRPr="00E051C4">
        <w:rPr>
          <w:b/>
          <w:bCs/>
        </w:rPr>
        <w:t xml:space="preserve">Proračunski inšpektor pri </w:t>
      </w:r>
      <w:r>
        <w:rPr>
          <w:b/>
          <w:bCs/>
        </w:rPr>
        <w:t xml:space="preserve">pregledu </w:t>
      </w:r>
      <w:r w:rsidR="008121E3">
        <w:rPr>
          <w:b/>
          <w:bCs/>
        </w:rPr>
        <w:t xml:space="preserve">obravnavane </w:t>
      </w:r>
      <w:r>
        <w:rPr>
          <w:b/>
          <w:bCs/>
        </w:rPr>
        <w:t xml:space="preserve">evidence </w:t>
      </w:r>
      <w:r w:rsidRPr="00E051C4">
        <w:rPr>
          <w:b/>
          <w:bCs/>
        </w:rPr>
        <w:t>ni ugotovil nepravilnosti</w:t>
      </w:r>
      <w:r w:rsidR="008121E3">
        <w:rPr>
          <w:b/>
          <w:bCs/>
        </w:rPr>
        <w:t xml:space="preserve"> oziroma neskladnosti z ostalimi predloženimi dokumenti.</w:t>
      </w:r>
    </w:p>
    <w:p w14:paraId="07E322C8" w14:textId="77777777" w:rsidR="008F1C4C" w:rsidRDefault="008F1C4C" w:rsidP="000E60A9">
      <w:pPr>
        <w:rPr>
          <w:b/>
          <w:bCs/>
        </w:rPr>
      </w:pPr>
    </w:p>
    <w:p w14:paraId="088EE571" w14:textId="365E8A18" w:rsidR="000E60A9" w:rsidRDefault="000E60A9" w:rsidP="000E60A9">
      <w:pPr>
        <w:rPr>
          <w:b/>
          <w:bCs/>
        </w:rPr>
      </w:pPr>
      <w:r w:rsidRPr="00914B7D">
        <w:rPr>
          <w:b/>
          <w:bCs/>
        </w:rPr>
        <w:t xml:space="preserve">IV. </w:t>
      </w:r>
      <w:r>
        <w:rPr>
          <w:b/>
          <w:bCs/>
        </w:rPr>
        <w:t>3</w:t>
      </w:r>
      <w:r w:rsidRPr="00914B7D">
        <w:rPr>
          <w:b/>
          <w:bCs/>
        </w:rPr>
        <w:t xml:space="preserve"> Nadzor porabe sredstev za </w:t>
      </w:r>
      <w:r>
        <w:rPr>
          <w:b/>
          <w:bCs/>
        </w:rPr>
        <w:t>dokapitalizacijo SSRS</w:t>
      </w:r>
    </w:p>
    <w:p w14:paraId="417D5EF2" w14:textId="77777777" w:rsidR="00F7590F" w:rsidRDefault="00F7590F" w:rsidP="000E60A9">
      <w:pPr>
        <w:rPr>
          <w:b/>
          <w:bCs/>
        </w:rPr>
      </w:pPr>
    </w:p>
    <w:p w14:paraId="543F02FA" w14:textId="77777777" w:rsidR="00386B01" w:rsidRDefault="00F7590F" w:rsidP="00386B01">
      <w:pPr>
        <w:spacing w:line="276" w:lineRule="auto"/>
        <w:jc w:val="both"/>
      </w:pPr>
      <w:r w:rsidRPr="00F7590F">
        <w:t>SSRS</w:t>
      </w:r>
      <w:r>
        <w:t xml:space="preserve"> je skladno z Resolucijo o nacionalnem stanovanjskem programu 2015-2025 </w:t>
      </w:r>
      <w:r w:rsidR="00386B01">
        <w:t xml:space="preserve">glavni izvajalec stanovanjske politike Republike Slovenije. SSRS to nalogo izpolnjuje prek dveh ključnih ukrepov: </w:t>
      </w:r>
    </w:p>
    <w:p w14:paraId="040C67C9" w14:textId="3FBE79D0" w:rsidR="00386B01" w:rsidRDefault="00386B01" w:rsidP="00386B01">
      <w:pPr>
        <w:spacing w:line="276" w:lineRule="auto"/>
        <w:jc w:val="both"/>
      </w:pPr>
      <w:r>
        <w:t>- z lastno gradnjo javnih najemnih stanovanj</w:t>
      </w:r>
      <w:r w:rsidR="007A1FD1">
        <w:t>,</w:t>
      </w:r>
      <w:r>
        <w:t xml:space="preserve"> </w:t>
      </w:r>
    </w:p>
    <w:p w14:paraId="5F94B245" w14:textId="54B60B15" w:rsidR="00F7590F" w:rsidRDefault="00386B01" w:rsidP="00386B01">
      <w:pPr>
        <w:spacing w:line="276" w:lineRule="auto"/>
        <w:jc w:val="both"/>
      </w:pPr>
      <w:r>
        <w:t>- s financiranjem gradnje javnih najemnih stanovanj s strani občin, lokalnih stanovanjskih skladov in neprofitnih stanovanjskih organizacij, ki jo SSRS izvaja preko vsakokratnega Programa sofinanciranja zagotavljanja javnih najemnih stanovanjskih in bivalnih enot.</w:t>
      </w:r>
    </w:p>
    <w:p w14:paraId="03245FAD" w14:textId="77777777" w:rsidR="00386B01" w:rsidRDefault="00386B01" w:rsidP="00386B01">
      <w:pPr>
        <w:spacing w:line="276" w:lineRule="auto"/>
        <w:jc w:val="both"/>
      </w:pPr>
    </w:p>
    <w:p w14:paraId="2B75C040" w14:textId="02D7795B" w:rsidR="00490589" w:rsidRDefault="00295257" w:rsidP="00386B01">
      <w:pPr>
        <w:spacing w:line="276" w:lineRule="auto"/>
        <w:jc w:val="both"/>
      </w:pPr>
      <w:r>
        <w:t>SSRS za doseganje ciljev stanovanjske politike, ki so opredeljeni v predhodno navedeni resoluciji, ni</w:t>
      </w:r>
      <w:r w:rsidR="00490589">
        <w:t xml:space="preserve"> imel</w:t>
      </w:r>
      <w:r>
        <w:t xml:space="preserve"> na voljo sistemskih virov financiranja. SSRS </w:t>
      </w:r>
      <w:r w:rsidR="00490589">
        <w:t xml:space="preserve">je </w:t>
      </w:r>
      <w:r>
        <w:t>pretežni del virov za svoje delovanje pridobi</w:t>
      </w:r>
      <w:r w:rsidR="00490589">
        <w:t>val</w:t>
      </w:r>
      <w:r>
        <w:t xml:space="preserve"> iz prihodkov, ustvarjenih z razpolaganjem s premoženjem sklada in iz prihodkov, ustvarjenih z lastnim poslovanjem. Poslovanje SSRS</w:t>
      </w:r>
      <w:r w:rsidR="00490589">
        <w:t xml:space="preserve"> in uresničevanje razvojnih ciljev na stanovanjskem področju je bilo ravno zaradi pomanjkanja ustreznega javnega financiranja omejeno in oteženo. Neučinkovitost je bila vezana predvsem na nezadostno zagotavljanje virov za doseganje zadanih ciljev na področju gradnje najemnih stanovanj v javni lasti</w:t>
      </w:r>
      <w:r w:rsidR="004E5962">
        <w:t>.</w:t>
      </w:r>
      <w:r w:rsidR="004E5962">
        <w:rPr>
          <w:rStyle w:val="Sprotnaopomba-sklic"/>
        </w:rPr>
        <w:footnoteReference w:id="6"/>
      </w:r>
    </w:p>
    <w:p w14:paraId="139EA323" w14:textId="77777777" w:rsidR="00490589" w:rsidRDefault="00490589" w:rsidP="00386B01">
      <w:pPr>
        <w:spacing w:line="276" w:lineRule="auto"/>
        <w:jc w:val="both"/>
      </w:pPr>
    </w:p>
    <w:p w14:paraId="7211C7AF" w14:textId="1A793D4F" w:rsidR="00866AF1" w:rsidRDefault="00490589" w:rsidP="00386B01">
      <w:pPr>
        <w:spacing w:line="276" w:lineRule="auto"/>
        <w:jc w:val="both"/>
      </w:pPr>
      <w:r>
        <w:t>Skladno z 10. členom Zakona o javnih skladih se lahko namensko premoženje in kapital javnega sklada sočasno povečata z vplačilom dodatnega namenskega premoženja v kapital javnega sklada s strani ustanovitelja, to je Republike Slovenije. Ustanovitelj v tem primeru zagotovi dodatno namensko premoženje</w:t>
      </w:r>
      <w:r w:rsidR="00866AF1">
        <w:t xml:space="preserve"> s sklepom, iz katerega sta razvidni vrsta in vrednost dodatnega namenskega premoženja, ki ga kot kapital vplačuje v javni sklad. </w:t>
      </w:r>
    </w:p>
    <w:p w14:paraId="73C377D5" w14:textId="77777777" w:rsidR="00866AF1" w:rsidRDefault="00866AF1" w:rsidP="00386B01">
      <w:pPr>
        <w:spacing w:line="276" w:lineRule="auto"/>
        <w:jc w:val="both"/>
      </w:pPr>
    </w:p>
    <w:p w14:paraId="6A4F53D6" w14:textId="77777777" w:rsidR="00866AF1" w:rsidRDefault="00866AF1" w:rsidP="00386B01">
      <w:pPr>
        <w:spacing w:line="276" w:lineRule="auto"/>
        <w:jc w:val="both"/>
      </w:pPr>
      <w:r>
        <w:t>Drugi odstavek 4. člena Akta o ustanovitvi Stanovanjskega sklada Republike Slovenije kot javnega sklada določa, da pravice in dolžnosti ustanovitelja SSRS izvršuje Vlada RS.</w:t>
      </w:r>
    </w:p>
    <w:p w14:paraId="113BF3F2" w14:textId="77777777" w:rsidR="00866AF1" w:rsidRDefault="00866AF1" w:rsidP="00386B01">
      <w:pPr>
        <w:spacing w:line="276" w:lineRule="auto"/>
        <w:jc w:val="both"/>
      </w:pPr>
    </w:p>
    <w:p w14:paraId="6116E7F3" w14:textId="77777777" w:rsidR="0070344E" w:rsidRDefault="003A3535" w:rsidP="00386B01">
      <w:pPr>
        <w:spacing w:line="276" w:lineRule="auto"/>
        <w:jc w:val="both"/>
      </w:pPr>
      <w:r>
        <w:t xml:space="preserve">Glede na prvi odstavek </w:t>
      </w:r>
      <w:r w:rsidR="00866AF1">
        <w:t xml:space="preserve">147. člena Stanovanjskega zakona </w:t>
      </w:r>
      <w:r w:rsidR="00DD43A0">
        <w:t xml:space="preserve">se sredstva za poslovanje SSRS zagotavljajo </w:t>
      </w:r>
      <w:r>
        <w:t>tudi iz sredstev državne</w:t>
      </w:r>
      <w:r w:rsidR="0070344E">
        <w:t>ga</w:t>
      </w:r>
      <w:r>
        <w:t xml:space="preserve"> proračun</w:t>
      </w:r>
      <w:r w:rsidR="0070344E">
        <w:t>a</w:t>
      </w:r>
      <w:r>
        <w:t>.</w:t>
      </w:r>
      <w:r w:rsidR="0070344E">
        <w:t xml:space="preserve"> Sredstva se zagotavljajo za izvajanje zakonsko predpisanih pristojnosti sklada, med katere v skladu s 148. členom istega zakona sodi tako investiranje v gradnjo stanovanj, kot dajanje dolgoročnih posojil po ugodni obrestni meri fizičnim in pravnim osebam za pridobivanje neprofitnih najemnih stanovanj. </w:t>
      </w:r>
    </w:p>
    <w:p w14:paraId="1B640804" w14:textId="77777777" w:rsidR="004F521B" w:rsidRDefault="004F521B" w:rsidP="00386B01">
      <w:pPr>
        <w:spacing w:line="276" w:lineRule="auto"/>
        <w:jc w:val="both"/>
      </w:pPr>
    </w:p>
    <w:p w14:paraId="3C017D29" w14:textId="37BC8A73" w:rsidR="004F521B" w:rsidRDefault="003F5878" w:rsidP="00386B01">
      <w:pPr>
        <w:spacing w:line="276" w:lineRule="auto"/>
        <w:jc w:val="both"/>
      </w:pPr>
      <w:r>
        <w:t>Na podlagi Zakona o spremembah Zakona o Vladi Republike Slovenije (Uradni list RS, št. 163/22) in Zakona o spremembah in dopolnitvah Zakona o državni upravi (Uradni list RS, št. 18/23) je ministrstvo, pristojno za stanovanjsko področje, Ministrstvo za solidarno prihodnost. V skladu s tretjo točko 4. člena Akta o ustanovitvi Stanovanjskega sklada RS kot javnega sklada, sklad sodi v delovno področje ministrstva, pristojnega za stanovanja.</w:t>
      </w:r>
    </w:p>
    <w:p w14:paraId="493C1C12" w14:textId="77777777" w:rsidR="0070344E" w:rsidRDefault="0070344E" w:rsidP="00386B01">
      <w:pPr>
        <w:spacing w:line="276" w:lineRule="auto"/>
        <w:jc w:val="both"/>
      </w:pPr>
    </w:p>
    <w:p w14:paraId="0656422E" w14:textId="369DD19E" w:rsidR="00FC16A6" w:rsidRDefault="0070344E" w:rsidP="00386B01">
      <w:pPr>
        <w:spacing w:line="276" w:lineRule="auto"/>
        <w:jc w:val="both"/>
      </w:pPr>
      <w:r>
        <w:t xml:space="preserve">Vlada RS je s Sklepom št. 47602-11/2023/3 z dne 20. 7. 2023 </w:t>
      </w:r>
      <w:r w:rsidR="00201996">
        <w:t xml:space="preserve">potrdila povečanje namenskega premoženja in kapitala SSRS z izplačilom sredstev državnega proračuna v višini </w:t>
      </w:r>
      <w:r w:rsidR="00201996" w:rsidRPr="0042312C">
        <w:rPr>
          <w:b/>
          <w:bCs/>
        </w:rPr>
        <w:t>25.500.000,00 EUR.</w:t>
      </w:r>
      <w:r w:rsidR="00201996">
        <w:t xml:space="preserve"> Sredstva, ki jih je SSRS pridobil iz tega naslova, so namenjena za izvajanje Programa sofinanciranja zagotavljanja javnih najemnih stanovanjskih in bivalnih enot ter za izvajanje projektov gradnje javnih najemnih stanovanj v izvedbi SSRS.</w:t>
      </w:r>
      <w:r w:rsidR="001B6CBD">
        <w:t xml:space="preserve"> Na podlagi </w:t>
      </w:r>
      <w:r w:rsidR="007A7A5D">
        <w:t xml:space="preserve">navedenega </w:t>
      </w:r>
      <w:r w:rsidR="001B6CBD">
        <w:t>Sklepa V</w:t>
      </w:r>
      <w:r w:rsidR="00820C66">
        <w:t xml:space="preserve">lade </w:t>
      </w:r>
      <w:r w:rsidR="001B6CBD">
        <w:t xml:space="preserve">RS sta Ministrstvo za solidarno prihodnost in SSRS sklenila Pogodbo </w:t>
      </w:r>
      <w:r w:rsidR="007A7A5D">
        <w:t xml:space="preserve">o prenosu sredstev </w:t>
      </w:r>
      <w:r w:rsidR="007A7A5D">
        <w:lastRenderedPageBreak/>
        <w:t>za dokapitalizacijo Stanovanjskega sklada Republike Slovenije, javnega sklada št. C2720-23-550002 z dne 4. 7. 2024</w:t>
      </w:r>
      <w:r w:rsidR="003A63B7">
        <w:t xml:space="preserve"> s pričetkom veljavnosti dne 12. 9. 2023</w:t>
      </w:r>
      <w:r w:rsidR="006727DB">
        <w:t>,</w:t>
      </w:r>
      <w:r w:rsidR="001B6CBD">
        <w:t xml:space="preserve"> </w:t>
      </w:r>
      <w:r w:rsidR="006727DB">
        <w:t>za</w:t>
      </w:r>
      <w:r w:rsidR="003A63B7">
        <w:t xml:space="preserve"> povečanj</w:t>
      </w:r>
      <w:r w:rsidR="006727DB">
        <w:t>e</w:t>
      </w:r>
      <w:r w:rsidR="003A63B7">
        <w:t xml:space="preserve"> namenskega premoženja in kapitala SSRS v višini 25.500.000,00 EUR</w:t>
      </w:r>
      <w:r w:rsidR="006727DB">
        <w:t>.</w:t>
      </w:r>
      <w:r w:rsidR="00FC16A6">
        <w:t xml:space="preserve"> Iz potrdila o odobritvi podračuna Uprave za javna plačila</w:t>
      </w:r>
      <w:r w:rsidR="00543075">
        <w:t xml:space="preserve"> z dne 12. 9. 2023</w:t>
      </w:r>
      <w:r w:rsidR="00FC16A6">
        <w:t xml:space="preserve"> izhaja, da so se sredstva proračuna v višini 25.500.0</w:t>
      </w:r>
      <w:r w:rsidR="00496CD1">
        <w:t>0</w:t>
      </w:r>
      <w:r w:rsidR="00FC16A6">
        <w:t>0,00 EUR v breme računa Ministrstva za solidarno prihodnost nakaza</w:t>
      </w:r>
      <w:r w:rsidR="00543075">
        <w:t>la v dobro računa SSRS dne 12. 9. 2023.</w:t>
      </w:r>
      <w:r w:rsidR="00FC16A6">
        <w:t xml:space="preserve">  </w:t>
      </w:r>
    </w:p>
    <w:p w14:paraId="41837E1C" w14:textId="77777777" w:rsidR="00FC16A6" w:rsidRDefault="00FC16A6" w:rsidP="00386B01">
      <w:pPr>
        <w:spacing w:line="276" w:lineRule="auto"/>
        <w:jc w:val="both"/>
      </w:pPr>
    </w:p>
    <w:p w14:paraId="1558CB2A" w14:textId="77445F88" w:rsidR="006727DB" w:rsidRDefault="0042312C" w:rsidP="00386B01">
      <w:pPr>
        <w:spacing w:line="276" w:lineRule="auto"/>
        <w:jc w:val="both"/>
      </w:pPr>
      <w:r w:rsidRPr="00AA6EA9">
        <w:t>Iz poročila o</w:t>
      </w:r>
      <w:r w:rsidR="00FC16A6" w:rsidRPr="00AA6EA9">
        <w:t xml:space="preserve"> porab</w:t>
      </w:r>
      <w:r w:rsidRPr="00AA6EA9">
        <w:t>i</w:t>
      </w:r>
      <w:r w:rsidR="00FC16A6" w:rsidRPr="00AA6EA9">
        <w:t xml:space="preserve"> prejetih sredstev državnega proračuna </w:t>
      </w:r>
      <w:r w:rsidRPr="00AA6EA9">
        <w:t xml:space="preserve">iz naslova dokapitalizacije št. 410-2/2023 z dne 27. 11. 2024 izhaja, </w:t>
      </w:r>
      <w:r w:rsidR="00FC16A6" w:rsidRPr="00AA6EA9">
        <w:t xml:space="preserve">da </w:t>
      </w:r>
      <w:r w:rsidR="00B404E5" w:rsidRPr="00AA6EA9">
        <w:t>se</w:t>
      </w:r>
      <w:r w:rsidR="00FC16A6" w:rsidRPr="00AA6EA9">
        <w:t xml:space="preserve"> </w:t>
      </w:r>
      <w:r w:rsidR="00B404E5" w:rsidRPr="00AA6EA9">
        <w:t xml:space="preserve">je </w:t>
      </w:r>
      <w:r w:rsidR="00FC16A6" w:rsidRPr="00AA6EA9">
        <w:t xml:space="preserve">del prejetih sredstev </w:t>
      </w:r>
      <w:r w:rsidR="00B404E5" w:rsidRPr="00AA6EA9">
        <w:t xml:space="preserve">za dokapitalizacijo upošteval </w:t>
      </w:r>
      <w:r w:rsidR="00543075" w:rsidRPr="00AA6EA9">
        <w:t>za plačilo stroškov nakupa zemljišč</w:t>
      </w:r>
      <w:r w:rsidR="00112A6C" w:rsidRPr="00AA6EA9">
        <w:t xml:space="preserve"> v višini </w:t>
      </w:r>
      <w:r w:rsidR="00AA6EA9" w:rsidRPr="00AA6EA9">
        <w:rPr>
          <w:rFonts w:cs="Arial"/>
        </w:rPr>
        <w:t xml:space="preserve">█ </w:t>
      </w:r>
      <w:r w:rsidR="00543075" w:rsidRPr="00AA6EA9">
        <w:t xml:space="preserve">in odmerjenega komunalnega prispevka </w:t>
      </w:r>
      <w:r w:rsidR="00112A6C" w:rsidRPr="00AA6EA9">
        <w:t xml:space="preserve">v znesku </w:t>
      </w:r>
      <w:r w:rsidR="00AA6EA9" w:rsidRPr="00AA6EA9">
        <w:rPr>
          <w:rFonts w:cs="Arial"/>
        </w:rPr>
        <w:t xml:space="preserve">█ </w:t>
      </w:r>
      <w:r w:rsidR="00543075" w:rsidRPr="00AA6EA9">
        <w:t xml:space="preserve">za </w:t>
      </w:r>
      <w:r w:rsidR="0019011E" w:rsidRPr="00AA6EA9">
        <w:t xml:space="preserve">gradnjo dveh večstanovanjskih objektov na lokaciji </w:t>
      </w:r>
      <w:r w:rsidR="00543075" w:rsidRPr="00AA6EA9">
        <w:t>Dolgi most v Ljubljani</w:t>
      </w:r>
      <w:r w:rsidR="0019011E" w:rsidRPr="00AA6EA9">
        <w:t>.</w:t>
      </w:r>
      <w:r w:rsidR="003171C6">
        <w:t xml:space="preserve"> </w:t>
      </w:r>
    </w:p>
    <w:p w14:paraId="071D7533" w14:textId="77777777" w:rsidR="006727DB" w:rsidRDefault="006727DB" w:rsidP="00386B01">
      <w:pPr>
        <w:spacing w:line="276" w:lineRule="auto"/>
        <w:jc w:val="both"/>
      </w:pPr>
    </w:p>
    <w:p w14:paraId="53E71DE6" w14:textId="49AE032A" w:rsidR="0019011E" w:rsidRDefault="0019011E" w:rsidP="00386B01">
      <w:pPr>
        <w:spacing w:line="276" w:lineRule="auto"/>
        <w:jc w:val="both"/>
      </w:pPr>
      <w:r>
        <w:t>Iz letnega poročila poslovanja SSRS</w:t>
      </w:r>
      <w:r>
        <w:rPr>
          <w:rStyle w:val="Sprotnaopomba-sklic"/>
        </w:rPr>
        <w:footnoteReference w:id="7"/>
      </w:r>
      <w:r>
        <w:t xml:space="preserve"> izhaja, da je sklad na lokaciji Dolgi most v Ljubljani avgusta 2019 kupil komunalno opremljeno zemljišče v velikosti 4.603 m2. Ob nakupu je bil za zemljišče že sprejet zazidalni načrt z določenimi gabariti, ki so omogočili gradnjo dveh večstanovanjskih objektov s skupaj 40 javnimi najemnimi stanovanji. V decembru leta 2020 je bilo pridobljeno gradbeno dovoljenje ter izbran izvajalec za gradnj</w:t>
      </w:r>
      <w:r w:rsidR="00BE0773">
        <w:t>o</w:t>
      </w:r>
      <w:r>
        <w:t xml:space="preserve">. V letu 2021 je bila </w:t>
      </w:r>
      <w:r w:rsidR="006727DB">
        <w:t xml:space="preserve">nato </w:t>
      </w:r>
      <w:r>
        <w:t xml:space="preserve">izdelana tudi projektna dokumentacija ter pričeta gradnja objektov. Gradnja objektov Dolgi most je bila zaključena v decembru 2022, ko je bilo pridobljeno pravnomočno uporabno dovoljenje. V letu 2023 so bili izvedeni prevzemi stanovanj ter odprava napak. Stanovanja so bila v mesecu decembru 2023 vključena v javni razpis za oddajo stanovanj v javni najem. </w:t>
      </w:r>
      <w:r w:rsidR="00BE0773">
        <w:t xml:space="preserve">Projekt </w:t>
      </w:r>
      <w:r>
        <w:t>Dolgi most Ljubljana spada med projekte, za katere je S</w:t>
      </w:r>
      <w:r w:rsidR="00BE0773">
        <w:t>SRS</w:t>
      </w:r>
      <w:r>
        <w:t xml:space="preserve"> pridobil novo posojilo CEB banke (CEB2).</w:t>
      </w:r>
    </w:p>
    <w:p w14:paraId="5524163B" w14:textId="77777777" w:rsidR="006727DB" w:rsidRDefault="006727DB" w:rsidP="00386B01">
      <w:pPr>
        <w:spacing w:line="276" w:lineRule="auto"/>
        <w:jc w:val="both"/>
      </w:pPr>
    </w:p>
    <w:p w14:paraId="312B0984" w14:textId="4C54ED42" w:rsidR="00820C66" w:rsidRDefault="00691C64" w:rsidP="00386B01">
      <w:pPr>
        <w:spacing w:line="276" w:lineRule="auto"/>
        <w:jc w:val="both"/>
        <w:rPr>
          <w:color w:val="000000" w:themeColor="text1"/>
        </w:rPr>
      </w:pPr>
      <w:r>
        <w:t xml:space="preserve">V postopku inšpekcijskega nadzora je zvezi z nakupom zemljišč pri projektu Dolgi most predložen račun izdajatelja </w:t>
      </w:r>
      <w:r w:rsidR="00A8518A">
        <w:t xml:space="preserve">A </w:t>
      </w:r>
      <w:r w:rsidR="00581DA6">
        <w:rPr>
          <w:rFonts w:cs="Arial"/>
        </w:rPr>
        <w:t>█</w:t>
      </w:r>
      <w:r w:rsidR="006E60F0">
        <w:rPr>
          <w:rFonts w:cs="Arial"/>
        </w:rPr>
        <w:t xml:space="preserve"> d.o</w:t>
      </w:r>
      <w:r w:rsidR="006E60F0" w:rsidRPr="000D2BFE">
        <w:rPr>
          <w:rFonts w:cs="Arial"/>
        </w:rPr>
        <w:t>.o.</w:t>
      </w:r>
      <w:r w:rsidR="00581DA6" w:rsidRPr="000D2BFE">
        <w:rPr>
          <w:rFonts w:cs="Arial"/>
        </w:rPr>
        <w:t xml:space="preserve"> </w:t>
      </w:r>
      <w:r w:rsidRPr="000D2BFE">
        <w:t xml:space="preserve">v višini </w:t>
      </w:r>
      <w:r w:rsidR="00193C3F">
        <w:rPr>
          <w:rFonts w:cs="Arial"/>
        </w:rPr>
        <w:t>█</w:t>
      </w:r>
      <w:r w:rsidR="000D2BFE" w:rsidRPr="000D2BFE">
        <w:t xml:space="preserve"> </w:t>
      </w:r>
      <w:r w:rsidRPr="000D2BFE">
        <w:rPr>
          <w:color w:val="000000" w:themeColor="text1"/>
        </w:rPr>
        <w:t xml:space="preserve">EUR za prejemnika SSRS za nakup nepremičnin po prodajni pogodbi z dne 29. 8. 2019, prodajna pogodba </w:t>
      </w:r>
      <w:r w:rsidR="004B5336" w:rsidRPr="000D2BFE">
        <w:rPr>
          <w:color w:val="000000" w:themeColor="text1"/>
        </w:rPr>
        <w:t xml:space="preserve">o nakupu predmetnega zemljišča </w:t>
      </w:r>
      <w:r w:rsidRPr="000D2BFE">
        <w:rPr>
          <w:color w:val="000000" w:themeColor="text1"/>
        </w:rPr>
        <w:t>ter potrdilo o plačilu</w:t>
      </w:r>
      <w:r w:rsidR="000F0C09" w:rsidRPr="000D2BFE">
        <w:rPr>
          <w:color w:val="000000" w:themeColor="text1"/>
        </w:rPr>
        <w:t xml:space="preserve"> kupnine</w:t>
      </w:r>
      <w:r w:rsidR="004B5336" w:rsidRPr="000D2BFE">
        <w:rPr>
          <w:color w:val="000000" w:themeColor="text1"/>
        </w:rPr>
        <w:t xml:space="preserve"> v skupni višini </w:t>
      </w:r>
      <w:r w:rsidR="00193C3F">
        <w:rPr>
          <w:rFonts w:cs="Arial"/>
          <w:color w:val="000000" w:themeColor="text1"/>
        </w:rPr>
        <w:t xml:space="preserve">█ </w:t>
      </w:r>
      <w:r w:rsidR="004B5336" w:rsidRPr="000D2BFE">
        <w:rPr>
          <w:color w:val="000000" w:themeColor="text1"/>
        </w:rPr>
        <w:t>EUR</w:t>
      </w:r>
      <w:r w:rsidRPr="000D2BFE">
        <w:rPr>
          <w:color w:val="000000" w:themeColor="text1"/>
        </w:rPr>
        <w:t xml:space="preserve">. </w:t>
      </w:r>
      <w:r w:rsidR="0082049D" w:rsidRPr="000D2BFE">
        <w:rPr>
          <w:color w:val="000000" w:themeColor="text1"/>
        </w:rPr>
        <w:t>Nadalje je v zvezi z odmero komunalnega prispevka za projekt Dolgi most predložena odločba Mestne občine Ljubljana št. 3541-480/2020-2 z dne 1. 9. 2020. Iz odločbe izhaja, da se in</w:t>
      </w:r>
      <w:r w:rsidR="00820C66" w:rsidRPr="000D2BFE">
        <w:rPr>
          <w:color w:val="000000" w:themeColor="text1"/>
        </w:rPr>
        <w:t xml:space="preserve">vestitorju SSRS zaradi novogradnje dveh večstanovanjskih objektov pri projektu Dolgi most odmeri komunalni prispevek v višini </w:t>
      </w:r>
      <w:r w:rsidR="00A66070">
        <w:rPr>
          <w:rFonts w:cs="Arial"/>
          <w:color w:val="000000" w:themeColor="text1"/>
        </w:rPr>
        <w:t xml:space="preserve">█ </w:t>
      </w:r>
      <w:r w:rsidR="00820C66" w:rsidRPr="000D2BFE">
        <w:rPr>
          <w:color w:val="000000" w:themeColor="text1"/>
        </w:rPr>
        <w:t>EUR.</w:t>
      </w:r>
      <w:r w:rsidR="0082049D">
        <w:rPr>
          <w:color w:val="000000" w:themeColor="text1"/>
        </w:rPr>
        <w:t xml:space="preserve"> </w:t>
      </w:r>
    </w:p>
    <w:p w14:paraId="631B894F" w14:textId="77777777" w:rsidR="00820C66" w:rsidRDefault="00820C66" w:rsidP="00386B01">
      <w:pPr>
        <w:spacing w:line="276" w:lineRule="auto"/>
        <w:jc w:val="both"/>
        <w:rPr>
          <w:color w:val="000000" w:themeColor="text1"/>
        </w:rPr>
      </w:pPr>
    </w:p>
    <w:p w14:paraId="26E3FC93" w14:textId="781D1365" w:rsidR="00820C66" w:rsidRDefault="00820C66" w:rsidP="00386B01">
      <w:pPr>
        <w:spacing w:line="276" w:lineRule="auto"/>
        <w:jc w:val="both"/>
        <w:rPr>
          <w:color w:val="000000" w:themeColor="text1"/>
        </w:rPr>
      </w:pPr>
      <w:r>
        <w:rPr>
          <w:color w:val="000000" w:themeColor="text1"/>
        </w:rPr>
        <w:t xml:space="preserve">Iz Sklepa št. 487 </w:t>
      </w:r>
      <w:r w:rsidR="004B5336">
        <w:rPr>
          <w:color w:val="000000" w:themeColor="text1"/>
        </w:rPr>
        <w:t xml:space="preserve">iz </w:t>
      </w:r>
      <w:r>
        <w:rPr>
          <w:color w:val="000000" w:themeColor="text1"/>
        </w:rPr>
        <w:t xml:space="preserve">101. redne seje Nadzornega sveta SSRS z dne 13. 12. 2023 izhaja, da se za namene kritja stroškov komunalno opremljenega zemljišča projekta Dolgi most v Ljubljani, iz sredstev dokapitalizacije, katere je SSRS prejel v letu 2023, </w:t>
      </w:r>
      <w:r w:rsidRPr="00F03376">
        <w:rPr>
          <w:color w:val="000000" w:themeColor="text1"/>
        </w:rPr>
        <w:t xml:space="preserve">nameni </w:t>
      </w:r>
      <w:r w:rsidR="00203B70">
        <w:rPr>
          <w:color w:val="000000" w:themeColor="text1"/>
        </w:rPr>
        <w:t xml:space="preserve">1.669.564 </w:t>
      </w:r>
      <w:r w:rsidRPr="00F03376">
        <w:rPr>
          <w:color w:val="000000" w:themeColor="text1"/>
        </w:rPr>
        <w:t>EUR, kar predstavlja strošek nakupa zemljišča in odmerjeni komunalni prispevek.</w:t>
      </w:r>
      <w:r w:rsidR="003171C6" w:rsidRPr="00F03376">
        <w:rPr>
          <w:color w:val="000000" w:themeColor="text1"/>
        </w:rPr>
        <w:t xml:space="preserve"> Sklep je bil s strani Nadzornega odbora SSRS soglasno sprejet.</w:t>
      </w:r>
    </w:p>
    <w:p w14:paraId="01519F6B" w14:textId="77777777" w:rsidR="00820C66" w:rsidRDefault="00820C66" w:rsidP="00386B01">
      <w:pPr>
        <w:spacing w:line="276" w:lineRule="auto"/>
        <w:jc w:val="both"/>
        <w:rPr>
          <w:color w:val="000000" w:themeColor="text1"/>
        </w:rPr>
      </w:pPr>
    </w:p>
    <w:p w14:paraId="0F6235F2" w14:textId="00410BDC" w:rsidR="00820C66" w:rsidRPr="005A5D57" w:rsidRDefault="00820C66" w:rsidP="00820C66">
      <w:pPr>
        <w:jc w:val="both"/>
        <w:rPr>
          <w:b/>
          <w:bCs/>
        </w:rPr>
      </w:pPr>
      <w:r w:rsidRPr="00E03101">
        <w:rPr>
          <w:b/>
          <w:bCs/>
        </w:rPr>
        <w:t xml:space="preserve">Proračunski inšpektor pri nadzoru porabe sredstev proračuna iz naslova dokapitalizacije SSRS </w:t>
      </w:r>
      <w:r w:rsidR="003171C6" w:rsidRPr="00E03101">
        <w:rPr>
          <w:b/>
          <w:bCs/>
        </w:rPr>
        <w:t xml:space="preserve">za komunalno opremljanje zemljišča pri projektu Dolgi most Ljubljana v skupni višini </w:t>
      </w:r>
      <w:r w:rsidR="005A5D57" w:rsidRPr="005A5D57">
        <w:rPr>
          <w:b/>
          <w:bCs/>
          <w:color w:val="000000" w:themeColor="text1"/>
        </w:rPr>
        <w:t xml:space="preserve">1.669.564 </w:t>
      </w:r>
      <w:r w:rsidR="003171C6" w:rsidRPr="005A5D57">
        <w:rPr>
          <w:b/>
          <w:bCs/>
        </w:rPr>
        <w:t xml:space="preserve">EUR </w:t>
      </w:r>
      <w:r w:rsidRPr="005A5D57">
        <w:rPr>
          <w:b/>
          <w:bCs/>
        </w:rPr>
        <w:t>ni ugotovil nepravilnosti.</w:t>
      </w:r>
    </w:p>
    <w:p w14:paraId="12AF3826" w14:textId="45BC4551" w:rsidR="006727DB" w:rsidRPr="0082049D" w:rsidRDefault="006727DB" w:rsidP="00386B01">
      <w:pPr>
        <w:spacing w:line="276" w:lineRule="auto"/>
        <w:jc w:val="both"/>
        <w:rPr>
          <w:color w:val="000000" w:themeColor="text1"/>
        </w:rPr>
      </w:pPr>
    </w:p>
    <w:p w14:paraId="6022CA27" w14:textId="56AFB592" w:rsidR="00B50FAD" w:rsidRPr="007915FC" w:rsidRDefault="00543075" w:rsidP="003171C6">
      <w:pPr>
        <w:spacing w:line="276" w:lineRule="auto"/>
        <w:jc w:val="both"/>
        <w:rPr>
          <w:b/>
          <w:bCs/>
        </w:rPr>
      </w:pPr>
      <w:r w:rsidRPr="0082049D">
        <w:rPr>
          <w:color w:val="000000" w:themeColor="text1"/>
        </w:rPr>
        <w:t xml:space="preserve"> </w:t>
      </w:r>
      <w:r w:rsidR="00234980" w:rsidRPr="007915FC">
        <w:rPr>
          <w:b/>
          <w:bCs/>
        </w:rPr>
        <w:t xml:space="preserve">IV. </w:t>
      </w:r>
      <w:r w:rsidR="000E60A9">
        <w:rPr>
          <w:b/>
          <w:bCs/>
        </w:rPr>
        <w:t>4</w:t>
      </w:r>
      <w:r w:rsidR="00234980" w:rsidRPr="007915FC">
        <w:rPr>
          <w:b/>
          <w:bCs/>
        </w:rPr>
        <w:t xml:space="preserve"> Nadzor porabe sredstev </w:t>
      </w:r>
      <w:r w:rsidR="00EE2DBE">
        <w:rPr>
          <w:b/>
          <w:bCs/>
        </w:rPr>
        <w:t>Urada RS za okrevanje in odpornost</w:t>
      </w:r>
    </w:p>
    <w:p w14:paraId="17FE3F2B" w14:textId="77777777" w:rsidR="00B50FAD" w:rsidRDefault="00B50FAD" w:rsidP="00667191">
      <w:pPr>
        <w:pStyle w:val="Naslovdostopnost"/>
      </w:pPr>
    </w:p>
    <w:p w14:paraId="22694A0D" w14:textId="361900FA" w:rsidR="004840C8" w:rsidRPr="00585C98" w:rsidRDefault="0082064E" w:rsidP="00AA5606">
      <w:pPr>
        <w:jc w:val="both"/>
      </w:pPr>
      <w:r w:rsidRPr="00585C98">
        <w:t xml:space="preserve">Načrt za okrevanje in odpornost (NOO) je nacionalni program reform in naložb, s katerimi se blažijo gospodarske in socialne posledice pandemije covida-19 v Sloveniji ter prispeva k ciljem za zmanjšanje odvisnosti od ruskih fosilnih goriv in pospešitev zelenega prehoda. </w:t>
      </w:r>
    </w:p>
    <w:p w14:paraId="156B3A49" w14:textId="77777777" w:rsidR="0082064E" w:rsidRPr="00585C98" w:rsidRDefault="0082064E" w:rsidP="00AA5606">
      <w:pPr>
        <w:jc w:val="both"/>
      </w:pPr>
    </w:p>
    <w:p w14:paraId="39B81E60" w14:textId="4F0C6A36" w:rsidR="0082064E" w:rsidRPr="00585C98" w:rsidRDefault="0082064E" w:rsidP="00AA5606">
      <w:pPr>
        <w:jc w:val="both"/>
      </w:pPr>
      <w:r w:rsidRPr="00585C98">
        <w:t>Republika Slovenija je evropska sredstva za okrevanje in odpornost usmerila v zeleni prehod, digitalno preobrazbo, podporo gospodarstvu, raziskave in razvoj, izobraževanje, zdravstvo, socialno varnost ter stanovanjsko politiko.</w:t>
      </w:r>
      <w:r w:rsidR="00605A20" w:rsidRPr="00585C98">
        <w:t xml:space="preserve"> Na področju </w:t>
      </w:r>
      <w:r w:rsidR="00B527DD" w:rsidRPr="00585C98">
        <w:t xml:space="preserve">izvajanja </w:t>
      </w:r>
      <w:r w:rsidR="00605A20" w:rsidRPr="00585C98">
        <w:t>stanovanjske politike</w:t>
      </w:r>
      <w:r w:rsidR="00B527DD" w:rsidRPr="00585C98">
        <w:t xml:space="preserve"> se </w:t>
      </w:r>
      <w:r w:rsidR="005E539B" w:rsidRPr="00585C98">
        <w:t>izvajajo dejavnosti za</w:t>
      </w:r>
      <w:r w:rsidR="00B527DD" w:rsidRPr="00585C98">
        <w:t xml:space="preserve"> izboljšanj</w:t>
      </w:r>
      <w:r w:rsidR="005E539B" w:rsidRPr="00585C98">
        <w:t>e</w:t>
      </w:r>
      <w:r w:rsidR="00B527DD" w:rsidRPr="00585C98">
        <w:t xml:space="preserve"> dostopnosti do vseh vrst stanovanj in zagot</w:t>
      </w:r>
      <w:r w:rsidR="002E28EB" w:rsidRPr="00585C98">
        <w:t>a</w:t>
      </w:r>
      <w:r w:rsidR="00B527DD" w:rsidRPr="00585C98">
        <w:t>v</w:t>
      </w:r>
      <w:r w:rsidR="002E28EB" w:rsidRPr="00585C98">
        <w:t>ljanju</w:t>
      </w:r>
      <w:r w:rsidR="00B527DD" w:rsidRPr="00585C98">
        <w:t xml:space="preserve"> primerne finančne pomoči</w:t>
      </w:r>
      <w:r w:rsidR="002E28EB" w:rsidRPr="00585C98">
        <w:t xml:space="preserve"> pri uporabi stanovanj tistim, ki stroškov ne zmorejo plačevati sami. </w:t>
      </w:r>
      <w:r w:rsidR="00867745" w:rsidRPr="00585C98">
        <w:t xml:space="preserve">Pomemben cilj </w:t>
      </w:r>
      <w:r w:rsidR="00867745" w:rsidRPr="00585C98">
        <w:lastRenderedPageBreak/>
        <w:t xml:space="preserve">stanovanjske politike je </w:t>
      </w:r>
      <w:r w:rsidR="005E539B" w:rsidRPr="00585C98">
        <w:t xml:space="preserve">tudi, da se </w:t>
      </w:r>
      <w:r w:rsidR="00867745" w:rsidRPr="00585C98">
        <w:t>z ustrezno stanovanjsko oskrbo prispeva k varstvu družine, starejše populacije in invalidnih oseb ter drugih ranljivih skupin prebivalstva.</w:t>
      </w:r>
    </w:p>
    <w:p w14:paraId="3AF3373A" w14:textId="77777777" w:rsidR="0029778C" w:rsidRPr="000F0C09" w:rsidRDefault="0029778C" w:rsidP="00AA5606">
      <w:pPr>
        <w:jc w:val="both"/>
      </w:pPr>
    </w:p>
    <w:p w14:paraId="630F8625" w14:textId="15DB4DA7" w:rsidR="00867745" w:rsidRPr="00585C98" w:rsidRDefault="0029778C" w:rsidP="00AA5606">
      <w:pPr>
        <w:jc w:val="both"/>
      </w:pPr>
      <w:r w:rsidRPr="00585C98">
        <w:t xml:space="preserve">SSRS je v letu 2023 </w:t>
      </w:r>
      <w:r w:rsidR="008F1088" w:rsidRPr="00585C98">
        <w:t xml:space="preserve">z Ministrstvom za solidarno prihodnost </w:t>
      </w:r>
      <w:r w:rsidRPr="00585C98">
        <w:t>sklenil pogodbe</w:t>
      </w:r>
      <w:r w:rsidR="008F1088" w:rsidRPr="00585C98">
        <w:t xml:space="preserve"> o sofinanciranju za izvedbo ukrepa Mehanizma za okrevanje in odpornost za dodelitev sredstev s področja komponente Stanovanjska politika - Zagotavljanje javnih najemnih stanovanj. </w:t>
      </w:r>
      <w:r w:rsidR="00C013D9" w:rsidRPr="00585C98">
        <w:t xml:space="preserve">Končna višina izplačil za sofinanciranje projektov je odvisna od dejansko realiziranih upravičenih stroškov, </w:t>
      </w:r>
      <w:r w:rsidR="005E539B" w:rsidRPr="00585C98">
        <w:t xml:space="preserve">ki so </w:t>
      </w:r>
      <w:r w:rsidR="00C013D9" w:rsidRPr="00585C98">
        <w:t xml:space="preserve">predvideni </w:t>
      </w:r>
      <w:r w:rsidR="005E539B" w:rsidRPr="00585C98">
        <w:t>v</w:t>
      </w:r>
      <w:r w:rsidR="00C013D9" w:rsidRPr="00585C98">
        <w:t xml:space="preserve"> vlog</w:t>
      </w:r>
      <w:r w:rsidR="005E539B" w:rsidRPr="00585C98">
        <w:t>i</w:t>
      </w:r>
      <w:r w:rsidR="00C013D9" w:rsidRPr="00585C98">
        <w:t xml:space="preserve"> na razpis</w:t>
      </w:r>
      <w:r w:rsidR="005E539B" w:rsidRPr="00585C98">
        <w:t>u</w:t>
      </w:r>
      <w:r w:rsidR="00C013D9" w:rsidRPr="00585C98">
        <w:t xml:space="preserve">. Izplačila se izvedejo enkratno na podlagi končnega poračuna stroškov. </w:t>
      </w:r>
    </w:p>
    <w:p w14:paraId="655811F8" w14:textId="77777777" w:rsidR="00867745" w:rsidRPr="00585C98" w:rsidRDefault="00867745" w:rsidP="00AA5606">
      <w:pPr>
        <w:jc w:val="both"/>
      </w:pPr>
    </w:p>
    <w:p w14:paraId="4E992A96" w14:textId="0FAB4FA5" w:rsidR="00C013D9" w:rsidRPr="00585C98" w:rsidRDefault="00C013D9" w:rsidP="00AA5606">
      <w:pPr>
        <w:jc w:val="both"/>
      </w:pPr>
      <w:r w:rsidRPr="00585C98">
        <w:t>V letu 2023 je SSRS iz naslova Mehanizma za okrevanje in odpornost za dokončane projekte pri zagotavljanju 269 novih najemnih stanovanj v okviru šestih projektov</w:t>
      </w:r>
      <w:r w:rsidR="00605A20" w:rsidRPr="00585C98">
        <w:t xml:space="preserve"> Spodnje Preloge, Šmarje pri Jelšah, 1. in 2. faza projekta Pod pekrsko gorco, Rogaška Slatina, projekt Harpf v Slovenj Gradcu in Sveta Ana, </w:t>
      </w:r>
      <w:r w:rsidRPr="00585C98">
        <w:t xml:space="preserve">pridobil sredstva v </w:t>
      </w:r>
      <w:r w:rsidR="006C1B42" w:rsidRPr="00585C98">
        <w:t>skupni višini</w:t>
      </w:r>
      <w:r w:rsidRPr="00585C98">
        <w:t xml:space="preserve"> 14.147.</w:t>
      </w:r>
      <w:r w:rsidR="006C1B42" w:rsidRPr="00585C98">
        <w:t>795,50</w:t>
      </w:r>
      <w:r w:rsidRPr="00585C98">
        <w:t xml:space="preserve"> EUR</w:t>
      </w:r>
      <w:r w:rsidR="00867745" w:rsidRPr="00585C98">
        <w:t xml:space="preserve"> </w:t>
      </w:r>
      <w:r w:rsidR="006C1B42" w:rsidRPr="00585C98">
        <w:t>v zneskih po posamičnih projektih</w:t>
      </w:r>
      <w:r w:rsidR="00867745" w:rsidRPr="00585C98">
        <w:t>, kot so razvidni iz spodnje tabele.</w:t>
      </w:r>
    </w:p>
    <w:p w14:paraId="6C906C03" w14:textId="77777777" w:rsidR="00867745" w:rsidRDefault="00867745" w:rsidP="00667191">
      <w:pPr>
        <w:pStyle w:val="Naslovdostopnost"/>
      </w:pPr>
    </w:p>
    <w:p w14:paraId="4A9DB10D" w14:textId="3425052A" w:rsidR="00E31F3C" w:rsidRDefault="005E539B" w:rsidP="005E539B">
      <w:pPr>
        <w:jc w:val="both"/>
        <w:rPr>
          <w:rFonts w:eastAsia="Times New Roman" w:cs="Arial"/>
          <w:b/>
          <w:bCs/>
          <w:color w:val="000000" w:themeColor="text1"/>
          <w:szCs w:val="20"/>
        </w:rPr>
      </w:pPr>
      <w:r w:rsidRPr="0016498E">
        <w:rPr>
          <w:rFonts w:eastAsia="Times New Roman" w:cs="Arial"/>
          <w:b/>
          <w:bCs/>
          <w:color w:val="000000" w:themeColor="text1"/>
          <w:szCs w:val="20"/>
        </w:rPr>
        <w:t xml:space="preserve">Tabela številka </w:t>
      </w:r>
      <w:r w:rsidR="00FC0C9E">
        <w:rPr>
          <w:rFonts w:eastAsia="Times New Roman" w:cs="Arial"/>
          <w:b/>
          <w:bCs/>
          <w:color w:val="000000" w:themeColor="text1"/>
          <w:szCs w:val="20"/>
        </w:rPr>
        <w:t>4</w:t>
      </w:r>
      <w:r w:rsidRPr="0016498E">
        <w:rPr>
          <w:rFonts w:eastAsia="Times New Roman" w:cs="Arial"/>
          <w:b/>
          <w:bCs/>
          <w:color w:val="000000" w:themeColor="text1"/>
          <w:szCs w:val="20"/>
        </w:rPr>
        <w:t xml:space="preserve">: </w:t>
      </w:r>
      <w:r>
        <w:rPr>
          <w:rFonts w:eastAsia="Times New Roman" w:cs="Arial"/>
          <w:b/>
          <w:bCs/>
          <w:color w:val="000000" w:themeColor="text1"/>
          <w:szCs w:val="20"/>
        </w:rPr>
        <w:t>Seznam</w:t>
      </w:r>
      <w:r w:rsidR="006C1B42">
        <w:rPr>
          <w:rFonts w:eastAsia="Times New Roman" w:cs="Arial"/>
          <w:b/>
          <w:bCs/>
          <w:color w:val="000000" w:themeColor="text1"/>
          <w:szCs w:val="20"/>
        </w:rPr>
        <w:t xml:space="preserve"> dokončanih</w:t>
      </w:r>
      <w:r>
        <w:rPr>
          <w:rFonts w:eastAsia="Times New Roman" w:cs="Arial"/>
          <w:b/>
          <w:bCs/>
          <w:color w:val="000000" w:themeColor="text1"/>
          <w:szCs w:val="20"/>
        </w:rPr>
        <w:t xml:space="preserve"> projektov </w:t>
      </w:r>
      <w:r w:rsidR="00E31F3C">
        <w:rPr>
          <w:rFonts w:eastAsia="Times New Roman" w:cs="Arial"/>
          <w:b/>
          <w:bCs/>
          <w:color w:val="000000" w:themeColor="text1"/>
          <w:szCs w:val="20"/>
        </w:rPr>
        <w:t xml:space="preserve">zagotavljanja najemnih </w:t>
      </w:r>
      <w:r w:rsidR="002F554B">
        <w:rPr>
          <w:rFonts w:eastAsia="Times New Roman" w:cs="Arial"/>
          <w:b/>
          <w:bCs/>
          <w:color w:val="000000" w:themeColor="text1"/>
          <w:szCs w:val="20"/>
        </w:rPr>
        <w:t>stanovanj</w:t>
      </w:r>
      <w:r w:rsidR="006C1B42">
        <w:rPr>
          <w:rFonts w:eastAsia="Times New Roman" w:cs="Arial"/>
          <w:b/>
          <w:bCs/>
          <w:color w:val="000000" w:themeColor="text1"/>
          <w:szCs w:val="20"/>
        </w:rPr>
        <w:t xml:space="preserve">, za </w:t>
      </w:r>
      <w:r w:rsidR="00E31F3C">
        <w:rPr>
          <w:rFonts w:eastAsia="Times New Roman" w:cs="Arial"/>
          <w:b/>
          <w:bCs/>
          <w:color w:val="000000" w:themeColor="text1"/>
          <w:szCs w:val="20"/>
        </w:rPr>
        <w:t xml:space="preserve"> </w:t>
      </w:r>
    </w:p>
    <w:p w14:paraId="7A0DF32C" w14:textId="22F576D0" w:rsidR="005E539B" w:rsidRDefault="00E31F3C" w:rsidP="005E539B">
      <w:pPr>
        <w:jc w:val="both"/>
        <w:rPr>
          <w:rFonts w:eastAsia="Times New Roman" w:cs="Arial"/>
          <w:b/>
          <w:bCs/>
          <w:color w:val="000000" w:themeColor="text1"/>
          <w:szCs w:val="20"/>
        </w:rPr>
      </w:pPr>
      <w:r>
        <w:rPr>
          <w:rFonts w:eastAsia="Times New Roman" w:cs="Arial"/>
          <w:b/>
          <w:bCs/>
          <w:color w:val="000000" w:themeColor="text1"/>
          <w:szCs w:val="20"/>
        </w:rPr>
        <w:t xml:space="preserve">                               </w:t>
      </w:r>
      <w:r w:rsidR="006C1B42">
        <w:rPr>
          <w:rFonts w:eastAsia="Times New Roman" w:cs="Arial"/>
          <w:b/>
          <w:bCs/>
          <w:color w:val="000000" w:themeColor="text1"/>
          <w:szCs w:val="20"/>
        </w:rPr>
        <w:t>katera so v</w:t>
      </w:r>
      <w:r>
        <w:rPr>
          <w:rFonts w:eastAsia="Times New Roman" w:cs="Arial"/>
          <w:b/>
          <w:bCs/>
          <w:color w:val="000000" w:themeColor="text1"/>
          <w:szCs w:val="20"/>
        </w:rPr>
        <w:t xml:space="preserve"> </w:t>
      </w:r>
      <w:r w:rsidR="006C1B42">
        <w:rPr>
          <w:rFonts w:eastAsia="Times New Roman" w:cs="Arial"/>
          <w:b/>
          <w:bCs/>
          <w:color w:val="000000" w:themeColor="text1"/>
          <w:szCs w:val="20"/>
        </w:rPr>
        <w:t xml:space="preserve">letu 2023 pridobljena sredstva NOO </w:t>
      </w:r>
    </w:p>
    <w:p w14:paraId="2F9C224E" w14:textId="77777777" w:rsidR="005E539B" w:rsidRDefault="005E539B" w:rsidP="005E539B">
      <w:pPr>
        <w:jc w:val="both"/>
        <w:rPr>
          <w:rFonts w:eastAsia="Times New Roman" w:cs="Arial"/>
          <w:b/>
          <w:bCs/>
          <w:color w:val="000000" w:themeColor="text1"/>
          <w:szCs w:val="20"/>
        </w:rPr>
      </w:pPr>
    </w:p>
    <w:tbl>
      <w:tblPr>
        <w:tblStyle w:val="Tabelamrea"/>
        <w:tblW w:w="0" w:type="auto"/>
        <w:jc w:val="right"/>
        <w:tblLook w:val="04A0" w:firstRow="1" w:lastRow="0" w:firstColumn="1" w:lastColumn="0" w:noHBand="0" w:noVBand="1"/>
      </w:tblPr>
      <w:tblGrid>
        <w:gridCol w:w="2831"/>
        <w:gridCol w:w="2976"/>
        <w:gridCol w:w="2687"/>
      </w:tblGrid>
      <w:tr w:rsidR="005E539B" w14:paraId="3CA5D2CB" w14:textId="77777777" w:rsidTr="002F554B">
        <w:trPr>
          <w:jc w:val="right"/>
        </w:trPr>
        <w:tc>
          <w:tcPr>
            <w:tcW w:w="2831" w:type="dxa"/>
            <w:shd w:val="clear" w:color="auto" w:fill="BDD6EE" w:themeFill="accent5" w:themeFillTint="66"/>
          </w:tcPr>
          <w:p w14:paraId="6B7ABF82" w14:textId="79707A41" w:rsidR="005E539B" w:rsidRPr="005E539B" w:rsidRDefault="005E539B" w:rsidP="005E539B">
            <w:pPr>
              <w:jc w:val="both"/>
              <w:rPr>
                <w:rFonts w:eastAsia="Times New Roman" w:cs="Arial"/>
                <w:color w:val="000000" w:themeColor="text1"/>
                <w:szCs w:val="20"/>
              </w:rPr>
            </w:pPr>
            <w:bookmarkStart w:id="18" w:name="_Hlk200111247"/>
            <w:r>
              <w:rPr>
                <w:rFonts w:eastAsia="Times New Roman" w:cs="Arial"/>
                <w:color w:val="000000" w:themeColor="text1"/>
                <w:szCs w:val="20"/>
              </w:rPr>
              <w:t>PROJEKT</w:t>
            </w:r>
          </w:p>
        </w:tc>
        <w:tc>
          <w:tcPr>
            <w:tcW w:w="2976" w:type="dxa"/>
            <w:shd w:val="clear" w:color="auto" w:fill="BDD6EE" w:themeFill="accent5" w:themeFillTint="66"/>
          </w:tcPr>
          <w:p w14:paraId="01533D31" w14:textId="1D55A842" w:rsidR="002F554B" w:rsidRDefault="005E539B" w:rsidP="005E539B">
            <w:pPr>
              <w:jc w:val="both"/>
              <w:rPr>
                <w:rFonts w:eastAsia="Times New Roman" w:cs="Arial"/>
                <w:color w:val="000000" w:themeColor="text1"/>
                <w:szCs w:val="20"/>
              </w:rPr>
            </w:pPr>
            <w:r>
              <w:rPr>
                <w:rFonts w:eastAsia="Times New Roman" w:cs="Arial"/>
                <w:color w:val="000000" w:themeColor="text1"/>
                <w:szCs w:val="20"/>
              </w:rPr>
              <w:t>VIŠINA IZPLAČ</w:t>
            </w:r>
            <w:r w:rsidR="002F554B">
              <w:rPr>
                <w:rFonts w:eastAsia="Times New Roman" w:cs="Arial"/>
                <w:color w:val="000000" w:themeColor="text1"/>
                <w:szCs w:val="20"/>
              </w:rPr>
              <w:t>ANIH</w:t>
            </w:r>
            <w:r>
              <w:rPr>
                <w:rFonts w:eastAsia="Times New Roman" w:cs="Arial"/>
                <w:color w:val="000000" w:themeColor="text1"/>
                <w:szCs w:val="20"/>
              </w:rPr>
              <w:t xml:space="preserve"> </w:t>
            </w:r>
          </w:p>
          <w:p w14:paraId="5F11D0F1" w14:textId="2CF01A01" w:rsidR="005E539B" w:rsidRPr="005E539B" w:rsidRDefault="005E539B" w:rsidP="005E539B">
            <w:pPr>
              <w:jc w:val="both"/>
              <w:rPr>
                <w:rFonts w:eastAsia="Times New Roman" w:cs="Arial"/>
                <w:color w:val="000000" w:themeColor="text1"/>
                <w:szCs w:val="20"/>
              </w:rPr>
            </w:pPr>
            <w:r>
              <w:rPr>
                <w:rFonts w:eastAsia="Times New Roman" w:cs="Arial"/>
                <w:color w:val="000000" w:themeColor="text1"/>
                <w:szCs w:val="20"/>
              </w:rPr>
              <w:t xml:space="preserve">SREDSTEV </w:t>
            </w:r>
            <w:r w:rsidR="002F554B">
              <w:rPr>
                <w:rFonts w:eastAsia="Times New Roman" w:cs="Arial"/>
                <w:color w:val="000000" w:themeColor="text1"/>
                <w:szCs w:val="20"/>
              </w:rPr>
              <w:t>PRORAČUNA</w:t>
            </w:r>
          </w:p>
        </w:tc>
        <w:tc>
          <w:tcPr>
            <w:tcW w:w="2687" w:type="dxa"/>
            <w:shd w:val="clear" w:color="auto" w:fill="BDD6EE" w:themeFill="accent5" w:themeFillTint="66"/>
          </w:tcPr>
          <w:p w14:paraId="49898AFC" w14:textId="06796CF2" w:rsidR="005E539B" w:rsidRPr="005E539B" w:rsidRDefault="005E539B" w:rsidP="005E539B">
            <w:pPr>
              <w:jc w:val="both"/>
              <w:rPr>
                <w:rFonts w:eastAsia="Times New Roman" w:cs="Arial"/>
                <w:color w:val="000000" w:themeColor="text1"/>
                <w:szCs w:val="20"/>
              </w:rPr>
            </w:pPr>
            <w:r>
              <w:rPr>
                <w:rFonts w:eastAsia="Times New Roman" w:cs="Arial"/>
                <w:color w:val="000000" w:themeColor="text1"/>
                <w:szCs w:val="20"/>
              </w:rPr>
              <w:t>ŠTEVILO STANOVANJ</w:t>
            </w:r>
          </w:p>
        </w:tc>
      </w:tr>
      <w:tr w:rsidR="005E539B" w14:paraId="6E404817" w14:textId="77777777" w:rsidTr="002F554B">
        <w:trPr>
          <w:jc w:val="right"/>
        </w:trPr>
        <w:tc>
          <w:tcPr>
            <w:tcW w:w="2831" w:type="dxa"/>
          </w:tcPr>
          <w:p w14:paraId="40948924" w14:textId="15054656" w:rsidR="005E539B" w:rsidRPr="005E539B" w:rsidRDefault="005E539B" w:rsidP="005E539B">
            <w:pPr>
              <w:jc w:val="both"/>
              <w:rPr>
                <w:rFonts w:eastAsia="Times New Roman" w:cs="Arial"/>
                <w:color w:val="000000" w:themeColor="text1"/>
                <w:szCs w:val="20"/>
              </w:rPr>
            </w:pPr>
            <w:r>
              <w:rPr>
                <w:rFonts w:eastAsia="Times New Roman" w:cs="Arial"/>
                <w:color w:val="000000" w:themeColor="text1"/>
                <w:szCs w:val="20"/>
              </w:rPr>
              <w:t>Spodnje Preloge</w:t>
            </w:r>
          </w:p>
        </w:tc>
        <w:tc>
          <w:tcPr>
            <w:tcW w:w="2976" w:type="dxa"/>
          </w:tcPr>
          <w:p w14:paraId="1D5E0A4A" w14:textId="088EE20D"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w:t>
            </w:r>
            <w:r w:rsidR="005E539B">
              <w:rPr>
                <w:rFonts w:eastAsia="Times New Roman" w:cs="Arial"/>
                <w:color w:val="000000" w:themeColor="text1"/>
                <w:szCs w:val="20"/>
              </w:rPr>
              <w:t>195.376,</w:t>
            </w:r>
            <w:r>
              <w:rPr>
                <w:rFonts w:eastAsia="Times New Roman" w:cs="Arial"/>
                <w:color w:val="000000" w:themeColor="text1"/>
                <w:szCs w:val="20"/>
              </w:rPr>
              <w:t>25</w:t>
            </w:r>
          </w:p>
        </w:tc>
        <w:tc>
          <w:tcPr>
            <w:tcW w:w="2687" w:type="dxa"/>
          </w:tcPr>
          <w:p w14:paraId="3BBD750D" w14:textId="1680E706"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5</w:t>
            </w:r>
          </w:p>
        </w:tc>
      </w:tr>
      <w:tr w:rsidR="005E539B" w14:paraId="06719138" w14:textId="77777777" w:rsidTr="002F554B">
        <w:trPr>
          <w:jc w:val="right"/>
        </w:trPr>
        <w:tc>
          <w:tcPr>
            <w:tcW w:w="2831" w:type="dxa"/>
          </w:tcPr>
          <w:p w14:paraId="331A886D" w14:textId="7EB6C322" w:rsidR="005E539B" w:rsidRPr="005E539B" w:rsidRDefault="005E539B" w:rsidP="005E539B">
            <w:pPr>
              <w:jc w:val="both"/>
              <w:rPr>
                <w:rFonts w:eastAsia="Times New Roman" w:cs="Arial"/>
                <w:color w:val="000000" w:themeColor="text1"/>
                <w:szCs w:val="20"/>
              </w:rPr>
            </w:pPr>
            <w:r>
              <w:rPr>
                <w:rFonts w:eastAsia="Times New Roman" w:cs="Arial"/>
                <w:color w:val="000000" w:themeColor="text1"/>
                <w:szCs w:val="20"/>
              </w:rPr>
              <w:t>Šmarje pri Jelšah</w:t>
            </w:r>
          </w:p>
        </w:tc>
        <w:tc>
          <w:tcPr>
            <w:tcW w:w="2976" w:type="dxa"/>
          </w:tcPr>
          <w:p w14:paraId="1BF090FF" w14:textId="2D9ABB29"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652.515,43</w:t>
            </w:r>
          </w:p>
        </w:tc>
        <w:tc>
          <w:tcPr>
            <w:tcW w:w="2687" w:type="dxa"/>
          </w:tcPr>
          <w:p w14:paraId="76F7407A" w14:textId="65F0A8E1"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15</w:t>
            </w:r>
          </w:p>
        </w:tc>
      </w:tr>
      <w:tr w:rsidR="005E539B" w14:paraId="78E09519" w14:textId="77777777" w:rsidTr="002F554B">
        <w:trPr>
          <w:jc w:val="right"/>
        </w:trPr>
        <w:tc>
          <w:tcPr>
            <w:tcW w:w="2831" w:type="dxa"/>
          </w:tcPr>
          <w:p w14:paraId="4DDCBF6D" w14:textId="577B9698" w:rsidR="005E539B" w:rsidRPr="005E539B" w:rsidRDefault="005E539B" w:rsidP="005E539B">
            <w:pPr>
              <w:jc w:val="both"/>
              <w:rPr>
                <w:rFonts w:eastAsia="Times New Roman" w:cs="Arial"/>
                <w:color w:val="000000" w:themeColor="text1"/>
                <w:szCs w:val="20"/>
              </w:rPr>
            </w:pPr>
            <w:r>
              <w:rPr>
                <w:rFonts w:eastAsia="Times New Roman" w:cs="Arial"/>
                <w:color w:val="000000" w:themeColor="text1"/>
                <w:szCs w:val="20"/>
              </w:rPr>
              <w:t>Pod pekrsko gorco</w:t>
            </w:r>
          </w:p>
        </w:tc>
        <w:tc>
          <w:tcPr>
            <w:tcW w:w="2976" w:type="dxa"/>
          </w:tcPr>
          <w:p w14:paraId="28A88746" w14:textId="273322A5"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11.751.586,48</w:t>
            </w:r>
          </w:p>
        </w:tc>
        <w:tc>
          <w:tcPr>
            <w:tcW w:w="2687" w:type="dxa"/>
          </w:tcPr>
          <w:p w14:paraId="645A57A1" w14:textId="3F1CC3C0"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212</w:t>
            </w:r>
          </w:p>
        </w:tc>
      </w:tr>
      <w:tr w:rsidR="005E539B" w14:paraId="3AA6E80F" w14:textId="77777777" w:rsidTr="002F554B">
        <w:trPr>
          <w:jc w:val="right"/>
        </w:trPr>
        <w:tc>
          <w:tcPr>
            <w:tcW w:w="2831" w:type="dxa"/>
          </w:tcPr>
          <w:p w14:paraId="5AC4E993" w14:textId="595BB347" w:rsidR="005E539B" w:rsidRPr="005E539B" w:rsidRDefault="005E539B" w:rsidP="005E539B">
            <w:pPr>
              <w:jc w:val="both"/>
              <w:rPr>
                <w:rFonts w:eastAsia="Times New Roman" w:cs="Arial"/>
                <w:color w:val="000000" w:themeColor="text1"/>
                <w:szCs w:val="20"/>
              </w:rPr>
            </w:pPr>
            <w:r>
              <w:rPr>
                <w:rFonts w:eastAsia="Times New Roman" w:cs="Arial"/>
                <w:color w:val="000000" w:themeColor="text1"/>
                <w:szCs w:val="20"/>
              </w:rPr>
              <w:t>Rogaška Slatina</w:t>
            </w:r>
          </w:p>
        </w:tc>
        <w:tc>
          <w:tcPr>
            <w:tcW w:w="2976" w:type="dxa"/>
          </w:tcPr>
          <w:p w14:paraId="4F41923B" w14:textId="74A38F08"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208.395,34</w:t>
            </w:r>
          </w:p>
        </w:tc>
        <w:tc>
          <w:tcPr>
            <w:tcW w:w="2687" w:type="dxa"/>
          </w:tcPr>
          <w:p w14:paraId="2193B581" w14:textId="16C9DA9E"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6</w:t>
            </w:r>
          </w:p>
        </w:tc>
      </w:tr>
      <w:tr w:rsidR="005E539B" w14:paraId="39799D04" w14:textId="77777777" w:rsidTr="002F554B">
        <w:trPr>
          <w:jc w:val="right"/>
        </w:trPr>
        <w:tc>
          <w:tcPr>
            <w:tcW w:w="2831" w:type="dxa"/>
          </w:tcPr>
          <w:p w14:paraId="30216B41" w14:textId="74F8C82E" w:rsidR="005E539B" w:rsidRPr="005E539B" w:rsidRDefault="005E539B" w:rsidP="005E539B">
            <w:pPr>
              <w:jc w:val="both"/>
              <w:rPr>
                <w:rFonts w:eastAsia="Times New Roman" w:cs="Arial"/>
                <w:color w:val="000000" w:themeColor="text1"/>
                <w:szCs w:val="20"/>
              </w:rPr>
            </w:pPr>
            <w:r>
              <w:rPr>
                <w:rFonts w:eastAsia="Times New Roman" w:cs="Arial"/>
                <w:color w:val="000000" w:themeColor="text1"/>
                <w:szCs w:val="20"/>
              </w:rPr>
              <w:t>Harpf Slovenj Gradec</w:t>
            </w:r>
          </w:p>
        </w:tc>
        <w:tc>
          <w:tcPr>
            <w:tcW w:w="2976" w:type="dxa"/>
          </w:tcPr>
          <w:p w14:paraId="0D1C745C" w14:textId="49F9C015"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1.087.792,00</w:t>
            </w:r>
          </w:p>
        </w:tc>
        <w:tc>
          <w:tcPr>
            <w:tcW w:w="2687" w:type="dxa"/>
          </w:tcPr>
          <w:p w14:paraId="17A89570" w14:textId="75E861AA"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27</w:t>
            </w:r>
          </w:p>
        </w:tc>
      </w:tr>
      <w:tr w:rsidR="005E539B" w14:paraId="4367855C" w14:textId="77777777" w:rsidTr="002F554B">
        <w:trPr>
          <w:jc w:val="right"/>
        </w:trPr>
        <w:tc>
          <w:tcPr>
            <w:tcW w:w="2831" w:type="dxa"/>
          </w:tcPr>
          <w:p w14:paraId="07599DBC" w14:textId="65BB67ED" w:rsidR="005E539B" w:rsidRDefault="005E539B" w:rsidP="005E539B">
            <w:pPr>
              <w:jc w:val="both"/>
              <w:rPr>
                <w:rFonts w:eastAsia="Times New Roman" w:cs="Arial"/>
                <w:color w:val="000000" w:themeColor="text1"/>
                <w:szCs w:val="20"/>
              </w:rPr>
            </w:pPr>
            <w:r>
              <w:rPr>
                <w:rFonts w:eastAsia="Times New Roman" w:cs="Arial"/>
                <w:color w:val="000000" w:themeColor="text1"/>
                <w:szCs w:val="20"/>
              </w:rPr>
              <w:t>Sveta Ana</w:t>
            </w:r>
          </w:p>
        </w:tc>
        <w:tc>
          <w:tcPr>
            <w:tcW w:w="2976" w:type="dxa"/>
          </w:tcPr>
          <w:p w14:paraId="1404DBBD" w14:textId="25276731"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252.130,00</w:t>
            </w:r>
          </w:p>
        </w:tc>
        <w:tc>
          <w:tcPr>
            <w:tcW w:w="2687" w:type="dxa"/>
          </w:tcPr>
          <w:p w14:paraId="196E9C1B" w14:textId="6B284A5E" w:rsidR="005E539B" w:rsidRPr="005E539B" w:rsidRDefault="002F554B" w:rsidP="005E539B">
            <w:pPr>
              <w:jc w:val="both"/>
              <w:rPr>
                <w:rFonts w:eastAsia="Times New Roman" w:cs="Arial"/>
                <w:color w:val="000000" w:themeColor="text1"/>
                <w:szCs w:val="20"/>
              </w:rPr>
            </w:pPr>
            <w:r>
              <w:rPr>
                <w:rFonts w:eastAsia="Times New Roman" w:cs="Arial"/>
                <w:color w:val="000000" w:themeColor="text1"/>
                <w:szCs w:val="20"/>
              </w:rPr>
              <w:t xml:space="preserve">                                          4</w:t>
            </w:r>
          </w:p>
        </w:tc>
      </w:tr>
      <w:tr w:rsidR="005E539B" w:rsidRPr="002F554B" w14:paraId="3443BA35" w14:textId="77777777" w:rsidTr="002F554B">
        <w:trPr>
          <w:jc w:val="right"/>
        </w:trPr>
        <w:tc>
          <w:tcPr>
            <w:tcW w:w="2831" w:type="dxa"/>
            <w:shd w:val="clear" w:color="auto" w:fill="F7CAAC" w:themeFill="accent2" w:themeFillTint="66"/>
          </w:tcPr>
          <w:p w14:paraId="2C34E8A7" w14:textId="757B3B3C" w:rsidR="005E539B" w:rsidRPr="002F554B" w:rsidRDefault="005E539B" w:rsidP="005E539B">
            <w:pPr>
              <w:jc w:val="both"/>
              <w:rPr>
                <w:rFonts w:eastAsia="Times New Roman" w:cs="Arial"/>
                <w:b/>
                <w:bCs/>
                <w:color w:val="000000" w:themeColor="text1"/>
                <w:szCs w:val="20"/>
              </w:rPr>
            </w:pPr>
            <w:r w:rsidRPr="002F554B">
              <w:rPr>
                <w:rFonts w:eastAsia="Times New Roman" w:cs="Arial"/>
                <w:b/>
                <w:bCs/>
                <w:color w:val="000000" w:themeColor="text1"/>
                <w:szCs w:val="20"/>
              </w:rPr>
              <w:t>SKUPAJ</w:t>
            </w:r>
          </w:p>
        </w:tc>
        <w:tc>
          <w:tcPr>
            <w:tcW w:w="2976" w:type="dxa"/>
            <w:shd w:val="clear" w:color="auto" w:fill="F7CAAC" w:themeFill="accent2" w:themeFillTint="66"/>
          </w:tcPr>
          <w:p w14:paraId="04CE20CB" w14:textId="61DF2E26" w:rsidR="005E539B" w:rsidRPr="002F554B" w:rsidRDefault="002F554B" w:rsidP="005E539B">
            <w:pPr>
              <w:jc w:val="both"/>
              <w:rPr>
                <w:rFonts w:eastAsia="Times New Roman" w:cs="Arial"/>
                <w:b/>
                <w:bCs/>
                <w:color w:val="000000" w:themeColor="text1"/>
                <w:szCs w:val="20"/>
              </w:rPr>
            </w:pPr>
            <w:r w:rsidRPr="002F554B">
              <w:rPr>
                <w:rFonts w:eastAsia="Times New Roman" w:cs="Arial"/>
                <w:b/>
                <w:bCs/>
                <w:color w:val="000000" w:themeColor="text1"/>
                <w:szCs w:val="20"/>
              </w:rPr>
              <w:t xml:space="preserve">                          14.147.795,50</w:t>
            </w:r>
          </w:p>
        </w:tc>
        <w:tc>
          <w:tcPr>
            <w:tcW w:w="2687" w:type="dxa"/>
            <w:shd w:val="clear" w:color="auto" w:fill="F7CAAC" w:themeFill="accent2" w:themeFillTint="66"/>
          </w:tcPr>
          <w:p w14:paraId="72CCC237" w14:textId="104D18AA" w:rsidR="005E539B" w:rsidRPr="002F554B" w:rsidRDefault="002F554B" w:rsidP="005E539B">
            <w:pPr>
              <w:jc w:val="both"/>
              <w:rPr>
                <w:rFonts w:eastAsia="Times New Roman" w:cs="Arial"/>
                <w:b/>
                <w:bCs/>
                <w:color w:val="000000" w:themeColor="text1"/>
                <w:szCs w:val="20"/>
              </w:rPr>
            </w:pPr>
            <w:r w:rsidRPr="002F554B">
              <w:rPr>
                <w:rFonts w:eastAsia="Times New Roman" w:cs="Arial"/>
                <w:b/>
                <w:bCs/>
                <w:color w:val="000000" w:themeColor="text1"/>
                <w:szCs w:val="20"/>
              </w:rPr>
              <w:t xml:space="preserve">                                      269</w:t>
            </w:r>
          </w:p>
        </w:tc>
      </w:tr>
      <w:bookmarkEnd w:id="18"/>
    </w:tbl>
    <w:p w14:paraId="1CF39AF8" w14:textId="77777777" w:rsidR="005E539B" w:rsidRPr="002F554B" w:rsidRDefault="005E539B" w:rsidP="005E539B">
      <w:pPr>
        <w:jc w:val="both"/>
        <w:rPr>
          <w:rFonts w:eastAsia="Times New Roman" w:cs="Arial"/>
          <w:b/>
          <w:bCs/>
          <w:color w:val="000000" w:themeColor="text1"/>
          <w:szCs w:val="20"/>
        </w:rPr>
      </w:pPr>
    </w:p>
    <w:p w14:paraId="62069B6B" w14:textId="2571EBE5" w:rsidR="003F38C8" w:rsidRPr="00AA5606" w:rsidRDefault="003F38C8" w:rsidP="00AA5606">
      <w:pPr>
        <w:jc w:val="both"/>
      </w:pPr>
      <w:r w:rsidRPr="00AA5606">
        <w:t xml:space="preserve">Inšpekcijskemu organu </w:t>
      </w:r>
      <w:r w:rsidR="00965791" w:rsidRPr="00AA5606">
        <w:t>je</w:t>
      </w:r>
      <w:r w:rsidR="00F61237" w:rsidRPr="00AA5606">
        <w:t xml:space="preserve"> </w:t>
      </w:r>
      <w:r w:rsidR="0009647A" w:rsidRPr="00AA5606">
        <w:t>v zvezi s porabo sredstev na navedenih projektih</w:t>
      </w:r>
      <w:r w:rsidR="006C38C0" w:rsidRPr="00AA5606">
        <w:t xml:space="preserve"> predložen</w:t>
      </w:r>
      <w:r w:rsidR="00965791" w:rsidRPr="00AA5606">
        <w:t xml:space="preserve">a dokumentacija </w:t>
      </w:r>
      <w:r w:rsidR="008F1C4C" w:rsidRPr="00AA5606">
        <w:t>za</w:t>
      </w:r>
      <w:r w:rsidR="00FA43BE" w:rsidRPr="00AA5606">
        <w:t xml:space="preserve"> </w:t>
      </w:r>
      <w:r w:rsidR="00965791" w:rsidRPr="00AA5606">
        <w:t>sofinanciranj</w:t>
      </w:r>
      <w:r w:rsidR="008F1C4C" w:rsidRPr="00AA5606">
        <w:t>e</w:t>
      </w:r>
      <w:r w:rsidR="00B157E2" w:rsidRPr="00AA5606">
        <w:t xml:space="preserve"> </w:t>
      </w:r>
      <w:r w:rsidR="008F1C4C" w:rsidRPr="00AA5606">
        <w:t>iz sredstev</w:t>
      </w:r>
      <w:r w:rsidR="00B157E2" w:rsidRPr="00AA5606">
        <w:t xml:space="preserve"> Mehanizma za okrevanje in odpornost. </w:t>
      </w:r>
      <w:r w:rsidR="0009647A" w:rsidRPr="00AA5606">
        <w:t xml:space="preserve">Nadalje </w:t>
      </w:r>
      <w:r w:rsidR="00585C98" w:rsidRPr="00AA5606">
        <w:t>je</w:t>
      </w:r>
      <w:r w:rsidR="00087152" w:rsidRPr="00AA5606">
        <w:t xml:space="preserve"> inšpekcijskemu organu</w:t>
      </w:r>
      <w:r w:rsidR="0009647A" w:rsidRPr="00AA5606">
        <w:t xml:space="preserve"> predložen</w:t>
      </w:r>
      <w:r w:rsidR="00585C98" w:rsidRPr="00AA5606">
        <w:t>a</w:t>
      </w:r>
      <w:r w:rsidR="0009647A" w:rsidRPr="00AA5606">
        <w:t xml:space="preserve"> tudi </w:t>
      </w:r>
      <w:r w:rsidR="00F61237" w:rsidRPr="00AA5606">
        <w:t>dokument</w:t>
      </w:r>
      <w:r w:rsidR="00585C98" w:rsidRPr="00AA5606">
        <w:t>acija</w:t>
      </w:r>
      <w:r w:rsidR="00F61237" w:rsidRPr="00AA5606">
        <w:t xml:space="preserve"> v zvezi z</w:t>
      </w:r>
      <w:r w:rsidRPr="00AA5606">
        <w:t xml:space="preserve"> izborom ponudnikov za prodajo skupin stanovanj in stanovanjskih stavb ter zemljišč v okviru Javnega poziva za nakup stanovanj in zemljišč za gradnjo stanovanj v letu 2022</w:t>
      </w:r>
      <w:r w:rsidR="0009647A" w:rsidRPr="00AA5606">
        <w:t>.</w:t>
      </w:r>
    </w:p>
    <w:p w14:paraId="46FD4038" w14:textId="77777777" w:rsidR="00F61237" w:rsidRDefault="00F61237" w:rsidP="00667191">
      <w:pPr>
        <w:pStyle w:val="Naslovdostopnost"/>
      </w:pPr>
    </w:p>
    <w:p w14:paraId="41BD1704" w14:textId="0AC6DC78" w:rsidR="00F61237" w:rsidRPr="00F61237" w:rsidRDefault="00F61237" w:rsidP="00087152">
      <w:pPr>
        <w:jc w:val="both"/>
        <w:rPr>
          <w:b/>
          <w:bCs/>
        </w:rPr>
      </w:pPr>
      <w:bookmarkStart w:id="19" w:name="_Hlk200445370"/>
      <w:r w:rsidRPr="00F61237">
        <w:rPr>
          <w:b/>
          <w:bCs/>
        </w:rPr>
        <w:t xml:space="preserve">IV. </w:t>
      </w:r>
      <w:r w:rsidR="00FD55F4">
        <w:rPr>
          <w:b/>
          <w:bCs/>
        </w:rPr>
        <w:t>4</w:t>
      </w:r>
      <w:r w:rsidRPr="00F61237">
        <w:rPr>
          <w:b/>
          <w:bCs/>
        </w:rPr>
        <w:t xml:space="preserve">. 1 Pregled porabe sredstev v zvezi z izvajanjem projektov zagotavljanja najemnih  </w:t>
      </w:r>
    </w:p>
    <w:p w14:paraId="100DAC1E" w14:textId="223FEC8E" w:rsidR="00F61237" w:rsidRDefault="00F61237" w:rsidP="00087152">
      <w:pPr>
        <w:jc w:val="both"/>
        <w:rPr>
          <w:b/>
          <w:bCs/>
        </w:rPr>
      </w:pPr>
      <w:r w:rsidRPr="00F61237">
        <w:rPr>
          <w:b/>
          <w:bCs/>
        </w:rPr>
        <w:t xml:space="preserve">            </w:t>
      </w:r>
      <w:r w:rsidR="00087152">
        <w:rPr>
          <w:b/>
          <w:bCs/>
        </w:rPr>
        <w:t>s</w:t>
      </w:r>
      <w:r w:rsidRPr="00F61237">
        <w:rPr>
          <w:b/>
          <w:bCs/>
        </w:rPr>
        <w:t>tanovanj</w:t>
      </w:r>
    </w:p>
    <w:bookmarkEnd w:id="19"/>
    <w:p w14:paraId="79025F72" w14:textId="77CC6404" w:rsidR="00F61237" w:rsidRDefault="00F61237" w:rsidP="00087152">
      <w:pPr>
        <w:jc w:val="both"/>
        <w:rPr>
          <w:b/>
          <w:bCs/>
        </w:rPr>
      </w:pPr>
    </w:p>
    <w:p w14:paraId="0D0FCF5A" w14:textId="4ECF6DC3" w:rsidR="005067DB" w:rsidRDefault="00EE2DBE" w:rsidP="0009647A">
      <w:pPr>
        <w:jc w:val="both"/>
        <w:rPr>
          <w:color w:val="000000" w:themeColor="text1"/>
        </w:rPr>
      </w:pPr>
      <w:r w:rsidRPr="00EE2DBE">
        <w:rPr>
          <w:color w:val="000000" w:themeColor="text1"/>
        </w:rPr>
        <w:t xml:space="preserve">Iz poročil o izvajanju projektov izhaja, da </w:t>
      </w:r>
      <w:r w:rsidR="00291BE0">
        <w:rPr>
          <w:color w:val="000000" w:themeColor="text1"/>
        </w:rPr>
        <w:t>so</w:t>
      </w:r>
      <w:r w:rsidRPr="00EE2DBE">
        <w:rPr>
          <w:color w:val="000000" w:themeColor="text1"/>
        </w:rPr>
        <w:t xml:space="preserve"> projekt</w:t>
      </w:r>
      <w:r w:rsidR="00291BE0">
        <w:rPr>
          <w:color w:val="000000" w:themeColor="text1"/>
        </w:rPr>
        <w:t>i</w:t>
      </w:r>
      <w:r w:rsidRPr="00EE2DBE">
        <w:rPr>
          <w:color w:val="000000" w:themeColor="text1"/>
        </w:rPr>
        <w:t xml:space="preserve"> zagotavljanja najemnih stanovanj s strani SSRS </w:t>
      </w:r>
      <w:r w:rsidR="005067DB">
        <w:rPr>
          <w:color w:val="000000" w:themeColor="text1"/>
        </w:rPr>
        <w:t xml:space="preserve">v večini </w:t>
      </w:r>
      <w:r w:rsidRPr="00EE2DBE">
        <w:rPr>
          <w:color w:val="000000" w:themeColor="text1"/>
        </w:rPr>
        <w:t>financiran</w:t>
      </w:r>
      <w:r w:rsidR="005067DB">
        <w:rPr>
          <w:color w:val="000000" w:themeColor="text1"/>
        </w:rPr>
        <w:t>i</w:t>
      </w:r>
      <w:r w:rsidRPr="00EE2DBE">
        <w:rPr>
          <w:color w:val="000000" w:themeColor="text1"/>
        </w:rPr>
        <w:t xml:space="preserve"> na podlagi Program</w:t>
      </w:r>
      <w:r w:rsidR="005067DB">
        <w:rPr>
          <w:color w:val="000000" w:themeColor="text1"/>
        </w:rPr>
        <w:t>ov</w:t>
      </w:r>
      <w:r w:rsidRPr="00EE2DBE">
        <w:rPr>
          <w:color w:val="000000" w:themeColor="text1"/>
        </w:rPr>
        <w:t xml:space="preserve"> sofinanciranja zagotavljanja javnih najemnih stanovanj</w:t>
      </w:r>
      <w:r w:rsidR="005067DB">
        <w:rPr>
          <w:color w:val="000000" w:themeColor="text1"/>
        </w:rPr>
        <w:t xml:space="preserve"> in Javnih pozivov za nakupe stanovanj in zemljišč za gradnjo stanovanj, ki so bila razpisana za različna časovna obdobja.</w:t>
      </w:r>
    </w:p>
    <w:p w14:paraId="3785A30B" w14:textId="77777777" w:rsidR="005067DB" w:rsidRDefault="005067DB" w:rsidP="0009647A">
      <w:pPr>
        <w:jc w:val="both"/>
        <w:rPr>
          <w:color w:val="000000" w:themeColor="text1"/>
        </w:rPr>
      </w:pPr>
    </w:p>
    <w:p w14:paraId="1B8FFB9D" w14:textId="6DAC93FC" w:rsidR="00EE2DBE" w:rsidRPr="00A73FA2" w:rsidRDefault="00EE2DBE" w:rsidP="0009647A">
      <w:pPr>
        <w:jc w:val="both"/>
        <w:rPr>
          <w:b/>
          <w:bCs/>
          <w:color w:val="000000" w:themeColor="text1"/>
        </w:rPr>
      </w:pPr>
      <w:r w:rsidRPr="00A73FA2">
        <w:rPr>
          <w:b/>
          <w:bCs/>
          <w:color w:val="000000" w:themeColor="text1"/>
        </w:rPr>
        <w:t xml:space="preserve">IV. </w:t>
      </w:r>
      <w:r w:rsidR="00FD55F4">
        <w:rPr>
          <w:b/>
          <w:bCs/>
          <w:color w:val="000000" w:themeColor="text1"/>
        </w:rPr>
        <w:t>4</w:t>
      </w:r>
      <w:r w:rsidRPr="00A73FA2">
        <w:rPr>
          <w:b/>
          <w:bCs/>
          <w:color w:val="000000" w:themeColor="text1"/>
        </w:rPr>
        <w:t>. 1. 1 Projekt Spodnje Preloge</w:t>
      </w:r>
    </w:p>
    <w:p w14:paraId="7FDFFCFB" w14:textId="77777777" w:rsidR="00EE2DBE" w:rsidRDefault="00EE2DBE" w:rsidP="0009647A">
      <w:pPr>
        <w:jc w:val="both"/>
        <w:rPr>
          <w:color w:val="000000" w:themeColor="text1"/>
        </w:rPr>
      </w:pPr>
    </w:p>
    <w:p w14:paraId="71A17A08" w14:textId="502ABFE6" w:rsidR="00291BE0" w:rsidRDefault="005067DB" w:rsidP="0009647A">
      <w:pPr>
        <w:jc w:val="both"/>
        <w:rPr>
          <w:color w:val="000000" w:themeColor="text1"/>
        </w:rPr>
      </w:pPr>
      <w:bookmarkStart w:id="20" w:name="_Hlk201062199"/>
      <w:r>
        <w:rPr>
          <w:color w:val="000000" w:themeColor="text1"/>
        </w:rPr>
        <w:t xml:space="preserve">Projekt Spodnje Preloge je s strani SSRS sofinanciran na podlagi Programa sofinanciranja zagotavljanja javnih najemnih stanovanj v letih 2016 do 2022. </w:t>
      </w:r>
      <w:r w:rsidR="00D9058A">
        <w:rPr>
          <w:color w:val="000000" w:themeColor="text1"/>
        </w:rPr>
        <w:t xml:space="preserve">Projekt je izveden na območju, ki je delno degradirano in je z dokončanjem gradnje postalo urbano. V predmetnem objektu je bilo zgrajenih 11 javnih najemnih stanovanj z neprofitno najemnino, pri čemer je SSRS lastnik 5 stanovanj, medtem ko je </w:t>
      </w:r>
      <w:r w:rsidR="00EC07FA">
        <w:rPr>
          <w:rFonts w:cs="Arial"/>
          <w:color w:val="000000" w:themeColor="text1"/>
        </w:rPr>
        <w:t xml:space="preserve">█ </w:t>
      </w:r>
      <w:r w:rsidR="0076610C">
        <w:rPr>
          <w:rFonts w:cs="Arial"/>
          <w:color w:val="000000" w:themeColor="text1"/>
        </w:rPr>
        <w:t xml:space="preserve">podjetje </w:t>
      </w:r>
      <w:r w:rsidR="00D9058A">
        <w:rPr>
          <w:color w:val="000000" w:themeColor="text1"/>
        </w:rPr>
        <w:t>lastnik 6 stanovanj. Projekt sledi temeljnim načelom glede blažitve podnebnih sprememb, zagotavlja trajnostno rabo ter spodbuja ločevanje odpadkov.</w:t>
      </w:r>
    </w:p>
    <w:p w14:paraId="5D621D5D" w14:textId="77777777" w:rsidR="003063D2" w:rsidRDefault="003063D2" w:rsidP="0009647A">
      <w:pPr>
        <w:jc w:val="both"/>
        <w:rPr>
          <w:color w:val="000000" w:themeColor="text1"/>
        </w:rPr>
      </w:pPr>
    </w:p>
    <w:p w14:paraId="2509860C" w14:textId="54CABC31" w:rsidR="00585783" w:rsidRDefault="00585783" w:rsidP="0009647A">
      <w:pPr>
        <w:jc w:val="both"/>
        <w:rPr>
          <w:color w:val="000000" w:themeColor="text1"/>
        </w:rPr>
      </w:pPr>
      <w:r>
        <w:rPr>
          <w:color w:val="000000" w:themeColor="text1"/>
        </w:rPr>
        <w:t xml:space="preserve">V zvezi s izplačili sredstev proračuna iz naslova Projekta Spodnje Preloge je v postopku inšpekcijskega nadzora </w:t>
      </w:r>
      <w:r w:rsidR="00680619">
        <w:rPr>
          <w:color w:val="000000" w:themeColor="text1"/>
        </w:rPr>
        <w:t xml:space="preserve">s strani SSRS </w:t>
      </w:r>
      <w:r>
        <w:rPr>
          <w:color w:val="000000" w:themeColor="text1"/>
        </w:rPr>
        <w:t>pre</w:t>
      </w:r>
      <w:r w:rsidR="00680619">
        <w:rPr>
          <w:color w:val="000000" w:themeColor="text1"/>
        </w:rPr>
        <w:t>d</w:t>
      </w:r>
      <w:r>
        <w:rPr>
          <w:color w:val="000000" w:themeColor="text1"/>
        </w:rPr>
        <w:t>ložen</w:t>
      </w:r>
      <w:r w:rsidR="00680619">
        <w:rPr>
          <w:color w:val="000000" w:themeColor="text1"/>
        </w:rPr>
        <w:t xml:space="preserve">a </w:t>
      </w:r>
      <w:r w:rsidR="00386E7D">
        <w:rPr>
          <w:color w:val="000000" w:themeColor="text1"/>
        </w:rPr>
        <w:t xml:space="preserve">Pogodba o sofinanciranju za izvedbo ukrepa </w:t>
      </w:r>
      <w:r w:rsidR="00386E7D">
        <w:rPr>
          <w:color w:val="000000" w:themeColor="text1"/>
        </w:rPr>
        <w:lastRenderedPageBreak/>
        <w:t xml:space="preserve">Mehanizma za okrevanje in odpornost z dne 10. 8. 2023, vsebinsko in končno poročilo o izvajanju projekta, </w:t>
      </w:r>
      <w:r w:rsidR="00680619">
        <w:rPr>
          <w:color w:val="000000" w:themeColor="text1"/>
        </w:rPr>
        <w:t>vloga za izplačilo sredstev iz Sklada NOO</w:t>
      </w:r>
      <w:r w:rsidR="003063D2">
        <w:rPr>
          <w:color w:val="000000" w:themeColor="text1"/>
        </w:rPr>
        <w:t xml:space="preserve"> v višini </w:t>
      </w:r>
      <w:r w:rsidR="003063D2" w:rsidRPr="00FD55F4">
        <w:rPr>
          <w:b/>
          <w:bCs/>
          <w:color w:val="000000" w:themeColor="text1"/>
        </w:rPr>
        <w:t>195.376,25 EUR</w:t>
      </w:r>
      <w:r w:rsidR="003063D2">
        <w:rPr>
          <w:color w:val="000000" w:themeColor="text1"/>
        </w:rPr>
        <w:t xml:space="preserve"> skupaj z izdanim</w:t>
      </w:r>
      <w:r>
        <w:rPr>
          <w:color w:val="000000" w:themeColor="text1"/>
        </w:rPr>
        <w:t xml:space="preserve"> račun</w:t>
      </w:r>
      <w:r w:rsidR="003063D2">
        <w:rPr>
          <w:color w:val="000000" w:themeColor="text1"/>
        </w:rPr>
        <w:t>om št.</w:t>
      </w:r>
      <w:r>
        <w:rPr>
          <w:color w:val="000000" w:themeColor="text1"/>
        </w:rPr>
        <w:t xml:space="preserve"> OBR-000755/2023 z dne 13. 12. 2023</w:t>
      </w:r>
      <w:r w:rsidR="00680619">
        <w:rPr>
          <w:color w:val="000000" w:themeColor="text1"/>
        </w:rPr>
        <w:t>, kartica kupca, kartica stroškovnega mesta</w:t>
      </w:r>
      <w:r w:rsidR="00FD55F4">
        <w:rPr>
          <w:color w:val="000000" w:themeColor="text1"/>
        </w:rPr>
        <w:t xml:space="preserve"> s seznamom stroškov</w:t>
      </w:r>
      <w:r w:rsidR="003063D2">
        <w:rPr>
          <w:color w:val="000000" w:themeColor="text1"/>
        </w:rPr>
        <w:t>, izjava o lastniški strukturi končnega prejemnika,</w:t>
      </w:r>
      <w:r w:rsidR="00680619">
        <w:rPr>
          <w:color w:val="000000" w:themeColor="text1"/>
        </w:rPr>
        <w:t xml:space="preserve"> </w:t>
      </w:r>
      <w:r w:rsidR="003063D2">
        <w:rPr>
          <w:color w:val="000000" w:themeColor="text1"/>
        </w:rPr>
        <w:t>prejeti</w:t>
      </w:r>
      <w:r w:rsidR="00014DEC">
        <w:rPr>
          <w:color w:val="000000" w:themeColor="text1"/>
        </w:rPr>
        <w:t xml:space="preserve"> računi </w:t>
      </w:r>
      <w:r w:rsidR="003063D2">
        <w:rPr>
          <w:color w:val="000000" w:themeColor="text1"/>
        </w:rPr>
        <w:t xml:space="preserve">partnerjev </w:t>
      </w:r>
      <w:r w:rsidR="00014DEC">
        <w:rPr>
          <w:color w:val="000000" w:themeColor="text1"/>
        </w:rPr>
        <w:t xml:space="preserve">v letu 2023 ter potrdila o </w:t>
      </w:r>
      <w:r w:rsidR="003063D2">
        <w:rPr>
          <w:color w:val="000000" w:themeColor="text1"/>
        </w:rPr>
        <w:t>izplačilih sredstev</w:t>
      </w:r>
      <w:r w:rsidR="00014DEC">
        <w:rPr>
          <w:color w:val="000000" w:themeColor="text1"/>
        </w:rPr>
        <w:t xml:space="preserve">. </w:t>
      </w:r>
      <w:r>
        <w:rPr>
          <w:color w:val="000000" w:themeColor="text1"/>
        </w:rPr>
        <w:t xml:space="preserve">  </w:t>
      </w:r>
    </w:p>
    <w:bookmarkEnd w:id="20"/>
    <w:p w14:paraId="4CCC92D6" w14:textId="3EF205F3" w:rsidR="00D9058A" w:rsidRPr="003063D2" w:rsidRDefault="003063D2" w:rsidP="0009647A">
      <w:pPr>
        <w:jc w:val="both"/>
        <w:rPr>
          <w:b/>
          <w:bCs/>
          <w:color w:val="000000" w:themeColor="text1"/>
        </w:rPr>
      </w:pPr>
      <w:r w:rsidRPr="003063D2">
        <w:rPr>
          <w:b/>
          <w:bCs/>
          <w:color w:val="000000" w:themeColor="text1"/>
        </w:rPr>
        <w:t>Proračunski inšpektor pri nadzoru porabe sredstev proračuna iz tega naslova ni ugotovil nepravilnosti.</w:t>
      </w:r>
    </w:p>
    <w:p w14:paraId="40F89372" w14:textId="77777777" w:rsidR="00A73FA2" w:rsidRDefault="00A73FA2" w:rsidP="0009647A">
      <w:pPr>
        <w:jc w:val="both"/>
        <w:rPr>
          <w:color w:val="000000" w:themeColor="text1"/>
        </w:rPr>
      </w:pPr>
    </w:p>
    <w:p w14:paraId="47EF0A20" w14:textId="357671D0" w:rsidR="00EE2DBE" w:rsidRDefault="00EE2DBE" w:rsidP="0009647A">
      <w:pPr>
        <w:jc w:val="both"/>
        <w:rPr>
          <w:b/>
          <w:bCs/>
          <w:color w:val="000000" w:themeColor="text1"/>
        </w:rPr>
      </w:pPr>
      <w:r w:rsidRPr="00A73FA2">
        <w:rPr>
          <w:b/>
          <w:bCs/>
          <w:color w:val="000000" w:themeColor="text1"/>
        </w:rPr>
        <w:t xml:space="preserve">IV. </w:t>
      </w:r>
      <w:r w:rsidR="00FD55F4">
        <w:rPr>
          <w:b/>
          <w:bCs/>
          <w:color w:val="000000" w:themeColor="text1"/>
        </w:rPr>
        <w:t>4</w:t>
      </w:r>
      <w:r w:rsidRPr="00A73FA2">
        <w:rPr>
          <w:b/>
          <w:bCs/>
          <w:color w:val="000000" w:themeColor="text1"/>
        </w:rPr>
        <w:t>. 1. 2 Projekt Šmarje pri Jelšah</w:t>
      </w:r>
    </w:p>
    <w:p w14:paraId="2121ED6F" w14:textId="77777777" w:rsidR="003063D2" w:rsidRDefault="003063D2" w:rsidP="0009647A">
      <w:pPr>
        <w:jc w:val="both"/>
        <w:rPr>
          <w:b/>
          <w:bCs/>
          <w:color w:val="000000" w:themeColor="text1"/>
        </w:rPr>
      </w:pPr>
    </w:p>
    <w:p w14:paraId="28511189" w14:textId="67C5DE57" w:rsidR="003063D2" w:rsidRDefault="003063D2" w:rsidP="003063D2">
      <w:pPr>
        <w:jc w:val="both"/>
        <w:rPr>
          <w:color w:val="000000" w:themeColor="text1"/>
        </w:rPr>
      </w:pPr>
      <w:r>
        <w:rPr>
          <w:color w:val="000000" w:themeColor="text1"/>
        </w:rPr>
        <w:t>Projekt Šmarje pri Jelšah je s strani SSRS sofinanciran na podlagi Programa sofinanciranja zagotavljanja stanovanjskih enot za starejše osebe v letih 2017 do 2020</w:t>
      </w:r>
      <w:r w:rsidR="005D6CD5">
        <w:rPr>
          <w:color w:val="000000" w:themeColor="text1"/>
        </w:rPr>
        <w:t xml:space="preserve">. Projekt obsega gradnjo 30 oskrbovanih stanovanj in dveh pripadajočih parkirnih objektov z zunanjo ureditvijo v Občini Šmarje pri Jelšah. Obsega dva ločena stanovanjska objekta, pri čemer je v vsakem 15 oskrbovanih stanovanj. Stanovanjski in parkirni objekt sta povezana s hodnikom za pešce. V stanovanja </w:t>
      </w:r>
      <w:r w:rsidR="0085330C">
        <w:rPr>
          <w:color w:val="000000" w:themeColor="text1"/>
        </w:rPr>
        <w:t>in skupne prostore je zagotovljen neoviran dostop za funkcionalno ovirane osebe. Objekt je visoko energijsko učinkovit, dosežen je energijski razred A1, s čimer so dolgoročno predvideni nizki stroški obratovanja in višja kakovost bivalnega okolja.</w:t>
      </w:r>
    </w:p>
    <w:p w14:paraId="18F81535" w14:textId="77777777" w:rsidR="003063D2" w:rsidRDefault="003063D2" w:rsidP="003063D2">
      <w:pPr>
        <w:jc w:val="both"/>
        <w:rPr>
          <w:color w:val="000000" w:themeColor="text1"/>
        </w:rPr>
      </w:pPr>
    </w:p>
    <w:p w14:paraId="00524223" w14:textId="2BA17FEA" w:rsidR="003063D2" w:rsidRDefault="003063D2" w:rsidP="003063D2">
      <w:pPr>
        <w:jc w:val="both"/>
        <w:rPr>
          <w:color w:val="000000" w:themeColor="text1"/>
        </w:rPr>
      </w:pPr>
      <w:r>
        <w:rPr>
          <w:color w:val="000000" w:themeColor="text1"/>
        </w:rPr>
        <w:t xml:space="preserve">V zvezi s izplačili sredstev proračuna iz naslova Projekta </w:t>
      </w:r>
      <w:r w:rsidR="0085330C">
        <w:rPr>
          <w:color w:val="000000" w:themeColor="text1"/>
        </w:rPr>
        <w:t>Šmarje pri Jelšah</w:t>
      </w:r>
      <w:r>
        <w:rPr>
          <w:color w:val="000000" w:themeColor="text1"/>
        </w:rPr>
        <w:t xml:space="preserve"> je v postopku inšpekcijskega nadzora s strani SSRS </w:t>
      </w:r>
      <w:bookmarkStart w:id="21" w:name="_Hlk201065550"/>
      <w:r>
        <w:rPr>
          <w:color w:val="000000" w:themeColor="text1"/>
        </w:rPr>
        <w:t xml:space="preserve">predložena </w:t>
      </w:r>
      <w:r w:rsidR="00386E7D">
        <w:rPr>
          <w:color w:val="000000" w:themeColor="text1"/>
        </w:rPr>
        <w:t xml:space="preserve">Pogodba o sofinanciranju za izvedbo ukrepa Mehanizma za okrevanje in odpornost z dne 10. 8. 2023, </w:t>
      </w:r>
      <w:r w:rsidR="00386E7D" w:rsidRPr="00386E7D">
        <w:rPr>
          <w:color w:val="000000" w:themeColor="text1"/>
        </w:rPr>
        <w:t>vsebinsko in končno poročilo o izvajanju projekta</w:t>
      </w:r>
      <w:r w:rsidR="00386E7D">
        <w:rPr>
          <w:color w:val="000000" w:themeColor="text1"/>
        </w:rPr>
        <w:t>,</w:t>
      </w:r>
      <w:r w:rsidR="00386E7D" w:rsidRPr="00386E7D">
        <w:rPr>
          <w:color w:val="000000" w:themeColor="text1"/>
        </w:rPr>
        <w:t xml:space="preserve"> </w:t>
      </w:r>
      <w:r>
        <w:rPr>
          <w:color w:val="000000" w:themeColor="text1"/>
        </w:rPr>
        <w:t xml:space="preserve">vloga za izplačilo sredstev iz Sklada NOO v višini </w:t>
      </w:r>
      <w:r w:rsidR="0085330C" w:rsidRPr="00FD55F4">
        <w:rPr>
          <w:b/>
          <w:bCs/>
          <w:color w:val="000000" w:themeColor="text1"/>
        </w:rPr>
        <w:t>652.515,43</w:t>
      </w:r>
      <w:r w:rsidRPr="00FD55F4">
        <w:rPr>
          <w:b/>
          <w:bCs/>
          <w:color w:val="000000" w:themeColor="text1"/>
        </w:rPr>
        <w:t xml:space="preserve"> EUR</w:t>
      </w:r>
      <w:r>
        <w:rPr>
          <w:color w:val="000000" w:themeColor="text1"/>
        </w:rPr>
        <w:t xml:space="preserve"> skupaj z izdanim računom št. OBR-00075</w:t>
      </w:r>
      <w:r w:rsidR="0085330C">
        <w:rPr>
          <w:color w:val="000000" w:themeColor="text1"/>
        </w:rPr>
        <w:t>6</w:t>
      </w:r>
      <w:r>
        <w:rPr>
          <w:color w:val="000000" w:themeColor="text1"/>
        </w:rPr>
        <w:t>/2023 z dne 13. 12. 2023, kartica stroškovnega mesta</w:t>
      </w:r>
      <w:r w:rsidR="00FD55F4">
        <w:rPr>
          <w:color w:val="000000" w:themeColor="text1"/>
        </w:rPr>
        <w:t xml:space="preserve"> s seznamom stroškov</w:t>
      </w:r>
      <w:r>
        <w:rPr>
          <w:color w:val="000000" w:themeColor="text1"/>
        </w:rPr>
        <w:t xml:space="preserve">, izjava o lastniški strukturi končnega prejemnika, prejeti računi partnerjev v letu 2023 ter potrdila o izplačilih sredstev.   </w:t>
      </w:r>
    </w:p>
    <w:bookmarkEnd w:id="21"/>
    <w:p w14:paraId="35381BAD" w14:textId="77777777" w:rsidR="003063D2" w:rsidRDefault="003063D2" w:rsidP="0009647A">
      <w:pPr>
        <w:jc w:val="both"/>
        <w:rPr>
          <w:b/>
          <w:bCs/>
          <w:color w:val="000000" w:themeColor="text1"/>
        </w:rPr>
      </w:pPr>
    </w:p>
    <w:p w14:paraId="42D48FD3" w14:textId="1FABA537" w:rsidR="00FD55F4" w:rsidRPr="00A73FA2" w:rsidRDefault="00FD55F4" w:rsidP="0009647A">
      <w:pPr>
        <w:jc w:val="both"/>
        <w:rPr>
          <w:b/>
          <w:bCs/>
          <w:color w:val="000000" w:themeColor="text1"/>
        </w:rPr>
      </w:pPr>
      <w:r w:rsidRPr="00FD55F4">
        <w:rPr>
          <w:b/>
          <w:bCs/>
          <w:color w:val="000000" w:themeColor="text1"/>
        </w:rPr>
        <w:t>Proračunski inšpektor pri nadzoru porabe sredstev proračuna iz tega naslova ni ugotovil nepravilnosti.</w:t>
      </w:r>
    </w:p>
    <w:p w14:paraId="54D43AD6" w14:textId="77777777" w:rsidR="00EE2DBE" w:rsidRDefault="00EE2DBE" w:rsidP="0009647A">
      <w:pPr>
        <w:jc w:val="both"/>
        <w:rPr>
          <w:color w:val="000000" w:themeColor="text1"/>
        </w:rPr>
      </w:pPr>
    </w:p>
    <w:p w14:paraId="37790FE5" w14:textId="399D951F" w:rsidR="00EE2DBE" w:rsidRPr="00A73FA2" w:rsidRDefault="00EE2DBE" w:rsidP="0009647A">
      <w:pPr>
        <w:jc w:val="both"/>
        <w:rPr>
          <w:b/>
          <w:bCs/>
          <w:color w:val="000000" w:themeColor="text1"/>
        </w:rPr>
      </w:pPr>
      <w:r w:rsidRPr="00A73FA2">
        <w:rPr>
          <w:b/>
          <w:bCs/>
          <w:color w:val="000000" w:themeColor="text1"/>
        </w:rPr>
        <w:t xml:space="preserve">IV. </w:t>
      </w:r>
      <w:r w:rsidR="00FD55F4">
        <w:rPr>
          <w:b/>
          <w:bCs/>
          <w:color w:val="000000" w:themeColor="text1"/>
        </w:rPr>
        <w:t>4</w:t>
      </w:r>
      <w:r w:rsidRPr="00A73FA2">
        <w:rPr>
          <w:b/>
          <w:bCs/>
          <w:color w:val="000000" w:themeColor="text1"/>
        </w:rPr>
        <w:t>. 1. 3 Projekt Pod pekrsko gorco</w:t>
      </w:r>
    </w:p>
    <w:p w14:paraId="0E0600C4" w14:textId="77777777" w:rsidR="00EE2DBE" w:rsidRDefault="00EE2DBE" w:rsidP="0009647A">
      <w:pPr>
        <w:jc w:val="both"/>
        <w:rPr>
          <w:color w:val="000000" w:themeColor="text1"/>
        </w:rPr>
      </w:pPr>
    </w:p>
    <w:p w14:paraId="711898C4" w14:textId="25FC2D68" w:rsidR="00FD55F4" w:rsidRDefault="00FD55F4" w:rsidP="0009647A">
      <w:pPr>
        <w:jc w:val="both"/>
      </w:pPr>
      <w:r>
        <w:rPr>
          <w:color w:val="000000" w:themeColor="text1"/>
        </w:rPr>
        <w:t>V okviru Javnega razpisa za dodelitev sredstev s področja komponente 16: Stanovanjska politika je sofinanciran tudi projekt Pod pekrsko gorco</w:t>
      </w:r>
      <w:r w:rsidR="00F70146">
        <w:rPr>
          <w:color w:val="000000" w:themeColor="text1"/>
        </w:rPr>
        <w:t xml:space="preserve"> v Mariboru. </w:t>
      </w:r>
      <w:r w:rsidR="00F70146">
        <w:t xml:space="preserve">SSRS je na območju mestne četrti Studenci v letu 2023 zaključil z gradnjo navedene stanovanjske soseske, pri čemer je zagotovljenih skupaj 400 stanovanj. Gradnja je potekala v dveh fazah po posameznih funkcionalnih enotah (212 stanovanj je zagotovljenih v prvi funkcionalni enoti, od tega 30 oskrbovanih stanovanj za starejše, in 188 stanovanj v drugi funkcionalni enoti, od tega 30 oskrbovanih stanovanj za starejše). </w:t>
      </w:r>
    </w:p>
    <w:p w14:paraId="3A9C8474" w14:textId="77777777" w:rsidR="00F70146" w:rsidRDefault="00F70146" w:rsidP="0009647A">
      <w:pPr>
        <w:jc w:val="both"/>
      </w:pPr>
    </w:p>
    <w:p w14:paraId="7FDA46C4" w14:textId="33E8C5CB" w:rsidR="00F70146" w:rsidRDefault="00AA5606" w:rsidP="0009647A">
      <w:pPr>
        <w:jc w:val="both"/>
        <w:rPr>
          <w:color w:val="000000" w:themeColor="text1"/>
        </w:rPr>
      </w:pPr>
      <w:r>
        <w:t>Iz končnega poročila o izvajanju projekta Pod pekrsko gorco izhaja, da se p</w:t>
      </w:r>
      <w:r w:rsidR="00F70146">
        <w:t>ripravljenost na podnebne spremembe v objekt</w:t>
      </w:r>
      <w:r w:rsidR="000609D0">
        <w:t>ih</w:t>
      </w:r>
      <w:r w:rsidR="00F70146">
        <w:t xml:space="preserve"> kaže v zasnovi splošne in krajinske arhitekture. Stavb</w:t>
      </w:r>
      <w:r w:rsidR="000609D0">
        <w:t>e</w:t>
      </w:r>
      <w:r w:rsidR="00F70146">
        <w:t xml:space="preserve"> </w:t>
      </w:r>
      <w:r w:rsidR="000609D0">
        <w:t>so</w:t>
      </w:r>
      <w:r w:rsidR="00F70146">
        <w:t xml:space="preserve"> oblikovan</w:t>
      </w:r>
      <w:r w:rsidR="000609D0">
        <w:t>e</w:t>
      </w:r>
      <w:r w:rsidR="00F70146">
        <w:t xml:space="preserve"> z globokimi balkoni, senčenjem okenskih površin, opremljen</w:t>
      </w:r>
      <w:r w:rsidR="000609D0">
        <w:t>e</w:t>
      </w:r>
      <w:r w:rsidR="00F70146">
        <w:t xml:space="preserve"> s toplotno izolacij</w:t>
      </w:r>
      <w:r w:rsidR="000609D0">
        <w:t>o in prezračevanjem. Bela barva stavb zagotavlja dobro klimo tudi brez uporabe klimatskih naprav. Objekti omogočajo</w:t>
      </w:r>
      <w:r w:rsidR="00F70146">
        <w:t xml:space="preserve"> </w:t>
      </w:r>
      <w:r w:rsidR="000609D0">
        <w:t>namestitev individualnih in javnih polnilnic za električne avtomobile. Na strehah so izvedene predpriprave za instalacijo sončne elektrarne. Arhitekturna zasnova je predvidevala široko uporaba prefabriciranih elementov, kar je lep primer sledenju krožnega gospodarstva. Objekti niso umeščeni na vodovarstvena zemljišča ali v bližino vodnih virov, temveč so priključeni na obstoječ javni vodovod in javno kanalizacijo. Zunanja okolica je urejena na trajnostni način, tako da omogoča uspevanje lokalnih rastlin</w:t>
      </w:r>
      <w:r>
        <w:t>.</w:t>
      </w:r>
    </w:p>
    <w:p w14:paraId="41517A71" w14:textId="77777777" w:rsidR="00FD55F4" w:rsidRDefault="00FD55F4" w:rsidP="0009647A">
      <w:pPr>
        <w:jc w:val="both"/>
        <w:rPr>
          <w:color w:val="000000" w:themeColor="text1"/>
        </w:rPr>
      </w:pPr>
    </w:p>
    <w:p w14:paraId="562F99DF" w14:textId="0F1C021C" w:rsidR="002037AE" w:rsidRDefault="004910A4" w:rsidP="004910A4">
      <w:pPr>
        <w:jc w:val="both"/>
        <w:rPr>
          <w:color w:val="000000" w:themeColor="text1"/>
        </w:rPr>
      </w:pPr>
      <w:r>
        <w:rPr>
          <w:color w:val="000000" w:themeColor="text1"/>
        </w:rPr>
        <w:t>Za projekt Pod pekrsko gorco je</w:t>
      </w:r>
      <w:r w:rsidR="002037AE">
        <w:rPr>
          <w:color w:val="000000" w:themeColor="text1"/>
        </w:rPr>
        <w:t xml:space="preserve"> s strani</w:t>
      </w:r>
      <w:r>
        <w:rPr>
          <w:color w:val="000000" w:themeColor="text1"/>
        </w:rPr>
        <w:t xml:space="preserve"> SSRS v postopku nadzora predlož</w:t>
      </w:r>
      <w:r w:rsidR="002037AE">
        <w:rPr>
          <w:color w:val="000000" w:themeColor="text1"/>
        </w:rPr>
        <w:t>ena</w:t>
      </w:r>
      <w:r>
        <w:rPr>
          <w:color w:val="000000" w:themeColor="text1"/>
        </w:rPr>
        <w:t xml:space="preserve"> Pogodb</w:t>
      </w:r>
      <w:r w:rsidR="00040698">
        <w:rPr>
          <w:color w:val="000000" w:themeColor="text1"/>
        </w:rPr>
        <w:t>a</w:t>
      </w:r>
      <w:r>
        <w:rPr>
          <w:color w:val="000000" w:themeColor="text1"/>
        </w:rPr>
        <w:t xml:space="preserve"> o sofinanciranju za izvedbo ukrepa Mehanizma za okrevanje in odpornost z dne 10. 8. 2023, </w:t>
      </w:r>
      <w:r w:rsidRPr="00386E7D">
        <w:rPr>
          <w:color w:val="000000" w:themeColor="text1"/>
        </w:rPr>
        <w:t>vsebinsko in končno poročilo o izvajanju projekta</w:t>
      </w:r>
      <w:r>
        <w:rPr>
          <w:color w:val="000000" w:themeColor="text1"/>
        </w:rPr>
        <w:t>,</w:t>
      </w:r>
      <w:r w:rsidRPr="00386E7D">
        <w:rPr>
          <w:color w:val="000000" w:themeColor="text1"/>
        </w:rPr>
        <w:t xml:space="preserve"> </w:t>
      </w:r>
      <w:r>
        <w:rPr>
          <w:color w:val="000000" w:themeColor="text1"/>
        </w:rPr>
        <w:t xml:space="preserve">vloga za izplačilo sredstev iz Sklada NOO v višini </w:t>
      </w:r>
      <w:r>
        <w:rPr>
          <w:b/>
          <w:bCs/>
          <w:color w:val="000000" w:themeColor="text1"/>
        </w:rPr>
        <w:t>11.751.586,48</w:t>
      </w:r>
      <w:r w:rsidRPr="00FD55F4">
        <w:rPr>
          <w:b/>
          <w:bCs/>
          <w:color w:val="000000" w:themeColor="text1"/>
        </w:rPr>
        <w:t xml:space="preserve"> EUR</w:t>
      </w:r>
      <w:r>
        <w:rPr>
          <w:color w:val="000000" w:themeColor="text1"/>
        </w:rPr>
        <w:t xml:space="preserve"> z dne 13. 12. 2023, seznam izvajalcev in podizvajalcev, seznam </w:t>
      </w:r>
      <w:r>
        <w:rPr>
          <w:color w:val="000000" w:themeColor="text1"/>
        </w:rPr>
        <w:lastRenderedPageBreak/>
        <w:t xml:space="preserve">stroškov, izjava o lastniški strukturi končnega prejemnika, </w:t>
      </w:r>
      <w:r w:rsidR="00040698">
        <w:rPr>
          <w:color w:val="000000" w:themeColor="text1"/>
        </w:rPr>
        <w:t xml:space="preserve">dokument o </w:t>
      </w:r>
      <w:r>
        <w:rPr>
          <w:color w:val="000000" w:themeColor="text1"/>
        </w:rPr>
        <w:t>razdelitev investicije na faze ter prejete račune partnerjev</w:t>
      </w:r>
      <w:r w:rsidR="002037AE">
        <w:rPr>
          <w:color w:val="000000" w:themeColor="text1"/>
        </w:rPr>
        <w:t xml:space="preserve"> v letu 2023</w:t>
      </w:r>
      <w:r w:rsidR="003F2D80">
        <w:rPr>
          <w:color w:val="000000" w:themeColor="text1"/>
        </w:rPr>
        <w:t xml:space="preserve"> s podatki o plačilih</w:t>
      </w:r>
      <w:r w:rsidR="002037AE">
        <w:rPr>
          <w:color w:val="000000" w:themeColor="text1"/>
        </w:rPr>
        <w:t>. Navedeni dokumentaciji je priložena tudi Izjava prejemnika ob posredovanju vloge za izplačilo sredstev NOO ter Izjav</w:t>
      </w:r>
      <w:r w:rsidR="00FF19B7">
        <w:rPr>
          <w:color w:val="000000" w:themeColor="text1"/>
        </w:rPr>
        <w:t>a</w:t>
      </w:r>
      <w:r w:rsidR="002037AE">
        <w:rPr>
          <w:color w:val="000000" w:themeColor="text1"/>
        </w:rPr>
        <w:t xml:space="preserve"> o vodenju ločenega knjigovodstva za projekt.</w:t>
      </w:r>
    </w:p>
    <w:p w14:paraId="52FA68BE" w14:textId="77777777" w:rsidR="002037AE" w:rsidRDefault="002037AE" w:rsidP="004910A4">
      <w:pPr>
        <w:jc w:val="both"/>
        <w:rPr>
          <w:color w:val="000000" w:themeColor="text1"/>
        </w:rPr>
      </w:pPr>
    </w:p>
    <w:p w14:paraId="7C17F6CF" w14:textId="3282B29B" w:rsidR="004910A4" w:rsidRDefault="003F2D80" w:rsidP="004910A4">
      <w:pPr>
        <w:jc w:val="both"/>
        <w:rPr>
          <w:color w:val="000000" w:themeColor="text1"/>
        </w:rPr>
      </w:pPr>
      <w:r>
        <w:rPr>
          <w:color w:val="000000" w:themeColor="text1"/>
        </w:rPr>
        <w:t>Proračunski inšpektor je pri pregledu naključno izbrane dokumentacije pri računu partnerja</w:t>
      </w:r>
      <w:r w:rsidR="00CE1EF0">
        <w:rPr>
          <w:color w:val="000000" w:themeColor="text1"/>
        </w:rPr>
        <w:t xml:space="preserve"> </w:t>
      </w:r>
      <w:r w:rsidR="005E38E1">
        <w:rPr>
          <w:color w:val="000000" w:themeColor="text1"/>
        </w:rPr>
        <w:t>N</w:t>
      </w:r>
      <w:bookmarkStart w:id="22" w:name="_Hlk201068702"/>
      <w:r w:rsidR="00970A4A">
        <w:rPr>
          <w:rFonts w:cs="Arial"/>
          <w:color w:val="000000" w:themeColor="text1"/>
        </w:rPr>
        <w:t>█</w:t>
      </w:r>
      <w:r w:rsidR="00CE1EF0">
        <w:rPr>
          <w:rFonts w:cs="Arial"/>
          <w:color w:val="000000" w:themeColor="text1"/>
        </w:rPr>
        <w:t xml:space="preserve"> d.o.o</w:t>
      </w:r>
      <w:r w:rsidR="00CE1EF0" w:rsidRPr="005A5D57">
        <w:rPr>
          <w:rFonts w:cs="Arial"/>
          <w:color w:val="000000" w:themeColor="text1"/>
        </w:rPr>
        <w:t>.</w:t>
      </w:r>
      <w:r w:rsidR="00970A4A" w:rsidRPr="005A5D57">
        <w:rPr>
          <w:rFonts w:cs="Arial"/>
          <w:color w:val="000000" w:themeColor="text1"/>
        </w:rPr>
        <w:t xml:space="preserve"> </w:t>
      </w:r>
      <w:r w:rsidR="002037AE" w:rsidRPr="005A5D57">
        <w:rPr>
          <w:color w:val="000000" w:themeColor="text1"/>
        </w:rPr>
        <w:t xml:space="preserve">z dne 23. 1. 2023 v višini </w:t>
      </w:r>
      <w:r w:rsidR="00275D25">
        <w:rPr>
          <w:color w:val="000000" w:themeColor="text1"/>
        </w:rPr>
        <w:t xml:space="preserve">9.516,00 EUR </w:t>
      </w:r>
      <w:r w:rsidR="006A3C58" w:rsidRPr="005A5D57">
        <w:rPr>
          <w:color w:val="000000" w:themeColor="text1"/>
        </w:rPr>
        <w:t>z DDV</w:t>
      </w:r>
      <w:r w:rsidRPr="005A5D57">
        <w:rPr>
          <w:color w:val="000000" w:themeColor="text1"/>
        </w:rPr>
        <w:t xml:space="preserve"> </w:t>
      </w:r>
      <w:bookmarkEnd w:id="22"/>
      <w:r w:rsidRPr="005A5D57">
        <w:rPr>
          <w:color w:val="000000" w:themeColor="text1"/>
        </w:rPr>
        <w:t>ugotovil, da polj</w:t>
      </w:r>
      <w:r w:rsidR="006A3C58" w:rsidRPr="005A5D57">
        <w:rPr>
          <w:color w:val="000000" w:themeColor="text1"/>
        </w:rPr>
        <w:t>e</w:t>
      </w:r>
      <w:r w:rsidR="005A6A25" w:rsidRPr="005A5D57">
        <w:rPr>
          <w:color w:val="000000" w:themeColor="text1"/>
        </w:rPr>
        <w:t xml:space="preserve"> na računu</w:t>
      </w:r>
      <w:r w:rsidRPr="005A5D57">
        <w:rPr>
          <w:color w:val="000000" w:themeColor="text1"/>
        </w:rPr>
        <w:t xml:space="preserve"> </w:t>
      </w:r>
      <w:r w:rsidR="006A3C58" w:rsidRPr="005A5D57">
        <w:rPr>
          <w:color w:val="000000" w:themeColor="text1"/>
        </w:rPr>
        <w:t>»</w:t>
      </w:r>
      <w:r w:rsidRPr="005A5D57">
        <w:rPr>
          <w:color w:val="000000" w:themeColor="text1"/>
        </w:rPr>
        <w:t>vrsta blaga/storitve</w:t>
      </w:r>
      <w:r w:rsidR="006A3C58" w:rsidRPr="005A5D57">
        <w:rPr>
          <w:color w:val="000000" w:themeColor="text1"/>
        </w:rPr>
        <w:t>«</w:t>
      </w:r>
      <w:r w:rsidRPr="005A5D57">
        <w:rPr>
          <w:color w:val="000000" w:themeColor="text1"/>
        </w:rPr>
        <w:t xml:space="preserve"> vsebuje besedno zvezo »opravljene aktivnosti«</w:t>
      </w:r>
      <w:r w:rsidR="002037AE">
        <w:rPr>
          <w:color w:val="000000" w:themeColor="text1"/>
        </w:rPr>
        <w:t xml:space="preserve"> </w:t>
      </w:r>
    </w:p>
    <w:p w14:paraId="547F683C" w14:textId="3E646174" w:rsidR="00FD55F4" w:rsidRDefault="00FD55F4" w:rsidP="0009647A">
      <w:pPr>
        <w:jc w:val="both"/>
        <w:rPr>
          <w:color w:val="000000" w:themeColor="text1"/>
        </w:rPr>
      </w:pPr>
    </w:p>
    <w:p w14:paraId="5B7D8BA8" w14:textId="4CC86B04" w:rsidR="003F2D80" w:rsidRPr="003F2D80" w:rsidRDefault="003F2D80" w:rsidP="003F2D80">
      <w:pPr>
        <w:jc w:val="both"/>
        <w:rPr>
          <w:color w:val="000000" w:themeColor="text1"/>
        </w:rPr>
      </w:pPr>
      <w:r w:rsidRPr="003F2D80">
        <w:rPr>
          <w:color w:val="000000" w:themeColor="text1"/>
        </w:rPr>
        <w:t>Prvi odstavek 82. člena Zakona o davku na dodano vrednost</w:t>
      </w:r>
      <w:r>
        <w:rPr>
          <w:rStyle w:val="Sprotnaopomba-sklic"/>
          <w:color w:val="000000" w:themeColor="text1"/>
        </w:rPr>
        <w:footnoteReference w:id="8"/>
      </w:r>
      <w:r w:rsidRPr="003F2D80">
        <w:rPr>
          <w:color w:val="000000" w:themeColor="text1"/>
        </w:rPr>
        <w:t xml:space="preserve"> določa obvezne podatke na računu, pri čemer iz šeste točke navedene določbe izhaja, da mora davčni zavezanec na računu navesti podatke o količini in vrsti dobavljenega blaga oziroma obseg in vrsto opravljenih storitev.</w:t>
      </w:r>
    </w:p>
    <w:p w14:paraId="7A639C45" w14:textId="77777777" w:rsidR="003F2D80" w:rsidRPr="003F2D80" w:rsidRDefault="003F2D80" w:rsidP="003F2D80">
      <w:pPr>
        <w:jc w:val="both"/>
        <w:rPr>
          <w:color w:val="000000" w:themeColor="text1"/>
        </w:rPr>
      </w:pPr>
    </w:p>
    <w:p w14:paraId="5A6F0704" w14:textId="06983431" w:rsidR="003F2D80" w:rsidRPr="003F2D80" w:rsidRDefault="003F2D80" w:rsidP="003F2D80">
      <w:pPr>
        <w:jc w:val="both"/>
        <w:rPr>
          <w:color w:val="000000" w:themeColor="text1"/>
        </w:rPr>
      </w:pPr>
      <w:r w:rsidRPr="003F2D80">
        <w:rPr>
          <w:color w:val="000000" w:themeColor="text1"/>
        </w:rPr>
        <w:t>Prva točka 54. člena ZJF določa, da mora imeti vsak izdatek iz proračuna za podlago verodostojno knjigovodsko listino, s katero se izkazuje obveznost za plačilo. Glede na Pravila skrbnega računovodenja</w:t>
      </w:r>
      <w:r>
        <w:rPr>
          <w:rStyle w:val="Sprotnaopomba-sklic"/>
          <w:color w:val="000000" w:themeColor="text1"/>
        </w:rPr>
        <w:footnoteReference w:id="9"/>
      </w:r>
      <w:r w:rsidRPr="003F2D80">
        <w:rPr>
          <w:color w:val="000000" w:themeColor="text1"/>
        </w:rPr>
        <w:t xml:space="preserve"> pa je knjigovodska listina verodostojna, če lahko na njeni podlagi strokovno usposobljene osebe, ki niso sodelovale v poslovnem dogodku, popolnoma jasno in brez vsakršnih dvomov spoznajo naravo in obseg poslovnega dogodka.</w:t>
      </w:r>
    </w:p>
    <w:p w14:paraId="706CF958" w14:textId="77777777" w:rsidR="003F2D80" w:rsidRPr="003F2D80" w:rsidRDefault="003F2D80" w:rsidP="003F2D80">
      <w:pPr>
        <w:jc w:val="both"/>
        <w:rPr>
          <w:color w:val="000000" w:themeColor="text1"/>
        </w:rPr>
      </w:pPr>
    </w:p>
    <w:p w14:paraId="1FA69D75" w14:textId="77777777" w:rsidR="003F2D80" w:rsidRDefault="003F2D80" w:rsidP="003F2D80">
      <w:pPr>
        <w:jc w:val="both"/>
        <w:rPr>
          <w:color w:val="000000" w:themeColor="text1"/>
        </w:rPr>
      </w:pPr>
      <w:r w:rsidRPr="003F2D80">
        <w:rPr>
          <w:color w:val="000000" w:themeColor="text1"/>
        </w:rPr>
        <w:t>Če narave in obsega poslovnega dogodka iz knjigovodske listine ni mogoče prepoznati popolnoma jasno in brez vsakršnih dvomov, pomeni, da je knjigovodska listina neverodostojna, vpis v poslovne knjige na podlagi neverodostojne listine pa je v nasprotju z zgoraj navedenimi določbami.</w:t>
      </w:r>
    </w:p>
    <w:p w14:paraId="7F5B7AEE" w14:textId="77777777" w:rsidR="006A3C58" w:rsidRDefault="006A3C58" w:rsidP="003F2D80">
      <w:pPr>
        <w:jc w:val="both"/>
        <w:rPr>
          <w:color w:val="000000" w:themeColor="text1"/>
        </w:rPr>
      </w:pPr>
    </w:p>
    <w:p w14:paraId="4239FFFC" w14:textId="031AE23E" w:rsidR="006A3C58" w:rsidRPr="003F2D80" w:rsidRDefault="006A3C58" w:rsidP="003F2D80">
      <w:pPr>
        <w:jc w:val="both"/>
        <w:rPr>
          <w:color w:val="000000" w:themeColor="text1"/>
        </w:rPr>
      </w:pPr>
      <w:bookmarkStart w:id="23" w:name="_Hlk201325686"/>
      <w:r w:rsidRPr="00275D25">
        <w:rPr>
          <w:color w:val="000000" w:themeColor="text1"/>
        </w:rPr>
        <w:t xml:space="preserve">Inšpekcijski organ ugotavlja, da iz računa za opravljeno aktivnost s strani partnerja </w:t>
      </w:r>
      <w:r w:rsidR="005E38E1" w:rsidRPr="00275D25">
        <w:rPr>
          <w:color w:val="000000" w:themeColor="text1"/>
        </w:rPr>
        <w:t>N</w:t>
      </w:r>
      <w:r w:rsidR="006A5D80" w:rsidRPr="00275D25">
        <w:rPr>
          <w:rFonts w:cs="Arial"/>
          <w:color w:val="000000" w:themeColor="text1"/>
        </w:rPr>
        <w:t>█</w:t>
      </w:r>
      <w:r w:rsidR="005E38E1" w:rsidRPr="00275D25">
        <w:rPr>
          <w:rFonts w:cs="Arial"/>
          <w:color w:val="000000" w:themeColor="text1"/>
        </w:rPr>
        <w:t xml:space="preserve"> d.o.o.</w:t>
      </w:r>
      <w:r w:rsidR="00804D7B" w:rsidRPr="00275D25">
        <w:rPr>
          <w:color w:val="000000" w:themeColor="text1"/>
        </w:rPr>
        <w:t xml:space="preserve"> v višini </w:t>
      </w:r>
      <w:r w:rsidR="00275D25">
        <w:rPr>
          <w:color w:val="000000" w:themeColor="text1"/>
        </w:rPr>
        <w:t>9.516,00</w:t>
      </w:r>
      <w:r w:rsidR="00804D7B" w:rsidRPr="00275D25">
        <w:rPr>
          <w:color w:val="000000" w:themeColor="text1"/>
        </w:rPr>
        <w:t xml:space="preserve"> EUR z DDV, </w:t>
      </w:r>
      <w:r w:rsidRPr="00275D25">
        <w:rPr>
          <w:color w:val="000000" w:themeColor="text1"/>
        </w:rPr>
        <w:t xml:space="preserve">ni razvidna specifikacija vrednosti </w:t>
      </w:r>
      <w:r w:rsidR="00804D7B" w:rsidRPr="00275D25">
        <w:rPr>
          <w:color w:val="000000" w:themeColor="text1"/>
        </w:rPr>
        <w:t xml:space="preserve">nakupa </w:t>
      </w:r>
      <w:r w:rsidRPr="00275D25">
        <w:rPr>
          <w:color w:val="000000" w:themeColor="text1"/>
        </w:rPr>
        <w:t>storitve ali materiala</w:t>
      </w:r>
      <w:r w:rsidR="00A70411" w:rsidRPr="00275D25">
        <w:rPr>
          <w:color w:val="000000" w:themeColor="text1"/>
        </w:rPr>
        <w:t>, niti ni v postopku priložena katera druga knjigovodska listina, ki bi v zvezi s predmetnim računom izkazovala manjkajočo specifikacijo.</w:t>
      </w:r>
      <w:r w:rsidR="00A70411">
        <w:rPr>
          <w:color w:val="000000" w:themeColor="text1"/>
        </w:rPr>
        <w:t xml:space="preserve"> </w:t>
      </w:r>
    </w:p>
    <w:p w14:paraId="151DE643" w14:textId="77777777" w:rsidR="004910A4" w:rsidRDefault="004910A4" w:rsidP="0009647A">
      <w:pPr>
        <w:jc w:val="both"/>
        <w:rPr>
          <w:color w:val="000000" w:themeColor="text1"/>
        </w:rPr>
      </w:pPr>
    </w:p>
    <w:p w14:paraId="4EEB081D" w14:textId="77777777" w:rsidR="001171C0" w:rsidRDefault="00804D7B" w:rsidP="00804D7B">
      <w:pPr>
        <w:spacing w:line="276" w:lineRule="auto"/>
        <w:jc w:val="both"/>
        <w:rPr>
          <w:rFonts w:eastAsia="Times New Roman" w:cs="Arial"/>
          <w:b/>
          <w:bCs/>
          <w:szCs w:val="20"/>
        </w:rPr>
      </w:pPr>
      <w:r>
        <w:rPr>
          <w:rFonts w:eastAsia="Times New Roman" w:cs="Arial"/>
          <w:b/>
          <w:bCs/>
          <w:szCs w:val="20"/>
        </w:rPr>
        <w:t xml:space="preserve">Iz drugega odstavka 13. člena Pravilnika o računovodstvu Stanovanjskega sklada Republike Slovenije, javnega sklada, izhaja, da mora vsaka knjigovodska listina izkazovati poslovne dogodke verodostojno in pošteno.  Nadalje je v </w:t>
      </w:r>
      <w:r w:rsidR="009E05A0">
        <w:rPr>
          <w:rFonts w:eastAsia="Times New Roman" w:cs="Arial"/>
          <w:b/>
          <w:bCs/>
          <w:szCs w:val="20"/>
        </w:rPr>
        <w:t xml:space="preserve">šesti točki prvega odstavka </w:t>
      </w:r>
      <w:r>
        <w:rPr>
          <w:rFonts w:eastAsia="Times New Roman" w:cs="Arial"/>
          <w:b/>
          <w:bCs/>
          <w:szCs w:val="20"/>
        </w:rPr>
        <w:t>1</w:t>
      </w:r>
      <w:r w:rsidR="009E05A0">
        <w:rPr>
          <w:rFonts w:eastAsia="Times New Roman" w:cs="Arial"/>
          <w:b/>
          <w:bCs/>
          <w:szCs w:val="20"/>
        </w:rPr>
        <w:t>4</w:t>
      </w:r>
      <w:r>
        <w:rPr>
          <w:rFonts w:eastAsia="Times New Roman" w:cs="Arial"/>
          <w:b/>
          <w:bCs/>
          <w:szCs w:val="20"/>
        </w:rPr>
        <w:t>. člen</w:t>
      </w:r>
      <w:r w:rsidR="009E05A0">
        <w:rPr>
          <w:rFonts w:eastAsia="Times New Roman" w:cs="Arial"/>
          <w:b/>
          <w:bCs/>
          <w:szCs w:val="20"/>
        </w:rPr>
        <w:t>a</w:t>
      </w:r>
      <w:r>
        <w:rPr>
          <w:rFonts w:eastAsia="Times New Roman" w:cs="Arial"/>
          <w:b/>
          <w:bCs/>
          <w:szCs w:val="20"/>
        </w:rPr>
        <w:t xml:space="preserve"> </w:t>
      </w:r>
      <w:r w:rsidR="009E05A0">
        <w:rPr>
          <w:rFonts w:eastAsia="Times New Roman" w:cs="Arial"/>
          <w:b/>
          <w:bCs/>
          <w:szCs w:val="20"/>
        </w:rPr>
        <w:t xml:space="preserve">navedenega </w:t>
      </w:r>
      <w:r>
        <w:rPr>
          <w:rFonts w:eastAsia="Times New Roman" w:cs="Arial"/>
          <w:b/>
          <w:bCs/>
          <w:szCs w:val="20"/>
        </w:rPr>
        <w:t>pravilnika navedeno, da mora vsaka knjigovodska listina</w:t>
      </w:r>
      <w:r w:rsidR="00924D8D">
        <w:rPr>
          <w:rFonts w:eastAsia="Times New Roman" w:cs="Arial"/>
          <w:b/>
          <w:bCs/>
          <w:szCs w:val="20"/>
        </w:rPr>
        <w:t xml:space="preserve"> vsebovati podatke v skladu z zahtevami zakona o davku na dodano vrednost, medtem ko je v 26. členu Pravilnika določeno, da mora biti knjiženje poslovnih dogodkov v poslovne knjige opravljeno na podlagi verodostojnih knjigovodskih listin.</w:t>
      </w:r>
    </w:p>
    <w:p w14:paraId="71CFFFB1" w14:textId="77777777" w:rsidR="001171C0" w:rsidRDefault="001171C0" w:rsidP="00804D7B">
      <w:pPr>
        <w:spacing w:line="276" w:lineRule="auto"/>
        <w:jc w:val="both"/>
        <w:rPr>
          <w:rFonts w:eastAsia="Times New Roman" w:cs="Arial"/>
          <w:b/>
          <w:bCs/>
          <w:szCs w:val="20"/>
        </w:rPr>
      </w:pPr>
    </w:p>
    <w:p w14:paraId="728D5E81" w14:textId="526FE28A" w:rsidR="001171C0" w:rsidRDefault="001171C0" w:rsidP="00804D7B">
      <w:pPr>
        <w:spacing w:line="276" w:lineRule="auto"/>
        <w:jc w:val="both"/>
        <w:rPr>
          <w:rFonts w:eastAsia="Times New Roman" w:cs="Arial"/>
          <w:b/>
          <w:bCs/>
          <w:szCs w:val="20"/>
        </w:rPr>
      </w:pPr>
      <w:r>
        <w:rPr>
          <w:rFonts w:eastAsia="Times New Roman" w:cs="Arial"/>
          <w:b/>
          <w:bCs/>
          <w:szCs w:val="20"/>
        </w:rPr>
        <w:t>Iz Priloge št. 3 k Pravilniku o računovodstvu SSRS pod točko 1 Prejeti računi izhaja, da saldakontist preveri obvezne sestavine računov po določilih Zakona o davku na dodano vrednost, pravilnost obračunanega DDV in opravi računsko kontrolo. V primeru ugotovljene nepravilnosti odgovorni saldakontist prejeti račun zavrne.</w:t>
      </w:r>
    </w:p>
    <w:p w14:paraId="22C84DCB" w14:textId="77777777" w:rsidR="00BF75D7" w:rsidRDefault="00BF75D7" w:rsidP="00804D7B">
      <w:pPr>
        <w:spacing w:line="276" w:lineRule="auto"/>
        <w:jc w:val="both"/>
        <w:rPr>
          <w:rFonts w:eastAsia="Times New Roman" w:cs="Arial"/>
          <w:b/>
          <w:bCs/>
          <w:szCs w:val="20"/>
        </w:rPr>
      </w:pPr>
    </w:p>
    <w:p w14:paraId="73F653C7" w14:textId="6A0E042A" w:rsidR="00924D8D" w:rsidRPr="009300AF" w:rsidRDefault="00924D8D" w:rsidP="00924D8D">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szCs w:val="20"/>
        </w:rPr>
      </w:pPr>
      <w:bookmarkStart w:id="24" w:name="_Hlk180742886"/>
      <w:r w:rsidRPr="008121E3">
        <w:rPr>
          <w:rFonts w:eastAsia="Times New Roman" w:cs="Arial"/>
          <w:b/>
          <w:bCs/>
          <w:color w:val="000000" w:themeColor="text1"/>
          <w:szCs w:val="20"/>
        </w:rPr>
        <w:t xml:space="preserve">UKREP ŠT. </w:t>
      </w:r>
      <w:r w:rsidR="008121E3">
        <w:rPr>
          <w:rFonts w:eastAsia="Times New Roman" w:cs="Arial"/>
          <w:b/>
          <w:bCs/>
          <w:color w:val="000000" w:themeColor="text1"/>
          <w:szCs w:val="20"/>
        </w:rPr>
        <w:t>3</w:t>
      </w:r>
      <w:r w:rsidRPr="008121E3">
        <w:rPr>
          <w:rFonts w:eastAsia="Times New Roman" w:cs="Arial"/>
          <w:b/>
          <w:bCs/>
          <w:color w:val="000000" w:themeColor="text1"/>
          <w:szCs w:val="20"/>
        </w:rPr>
        <w:t xml:space="preserve">: Proračunski inšpektor glede na gornje ugotovitve na podlagi drugega odstavka 104. člena ZJF </w:t>
      </w:r>
      <w:r w:rsidRPr="009426A9">
        <w:rPr>
          <w:rFonts w:eastAsia="Times New Roman" w:cs="Arial"/>
          <w:b/>
          <w:bCs/>
          <w:szCs w:val="20"/>
        </w:rPr>
        <w:t xml:space="preserve">predlaga, da proračunski uporabnik </w:t>
      </w:r>
      <w:r>
        <w:rPr>
          <w:rFonts w:eastAsia="Times New Roman" w:cs="Arial"/>
          <w:b/>
          <w:bCs/>
          <w:szCs w:val="20"/>
        </w:rPr>
        <w:t>Stanovanjski sklad Republike Slovenije</w:t>
      </w:r>
      <w:r w:rsidRPr="009426A9">
        <w:rPr>
          <w:rFonts w:eastAsia="Times New Roman" w:cs="Arial"/>
          <w:b/>
          <w:bCs/>
          <w:szCs w:val="20"/>
        </w:rPr>
        <w:t xml:space="preserve"> okrepi notranje kontrole </w:t>
      </w:r>
      <w:r>
        <w:rPr>
          <w:rFonts w:eastAsia="Times New Roman" w:cs="Arial"/>
          <w:b/>
          <w:bCs/>
          <w:szCs w:val="20"/>
        </w:rPr>
        <w:t xml:space="preserve">na </w:t>
      </w:r>
      <w:r w:rsidRPr="009426A9">
        <w:rPr>
          <w:rFonts w:eastAsia="Times New Roman" w:cs="Arial"/>
          <w:b/>
          <w:bCs/>
          <w:szCs w:val="20"/>
        </w:rPr>
        <w:t xml:space="preserve">področju </w:t>
      </w:r>
      <w:r>
        <w:rPr>
          <w:rFonts w:eastAsia="Times New Roman" w:cs="Arial"/>
          <w:b/>
          <w:bCs/>
          <w:szCs w:val="20"/>
        </w:rPr>
        <w:t>sprejemanja in evidentiranja knjigovodskih listin, ki so podlaga za knjiženje odhodkov ter da izplačila izvaja le na podlagi verodostojnih knjigovodskih listin. Stanovanjski sklad Republike Slovenije naj</w:t>
      </w:r>
      <w:r w:rsidR="00AA5606">
        <w:rPr>
          <w:rFonts w:eastAsia="Times New Roman" w:cs="Arial"/>
          <w:b/>
          <w:bCs/>
          <w:szCs w:val="20"/>
        </w:rPr>
        <w:t xml:space="preserve"> v roku 15 dni od prejema tega zapisnika</w:t>
      </w:r>
      <w:r>
        <w:rPr>
          <w:rFonts w:eastAsia="Times New Roman" w:cs="Arial"/>
          <w:b/>
          <w:bCs/>
          <w:szCs w:val="20"/>
        </w:rPr>
        <w:t xml:space="preserve"> </w:t>
      </w:r>
      <w:r w:rsidR="00073656" w:rsidRPr="00073656">
        <w:rPr>
          <w:rFonts w:eastAsia="Times New Roman" w:cs="Arial"/>
          <w:b/>
          <w:bCs/>
          <w:color w:val="FF0000"/>
          <w:szCs w:val="20"/>
        </w:rPr>
        <w:t xml:space="preserve"> </w:t>
      </w:r>
      <w:r>
        <w:rPr>
          <w:rFonts w:eastAsia="Times New Roman" w:cs="Arial"/>
          <w:b/>
          <w:bCs/>
          <w:szCs w:val="20"/>
        </w:rPr>
        <w:t>posreduje dokazilo, da so bile z ukrepom seznanjene osebe, ki izvajajo notranje kontrole, potrjujejo prejete račune in jih evidentirajo.</w:t>
      </w:r>
    </w:p>
    <w:bookmarkEnd w:id="24"/>
    <w:p w14:paraId="1084F503" w14:textId="77777777" w:rsidR="00585C98" w:rsidRDefault="00585C98" w:rsidP="0009647A">
      <w:pPr>
        <w:jc w:val="both"/>
        <w:rPr>
          <w:b/>
          <w:bCs/>
          <w:color w:val="000000" w:themeColor="text1"/>
        </w:rPr>
      </w:pPr>
    </w:p>
    <w:p w14:paraId="69C4EDDC" w14:textId="77777777" w:rsidR="004D6B94" w:rsidRDefault="004D6B94" w:rsidP="0009647A">
      <w:pPr>
        <w:jc w:val="both"/>
        <w:rPr>
          <w:b/>
          <w:bCs/>
          <w:color w:val="000000" w:themeColor="text1"/>
        </w:rPr>
      </w:pPr>
    </w:p>
    <w:p w14:paraId="7AA824D8" w14:textId="77777777" w:rsidR="004D6B94" w:rsidRDefault="004D6B94" w:rsidP="0009647A">
      <w:pPr>
        <w:jc w:val="both"/>
        <w:rPr>
          <w:b/>
          <w:bCs/>
          <w:color w:val="000000" w:themeColor="text1"/>
        </w:rPr>
      </w:pPr>
    </w:p>
    <w:bookmarkEnd w:id="23"/>
    <w:p w14:paraId="292D6ABF" w14:textId="74DEDB91" w:rsidR="00EE2DBE" w:rsidRDefault="00EE2DBE" w:rsidP="0009647A">
      <w:pPr>
        <w:jc w:val="both"/>
        <w:rPr>
          <w:b/>
          <w:bCs/>
          <w:color w:val="000000" w:themeColor="text1"/>
        </w:rPr>
      </w:pPr>
      <w:r w:rsidRPr="00A73FA2">
        <w:rPr>
          <w:b/>
          <w:bCs/>
          <w:color w:val="000000" w:themeColor="text1"/>
        </w:rPr>
        <w:t xml:space="preserve">IV. </w:t>
      </w:r>
      <w:r w:rsidR="00E51727">
        <w:rPr>
          <w:b/>
          <w:bCs/>
          <w:color w:val="000000" w:themeColor="text1"/>
        </w:rPr>
        <w:t>4</w:t>
      </w:r>
      <w:r w:rsidRPr="00A73FA2">
        <w:rPr>
          <w:b/>
          <w:bCs/>
          <w:color w:val="000000" w:themeColor="text1"/>
        </w:rPr>
        <w:t>. 1. 4 Projekt Rogaška Slatina</w:t>
      </w:r>
    </w:p>
    <w:p w14:paraId="35410244" w14:textId="77777777" w:rsidR="001171C0" w:rsidRDefault="001171C0" w:rsidP="0009647A">
      <w:pPr>
        <w:jc w:val="both"/>
        <w:rPr>
          <w:b/>
          <w:bCs/>
          <w:color w:val="000000" w:themeColor="text1"/>
        </w:rPr>
      </w:pPr>
    </w:p>
    <w:p w14:paraId="2E678AB2" w14:textId="4081D841" w:rsidR="001171C0" w:rsidRDefault="00F66EA9" w:rsidP="001171C0">
      <w:pPr>
        <w:jc w:val="both"/>
        <w:rPr>
          <w:color w:val="000000" w:themeColor="text1"/>
        </w:rPr>
      </w:pPr>
      <w:bookmarkStart w:id="25" w:name="_Hlk201071646"/>
      <w:r>
        <w:rPr>
          <w:color w:val="000000" w:themeColor="text1"/>
        </w:rPr>
        <w:t>Iz poroči</w:t>
      </w:r>
      <w:r w:rsidR="004E5962">
        <w:rPr>
          <w:color w:val="000000" w:themeColor="text1"/>
        </w:rPr>
        <w:t>la</w:t>
      </w:r>
      <w:r>
        <w:rPr>
          <w:color w:val="000000" w:themeColor="text1"/>
        </w:rPr>
        <w:t xml:space="preserve"> o izvajanju p</w:t>
      </w:r>
      <w:r w:rsidR="001171C0">
        <w:rPr>
          <w:color w:val="000000" w:themeColor="text1"/>
        </w:rPr>
        <w:t>rojekt</w:t>
      </w:r>
      <w:r>
        <w:rPr>
          <w:color w:val="000000" w:themeColor="text1"/>
        </w:rPr>
        <w:t>a</w:t>
      </w:r>
      <w:r w:rsidR="001171C0">
        <w:rPr>
          <w:color w:val="000000" w:themeColor="text1"/>
        </w:rPr>
        <w:t xml:space="preserve"> Rogaška Slatina</w:t>
      </w:r>
      <w:r>
        <w:rPr>
          <w:color w:val="000000" w:themeColor="text1"/>
        </w:rPr>
        <w:t xml:space="preserve"> izhaja, da</w:t>
      </w:r>
      <w:r w:rsidR="001171C0">
        <w:rPr>
          <w:color w:val="000000" w:themeColor="text1"/>
        </w:rPr>
        <w:t xml:space="preserve"> je s strani SSRS sofinanciran na podlagi Programa sofinanciranja zagotavljanja stanovanjskih enot za starejše osebe v letih 2021 do 2022. Nadzorni svet Sklada SSRS je na 82. redni seji dne 16. 12. 2021 sprejel sklep o odobritvi sofinanciranja 12 oskrbovanih najemnih stanovanj</w:t>
      </w:r>
      <w:r w:rsidR="004D28E4">
        <w:rPr>
          <w:color w:val="000000" w:themeColor="text1"/>
        </w:rPr>
        <w:t xml:space="preserve"> – od tega 6 stanovanj v lasti SSRS ter 6 stanovanj v lasti </w:t>
      </w:r>
      <w:r w:rsidR="00AF7C14">
        <w:rPr>
          <w:color w:val="000000" w:themeColor="text1"/>
        </w:rPr>
        <w:t xml:space="preserve">Občine </w:t>
      </w:r>
      <w:r w:rsidR="000503FE">
        <w:rPr>
          <w:rFonts w:cs="Arial"/>
          <w:color w:val="000000" w:themeColor="text1"/>
        </w:rPr>
        <w:t>█</w:t>
      </w:r>
      <w:r w:rsidR="004D28E4">
        <w:rPr>
          <w:color w:val="000000" w:themeColor="text1"/>
        </w:rPr>
        <w:t>. Nov objekt ni umeščen na vodovarstveno območje. Podatki iz energetske izkaznice stavbe kažejo, da so v okviru letne emisije toplogrednih plinov v ekvivalentu CO2: 9.065KG/m2a.</w:t>
      </w:r>
    </w:p>
    <w:p w14:paraId="5540A0C9" w14:textId="77777777" w:rsidR="001171C0" w:rsidRDefault="001171C0" w:rsidP="001171C0">
      <w:pPr>
        <w:jc w:val="both"/>
        <w:rPr>
          <w:color w:val="000000" w:themeColor="text1"/>
        </w:rPr>
      </w:pPr>
    </w:p>
    <w:p w14:paraId="2B651BDB" w14:textId="526BCA9B" w:rsidR="001171C0" w:rsidRDefault="001171C0" w:rsidP="001171C0">
      <w:pPr>
        <w:jc w:val="both"/>
        <w:rPr>
          <w:color w:val="000000" w:themeColor="text1"/>
        </w:rPr>
      </w:pPr>
      <w:r>
        <w:rPr>
          <w:color w:val="000000" w:themeColor="text1"/>
        </w:rPr>
        <w:t xml:space="preserve">V zvezi s izplačili sredstev proračuna iz naslova Projekta </w:t>
      </w:r>
      <w:r w:rsidR="004D28E4">
        <w:rPr>
          <w:color w:val="000000" w:themeColor="text1"/>
        </w:rPr>
        <w:t>Rogaška Slatina</w:t>
      </w:r>
      <w:r>
        <w:rPr>
          <w:color w:val="000000" w:themeColor="text1"/>
        </w:rPr>
        <w:t xml:space="preserve"> je v postopku inšpekcijskega nadzora s strani SSRS predložena Pogodba o sofinanciranju za izvedbo ukrepa Mehanizma za okrevanje in odpornost z dne </w:t>
      </w:r>
      <w:r w:rsidR="004D28E4">
        <w:rPr>
          <w:color w:val="000000" w:themeColor="text1"/>
        </w:rPr>
        <w:t>8</w:t>
      </w:r>
      <w:r>
        <w:rPr>
          <w:color w:val="000000" w:themeColor="text1"/>
        </w:rPr>
        <w:t xml:space="preserve">. 8. 2023, </w:t>
      </w:r>
      <w:r w:rsidRPr="00386E7D">
        <w:rPr>
          <w:color w:val="000000" w:themeColor="text1"/>
        </w:rPr>
        <w:t>vsebinsko in končno poročilo o izvajanju projekta</w:t>
      </w:r>
      <w:r>
        <w:rPr>
          <w:color w:val="000000" w:themeColor="text1"/>
        </w:rPr>
        <w:t>,</w:t>
      </w:r>
      <w:r w:rsidRPr="00386E7D">
        <w:rPr>
          <w:color w:val="000000" w:themeColor="text1"/>
        </w:rPr>
        <w:t xml:space="preserve"> </w:t>
      </w:r>
      <w:r>
        <w:rPr>
          <w:color w:val="000000" w:themeColor="text1"/>
        </w:rPr>
        <w:t xml:space="preserve">vloga za izplačilo sredstev iz Sklada NOO v višini </w:t>
      </w:r>
      <w:r w:rsidR="004D28E4">
        <w:rPr>
          <w:b/>
          <w:bCs/>
          <w:color w:val="000000" w:themeColor="text1"/>
        </w:rPr>
        <w:t>208.395,34</w:t>
      </w:r>
      <w:r w:rsidRPr="00FD55F4">
        <w:rPr>
          <w:b/>
          <w:bCs/>
          <w:color w:val="000000" w:themeColor="text1"/>
        </w:rPr>
        <w:t xml:space="preserve"> EUR</w:t>
      </w:r>
      <w:r>
        <w:rPr>
          <w:color w:val="000000" w:themeColor="text1"/>
        </w:rPr>
        <w:t xml:space="preserve"> skupaj z izdanim računom št. OBR-00075</w:t>
      </w:r>
      <w:r w:rsidR="004D28E4">
        <w:rPr>
          <w:color w:val="000000" w:themeColor="text1"/>
        </w:rPr>
        <w:t>7</w:t>
      </w:r>
      <w:r>
        <w:rPr>
          <w:color w:val="000000" w:themeColor="text1"/>
        </w:rPr>
        <w:t>/2023 z dne 13. 12. 2023, kartica stroškovnega mesta s seznamom stroškov,</w:t>
      </w:r>
      <w:r w:rsidR="004D28E4">
        <w:rPr>
          <w:color w:val="000000" w:themeColor="text1"/>
        </w:rPr>
        <w:t xml:space="preserve"> kartica kupcev,</w:t>
      </w:r>
      <w:r>
        <w:rPr>
          <w:color w:val="000000" w:themeColor="text1"/>
        </w:rPr>
        <w:t xml:space="preserve"> izjava o lastniški strukturi končnega prejemnika, prejeti računi partnerjev v letu 2023 ter potrdila o izplačilih sredstev.   </w:t>
      </w:r>
    </w:p>
    <w:p w14:paraId="60EA7C6B" w14:textId="77777777" w:rsidR="001171C0" w:rsidRDefault="001171C0" w:rsidP="001171C0">
      <w:pPr>
        <w:jc w:val="both"/>
        <w:rPr>
          <w:b/>
          <w:bCs/>
          <w:color w:val="000000" w:themeColor="text1"/>
        </w:rPr>
      </w:pPr>
    </w:p>
    <w:bookmarkEnd w:id="25"/>
    <w:p w14:paraId="1EB4093D" w14:textId="77777777" w:rsidR="001171C0" w:rsidRPr="00A73FA2" w:rsidRDefault="001171C0" w:rsidP="001171C0">
      <w:pPr>
        <w:jc w:val="both"/>
        <w:rPr>
          <w:b/>
          <w:bCs/>
          <w:color w:val="000000" w:themeColor="text1"/>
        </w:rPr>
      </w:pPr>
      <w:r w:rsidRPr="00FD55F4">
        <w:rPr>
          <w:b/>
          <w:bCs/>
          <w:color w:val="000000" w:themeColor="text1"/>
        </w:rPr>
        <w:t>Proračunski inšpektor pri nadzoru porabe sredstev proračuna iz tega naslova ni ugotovil nepravilnosti.</w:t>
      </w:r>
    </w:p>
    <w:p w14:paraId="1911E515" w14:textId="77777777" w:rsidR="00A73FA2" w:rsidRDefault="00A73FA2" w:rsidP="0009647A">
      <w:pPr>
        <w:jc w:val="both"/>
        <w:rPr>
          <w:color w:val="000000" w:themeColor="text1"/>
        </w:rPr>
      </w:pPr>
    </w:p>
    <w:p w14:paraId="44385E2F" w14:textId="4C16F2A1" w:rsidR="00EE2DBE" w:rsidRPr="00A73FA2" w:rsidRDefault="00EE2DBE" w:rsidP="0009647A">
      <w:pPr>
        <w:jc w:val="both"/>
        <w:rPr>
          <w:b/>
          <w:bCs/>
          <w:color w:val="000000" w:themeColor="text1"/>
        </w:rPr>
      </w:pPr>
      <w:r w:rsidRPr="00A73FA2">
        <w:rPr>
          <w:b/>
          <w:bCs/>
          <w:color w:val="000000" w:themeColor="text1"/>
        </w:rPr>
        <w:t xml:space="preserve">IV. </w:t>
      </w:r>
      <w:r w:rsidR="00E51727">
        <w:rPr>
          <w:b/>
          <w:bCs/>
          <w:color w:val="000000" w:themeColor="text1"/>
        </w:rPr>
        <w:t>4</w:t>
      </w:r>
      <w:r w:rsidRPr="00A73FA2">
        <w:rPr>
          <w:b/>
          <w:bCs/>
          <w:color w:val="000000" w:themeColor="text1"/>
        </w:rPr>
        <w:t>. 1. 5 Projekt Harpf Slovenj Gradec</w:t>
      </w:r>
    </w:p>
    <w:p w14:paraId="5A86DEC0" w14:textId="77777777" w:rsidR="00EE2DBE" w:rsidRDefault="00EE2DBE" w:rsidP="0009647A">
      <w:pPr>
        <w:jc w:val="both"/>
        <w:rPr>
          <w:color w:val="000000" w:themeColor="text1"/>
        </w:rPr>
      </w:pPr>
    </w:p>
    <w:p w14:paraId="1BD17D52" w14:textId="29B749F1" w:rsidR="005A6A25" w:rsidRPr="00DD2367" w:rsidRDefault="00F66EA9" w:rsidP="005A6A25">
      <w:pPr>
        <w:jc w:val="both"/>
      </w:pPr>
      <w:bookmarkStart w:id="26" w:name="_Hlk201071685"/>
      <w:r>
        <w:t xml:space="preserve">Iz vsebinskega poročila o izvajanju </w:t>
      </w:r>
      <w:r w:rsidR="005A6A25" w:rsidRPr="00DD2367">
        <w:t>Projekt</w:t>
      </w:r>
      <w:r>
        <w:t>a</w:t>
      </w:r>
      <w:r w:rsidR="006567B3" w:rsidRPr="00DD2367">
        <w:t xml:space="preserve"> Harpf Slovenj Gradec j</w:t>
      </w:r>
      <w:r w:rsidR="005A6A25" w:rsidRPr="00DD2367">
        <w:t xml:space="preserve">e s strani SSRS sofinanciran na podlagi </w:t>
      </w:r>
      <w:r w:rsidR="006567B3" w:rsidRPr="00DD2367">
        <w:t>Javnega poziva za nakup stanovanj in zemljišč za gradnjo stanovanj v letu 2020</w:t>
      </w:r>
      <w:r w:rsidR="005A6A25" w:rsidRPr="00DD2367">
        <w:t xml:space="preserve">. </w:t>
      </w:r>
      <w:r w:rsidR="006567B3" w:rsidRPr="00DD2367">
        <w:t>V novem objektu je zagotovljenih 27 novih javno oskrbovanih stanovanj po neprofitni najemnini. Objekt Harpf je projektiran kot energetsko učinkovit in bo omogočal bivanje ob nizkih obratovalnih stroških.</w:t>
      </w:r>
      <w:r w:rsidR="00DD2367">
        <w:t xml:space="preserve"> Ogreval se bo s plinskim kotlom, pri čemer ne bo ustvarjal znatnih emisij toplogrednih plinov. Ob tem je stavba tudi učinkovito toplotno izolirana. Okolica objekta je aktivno ozelenjena z visokim drevjem, ki dolgoročno blaži pregrevanje parkirišča, zmanjšuje hrup in prah. Objekt upošteva tudi načela trajnostne rabe in varstva vodnih virov, saj v ničemer ne škoduje obstoječemu stanju in ekološkemu potencialu</w:t>
      </w:r>
      <w:r w:rsidR="00D34F89">
        <w:t xml:space="preserve"> obstoječih vodnih teles, vključno z obstoječimi površinskimi in podzemnimi vodami. </w:t>
      </w:r>
      <w:r w:rsidR="006567B3" w:rsidRPr="00DD2367">
        <w:t>Otvoritev objekta je bila izvedena 25. 5. 2022.</w:t>
      </w:r>
      <w:r w:rsidR="00FF19B7">
        <w:t xml:space="preserve"> (vir: …..)</w:t>
      </w:r>
    </w:p>
    <w:p w14:paraId="15BAFE87" w14:textId="77777777" w:rsidR="006567B3" w:rsidRPr="00DD2367" w:rsidRDefault="006567B3" w:rsidP="005A6A25">
      <w:pPr>
        <w:jc w:val="both"/>
      </w:pPr>
    </w:p>
    <w:p w14:paraId="4EC16C09" w14:textId="28C2C3C9" w:rsidR="005A6A25" w:rsidRPr="00DD2367" w:rsidRDefault="005A6A25" w:rsidP="005A6A25">
      <w:pPr>
        <w:jc w:val="both"/>
      </w:pPr>
      <w:r w:rsidRPr="00DD2367">
        <w:t xml:space="preserve">V zvezi s izplačili sredstev proračuna iz naslova Projekta </w:t>
      </w:r>
      <w:r w:rsidR="006567B3" w:rsidRPr="00DD2367">
        <w:t>Harpf Slovenj Gradec</w:t>
      </w:r>
      <w:r w:rsidRPr="00DD2367">
        <w:t xml:space="preserve"> je v postopku inšpekcijskega nadzora s strani SSRS predložena Pogodba o sofinanciranju za izvedbo ukrepa Mehanizma za okrevanje in odpornost z dne </w:t>
      </w:r>
      <w:r w:rsidR="006567B3" w:rsidRPr="00DD2367">
        <w:t>2</w:t>
      </w:r>
      <w:r w:rsidRPr="00DD2367">
        <w:t>. 8. 2023</w:t>
      </w:r>
      <w:r w:rsidR="00DD2367" w:rsidRPr="00DD2367">
        <w:t xml:space="preserve"> ter Aneks k pogodbi z dne 30. 11. 2023</w:t>
      </w:r>
      <w:r w:rsidRPr="00DD2367">
        <w:t xml:space="preserve">, vsebinsko in končno poročilo o izvajanju projekta, vloga za izplačilo sredstev iz Sklada NOO v višini </w:t>
      </w:r>
      <w:r w:rsidR="00DD2367" w:rsidRPr="000B4B83">
        <w:rPr>
          <w:b/>
          <w:bCs/>
        </w:rPr>
        <w:t>1.087.792,00</w:t>
      </w:r>
      <w:r w:rsidRPr="000B4B83">
        <w:rPr>
          <w:b/>
          <w:bCs/>
        </w:rPr>
        <w:t xml:space="preserve"> EUR</w:t>
      </w:r>
      <w:r w:rsidRPr="00DD2367">
        <w:t xml:space="preserve"> skupaj z izdanim računom št. OBR-00075</w:t>
      </w:r>
      <w:r w:rsidR="00DD2367" w:rsidRPr="00DD2367">
        <w:t>8</w:t>
      </w:r>
      <w:r w:rsidRPr="00DD2367">
        <w:t xml:space="preserve">/2023 z dne 13. 12. 2023, kartica stroškovnega mesta s seznamom stroškov, kartica kupcev, izjava o lastniški strukturi končnega prejemnika, prejet račun v letu 2023 </w:t>
      </w:r>
      <w:r w:rsidR="00DD2367" w:rsidRPr="00DD2367">
        <w:t xml:space="preserve">s strani partnerja </w:t>
      </w:r>
      <w:r w:rsidR="00BF6EBE">
        <w:t>J</w:t>
      </w:r>
      <w:r w:rsidR="006B0A20">
        <w:rPr>
          <w:rFonts w:cs="Arial"/>
        </w:rPr>
        <w:t>█</w:t>
      </w:r>
      <w:r w:rsidR="00BF6EBE">
        <w:rPr>
          <w:rFonts w:cs="Arial"/>
        </w:rPr>
        <w:t xml:space="preserve"> d.o.o.</w:t>
      </w:r>
      <w:r w:rsidR="006B0A20">
        <w:rPr>
          <w:rFonts w:cs="Arial"/>
        </w:rPr>
        <w:t xml:space="preserve"> </w:t>
      </w:r>
      <w:r w:rsidR="00DD2367" w:rsidRPr="00DD2367">
        <w:t xml:space="preserve">skupaj s </w:t>
      </w:r>
      <w:r w:rsidRPr="00DD2367">
        <w:t>po</w:t>
      </w:r>
      <w:r w:rsidR="00DD2367" w:rsidRPr="00DD2367">
        <w:t>datkom</w:t>
      </w:r>
      <w:r w:rsidRPr="00DD2367">
        <w:t xml:space="preserve"> o </w:t>
      </w:r>
      <w:r w:rsidR="00DD2367" w:rsidRPr="00DD2367">
        <w:t>p</w:t>
      </w:r>
      <w:r w:rsidRPr="00DD2367">
        <w:t>lači</w:t>
      </w:r>
      <w:r w:rsidR="00DD2367" w:rsidRPr="00DD2367">
        <w:t>lu</w:t>
      </w:r>
      <w:r w:rsidRPr="00DD2367">
        <w:t xml:space="preserve"> </w:t>
      </w:r>
      <w:r w:rsidR="00DD2367" w:rsidRPr="00DD2367">
        <w:t>storitve</w:t>
      </w:r>
      <w:r w:rsidRPr="00DD2367">
        <w:t xml:space="preserve">.   </w:t>
      </w:r>
    </w:p>
    <w:p w14:paraId="1DA78070" w14:textId="77777777" w:rsidR="005A6A25" w:rsidRPr="00DD2367" w:rsidRDefault="005A6A25" w:rsidP="0009647A">
      <w:pPr>
        <w:jc w:val="both"/>
      </w:pPr>
    </w:p>
    <w:p w14:paraId="4017E5D9" w14:textId="77777777" w:rsidR="005A6A25" w:rsidRPr="00A73FA2" w:rsidRDefault="005A6A25" w:rsidP="005A6A25">
      <w:pPr>
        <w:jc w:val="both"/>
        <w:rPr>
          <w:b/>
          <w:bCs/>
          <w:color w:val="000000" w:themeColor="text1"/>
        </w:rPr>
      </w:pPr>
      <w:r w:rsidRPr="00FD55F4">
        <w:rPr>
          <w:b/>
          <w:bCs/>
          <w:color w:val="000000" w:themeColor="text1"/>
        </w:rPr>
        <w:t>Proračunski inšpektor pri nadzoru porabe sredstev proračuna iz tega naslova ni ugotovil nepravilnosti.</w:t>
      </w:r>
    </w:p>
    <w:bookmarkEnd w:id="26"/>
    <w:p w14:paraId="04362F7C" w14:textId="77777777" w:rsidR="005A6A25" w:rsidRDefault="005A6A25" w:rsidP="0009647A">
      <w:pPr>
        <w:jc w:val="both"/>
        <w:rPr>
          <w:color w:val="000000" w:themeColor="text1"/>
        </w:rPr>
      </w:pPr>
    </w:p>
    <w:p w14:paraId="295E4038" w14:textId="77777777" w:rsidR="00BF75D7" w:rsidRDefault="00BF75D7" w:rsidP="0009647A">
      <w:pPr>
        <w:jc w:val="both"/>
        <w:rPr>
          <w:b/>
          <w:bCs/>
          <w:color w:val="000000" w:themeColor="text1"/>
        </w:rPr>
      </w:pPr>
    </w:p>
    <w:p w14:paraId="6F13BE9C" w14:textId="040405C6" w:rsidR="00EE2DBE" w:rsidRPr="00A73FA2" w:rsidRDefault="00EE2DBE" w:rsidP="0009647A">
      <w:pPr>
        <w:jc w:val="both"/>
        <w:rPr>
          <w:b/>
          <w:bCs/>
          <w:color w:val="000000" w:themeColor="text1"/>
        </w:rPr>
      </w:pPr>
      <w:r w:rsidRPr="00A73FA2">
        <w:rPr>
          <w:b/>
          <w:bCs/>
          <w:color w:val="000000" w:themeColor="text1"/>
        </w:rPr>
        <w:t xml:space="preserve">IV. </w:t>
      </w:r>
      <w:r w:rsidR="00E51727">
        <w:rPr>
          <w:b/>
          <w:bCs/>
          <w:color w:val="000000" w:themeColor="text1"/>
        </w:rPr>
        <w:t>4</w:t>
      </w:r>
      <w:r w:rsidRPr="00A73FA2">
        <w:rPr>
          <w:b/>
          <w:bCs/>
          <w:color w:val="000000" w:themeColor="text1"/>
        </w:rPr>
        <w:t>. 1. 6 Projekt Sveta Ana</w:t>
      </w:r>
    </w:p>
    <w:p w14:paraId="100F37EF" w14:textId="77777777" w:rsidR="00EE2DBE" w:rsidRDefault="00EE2DBE" w:rsidP="0009647A">
      <w:pPr>
        <w:jc w:val="both"/>
        <w:rPr>
          <w:b/>
          <w:bCs/>
          <w:color w:val="000000" w:themeColor="text1"/>
        </w:rPr>
      </w:pPr>
    </w:p>
    <w:p w14:paraId="0107610E" w14:textId="77DBA0F4" w:rsidR="005A6A25" w:rsidRPr="00E51727" w:rsidRDefault="00F66EA9" w:rsidP="005A6A25">
      <w:pPr>
        <w:jc w:val="both"/>
      </w:pPr>
      <w:r>
        <w:t>Iz poročil o izvajanju n</w:t>
      </w:r>
      <w:r w:rsidR="00365A5E" w:rsidRPr="00E51727">
        <w:t>aveden</w:t>
      </w:r>
      <w:r>
        <w:t>ega</w:t>
      </w:r>
      <w:r w:rsidR="00365A5E" w:rsidRPr="00E51727">
        <w:t xml:space="preserve"> p</w:t>
      </w:r>
      <w:r w:rsidR="005A6A25" w:rsidRPr="00E51727">
        <w:t>rojekt</w:t>
      </w:r>
      <w:r>
        <w:t xml:space="preserve">a izhaja, da </w:t>
      </w:r>
      <w:r w:rsidR="005A6A25" w:rsidRPr="00E51727">
        <w:t xml:space="preserve">je s strani SSRS sofinanciran na podlagi </w:t>
      </w:r>
      <w:r w:rsidR="00365A5E" w:rsidRPr="00E51727">
        <w:t>Javnega poziva za nakup stanovanj in zemljišč za gradnjo stanovanj v letu 2022</w:t>
      </w:r>
      <w:r w:rsidR="005A6A25" w:rsidRPr="00E51727">
        <w:t>.</w:t>
      </w:r>
      <w:r w:rsidR="00365A5E" w:rsidRPr="00E51727">
        <w:t xml:space="preserve"> Večstanovanjski objekt Sv</w:t>
      </w:r>
      <w:r w:rsidR="000D4DA8">
        <w:t>eta</w:t>
      </w:r>
      <w:r w:rsidR="00365A5E" w:rsidRPr="00E51727">
        <w:t xml:space="preserve"> Ana je zasnovan z etažnostjo K+P+1+2 z ravno streho, v katerem je skupno 22 stanovanj, od katerih je SSRS kupil 4 stanovanja namenjena javnemu najemu s pripadajočimi </w:t>
      </w:r>
      <w:r w:rsidR="00365A5E" w:rsidRPr="00E51727">
        <w:lastRenderedPageBreak/>
        <w:t xml:space="preserve">parkirnimi mesti. Objekt je razvrščen v razred energetske učinkovitosti A2 in izpolnjuje pogoje nič-energijske stavbe.   </w:t>
      </w:r>
    </w:p>
    <w:p w14:paraId="010CA549" w14:textId="77777777" w:rsidR="00496CD1" w:rsidRDefault="00496CD1" w:rsidP="005A6A25">
      <w:pPr>
        <w:jc w:val="both"/>
      </w:pPr>
    </w:p>
    <w:p w14:paraId="4274C803" w14:textId="265AB634" w:rsidR="005A6A25" w:rsidRPr="000D4DA8" w:rsidRDefault="005A6A25" w:rsidP="005A6A25">
      <w:pPr>
        <w:jc w:val="both"/>
      </w:pPr>
      <w:r w:rsidRPr="000D4DA8">
        <w:t xml:space="preserve">V zvezi s izplačili sredstev proračuna iz naslova Projekta </w:t>
      </w:r>
      <w:r w:rsidR="000D4DA8" w:rsidRPr="000D4DA8">
        <w:t>Sveta Ana</w:t>
      </w:r>
      <w:r w:rsidRPr="000D4DA8">
        <w:t xml:space="preserve"> je v postopku inšpekcijskega nadzora s strani SSRS predložena Pogodba o sofinanciranju za izvedbo ukrepa Mehanizma za okrevanje in odpornost z dne </w:t>
      </w:r>
      <w:r w:rsidR="000D4DA8" w:rsidRPr="000D4DA8">
        <w:t>9</w:t>
      </w:r>
      <w:r w:rsidRPr="000D4DA8">
        <w:t xml:space="preserve">. 8. 2023, vsebinsko in končno poročilo o izvajanju projekta, vloga za izplačilo sredstev iz Sklada NOO v višini </w:t>
      </w:r>
      <w:r w:rsidR="000D4DA8" w:rsidRPr="000B4B83">
        <w:rPr>
          <w:b/>
          <w:bCs/>
        </w:rPr>
        <w:t>252.130,00</w:t>
      </w:r>
      <w:r w:rsidRPr="000B4B83">
        <w:rPr>
          <w:b/>
          <w:bCs/>
        </w:rPr>
        <w:t xml:space="preserve"> EUR</w:t>
      </w:r>
      <w:r w:rsidRPr="000D4DA8">
        <w:t xml:space="preserve"> skupaj z izdanim računom št. OBR-00075</w:t>
      </w:r>
      <w:r w:rsidR="000D4DA8" w:rsidRPr="000D4DA8">
        <w:t>9</w:t>
      </w:r>
      <w:r w:rsidRPr="000D4DA8">
        <w:t xml:space="preserve">/2023 z dne 13. 12. 2023, kartica stroškovnega mesta s seznamom stroškov, kartica kupcev, izjava o lastniški strukturi končnega prejemnika, prejeti računi partnerjev v letu 2023 ter potrdila o izplačilih sredstev.   </w:t>
      </w:r>
    </w:p>
    <w:p w14:paraId="1529EDED" w14:textId="77777777" w:rsidR="005A6A25" w:rsidRDefault="005A6A25" w:rsidP="005A6A25">
      <w:pPr>
        <w:jc w:val="both"/>
        <w:rPr>
          <w:color w:val="000000" w:themeColor="text1"/>
        </w:rPr>
      </w:pPr>
    </w:p>
    <w:p w14:paraId="04995C31" w14:textId="77777777" w:rsidR="005A6A25" w:rsidRPr="00A73FA2" w:rsidRDefault="005A6A25" w:rsidP="000D4DA8">
      <w:pPr>
        <w:jc w:val="both"/>
        <w:rPr>
          <w:b/>
          <w:bCs/>
          <w:color w:val="000000" w:themeColor="text1"/>
        </w:rPr>
      </w:pPr>
      <w:r w:rsidRPr="00FD55F4">
        <w:rPr>
          <w:b/>
          <w:bCs/>
          <w:color w:val="000000" w:themeColor="text1"/>
        </w:rPr>
        <w:t>Proračunski inšpektor pri nadzoru porabe sredstev proračuna iz tega naslova ni ugotovil nepravilnosti.</w:t>
      </w:r>
    </w:p>
    <w:p w14:paraId="46982C2A" w14:textId="77777777" w:rsidR="005A6A25" w:rsidRDefault="005A6A25" w:rsidP="000D4DA8">
      <w:pPr>
        <w:jc w:val="both"/>
        <w:rPr>
          <w:b/>
          <w:bCs/>
          <w:color w:val="000000" w:themeColor="text1"/>
        </w:rPr>
      </w:pPr>
    </w:p>
    <w:p w14:paraId="643965E7" w14:textId="6A47DC7F" w:rsidR="00A019A1" w:rsidRDefault="00087152" w:rsidP="000D4DA8">
      <w:pPr>
        <w:jc w:val="both"/>
        <w:rPr>
          <w:b/>
          <w:bCs/>
        </w:rPr>
      </w:pPr>
      <w:r w:rsidRPr="00F61237">
        <w:rPr>
          <w:b/>
          <w:bCs/>
        </w:rPr>
        <w:t xml:space="preserve">IV. </w:t>
      </w:r>
      <w:r w:rsidR="000D4DA8">
        <w:rPr>
          <w:b/>
          <w:bCs/>
        </w:rPr>
        <w:t>4</w:t>
      </w:r>
      <w:r w:rsidRPr="00F61237">
        <w:rPr>
          <w:b/>
          <w:bCs/>
        </w:rPr>
        <w:t xml:space="preserve">. </w:t>
      </w:r>
      <w:r w:rsidR="000D4DA8">
        <w:rPr>
          <w:b/>
          <w:bCs/>
        </w:rPr>
        <w:t>2</w:t>
      </w:r>
      <w:r w:rsidRPr="00F61237">
        <w:rPr>
          <w:b/>
          <w:bCs/>
        </w:rPr>
        <w:t xml:space="preserve"> </w:t>
      </w:r>
      <w:r>
        <w:rPr>
          <w:b/>
          <w:bCs/>
        </w:rPr>
        <w:t xml:space="preserve">Nadzor postopka v zvezi z </w:t>
      </w:r>
      <w:r w:rsidR="00A019A1">
        <w:rPr>
          <w:b/>
          <w:bCs/>
        </w:rPr>
        <w:t xml:space="preserve">izborom ponudnikov za prodajo skupin stanovanj in    </w:t>
      </w:r>
    </w:p>
    <w:p w14:paraId="6956E39C" w14:textId="77777777" w:rsidR="00A019A1" w:rsidRDefault="00A019A1" w:rsidP="000D4DA8">
      <w:pPr>
        <w:jc w:val="both"/>
        <w:rPr>
          <w:b/>
          <w:bCs/>
        </w:rPr>
      </w:pPr>
      <w:r>
        <w:rPr>
          <w:b/>
          <w:bCs/>
        </w:rPr>
        <w:t xml:space="preserve">            stanovanjskih stavb ter zemljišč v okviru Javnega poziva za nakup stanovanj in </w:t>
      </w:r>
    </w:p>
    <w:p w14:paraId="5CFFD083" w14:textId="1990B109" w:rsidR="00087152" w:rsidRDefault="00A019A1" w:rsidP="000D4DA8">
      <w:pPr>
        <w:jc w:val="both"/>
        <w:rPr>
          <w:b/>
          <w:bCs/>
        </w:rPr>
      </w:pPr>
      <w:r>
        <w:rPr>
          <w:b/>
          <w:bCs/>
        </w:rPr>
        <w:t xml:space="preserve">            zemljišč za gradnjo stanovanj v letu 2022</w:t>
      </w:r>
    </w:p>
    <w:p w14:paraId="5574DC73" w14:textId="77777777" w:rsidR="000D4DA8" w:rsidRDefault="000D4DA8" w:rsidP="000D4DA8">
      <w:pPr>
        <w:jc w:val="both"/>
        <w:rPr>
          <w:b/>
          <w:bCs/>
        </w:rPr>
      </w:pPr>
    </w:p>
    <w:p w14:paraId="6E34C963" w14:textId="6B2C8193" w:rsidR="000D4DA8" w:rsidRDefault="000D4DA8" w:rsidP="000D4DA8">
      <w:pPr>
        <w:jc w:val="both"/>
      </w:pPr>
      <w:r w:rsidRPr="000D4DA8">
        <w:t>SSRS</w:t>
      </w:r>
      <w:r>
        <w:t xml:space="preserve"> je v letu 2022 v okviru Javnega poziva za nakup stanovanj in zemljišč za gradnjo stanovanj v letu 2022 povabil zainteresirane ponudnike</w:t>
      </w:r>
      <w:r w:rsidR="003F353C">
        <w:t xml:space="preserve"> (fizične osebe, pravne osebe zasebnega in javnega prava ter lokalne skupnosti) k oddaji ponudb za prodajo skupin stanovanj in stanovanjskih stavb ter zemljišč primernih za izgradnjo stanovanjskih stavb na območju Republike Slovenije.</w:t>
      </w:r>
    </w:p>
    <w:p w14:paraId="1E05A848" w14:textId="3897DB8D" w:rsidR="003F353C" w:rsidRDefault="003F353C" w:rsidP="000D4DA8">
      <w:pPr>
        <w:jc w:val="both"/>
      </w:pPr>
      <w:r>
        <w:t xml:space="preserve">Za izvajanje javnega poziva je SSRS </w:t>
      </w:r>
      <w:r w:rsidR="00046E0E">
        <w:t xml:space="preserve">iz lastnih virov </w:t>
      </w:r>
      <w:r>
        <w:t xml:space="preserve">namenil 15.000.000,00 EUR. Poraba sredstev javnega poziva je zaradi trajanja projektov predvidena sukcesivno v letih od 2020 do 2023. </w:t>
      </w:r>
    </w:p>
    <w:p w14:paraId="0C7C914A" w14:textId="5EDC1912" w:rsidR="003F353C" w:rsidRDefault="003F353C" w:rsidP="000D4DA8">
      <w:pPr>
        <w:jc w:val="both"/>
      </w:pPr>
      <w:r>
        <w:t xml:space="preserve">Iz obrazložitve </w:t>
      </w:r>
      <w:r w:rsidR="000164B5">
        <w:t xml:space="preserve">pogojev za sodelovanje </w:t>
      </w:r>
      <w:r>
        <w:t xml:space="preserve">v razpisu izhaja, </w:t>
      </w:r>
      <w:r w:rsidR="00A76C23">
        <w:t>da morajo biti ponujena stanovanja neza</w:t>
      </w:r>
      <w:r w:rsidR="000164B5">
        <w:t>se</w:t>
      </w:r>
      <w:r w:rsidR="00A76C23">
        <w:t>dena</w:t>
      </w:r>
      <w:r w:rsidR="000164B5">
        <w:t xml:space="preserve"> z urejenim zemljiško-knjižnim stanjem ter pripravljena za vselitev.</w:t>
      </w:r>
      <w:r>
        <w:t xml:space="preserve"> </w:t>
      </w:r>
      <w:r w:rsidR="000164B5">
        <w:t>Ponudniki lahko ponudijo dokončana stanovanja, ki so primerna za bivanje. Stanovanjske stavbe, v katerih se nahajajo posamezna stanovanja, morajo imeti pravnomočno uporabno dovoljenje, ki ni starejše od datuma 1. 1. 2015 dalje ter nanj vezano pravnomočno gradbeno dovoljenje.</w:t>
      </w:r>
    </w:p>
    <w:p w14:paraId="5F40D2BC" w14:textId="77777777" w:rsidR="000164B5" w:rsidRDefault="000164B5" w:rsidP="000D4DA8">
      <w:pPr>
        <w:jc w:val="both"/>
      </w:pPr>
    </w:p>
    <w:p w14:paraId="0D996106" w14:textId="77777777" w:rsidR="00561C27" w:rsidRDefault="000164B5" w:rsidP="000D4DA8">
      <w:pPr>
        <w:jc w:val="both"/>
      </w:pPr>
      <w:r>
        <w:t>Sklad bo kupoval stanovanja na celotnem območju Republike Slovenije</w:t>
      </w:r>
      <w:r w:rsidR="00561C27">
        <w:t>, kjer je izraženo povpraševanje fizičnih oseb po cenovno dostopnih stanovanjih in obstaja stalni interes za najem stanovanj skladno z usmeritvami v okviru opredelitve in določitve prednostnih območij za stanovanjsko oskrbo ter po analizah in anketah, s katerimi razpolaga sklad. Kot primerne mikrolokacije bo SSRS štel zlasti tiste lokacije, ki omogočajo kakovostne življenjske in bivalne razmere, imajo dobro prometno povezavo in so dostopne z javnim potniškim prometom ipd. Primerna so zlasti stanovanja v energetsko učinkovitih, ekološko sprejemljivih stavbah, z možnostjo večje rabe obnovljivih virov energije.</w:t>
      </w:r>
    </w:p>
    <w:p w14:paraId="4E8CDEC5" w14:textId="77777777" w:rsidR="00561C27" w:rsidRDefault="00561C27" w:rsidP="000D4DA8">
      <w:pPr>
        <w:jc w:val="both"/>
      </w:pPr>
      <w:r>
        <w:t xml:space="preserve">Prednosti pri izbiri imajo ponudniki, ki bodo ob upoštevanju predhodno navedenih meril, zagotavljali cenovno čim ugodnejši odkup stanovanj in bodo omogočali SSRS, ob upoštevanju stroškov, vselitev v primernem času, pri čemer cena ne sme preseči normativov za ceno stanovanja na 1m2 po občinah. </w:t>
      </w:r>
    </w:p>
    <w:p w14:paraId="039D2E23" w14:textId="65B08E20" w:rsidR="00561C27" w:rsidRDefault="00561C27" w:rsidP="000D4DA8">
      <w:pPr>
        <w:jc w:val="both"/>
      </w:pPr>
      <w:r>
        <w:t>Sklad je v okviru navedenega javnega poziva sprejemal tudi ponudbe za nakup gradbenih parcel ter drugih urbanih zemljišč primernih za izgradnjo večstanovanjskih stavb</w:t>
      </w:r>
      <w:r w:rsidR="000B4B83">
        <w:t xml:space="preserve"> in sicer prednostno ponudbe komunalno in prometno urejenih zemljišč</w:t>
      </w:r>
      <w:r w:rsidR="00A07BF4">
        <w:t>.</w:t>
      </w:r>
    </w:p>
    <w:p w14:paraId="0A8B2F5F" w14:textId="77777777" w:rsidR="000B4B83" w:rsidRDefault="000B4B83" w:rsidP="000D4DA8">
      <w:pPr>
        <w:jc w:val="both"/>
      </w:pPr>
    </w:p>
    <w:p w14:paraId="478FC7AA" w14:textId="4D2484E7" w:rsidR="000B4B83" w:rsidRDefault="000B4B83" w:rsidP="000D4DA8">
      <w:pPr>
        <w:jc w:val="both"/>
      </w:pPr>
      <w:r>
        <w:t xml:space="preserve">SSRS si pridržuje pravico, da lahko postopek obravnave ponudbe oziroma nakupa stanovanj ali zemljišč kadarkoli ustavi brez obrazložitve ali pravnih posledic. </w:t>
      </w:r>
    </w:p>
    <w:p w14:paraId="66C5B29A" w14:textId="0D4B082E" w:rsidR="000164B5" w:rsidRPr="000D4DA8" w:rsidRDefault="00561C27" w:rsidP="000D4DA8">
      <w:pPr>
        <w:jc w:val="both"/>
      </w:pPr>
      <w:r>
        <w:t xml:space="preserve"> </w:t>
      </w:r>
    </w:p>
    <w:p w14:paraId="7F802068" w14:textId="5920ED73" w:rsidR="00391F16" w:rsidRPr="00051C1E" w:rsidRDefault="000B4B83" w:rsidP="00667191">
      <w:pPr>
        <w:pStyle w:val="Naslovdostopnost"/>
        <w:rPr>
          <w:b w:val="0"/>
          <w:bCs w:val="0"/>
        </w:rPr>
      </w:pPr>
      <w:r w:rsidRPr="00051C1E">
        <w:rPr>
          <w:b w:val="0"/>
          <w:bCs w:val="0"/>
        </w:rPr>
        <w:t>Proračunski inšpektor je v postopku nadzora</w:t>
      </w:r>
      <w:r w:rsidR="00046E0E" w:rsidRPr="00051C1E">
        <w:rPr>
          <w:b w:val="0"/>
          <w:bCs w:val="0"/>
        </w:rPr>
        <w:t xml:space="preserve"> pri izboru ponudnikov za prodajo skupin stanovanj v okviru Javnega poziva za nakup stanovanj in zemljišč za gradnjo stanovanj v letu 2022 </w:t>
      </w:r>
      <w:r w:rsidRPr="00051C1E">
        <w:rPr>
          <w:b w:val="0"/>
          <w:bCs w:val="0"/>
        </w:rPr>
        <w:t xml:space="preserve">izvršil pregled </w:t>
      </w:r>
      <w:r w:rsidR="00046E0E" w:rsidRPr="00051C1E">
        <w:rPr>
          <w:b w:val="0"/>
          <w:bCs w:val="0"/>
        </w:rPr>
        <w:t xml:space="preserve">dokumentacije pri </w:t>
      </w:r>
      <w:r w:rsidRPr="00051C1E">
        <w:rPr>
          <w:b w:val="0"/>
          <w:bCs w:val="0"/>
        </w:rPr>
        <w:t>izbor</w:t>
      </w:r>
      <w:r w:rsidR="00046E0E" w:rsidRPr="00051C1E">
        <w:rPr>
          <w:b w:val="0"/>
          <w:bCs w:val="0"/>
        </w:rPr>
        <w:t>u</w:t>
      </w:r>
      <w:r w:rsidRPr="00051C1E">
        <w:rPr>
          <w:b w:val="0"/>
          <w:bCs w:val="0"/>
        </w:rPr>
        <w:t xml:space="preserve"> ponudnika stanovan</w:t>
      </w:r>
      <w:r w:rsidR="00046E0E" w:rsidRPr="00051C1E">
        <w:rPr>
          <w:b w:val="0"/>
          <w:bCs w:val="0"/>
        </w:rPr>
        <w:t>j</w:t>
      </w:r>
      <w:r w:rsidRPr="00051C1E">
        <w:rPr>
          <w:b w:val="0"/>
          <w:bCs w:val="0"/>
        </w:rPr>
        <w:t xml:space="preserve"> </w:t>
      </w:r>
      <w:r w:rsidR="00046E0E" w:rsidRPr="00051C1E">
        <w:rPr>
          <w:b w:val="0"/>
          <w:bCs w:val="0"/>
        </w:rPr>
        <w:t xml:space="preserve">v večstanovanjskem objektu </w:t>
      </w:r>
      <w:r w:rsidRPr="00051C1E">
        <w:rPr>
          <w:b w:val="0"/>
          <w:bCs w:val="0"/>
        </w:rPr>
        <w:t>pri projektu Sveta Ana</w:t>
      </w:r>
      <w:r w:rsidR="00391F16" w:rsidRPr="00051C1E">
        <w:rPr>
          <w:b w:val="0"/>
          <w:bCs w:val="0"/>
        </w:rPr>
        <w:t>, ki je opisan pod točko IV. 4. 1. 6 tega zapisnika</w:t>
      </w:r>
      <w:r w:rsidR="00046E0E" w:rsidRPr="00051C1E">
        <w:rPr>
          <w:b w:val="0"/>
          <w:bCs w:val="0"/>
        </w:rPr>
        <w:t xml:space="preserve">. </w:t>
      </w:r>
    </w:p>
    <w:p w14:paraId="46870F4F" w14:textId="77777777" w:rsidR="00391F16" w:rsidRPr="00051C1E" w:rsidRDefault="00391F16" w:rsidP="00667191">
      <w:pPr>
        <w:pStyle w:val="Naslovdostopnost"/>
        <w:rPr>
          <w:b w:val="0"/>
          <w:bCs w:val="0"/>
        </w:rPr>
      </w:pPr>
    </w:p>
    <w:p w14:paraId="75C7A5B2" w14:textId="4D3D5815" w:rsidR="00391F16" w:rsidRPr="00051C1E" w:rsidRDefault="00046E0E" w:rsidP="00667191">
      <w:pPr>
        <w:pStyle w:val="Naslovdostopnost"/>
        <w:rPr>
          <w:b w:val="0"/>
          <w:bCs w:val="0"/>
        </w:rPr>
      </w:pPr>
      <w:r w:rsidRPr="00051C1E">
        <w:rPr>
          <w:b w:val="0"/>
          <w:bCs w:val="0"/>
        </w:rPr>
        <w:lastRenderedPageBreak/>
        <w:t xml:space="preserve">V postopku </w:t>
      </w:r>
      <w:r w:rsidR="00391F16" w:rsidRPr="00051C1E">
        <w:rPr>
          <w:b w:val="0"/>
          <w:bCs w:val="0"/>
        </w:rPr>
        <w:t xml:space="preserve">nadzora je na zahtevo inšpektorja </w:t>
      </w:r>
      <w:r w:rsidRPr="00051C1E">
        <w:rPr>
          <w:b w:val="0"/>
          <w:bCs w:val="0"/>
        </w:rPr>
        <w:t xml:space="preserve">predložen </w:t>
      </w:r>
      <w:r w:rsidR="00391F16" w:rsidRPr="00051C1E">
        <w:rPr>
          <w:b w:val="0"/>
          <w:bCs w:val="0"/>
        </w:rPr>
        <w:t>Z</w:t>
      </w:r>
      <w:r w:rsidRPr="00051C1E">
        <w:rPr>
          <w:b w:val="0"/>
          <w:bCs w:val="0"/>
        </w:rPr>
        <w:t xml:space="preserve">apisnik </w:t>
      </w:r>
      <w:r w:rsidR="00A97A71" w:rsidRPr="00051C1E">
        <w:rPr>
          <w:b w:val="0"/>
          <w:bCs w:val="0"/>
        </w:rPr>
        <w:t xml:space="preserve">Komisije za pregled ponudb za nakup stanovanj SSRS </w:t>
      </w:r>
      <w:r w:rsidR="00391F16" w:rsidRPr="00051C1E">
        <w:rPr>
          <w:b w:val="0"/>
          <w:bCs w:val="0"/>
        </w:rPr>
        <w:t xml:space="preserve">št. </w:t>
      </w:r>
      <w:r w:rsidR="00A97A71" w:rsidRPr="00051C1E">
        <w:rPr>
          <w:b w:val="0"/>
          <w:bCs w:val="0"/>
        </w:rPr>
        <w:t xml:space="preserve">z dne 6. 5. 2022 </w:t>
      </w:r>
      <w:r w:rsidRPr="00051C1E">
        <w:rPr>
          <w:b w:val="0"/>
          <w:bCs w:val="0"/>
        </w:rPr>
        <w:t>o odpiranju ponudb za vloge</w:t>
      </w:r>
      <w:r w:rsidR="00866B71" w:rsidRPr="00051C1E">
        <w:rPr>
          <w:b w:val="0"/>
          <w:bCs w:val="0"/>
        </w:rPr>
        <w:t xml:space="preserve"> treh ponudnikov</w:t>
      </w:r>
      <w:r w:rsidRPr="00051C1E">
        <w:rPr>
          <w:b w:val="0"/>
          <w:bCs w:val="0"/>
        </w:rPr>
        <w:t xml:space="preserve">, </w:t>
      </w:r>
      <w:r w:rsidR="00A97A71" w:rsidRPr="00051C1E">
        <w:rPr>
          <w:b w:val="0"/>
          <w:bCs w:val="0"/>
        </w:rPr>
        <w:t xml:space="preserve">ki so </w:t>
      </w:r>
      <w:r w:rsidRPr="00051C1E">
        <w:rPr>
          <w:b w:val="0"/>
          <w:bCs w:val="0"/>
        </w:rPr>
        <w:t xml:space="preserve">prispele </w:t>
      </w:r>
      <w:r w:rsidR="00A97A71" w:rsidRPr="00051C1E">
        <w:rPr>
          <w:b w:val="0"/>
          <w:bCs w:val="0"/>
        </w:rPr>
        <w:t xml:space="preserve">na SSRS </w:t>
      </w:r>
      <w:r w:rsidRPr="00051C1E">
        <w:rPr>
          <w:b w:val="0"/>
          <w:bCs w:val="0"/>
        </w:rPr>
        <w:t>do 6. 5. 2022</w:t>
      </w:r>
      <w:r w:rsidR="00391F16" w:rsidRPr="00051C1E">
        <w:rPr>
          <w:b w:val="0"/>
          <w:bCs w:val="0"/>
        </w:rPr>
        <w:t xml:space="preserve"> in sicer podjetja </w:t>
      </w:r>
      <w:r w:rsidR="008F3F03">
        <w:rPr>
          <w:b w:val="0"/>
          <w:bCs w:val="0"/>
        </w:rPr>
        <w:t>D</w:t>
      </w:r>
      <w:r w:rsidR="00714736">
        <w:rPr>
          <w:b w:val="0"/>
          <w:bCs w:val="0"/>
        </w:rPr>
        <w:t xml:space="preserve">█ d.o.o. </w:t>
      </w:r>
      <w:r w:rsidR="00391F16" w:rsidRPr="00051C1E">
        <w:rPr>
          <w:b w:val="0"/>
          <w:bCs w:val="0"/>
        </w:rPr>
        <w:t xml:space="preserve">za ponudbo 35 stanovanjskih enot v objektu C, podjetja </w:t>
      </w:r>
      <w:r w:rsidR="008912B3">
        <w:rPr>
          <w:b w:val="0"/>
          <w:bCs w:val="0"/>
        </w:rPr>
        <w:t xml:space="preserve">D█ d.o.o. </w:t>
      </w:r>
      <w:r w:rsidR="00391F16" w:rsidRPr="00051C1E">
        <w:rPr>
          <w:b w:val="0"/>
          <w:bCs w:val="0"/>
        </w:rPr>
        <w:t xml:space="preserve">za ponudbo 20 oskrbovanih stanovanjskih enot v objektu A ter ponudbo </w:t>
      </w:r>
      <w:r w:rsidR="000D4896">
        <w:rPr>
          <w:b w:val="0"/>
          <w:bCs w:val="0"/>
        </w:rPr>
        <w:t>E█ s.p.</w:t>
      </w:r>
      <w:r w:rsidR="003714D3" w:rsidRPr="00051C1E">
        <w:rPr>
          <w:b w:val="0"/>
          <w:bCs w:val="0"/>
        </w:rPr>
        <w:t xml:space="preserve"> za nakup 8 stanovanj v večstanovanjskem objektu.</w:t>
      </w:r>
      <w:r w:rsidR="00A97A71" w:rsidRPr="00051C1E">
        <w:rPr>
          <w:b w:val="0"/>
          <w:bCs w:val="0"/>
        </w:rPr>
        <w:t xml:space="preserve"> </w:t>
      </w:r>
    </w:p>
    <w:p w14:paraId="56497877" w14:textId="77777777" w:rsidR="00391F16" w:rsidRPr="00051C1E" w:rsidRDefault="00391F16" w:rsidP="00667191">
      <w:pPr>
        <w:pStyle w:val="Naslovdostopnost"/>
        <w:rPr>
          <w:b w:val="0"/>
          <w:bCs w:val="0"/>
        </w:rPr>
      </w:pPr>
    </w:p>
    <w:p w14:paraId="2A3D7133" w14:textId="1CAD5199" w:rsidR="008F1088" w:rsidRPr="00051C1E" w:rsidRDefault="00391F16" w:rsidP="00667191">
      <w:pPr>
        <w:pStyle w:val="Naslovdostopnost"/>
        <w:rPr>
          <w:b w:val="0"/>
          <w:bCs w:val="0"/>
        </w:rPr>
      </w:pPr>
      <w:r w:rsidRPr="00051C1E">
        <w:rPr>
          <w:b w:val="0"/>
          <w:bCs w:val="0"/>
        </w:rPr>
        <w:t>Komisija za pregled ponudb je</w:t>
      </w:r>
      <w:r w:rsidR="00A97A71" w:rsidRPr="00051C1E">
        <w:rPr>
          <w:b w:val="0"/>
          <w:bCs w:val="0"/>
        </w:rPr>
        <w:t xml:space="preserve"> </w:t>
      </w:r>
      <w:r w:rsidR="003714D3" w:rsidRPr="00051C1E">
        <w:rPr>
          <w:b w:val="0"/>
          <w:bCs w:val="0"/>
        </w:rPr>
        <w:t xml:space="preserve">po Sklepu št. 3501-5/2022-9 z </w:t>
      </w:r>
      <w:r w:rsidR="00A97A71" w:rsidRPr="00051C1E">
        <w:rPr>
          <w:b w:val="0"/>
          <w:bCs w:val="0"/>
        </w:rPr>
        <w:t>dne 23. 5. 2022</w:t>
      </w:r>
      <w:r w:rsidR="003714D3" w:rsidRPr="00051C1E">
        <w:rPr>
          <w:b w:val="0"/>
          <w:bCs w:val="0"/>
        </w:rPr>
        <w:t xml:space="preserve"> sprejela odločitev, da bo SSRS s ponudnikom </w:t>
      </w:r>
      <w:r w:rsidR="00752467">
        <w:rPr>
          <w:b w:val="0"/>
          <w:bCs w:val="0"/>
        </w:rPr>
        <w:t>E█ s.p.</w:t>
      </w:r>
      <w:r w:rsidR="00752467" w:rsidRPr="00051C1E">
        <w:rPr>
          <w:b w:val="0"/>
          <w:bCs w:val="0"/>
        </w:rPr>
        <w:t xml:space="preserve"> </w:t>
      </w:r>
      <w:r w:rsidR="003714D3" w:rsidRPr="00051C1E">
        <w:rPr>
          <w:b w:val="0"/>
          <w:bCs w:val="0"/>
        </w:rPr>
        <w:t xml:space="preserve">na podlagi vloge za nakup 8 stanovanj v Sveti Ani v objektu </w:t>
      </w:r>
      <w:r w:rsidR="005B044D">
        <w:rPr>
          <w:b w:val="0"/>
          <w:bCs w:val="0"/>
        </w:rPr>
        <w:t xml:space="preserve">na parc. št. </w:t>
      </w:r>
      <w:r w:rsidR="00854912">
        <w:rPr>
          <w:b w:val="0"/>
          <w:bCs w:val="0"/>
        </w:rPr>
        <w:t xml:space="preserve">█ </w:t>
      </w:r>
      <w:r w:rsidR="003714D3" w:rsidRPr="00051C1E">
        <w:rPr>
          <w:b w:val="0"/>
          <w:bCs w:val="0"/>
        </w:rPr>
        <w:t xml:space="preserve">nadaljeval pogajanja za nakup 4 stanovanj. </w:t>
      </w:r>
      <w:r w:rsidRPr="00051C1E">
        <w:rPr>
          <w:b w:val="0"/>
          <w:bCs w:val="0"/>
        </w:rPr>
        <w:t>Preostal</w:t>
      </w:r>
      <w:r w:rsidR="003714D3" w:rsidRPr="00051C1E">
        <w:rPr>
          <w:b w:val="0"/>
          <w:bCs w:val="0"/>
        </w:rPr>
        <w:t>a</w:t>
      </w:r>
      <w:r w:rsidRPr="00051C1E">
        <w:rPr>
          <w:b w:val="0"/>
          <w:bCs w:val="0"/>
        </w:rPr>
        <w:t xml:space="preserve"> n</w:t>
      </w:r>
      <w:r w:rsidR="00866B71" w:rsidRPr="00051C1E">
        <w:rPr>
          <w:b w:val="0"/>
          <w:bCs w:val="0"/>
        </w:rPr>
        <w:t>eizbran</w:t>
      </w:r>
      <w:r w:rsidR="003714D3" w:rsidRPr="00051C1E">
        <w:rPr>
          <w:b w:val="0"/>
          <w:bCs w:val="0"/>
        </w:rPr>
        <w:t>a</w:t>
      </w:r>
      <w:r w:rsidR="00866B71" w:rsidRPr="00051C1E">
        <w:rPr>
          <w:b w:val="0"/>
          <w:bCs w:val="0"/>
        </w:rPr>
        <w:t xml:space="preserve"> ponudnika sta bila po dopisih </w:t>
      </w:r>
      <w:r w:rsidRPr="00051C1E">
        <w:rPr>
          <w:b w:val="0"/>
          <w:bCs w:val="0"/>
        </w:rPr>
        <w:t xml:space="preserve">z </w:t>
      </w:r>
      <w:r w:rsidR="00866B71" w:rsidRPr="00051C1E">
        <w:rPr>
          <w:b w:val="0"/>
          <w:bCs w:val="0"/>
        </w:rPr>
        <w:t>dne 7. 6. 2022</w:t>
      </w:r>
      <w:r w:rsidRPr="00051C1E">
        <w:rPr>
          <w:b w:val="0"/>
          <w:bCs w:val="0"/>
        </w:rPr>
        <w:t xml:space="preserve"> obveščena, da se SSRS po preučitvi prejete dokumentacije za sprejem njihove ponudbe ni odločil</w:t>
      </w:r>
      <w:r w:rsidR="00A07BF4" w:rsidRPr="00051C1E">
        <w:rPr>
          <w:b w:val="0"/>
          <w:bCs w:val="0"/>
        </w:rPr>
        <w:t>.</w:t>
      </w:r>
    </w:p>
    <w:p w14:paraId="4F6E9A79" w14:textId="77777777" w:rsidR="00666A7B" w:rsidRPr="00051C1E" w:rsidRDefault="00666A7B" w:rsidP="00667191">
      <w:pPr>
        <w:pStyle w:val="Naslovdostopnost"/>
        <w:rPr>
          <w:b w:val="0"/>
          <w:bCs w:val="0"/>
        </w:rPr>
      </w:pPr>
    </w:p>
    <w:p w14:paraId="086F8794" w14:textId="05135AED" w:rsidR="00866B71" w:rsidRDefault="00A97A71" w:rsidP="00667191">
      <w:pPr>
        <w:pStyle w:val="Naslovdostopnost"/>
        <w:rPr>
          <w:b w:val="0"/>
          <w:bCs w:val="0"/>
        </w:rPr>
      </w:pPr>
      <w:r w:rsidRPr="00051C1E">
        <w:rPr>
          <w:b w:val="0"/>
          <w:bCs w:val="0"/>
        </w:rPr>
        <w:t>Iz Sklepa št. 422 iz Zapisnika 88. korespondenčne seje Nadzornega sveta SSRS z dne 27. 5. 2022 izhaja, da je Nadzorni svet</w:t>
      </w:r>
      <w:r w:rsidR="00666A7B" w:rsidRPr="00051C1E">
        <w:rPr>
          <w:b w:val="0"/>
          <w:bCs w:val="0"/>
        </w:rPr>
        <w:t xml:space="preserve"> SSRS podal soglasje k sklenitvi prodajne pogodbe za nakup 4 stanovanj </w:t>
      </w:r>
      <w:r w:rsidR="00866B71" w:rsidRPr="00051C1E">
        <w:rPr>
          <w:b w:val="0"/>
          <w:bCs w:val="0"/>
        </w:rPr>
        <w:t xml:space="preserve">s pripadajočimi shrambami, 4 zunanjih parkirnih mest ob objektu ter 4 parkirnih mest v garaži objekta v Sveti Ani od investitorja </w:t>
      </w:r>
      <w:r w:rsidR="00937908">
        <w:rPr>
          <w:b w:val="0"/>
          <w:bCs w:val="0"/>
        </w:rPr>
        <w:t>E█ s.p.</w:t>
      </w:r>
    </w:p>
    <w:p w14:paraId="5C1208EF" w14:textId="77777777" w:rsidR="008B17E3" w:rsidRPr="00051C1E" w:rsidRDefault="008B17E3" w:rsidP="00667191">
      <w:pPr>
        <w:pStyle w:val="Naslovdostopnost"/>
        <w:rPr>
          <w:b w:val="0"/>
          <w:bCs w:val="0"/>
        </w:rPr>
      </w:pPr>
    </w:p>
    <w:p w14:paraId="54720C0A" w14:textId="5497C048" w:rsidR="00866B71" w:rsidRPr="00051C1E" w:rsidRDefault="00A07BF4" w:rsidP="00667191">
      <w:pPr>
        <w:pStyle w:val="Naslovdostopnost"/>
        <w:rPr>
          <w:b w:val="0"/>
          <w:bCs w:val="0"/>
        </w:rPr>
      </w:pPr>
      <w:r w:rsidRPr="00051C1E">
        <w:rPr>
          <w:b w:val="0"/>
          <w:bCs w:val="0"/>
        </w:rPr>
        <w:t>Kupop</w:t>
      </w:r>
      <w:r w:rsidR="00866B71" w:rsidRPr="00051C1E">
        <w:rPr>
          <w:b w:val="0"/>
          <w:bCs w:val="0"/>
        </w:rPr>
        <w:t xml:space="preserve">rodajna pogodba med SSRS in investitorjem </w:t>
      </w:r>
      <w:r w:rsidR="00B01748">
        <w:rPr>
          <w:b w:val="0"/>
          <w:bCs w:val="0"/>
        </w:rPr>
        <w:t xml:space="preserve">E█ s.p. </w:t>
      </w:r>
      <w:r w:rsidR="00866B71" w:rsidRPr="00051C1E">
        <w:rPr>
          <w:b w:val="0"/>
          <w:bCs w:val="0"/>
        </w:rPr>
        <w:t xml:space="preserve">o nakupu 4 stanovanj </w:t>
      </w:r>
      <w:r w:rsidR="003714D3" w:rsidRPr="00051C1E">
        <w:rPr>
          <w:b w:val="0"/>
          <w:bCs w:val="0"/>
        </w:rPr>
        <w:t xml:space="preserve">s štirimi parkirnimi mesti v garaži in 4 parkirnimi mesti na terenu je bila sklenjena dne 30. 5. 2022. Prodajalec se je v prodajni pogodbi zavezal, da bo predmet pogodbe s pridobljenim pravnomočnim uporabnim dovoljenjem </w:t>
      </w:r>
      <w:r w:rsidRPr="00051C1E">
        <w:rPr>
          <w:b w:val="0"/>
          <w:bCs w:val="0"/>
        </w:rPr>
        <w:t>izročil SSRS v last in posest najkasneje do 31. 12. 2022. Pogodba vsebuje protikorupcijsko klavzulo iz prvega odstavka 14. člena Zakona o integriteti in preprečevanju korupcije.</w:t>
      </w:r>
      <w:r w:rsidRPr="00051C1E">
        <w:rPr>
          <w:rStyle w:val="Sprotnaopomba-sklic"/>
          <w:b w:val="0"/>
          <w:bCs w:val="0"/>
        </w:rPr>
        <w:footnoteReference w:id="10"/>
      </w:r>
      <w:r w:rsidRPr="00051C1E">
        <w:rPr>
          <w:b w:val="0"/>
          <w:bCs w:val="0"/>
        </w:rPr>
        <w:t xml:space="preserve"> </w:t>
      </w:r>
      <w:r w:rsidR="002E7BFB">
        <w:rPr>
          <w:b w:val="0"/>
          <w:bCs w:val="0"/>
        </w:rPr>
        <w:t>Iz potrdil o bremenitvi proračuna izhaja, da je kupnina za nakup stanovanj poravnana v dveh delih in sicer dne 27. 3. 2023 in 3. 5. 2023.</w:t>
      </w:r>
    </w:p>
    <w:p w14:paraId="1631D1D8" w14:textId="77777777" w:rsidR="004840C8" w:rsidRPr="00A07BF4" w:rsidRDefault="004840C8" w:rsidP="00667191">
      <w:pPr>
        <w:pStyle w:val="Naslovdostopnost"/>
      </w:pPr>
    </w:p>
    <w:p w14:paraId="52ED3CC7" w14:textId="0466E667" w:rsidR="00A07BF4" w:rsidRPr="00A73FA2" w:rsidRDefault="00A07BF4" w:rsidP="00A07BF4">
      <w:pPr>
        <w:jc w:val="both"/>
        <w:rPr>
          <w:b/>
          <w:bCs/>
          <w:color w:val="000000" w:themeColor="text1"/>
        </w:rPr>
      </w:pPr>
      <w:r w:rsidRPr="00FD55F4">
        <w:rPr>
          <w:b/>
          <w:bCs/>
          <w:color w:val="000000" w:themeColor="text1"/>
        </w:rPr>
        <w:t xml:space="preserve">Proračunski inšpektor pri </w:t>
      </w:r>
      <w:r>
        <w:rPr>
          <w:b/>
          <w:bCs/>
          <w:color w:val="000000" w:themeColor="text1"/>
        </w:rPr>
        <w:t xml:space="preserve">pregledu dokumentacije v zvezi </w:t>
      </w:r>
      <w:r w:rsidR="00381666">
        <w:rPr>
          <w:b/>
          <w:bCs/>
          <w:color w:val="000000" w:themeColor="text1"/>
        </w:rPr>
        <w:t>z Javnim pozivom</w:t>
      </w:r>
      <w:r>
        <w:rPr>
          <w:b/>
          <w:bCs/>
          <w:color w:val="000000" w:themeColor="text1"/>
        </w:rPr>
        <w:t xml:space="preserve"> SSRS za nakup stanovanj in zemljišč za gradnjo stanovanj </w:t>
      </w:r>
      <w:r w:rsidR="00381666">
        <w:rPr>
          <w:b/>
          <w:bCs/>
          <w:color w:val="000000" w:themeColor="text1"/>
        </w:rPr>
        <w:t xml:space="preserve">v letu 2022 </w:t>
      </w:r>
      <w:r w:rsidRPr="00FD55F4">
        <w:rPr>
          <w:b/>
          <w:bCs/>
          <w:color w:val="000000" w:themeColor="text1"/>
        </w:rPr>
        <w:t>ni ugotovil nepravilnosti.</w:t>
      </w:r>
    </w:p>
    <w:p w14:paraId="02AF8055" w14:textId="77777777" w:rsidR="00A07BF4" w:rsidRDefault="00A07BF4" w:rsidP="00667191">
      <w:pPr>
        <w:pStyle w:val="Naslovdostopnost"/>
      </w:pPr>
    </w:p>
    <w:p w14:paraId="075B456D" w14:textId="0A3B6A13" w:rsidR="00C52DDA" w:rsidRPr="00667191" w:rsidRDefault="00667191" w:rsidP="00667191">
      <w:pPr>
        <w:pStyle w:val="Naslovdostopnost"/>
      </w:pPr>
      <w:r w:rsidRPr="00667191">
        <w:t>POVZETEK:</w:t>
      </w:r>
    </w:p>
    <w:p w14:paraId="2267A285" w14:textId="77777777" w:rsidR="00C52DDA" w:rsidRDefault="00C52DDA" w:rsidP="00667191">
      <w:pPr>
        <w:pStyle w:val="Naslovdostopnost"/>
      </w:pPr>
    </w:p>
    <w:p w14:paraId="53282801" w14:textId="45822D2B" w:rsidR="00051C1E" w:rsidRPr="00AA7494" w:rsidRDefault="00051C1E" w:rsidP="00051C1E">
      <w:pPr>
        <w:jc w:val="both"/>
      </w:pPr>
      <w:r w:rsidRPr="00AA7494">
        <w:t xml:space="preserve">Proračunski inšpektor je v postopku nadzora porabe sredstev državnega proračuna za leto 2023 izvršil pregled porabe proračunskih sredstev, ki jih je Stanovanjski sklad Republike Slovenije prejel za izvajanje javne najemne službe, sredstev </w:t>
      </w:r>
      <w:bookmarkStart w:id="27" w:name="_Hlk201325382"/>
      <w:r w:rsidRPr="00AA7494">
        <w:t>za nastanitev oseb z začasno zaščito za razseljene osebe iz Ukrajine</w:t>
      </w:r>
      <w:bookmarkEnd w:id="27"/>
      <w:r w:rsidRPr="00AA7494">
        <w:t xml:space="preserve">, sredstev iz dokapitalizacije ter sredstev iz naslova evropskega mehanizma za okrevanje in odpornost. </w:t>
      </w:r>
    </w:p>
    <w:p w14:paraId="593ECE24" w14:textId="77777777" w:rsidR="006B5ADF" w:rsidRDefault="006B5ADF" w:rsidP="00051C1E">
      <w:pPr>
        <w:jc w:val="both"/>
        <w:rPr>
          <w:color w:val="000000" w:themeColor="text1"/>
        </w:rPr>
      </w:pPr>
    </w:p>
    <w:p w14:paraId="626FDD00" w14:textId="2165CB8E" w:rsidR="00051C1E" w:rsidRPr="006115EE" w:rsidRDefault="00051C1E" w:rsidP="00051C1E">
      <w:pPr>
        <w:jc w:val="both"/>
        <w:rPr>
          <w:color w:val="000000" w:themeColor="text1"/>
        </w:rPr>
      </w:pPr>
      <w:r w:rsidRPr="006115EE">
        <w:rPr>
          <w:color w:val="000000" w:themeColor="text1"/>
        </w:rPr>
        <w:t xml:space="preserve">Inšpekcijski organ je pri pregledu naključno izbrane najemne pogodbe </w:t>
      </w:r>
      <w:r w:rsidR="00C55243">
        <w:rPr>
          <w:color w:val="000000" w:themeColor="text1"/>
        </w:rPr>
        <w:t xml:space="preserve">za namestitev oseb z začasno zaščito razseljenih oseb iz Ukrajine </w:t>
      </w:r>
      <w:r w:rsidRPr="006115EE">
        <w:rPr>
          <w:color w:val="000000" w:themeColor="text1"/>
        </w:rPr>
        <w:t xml:space="preserve">št. NS-2228/2017 za </w:t>
      </w:r>
      <w:r>
        <w:rPr>
          <w:color w:val="000000" w:themeColor="text1"/>
        </w:rPr>
        <w:t xml:space="preserve">stanovanje na </w:t>
      </w:r>
      <w:r w:rsidRPr="006115EE">
        <w:rPr>
          <w:color w:val="000000" w:themeColor="text1"/>
        </w:rPr>
        <w:t>lokacij</w:t>
      </w:r>
      <w:r>
        <w:rPr>
          <w:color w:val="000000" w:themeColor="text1"/>
        </w:rPr>
        <w:t>i</w:t>
      </w:r>
      <w:r w:rsidRPr="006115EE">
        <w:rPr>
          <w:color w:val="000000" w:themeColor="text1"/>
        </w:rPr>
        <w:t xml:space="preserve"> Nov</w:t>
      </w:r>
      <w:r>
        <w:rPr>
          <w:color w:val="000000" w:themeColor="text1"/>
        </w:rPr>
        <w:t>ega</w:t>
      </w:r>
      <w:r w:rsidRPr="006115EE">
        <w:rPr>
          <w:color w:val="000000" w:themeColor="text1"/>
        </w:rPr>
        <w:t xml:space="preserve"> mest</w:t>
      </w:r>
      <w:r>
        <w:rPr>
          <w:color w:val="000000" w:themeColor="text1"/>
        </w:rPr>
        <w:t>a</w:t>
      </w:r>
      <w:r w:rsidRPr="006115EE">
        <w:rPr>
          <w:color w:val="000000" w:themeColor="text1"/>
        </w:rPr>
        <w:t xml:space="preserve"> ugotovil sledeče:</w:t>
      </w:r>
    </w:p>
    <w:p w14:paraId="787E3C9C" w14:textId="77777777" w:rsidR="00051C1E" w:rsidRPr="006115EE" w:rsidRDefault="00051C1E" w:rsidP="00051C1E">
      <w:pPr>
        <w:jc w:val="both"/>
        <w:rPr>
          <w:color w:val="000000" w:themeColor="text1"/>
        </w:rPr>
      </w:pPr>
      <w:r w:rsidRPr="006115EE">
        <w:rPr>
          <w:color w:val="000000" w:themeColor="text1"/>
        </w:rPr>
        <w:t>- v četrti alineji prvega člena pogodbe je navedeno, da je bila dne 3. 3. 2023 sklenjena najemna pogodba NS-2228/2017 za določen čas (do 4. 3. 2023) z možnostjo podaljšanja.</w:t>
      </w:r>
    </w:p>
    <w:p w14:paraId="1DE8374B" w14:textId="77777777" w:rsidR="00051C1E" w:rsidRDefault="00051C1E" w:rsidP="00051C1E">
      <w:pPr>
        <w:jc w:val="both"/>
        <w:rPr>
          <w:b/>
          <w:bCs/>
          <w:color w:val="000000" w:themeColor="text1"/>
        </w:rPr>
      </w:pPr>
      <w:r w:rsidRPr="006115EE">
        <w:rPr>
          <w:b/>
          <w:bCs/>
          <w:color w:val="000000" w:themeColor="text1"/>
        </w:rPr>
        <w:t xml:space="preserve">Glede na datume podpisov odgovornih oseb (23. 2. 2024 ter 31. 3. 2024) organ nadzora predvideva, da bi moral biti pravilen datum najema </w:t>
      </w:r>
      <w:r>
        <w:rPr>
          <w:b/>
          <w:bCs/>
          <w:color w:val="000000" w:themeColor="text1"/>
        </w:rPr>
        <w:t>do 4. 3.</w:t>
      </w:r>
      <w:r w:rsidRPr="006115EE">
        <w:rPr>
          <w:b/>
          <w:bCs/>
          <w:color w:val="000000" w:themeColor="text1"/>
        </w:rPr>
        <w:t xml:space="preserve"> 202</w:t>
      </w:r>
      <w:r>
        <w:rPr>
          <w:b/>
          <w:bCs/>
          <w:color w:val="000000" w:themeColor="text1"/>
        </w:rPr>
        <w:t>5</w:t>
      </w:r>
      <w:r w:rsidRPr="006115EE">
        <w:rPr>
          <w:b/>
          <w:bCs/>
          <w:color w:val="000000" w:themeColor="text1"/>
        </w:rPr>
        <w:t xml:space="preserve">.  </w:t>
      </w:r>
    </w:p>
    <w:p w14:paraId="709DED38" w14:textId="77777777" w:rsidR="00051C1E" w:rsidRDefault="00051C1E" w:rsidP="00051C1E">
      <w:pPr>
        <w:jc w:val="both"/>
        <w:rPr>
          <w:color w:val="000000" w:themeColor="text1"/>
        </w:rPr>
      </w:pPr>
      <w:r w:rsidRPr="006115EE">
        <w:rPr>
          <w:color w:val="000000" w:themeColor="text1"/>
        </w:rPr>
        <w:t>-</w:t>
      </w:r>
      <w:r>
        <w:rPr>
          <w:color w:val="000000" w:themeColor="text1"/>
        </w:rPr>
        <w:t xml:space="preserve"> </w:t>
      </w:r>
      <w:r w:rsidRPr="006115EE">
        <w:rPr>
          <w:color w:val="000000" w:themeColor="text1"/>
        </w:rPr>
        <w:t xml:space="preserve">pogodba ne vsebuje celotnega trajanja obdobja oddajanja v najem, ampak je </w:t>
      </w:r>
      <w:r>
        <w:rPr>
          <w:color w:val="000000" w:themeColor="text1"/>
        </w:rPr>
        <w:t xml:space="preserve">v </w:t>
      </w:r>
      <w:r w:rsidRPr="006115EE">
        <w:rPr>
          <w:color w:val="000000" w:themeColor="text1"/>
        </w:rPr>
        <w:t>3. členu  naveden samo datum poteka najema</w:t>
      </w:r>
      <w:r>
        <w:rPr>
          <w:color w:val="000000" w:themeColor="text1"/>
        </w:rPr>
        <w:t xml:space="preserve"> stanovanja</w:t>
      </w:r>
      <w:r w:rsidRPr="006115EE">
        <w:rPr>
          <w:color w:val="000000" w:themeColor="text1"/>
        </w:rPr>
        <w:t xml:space="preserve"> do 4. 3. 2025</w:t>
      </w:r>
      <w:r>
        <w:rPr>
          <w:color w:val="000000" w:themeColor="text1"/>
        </w:rPr>
        <w:t>.</w:t>
      </w:r>
    </w:p>
    <w:p w14:paraId="75A2674A" w14:textId="77777777" w:rsidR="00051C1E" w:rsidRPr="00C65B54" w:rsidRDefault="00051C1E" w:rsidP="00051C1E">
      <w:pPr>
        <w:jc w:val="both"/>
        <w:rPr>
          <w:b/>
          <w:bCs/>
          <w:color w:val="000000" w:themeColor="text1"/>
        </w:rPr>
      </w:pPr>
      <w:r w:rsidRPr="00C65B54">
        <w:rPr>
          <w:b/>
          <w:bCs/>
          <w:color w:val="000000" w:themeColor="text1"/>
        </w:rPr>
        <w:t xml:space="preserve">Inšpekcijski organ predlaga, da najemne pogodbe vsebujejo bolj jasno opredelitev obdobja oddajanja v najem in sicer z začetkom in koncem obdobja oddajanja </w:t>
      </w:r>
      <w:r>
        <w:rPr>
          <w:b/>
          <w:bCs/>
          <w:color w:val="000000" w:themeColor="text1"/>
        </w:rPr>
        <w:t xml:space="preserve">stanovanja </w:t>
      </w:r>
      <w:r w:rsidRPr="00C65B54">
        <w:rPr>
          <w:b/>
          <w:bCs/>
          <w:color w:val="000000" w:themeColor="text1"/>
        </w:rPr>
        <w:t>v najem</w:t>
      </w:r>
      <w:r>
        <w:rPr>
          <w:b/>
          <w:bCs/>
          <w:color w:val="000000" w:themeColor="text1"/>
        </w:rPr>
        <w:t>.</w:t>
      </w:r>
    </w:p>
    <w:p w14:paraId="72617C17" w14:textId="77777777" w:rsidR="00051C1E" w:rsidRDefault="00051C1E" w:rsidP="00051C1E">
      <w:pPr>
        <w:jc w:val="both"/>
      </w:pPr>
      <w:r w:rsidRPr="00C65B54">
        <w:rPr>
          <w:color w:val="000000" w:themeColor="text1"/>
        </w:rPr>
        <w:t>-</w:t>
      </w:r>
      <w:r>
        <w:rPr>
          <w:color w:val="000000" w:themeColor="text1"/>
        </w:rPr>
        <w:t xml:space="preserve"> </w:t>
      </w:r>
      <w:r w:rsidRPr="00C65B54">
        <w:rPr>
          <w:color w:val="000000" w:themeColor="text1"/>
        </w:rPr>
        <w:t>pogodba ne vsebuje razloga za prenehanje najemne pogodbe v primeru, da začasno izseljene osebe iz Ukrajine izgubijo status osebe z začasno zaščito</w:t>
      </w:r>
      <w:r>
        <w:rPr>
          <w:color w:val="000000" w:themeColor="text1"/>
        </w:rPr>
        <w:t xml:space="preserve">. </w:t>
      </w:r>
      <w:r>
        <w:t xml:space="preserve">Iz 4. člena najemne pogodbe namreč jasno izhaja, da se najemnik (to je UOIM) s podpisom pogodbe izrecno zavezuje, da bo predmet </w:t>
      </w:r>
      <w:r>
        <w:lastRenderedPageBreak/>
        <w:t xml:space="preserve">pogodbe uporabljal izključno za namestitev izseljenih prebivalcev iz Ukrajine, ki imajo v Sloveniji status osebe z začasno zaščito. </w:t>
      </w:r>
    </w:p>
    <w:p w14:paraId="20E26216" w14:textId="77777777" w:rsidR="00051C1E" w:rsidRPr="00B155BB" w:rsidRDefault="00051C1E" w:rsidP="00051C1E">
      <w:pPr>
        <w:jc w:val="both"/>
        <w:rPr>
          <w:b/>
          <w:bCs/>
        </w:rPr>
      </w:pPr>
      <w:r w:rsidRPr="00B155BB">
        <w:rPr>
          <w:b/>
          <w:bCs/>
        </w:rPr>
        <w:t>Navedeno pomeni, da se, v kolikor bi navedeni</w:t>
      </w:r>
      <w:r>
        <w:rPr>
          <w:b/>
          <w:bCs/>
        </w:rPr>
        <w:t>m osebam prenehal</w:t>
      </w:r>
      <w:r w:rsidRPr="00B155BB">
        <w:rPr>
          <w:b/>
          <w:bCs/>
        </w:rPr>
        <w:t xml:space="preserve"> status osebe z začasno zaščito, predmet pogodbe (najemno stanovanje) ne bi smel več uporabljati. Inšpektor predlaga, da se v najemni pogodbi takšna možnost opredeli med razlogi za prenehanje najemnega razmerja.  </w:t>
      </w:r>
    </w:p>
    <w:p w14:paraId="66482F91" w14:textId="77777777" w:rsidR="00051C1E" w:rsidRPr="009300AF" w:rsidRDefault="00051C1E" w:rsidP="00051C1E">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szCs w:val="20"/>
        </w:rPr>
      </w:pPr>
      <w:r w:rsidRPr="008121E3">
        <w:rPr>
          <w:rFonts w:eastAsia="Times New Roman" w:cs="Arial"/>
          <w:b/>
          <w:bCs/>
          <w:color w:val="000000" w:themeColor="text1"/>
          <w:szCs w:val="20"/>
        </w:rPr>
        <w:t xml:space="preserve">UKREP ŠT. 1: Proračunski </w:t>
      </w:r>
      <w:r w:rsidRPr="009426A9">
        <w:rPr>
          <w:rFonts w:eastAsia="Times New Roman" w:cs="Arial"/>
          <w:b/>
          <w:bCs/>
          <w:szCs w:val="20"/>
        </w:rPr>
        <w:t xml:space="preserve">inšpektor glede na gornje ugotovitve na podlagi drugega odstavka 104. člena ZJF predlaga, da proračunski uporabnik </w:t>
      </w:r>
      <w:r>
        <w:rPr>
          <w:rFonts w:eastAsia="Times New Roman" w:cs="Arial"/>
          <w:b/>
          <w:bCs/>
          <w:szCs w:val="20"/>
        </w:rPr>
        <w:t>Stanovanjski sklad Republike Slovenije</w:t>
      </w:r>
      <w:r w:rsidRPr="009426A9">
        <w:rPr>
          <w:rFonts w:eastAsia="Times New Roman" w:cs="Arial"/>
          <w:b/>
          <w:bCs/>
          <w:szCs w:val="20"/>
        </w:rPr>
        <w:t xml:space="preserve"> okrepi notranje kontrole </w:t>
      </w:r>
      <w:r>
        <w:rPr>
          <w:rFonts w:eastAsia="Times New Roman" w:cs="Arial"/>
          <w:b/>
          <w:bCs/>
          <w:szCs w:val="20"/>
        </w:rPr>
        <w:t xml:space="preserve">na </w:t>
      </w:r>
      <w:r w:rsidRPr="009426A9">
        <w:rPr>
          <w:rFonts w:eastAsia="Times New Roman" w:cs="Arial"/>
          <w:b/>
          <w:bCs/>
          <w:szCs w:val="20"/>
        </w:rPr>
        <w:t xml:space="preserve">področju </w:t>
      </w:r>
      <w:r>
        <w:rPr>
          <w:rFonts w:eastAsia="Times New Roman" w:cs="Arial"/>
          <w:b/>
          <w:bCs/>
          <w:szCs w:val="20"/>
        </w:rPr>
        <w:t xml:space="preserve">priprave pogodb pri oddajanju stanovanj v najem, tudi s tem, da </w:t>
      </w:r>
      <w:r w:rsidRPr="00A57BC1">
        <w:rPr>
          <w:rFonts w:eastAsia="Times New Roman" w:cs="Arial"/>
          <w:b/>
          <w:bCs/>
          <w:szCs w:val="20"/>
        </w:rPr>
        <w:t>najemne pogodbe vsebujejo bolj jasno opredelitev obdobja oddajanja v najem</w:t>
      </w:r>
      <w:r>
        <w:rPr>
          <w:rFonts w:eastAsia="Times New Roman" w:cs="Arial"/>
          <w:b/>
          <w:bCs/>
          <w:szCs w:val="20"/>
        </w:rPr>
        <w:t>,</w:t>
      </w:r>
      <w:r w:rsidRPr="00A57BC1">
        <w:rPr>
          <w:rFonts w:eastAsia="Times New Roman" w:cs="Arial"/>
          <w:b/>
          <w:bCs/>
          <w:szCs w:val="20"/>
        </w:rPr>
        <w:t xml:space="preserve"> in sicer z začetkom in koncem obdobja oddajanja stanovanja v najem</w:t>
      </w:r>
      <w:r>
        <w:rPr>
          <w:rFonts w:eastAsia="Times New Roman" w:cs="Arial"/>
          <w:b/>
          <w:bCs/>
          <w:szCs w:val="20"/>
        </w:rPr>
        <w:t>. Stanovanjski sklad Republike Slovenije naj v roku 15 dni od prejema tega zapisnika posreduje dokazilo proračunski inšpekciji, da so bile z ukrepom seznanjene osebe, ki pripravljajo in nadzirajo vsebino navedenih pogodb.</w:t>
      </w:r>
    </w:p>
    <w:p w14:paraId="3F762109" w14:textId="77777777" w:rsidR="00C52DDA" w:rsidRDefault="00C52DDA" w:rsidP="00667191">
      <w:pPr>
        <w:pStyle w:val="Naslovdostopnost"/>
      </w:pPr>
    </w:p>
    <w:p w14:paraId="685A8D82" w14:textId="0F67B517" w:rsidR="00051C1E" w:rsidRDefault="00051C1E" w:rsidP="00051C1E">
      <w:pPr>
        <w:jc w:val="both"/>
      </w:pPr>
      <w:r>
        <w:t>Proračunski inšpektor je izvršil pregled naključno izbranih računov za plačilo najemnine</w:t>
      </w:r>
      <w:r w:rsidR="00C55243">
        <w:t xml:space="preserve"> </w:t>
      </w:r>
      <w:r w:rsidR="00C55243" w:rsidRPr="00C55243">
        <w:t>za nastanitev oseb z začasno zaščito za razseljene osebe iz Ukrajine</w:t>
      </w:r>
      <w:r>
        <w:t xml:space="preserve"> ter podatkov o plačilih najemnin. Pri tem so ugotovljene nepravilnosti, da je račun št. OBR-000566/2023 za plačilo opravljene storitve najema stanovanja v Črnomlju za obdobje od 1. 9. 2023 do 30. 9</w:t>
      </w:r>
      <w:r w:rsidRPr="00496CD1">
        <w:t xml:space="preserve">. 2023 izdan šele 7. 11. 2023 in ne </w:t>
      </w:r>
      <w:r>
        <w:t xml:space="preserve">v obdobju od 1. 10. do </w:t>
      </w:r>
      <w:r w:rsidRPr="00496CD1">
        <w:t>5. 10. 2023, kot</w:t>
      </w:r>
      <w:r>
        <w:t xml:space="preserve"> bi moral biti izdan glede na tretji odstavek 7. člena najemne pogodbe št. NS-2272/2017, v katerem je opredeljeno, da bodo mesečni računi najemodajalca izstavljeni do petega v mesecu za pretekli mesec. </w:t>
      </w:r>
    </w:p>
    <w:p w14:paraId="423B8A34" w14:textId="77777777" w:rsidR="00051C1E" w:rsidRDefault="00051C1E" w:rsidP="00051C1E">
      <w:pPr>
        <w:jc w:val="both"/>
      </w:pPr>
      <w:r>
        <w:t xml:space="preserve">Iz seznama stanovanj tudi izhaja, da je začetek najemnega obdobja predmetnega stanovanja 5. 9. 2023 (iz najemnih pogodb ni mogoče razbrati datuma začetka najemnega razmerja!), posledično bi moralo tudi iz računa izhajati (v navedbi datuma storitve), da je izdan za navedeno obdobje, saj je najemnina obračunana v ustreznem deležu od mesečne najemnine v višini 485,00 EUR – to je za 25 dni najema stanovanja v višini 404,17 EUR. </w:t>
      </w:r>
    </w:p>
    <w:p w14:paraId="6FEC2B38" w14:textId="77777777" w:rsidR="00051C1E" w:rsidRDefault="00051C1E" w:rsidP="00051C1E">
      <w:pPr>
        <w:jc w:val="both"/>
      </w:pPr>
      <w:r>
        <w:t xml:space="preserve">Nadalje je na obravnavanem računu št. OBR- 000566/2023 navedena napačna valutacija za plačilo najemnine 30. 11. 2023. Iz tretjega odstavka najemne pogodbe izhaja, da mora naročnik opravljene storitve plačati v 30 dneh od prejema računa. Plačilni rok začne teči naslednji dan po prejemu računa. Račun za najem v obdobju od 5. 9. 2023 do 30. 9. 2023 je bil izdan 7. 11. 2023, kar pomeni, da bi moral biti plačan najkasneje do 7. 12. 2023 in ne do 30. 11. 2023, kot je navedeno na računu. Iz podatkov o plačilih najemnine sicer izhaja, da je UIOM najemnino po obravnavanem računu plačal dne 7. 12. 2023. </w:t>
      </w:r>
    </w:p>
    <w:p w14:paraId="70592A3A" w14:textId="77777777" w:rsidR="00051C1E" w:rsidRDefault="00051C1E" w:rsidP="00051C1E">
      <w:pPr>
        <w:jc w:val="both"/>
      </w:pPr>
      <w:r>
        <w:t xml:space="preserve">Račun št. OBR-000635/2023 za najem v obdobju od 1. 11. 2023 do 30. 11. 2023 izdan prekmalu, saj je izdan že dne 7. 11. 2023 in ne od 1. 12. 2023 do najkasneje do 5. 12. 2023 za pretekli mesec. Enako je tudi račun št. OBR-000714/2023 za najem stanovanja za mesec december 2023 izdan prekmalu 8. 12. 2023 in ne od 1. 1. 2024 do najkasneje 5. 1. 2024, kot izhaja iz 7. člena v najemni pogodbi. </w:t>
      </w:r>
    </w:p>
    <w:p w14:paraId="6BD85D2C" w14:textId="77777777" w:rsidR="00BF75D7" w:rsidRDefault="00BF75D7" w:rsidP="00051C1E">
      <w:pPr>
        <w:jc w:val="both"/>
      </w:pPr>
    </w:p>
    <w:p w14:paraId="0A9BB23F" w14:textId="77777777" w:rsidR="00051C1E" w:rsidRPr="008121E3" w:rsidRDefault="00051C1E" w:rsidP="00051C1E">
      <w:pPr>
        <w:pBdr>
          <w:top w:val="single" w:sz="4" w:space="1" w:color="auto"/>
          <w:left w:val="single" w:sz="4" w:space="4" w:color="auto"/>
          <w:bottom w:val="single" w:sz="4" w:space="1" w:color="auto"/>
          <w:right w:val="single" w:sz="4" w:space="4" w:color="auto"/>
        </w:pBdr>
        <w:jc w:val="both"/>
        <w:rPr>
          <w:b/>
          <w:bCs/>
          <w:color w:val="000000" w:themeColor="text1"/>
        </w:rPr>
      </w:pPr>
      <w:r w:rsidRPr="008121E3">
        <w:rPr>
          <w:b/>
          <w:bCs/>
          <w:color w:val="000000" w:themeColor="text1"/>
        </w:rPr>
        <w:t xml:space="preserve">UKREP ŠT. </w:t>
      </w:r>
      <w:r>
        <w:rPr>
          <w:b/>
          <w:bCs/>
          <w:color w:val="000000" w:themeColor="text1"/>
        </w:rPr>
        <w:t>2</w:t>
      </w:r>
      <w:r w:rsidRPr="008121E3">
        <w:rPr>
          <w:b/>
          <w:bCs/>
          <w:color w:val="000000" w:themeColor="text1"/>
        </w:rPr>
        <w:t xml:space="preserve">: Glede na navedene ugotovitve proračunski inšpektor na podlagi drugega odstavka 104. člena ZJF Stanovanjskemu skladu Republike Slovenije predlaga okrepitev notranjih kontrol pri sestavi in odpremi knjigovodskih listin </w:t>
      </w:r>
      <w:r>
        <w:rPr>
          <w:b/>
          <w:bCs/>
          <w:color w:val="000000" w:themeColor="text1"/>
        </w:rPr>
        <w:t>sklada</w:t>
      </w:r>
      <w:r w:rsidRPr="008121E3">
        <w:rPr>
          <w:b/>
          <w:bCs/>
          <w:color w:val="000000" w:themeColor="text1"/>
        </w:rPr>
        <w:t xml:space="preserve">, pri čemer naj se o tem obvestijo osebe, ki predlagajo izdajo računa (ažurnost) in osebe zadolžene za pripravo ter podpis in izdajo računa (pravočasnost); o obvestitvi oseb naj sklad </w:t>
      </w:r>
      <w:r>
        <w:rPr>
          <w:b/>
          <w:bCs/>
          <w:color w:val="000000" w:themeColor="text1"/>
        </w:rPr>
        <w:t xml:space="preserve">v roku </w:t>
      </w:r>
      <w:r>
        <w:rPr>
          <w:rFonts w:eastAsia="Times New Roman" w:cs="Arial"/>
          <w:b/>
          <w:bCs/>
          <w:szCs w:val="20"/>
        </w:rPr>
        <w:t xml:space="preserve">15 dni od prejema tega zapisnika </w:t>
      </w:r>
      <w:r w:rsidRPr="008121E3">
        <w:rPr>
          <w:b/>
          <w:bCs/>
          <w:color w:val="000000" w:themeColor="text1"/>
        </w:rPr>
        <w:t>predloži dokazilo inšpekcijskemu organu.</w:t>
      </w:r>
    </w:p>
    <w:p w14:paraId="1211CF31" w14:textId="77777777" w:rsidR="00051C1E" w:rsidRDefault="00051C1E" w:rsidP="00051C1E">
      <w:pPr>
        <w:pStyle w:val="Naslovdostopnost"/>
      </w:pPr>
    </w:p>
    <w:p w14:paraId="7F6779C3" w14:textId="383F1D34" w:rsidR="00C55243" w:rsidRPr="00585C98" w:rsidRDefault="00C55243" w:rsidP="00C55243">
      <w:pPr>
        <w:jc w:val="both"/>
      </w:pPr>
      <w:r w:rsidRPr="00585C98">
        <w:t>V letu 2023 je SSRS iz naslova Mehanizma za okrevanje in odpornost za dokončane projekte pri zagotavljanju 269 novih najemnih stanovanj v okviru šestih projektov Spodnje Preloge, Šmarje pri Jelšah, 1. in 2. faza projekta Pod pekrsko gorco, Rogaška Slatina, projekt Harpf v Slovenj Gradcu in Sveta Ana, pridobil sredstva v skupni višini 14.147.795,50 EUR.</w:t>
      </w:r>
    </w:p>
    <w:p w14:paraId="761C04F7" w14:textId="5412DD88" w:rsidR="00C55243" w:rsidRDefault="00C55243" w:rsidP="00C55243">
      <w:pPr>
        <w:jc w:val="both"/>
        <w:rPr>
          <w:color w:val="000000" w:themeColor="text1"/>
        </w:rPr>
      </w:pPr>
      <w:r w:rsidRPr="006A3C58">
        <w:rPr>
          <w:color w:val="000000" w:themeColor="text1"/>
        </w:rPr>
        <w:t xml:space="preserve">Inšpekcijski organ </w:t>
      </w:r>
      <w:r>
        <w:rPr>
          <w:color w:val="000000" w:themeColor="text1"/>
        </w:rPr>
        <w:t xml:space="preserve">je </w:t>
      </w:r>
      <w:r w:rsidRPr="006A3C58">
        <w:rPr>
          <w:color w:val="000000" w:themeColor="text1"/>
        </w:rPr>
        <w:t>ugot</w:t>
      </w:r>
      <w:r>
        <w:rPr>
          <w:color w:val="000000" w:themeColor="text1"/>
        </w:rPr>
        <w:t>ovil</w:t>
      </w:r>
      <w:r w:rsidRPr="006A3C58">
        <w:rPr>
          <w:color w:val="000000" w:themeColor="text1"/>
        </w:rPr>
        <w:t xml:space="preserve">, da </w:t>
      </w:r>
      <w:r>
        <w:rPr>
          <w:color w:val="000000" w:themeColor="text1"/>
        </w:rPr>
        <w:t>iz računa za opravljeno aktivnost</w:t>
      </w:r>
      <w:r w:rsidRPr="006A3C58">
        <w:rPr>
          <w:color w:val="000000" w:themeColor="text1"/>
        </w:rPr>
        <w:t xml:space="preserve"> s strani </w:t>
      </w:r>
      <w:r>
        <w:rPr>
          <w:color w:val="000000" w:themeColor="text1"/>
        </w:rPr>
        <w:t xml:space="preserve">partnerja </w:t>
      </w:r>
      <w:r w:rsidR="00993579">
        <w:rPr>
          <w:color w:val="000000" w:themeColor="text1"/>
        </w:rPr>
        <w:t>N</w:t>
      </w:r>
      <w:r w:rsidR="00993579">
        <w:rPr>
          <w:rFonts w:cs="Arial"/>
          <w:color w:val="000000" w:themeColor="text1"/>
        </w:rPr>
        <w:t>█</w:t>
      </w:r>
      <w:r w:rsidR="00993579">
        <w:rPr>
          <w:color w:val="000000" w:themeColor="text1"/>
        </w:rPr>
        <w:t xml:space="preserve"> d.</w:t>
      </w:r>
      <w:r w:rsidR="00993579" w:rsidRPr="00275D25">
        <w:rPr>
          <w:color w:val="000000" w:themeColor="text1"/>
        </w:rPr>
        <w:t xml:space="preserve">o.o. </w:t>
      </w:r>
      <w:r w:rsidRPr="00275D25">
        <w:rPr>
          <w:color w:val="000000" w:themeColor="text1"/>
        </w:rPr>
        <w:t xml:space="preserve">v višini </w:t>
      </w:r>
      <w:r w:rsidR="008217C9">
        <w:rPr>
          <w:color w:val="000000" w:themeColor="text1"/>
        </w:rPr>
        <w:t>9.516,00</w:t>
      </w:r>
      <w:r w:rsidRPr="00275D25">
        <w:rPr>
          <w:color w:val="000000" w:themeColor="text1"/>
        </w:rPr>
        <w:t xml:space="preserve"> EUR z DDV, ni razvidna specifikacija vrednosti nakupa storitve ali materiala, niti </w:t>
      </w:r>
      <w:r w:rsidRPr="00275D25">
        <w:rPr>
          <w:color w:val="000000" w:themeColor="text1"/>
        </w:rPr>
        <w:lastRenderedPageBreak/>
        <w:t>ni v postopku priložena katera druga knjigovodska listina, ki bi v zvezi s predmetnim računom izkazovala manjkajočo specifikacijo.</w:t>
      </w:r>
      <w:r>
        <w:rPr>
          <w:color w:val="000000" w:themeColor="text1"/>
        </w:rPr>
        <w:t xml:space="preserve"> </w:t>
      </w:r>
    </w:p>
    <w:p w14:paraId="0447C462" w14:textId="77777777" w:rsidR="001E5A01" w:rsidRPr="003F2D80" w:rsidRDefault="001E5A01" w:rsidP="00C55243">
      <w:pPr>
        <w:jc w:val="both"/>
        <w:rPr>
          <w:color w:val="000000" w:themeColor="text1"/>
        </w:rPr>
      </w:pPr>
    </w:p>
    <w:p w14:paraId="2BF75C49" w14:textId="77777777" w:rsidR="00C55243" w:rsidRDefault="00C55243" w:rsidP="00C55243">
      <w:pPr>
        <w:jc w:val="both"/>
        <w:rPr>
          <w:color w:val="000000" w:themeColor="text1"/>
        </w:rPr>
      </w:pPr>
    </w:p>
    <w:p w14:paraId="32D6BF87" w14:textId="77777777" w:rsidR="00C55243" w:rsidRPr="009300AF" w:rsidRDefault="00C55243" w:rsidP="00C55243">
      <w:pPr>
        <w:pBdr>
          <w:top w:val="single" w:sz="4" w:space="1" w:color="auto"/>
          <w:left w:val="single" w:sz="4" w:space="4" w:color="auto"/>
          <w:bottom w:val="single" w:sz="4" w:space="1" w:color="auto"/>
          <w:right w:val="single" w:sz="4" w:space="4" w:color="auto"/>
        </w:pBdr>
        <w:spacing w:line="276" w:lineRule="auto"/>
        <w:jc w:val="both"/>
        <w:rPr>
          <w:rFonts w:eastAsia="Times New Roman" w:cs="Arial"/>
          <w:b/>
          <w:bCs/>
          <w:szCs w:val="20"/>
        </w:rPr>
      </w:pPr>
      <w:r w:rsidRPr="008121E3">
        <w:rPr>
          <w:rFonts w:eastAsia="Times New Roman" w:cs="Arial"/>
          <w:b/>
          <w:bCs/>
          <w:color w:val="000000" w:themeColor="text1"/>
          <w:szCs w:val="20"/>
        </w:rPr>
        <w:t xml:space="preserve">UKREP ŠT. </w:t>
      </w:r>
      <w:r>
        <w:rPr>
          <w:rFonts w:eastAsia="Times New Roman" w:cs="Arial"/>
          <w:b/>
          <w:bCs/>
          <w:color w:val="000000" w:themeColor="text1"/>
          <w:szCs w:val="20"/>
        </w:rPr>
        <w:t>3</w:t>
      </w:r>
      <w:r w:rsidRPr="008121E3">
        <w:rPr>
          <w:rFonts w:eastAsia="Times New Roman" w:cs="Arial"/>
          <w:b/>
          <w:bCs/>
          <w:color w:val="000000" w:themeColor="text1"/>
          <w:szCs w:val="20"/>
        </w:rPr>
        <w:t xml:space="preserve">: Proračunski inšpektor glede na gornje ugotovitve na podlagi drugega odstavka 104. člena ZJF </w:t>
      </w:r>
      <w:r w:rsidRPr="009426A9">
        <w:rPr>
          <w:rFonts w:eastAsia="Times New Roman" w:cs="Arial"/>
          <w:b/>
          <w:bCs/>
          <w:szCs w:val="20"/>
        </w:rPr>
        <w:t xml:space="preserve">predlaga, da proračunski uporabnik </w:t>
      </w:r>
      <w:r>
        <w:rPr>
          <w:rFonts w:eastAsia="Times New Roman" w:cs="Arial"/>
          <w:b/>
          <w:bCs/>
          <w:szCs w:val="20"/>
        </w:rPr>
        <w:t>Stanovanjski sklad Republike Slovenije</w:t>
      </w:r>
      <w:r w:rsidRPr="009426A9">
        <w:rPr>
          <w:rFonts w:eastAsia="Times New Roman" w:cs="Arial"/>
          <w:b/>
          <w:bCs/>
          <w:szCs w:val="20"/>
        </w:rPr>
        <w:t xml:space="preserve"> okrepi notranje kontrole </w:t>
      </w:r>
      <w:r>
        <w:rPr>
          <w:rFonts w:eastAsia="Times New Roman" w:cs="Arial"/>
          <w:b/>
          <w:bCs/>
          <w:szCs w:val="20"/>
        </w:rPr>
        <w:t xml:space="preserve">na </w:t>
      </w:r>
      <w:r w:rsidRPr="009426A9">
        <w:rPr>
          <w:rFonts w:eastAsia="Times New Roman" w:cs="Arial"/>
          <w:b/>
          <w:bCs/>
          <w:szCs w:val="20"/>
        </w:rPr>
        <w:t xml:space="preserve">področju </w:t>
      </w:r>
      <w:r>
        <w:rPr>
          <w:rFonts w:eastAsia="Times New Roman" w:cs="Arial"/>
          <w:b/>
          <w:bCs/>
          <w:szCs w:val="20"/>
        </w:rPr>
        <w:t xml:space="preserve">sprejemanja in evidentiranja knjigovodskih listin, ki so podlaga za knjiženje odhodkov ter da izplačila izvaja le na podlagi verodostojnih knjigovodskih listin. Stanovanjski sklad Republike Slovenije naj v roku 15 dni od prejema tega zapisnika </w:t>
      </w:r>
      <w:r w:rsidRPr="00073656">
        <w:rPr>
          <w:rFonts w:eastAsia="Times New Roman" w:cs="Arial"/>
          <w:b/>
          <w:bCs/>
          <w:color w:val="FF0000"/>
          <w:szCs w:val="20"/>
        </w:rPr>
        <w:t xml:space="preserve"> </w:t>
      </w:r>
      <w:r>
        <w:rPr>
          <w:rFonts w:eastAsia="Times New Roman" w:cs="Arial"/>
          <w:b/>
          <w:bCs/>
          <w:szCs w:val="20"/>
        </w:rPr>
        <w:t>posreduje dokazilo, da so bile z ukrepom seznanjene osebe, ki izvajajo notranje kontrole, potrjujejo prejete račune in jih evidentirajo.</w:t>
      </w:r>
    </w:p>
    <w:p w14:paraId="47AEEDCD" w14:textId="77777777" w:rsidR="00B714A7" w:rsidRDefault="00B714A7" w:rsidP="00C55243">
      <w:pPr>
        <w:jc w:val="both"/>
        <w:rPr>
          <w:b/>
          <w:bCs/>
          <w:color w:val="000000" w:themeColor="text1"/>
        </w:rPr>
      </w:pPr>
    </w:p>
    <w:p w14:paraId="05807A34" w14:textId="26272B25" w:rsidR="00C55243" w:rsidRDefault="00C55243" w:rsidP="00C55243">
      <w:pPr>
        <w:jc w:val="both"/>
        <w:rPr>
          <w:b/>
          <w:bCs/>
          <w:color w:val="000000" w:themeColor="text1"/>
        </w:rPr>
      </w:pPr>
      <w:r>
        <w:rPr>
          <w:b/>
          <w:bCs/>
          <w:color w:val="000000" w:themeColor="text1"/>
        </w:rPr>
        <w:t>SKLEP:</w:t>
      </w:r>
    </w:p>
    <w:p w14:paraId="1E5EAEDE" w14:textId="77777777" w:rsidR="00D240A5" w:rsidRDefault="00D240A5" w:rsidP="00C55243">
      <w:pPr>
        <w:jc w:val="both"/>
        <w:rPr>
          <w:b/>
          <w:bCs/>
          <w:color w:val="000000" w:themeColor="text1"/>
        </w:rPr>
      </w:pPr>
    </w:p>
    <w:p w14:paraId="3CAD7212" w14:textId="113BFCD8" w:rsidR="006C3F97" w:rsidRPr="00A96247" w:rsidRDefault="00A019A1" w:rsidP="00D3551C">
      <w:pPr>
        <w:pBdr>
          <w:top w:val="single" w:sz="4" w:space="1" w:color="auto"/>
          <w:left w:val="single" w:sz="4" w:space="4" w:color="auto"/>
          <w:bottom w:val="single" w:sz="4" w:space="1" w:color="auto"/>
          <w:right w:val="single" w:sz="4" w:space="4" w:color="auto"/>
        </w:pBdr>
        <w:jc w:val="both"/>
        <w:rPr>
          <w:b/>
          <w:bCs/>
          <w:color w:val="000000" w:themeColor="text1"/>
        </w:rPr>
      </w:pPr>
      <w:r w:rsidRPr="00A96247">
        <w:rPr>
          <w:b/>
          <w:bCs/>
          <w:color w:val="000000" w:themeColor="text1"/>
        </w:rPr>
        <w:t>Stanovanjski sklad Republike Slovenije</w:t>
      </w:r>
      <w:r w:rsidR="00F31F4E" w:rsidRPr="00A96247">
        <w:rPr>
          <w:b/>
          <w:bCs/>
          <w:color w:val="000000" w:themeColor="text1"/>
        </w:rPr>
        <w:t xml:space="preserve"> naj o realizaciji ukrep</w:t>
      </w:r>
      <w:r w:rsidR="003C584D" w:rsidRPr="00A96247">
        <w:rPr>
          <w:b/>
          <w:bCs/>
          <w:color w:val="000000" w:themeColor="text1"/>
        </w:rPr>
        <w:t>ov</w:t>
      </w:r>
      <w:r w:rsidR="00F31F4E" w:rsidRPr="00A96247">
        <w:rPr>
          <w:b/>
          <w:bCs/>
          <w:color w:val="000000" w:themeColor="text1"/>
        </w:rPr>
        <w:t xml:space="preserve"> pisno obvesti Urad RS za nadzor proračuna s predložitvijo ustreznih dokazil najkasneje </w:t>
      </w:r>
      <w:r w:rsidR="00A96247" w:rsidRPr="00A96247">
        <w:rPr>
          <w:b/>
          <w:bCs/>
          <w:color w:val="000000" w:themeColor="text1"/>
        </w:rPr>
        <w:t xml:space="preserve"> v 15 dneh od dneva prejema tega zapisnika</w:t>
      </w:r>
      <w:r w:rsidR="00F31F4E" w:rsidRPr="00A96247">
        <w:rPr>
          <w:b/>
          <w:bCs/>
          <w:color w:val="000000" w:themeColor="text1"/>
        </w:rPr>
        <w:t>.</w:t>
      </w:r>
    </w:p>
    <w:p w14:paraId="48FC6582" w14:textId="77777777" w:rsidR="00F31F4E" w:rsidRDefault="00F31F4E" w:rsidP="00FF358E">
      <w:pPr>
        <w:pStyle w:val="podpisi"/>
        <w:tabs>
          <w:tab w:val="clear" w:pos="3402"/>
        </w:tabs>
        <w:spacing w:line="260" w:lineRule="atLeast"/>
        <w:jc w:val="both"/>
        <w:rPr>
          <w:rFonts w:cs="Arial"/>
          <w:szCs w:val="20"/>
          <w:lang w:val="sl-SI"/>
        </w:rPr>
      </w:pPr>
    </w:p>
    <w:p w14:paraId="65B8BCBB" w14:textId="6598DA5F" w:rsidR="000D1F6A" w:rsidRPr="00FF358E" w:rsidRDefault="00FF358E" w:rsidP="00FF358E">
      <w:pPr>
        <w:pStyle w:val="podpisi"/>
        <w:tabs>
          <w:tab w:val="clear" w:pos="3402"/>
        </w:tabs>
        <w:spacing w:line="260" w:lineRule="atLeast"/>
        <w:jc w:val="both"/>
        <w:rPr>
          <w:rFonts w:cs="Arial"/>
          <w:b/>
          <w:bCs/>
          <w:szCs w:val="20"/>
          <w:lang w:val="sl-SI"/>
        </w:rPr>
      </w:pPr>
      <w:r w:rsidRPr="00FF358E">
        <w:rPr>
          <w:rFonts w:cs="Arial"/>
          <w:szCs w:val="20"/>
          <w:lang w:val="sl-SI"/>
        </w:rPr>
        <w:t xml:space="preserve">V skladu s 116. členom </w:t>
      </w:r>
      <w:r w:rsidRPr="00FF358E">
        <w:rPr>
          <w:rFonts w:cs="Arial"/>
          <w:szCs w:val="20"/>
          <w:lang w:val="sl-SI" w:eastAsia="sl-SI"/>
        </w:rPr>
        <w:t>Zakona o splošnem upravnem postopku</w:t>
      </w:r>
      <w:r w:rsidR="003E4201">
        <w:rPr>
          <w:rFonts w:cs="Arial"/>
          <w:szCs w:val="20"/>
          <w:lang w:val="sl-SI" w:eastAsia="sl-SI"/>
        </w:rPr>
        <w:t xml:space="preserve"> - ZUP</w:t>
      </w:r>
      <w:r w:rsidR="00B2410A">
        <w:rPr>
          <w:rStyle w:val="Sprotnaopomba-sklic"/>
          <w:rFonts w:cs="Arial"/>
          <w:szCs w:val="20"/>
          <w:lang w:val="sl-SI" w:eastAsia="sl-SI"/>
        </w:rPr>
        <w:footnoteReference w:id="11"/>
      </w:r>
      <w:r w:rsidRPr="00FF358E">
        <w:rPr>
          <w:rFonts w:cs="Arial"/>
          <w:szCs w:val="20"/>
          <w:lang w:val="sl-SI" w:eastAsia="sl-SI"/>
        </w:rPr>
        <w:t xml:space="preserve"> </w:t>
      </w:r>
      <w:r w:rsidRPr="00FF358E">
        <w:rPr>
          <w:rFonts w:cs="Arial"/>
          <w:szCs w:val="20"/>
          <w:lang w:val="sl-SI"/>
        </w:rPr>
        <w:t>mora stranka povrnitev morebitnih nastalih stroškov zahtevati do izdaje odločbe, sicer izgubi pravico do povrnitve stroškov.</w:t>
      </w:r>
    </w:p>
    <w:p w14:paraId="153DD31A" w14:textId="77777777" w:rsidR="00803E30" w:rsidRPr="00FF358E" w:rsidRDefault="00803E30" w:rsidP="00FF358E">
      <w:pPr>
        <w:pStyle w:val="podpisi"/>
        <w:tabs>
          <w:tab w:val="clear" w:pos="3402"/>
        </w:tabs>
        <w:spacing w:line="260" w:lineRule="atLeast"/>
        <w:jc w:val="both"/>
        <w:rPr>
          <w:rFonts w:cs="Arial"/>
          <w:b/>
          <w:bCs/>
          <w:szCs w:val="20"/>
          <w:lang w:val="sl-SI"/>
        </w:rPr>
      </w:pPr>
    </w:p>
    <w:p w14:paraId="28D392FB" w14:textId="63A10E9D" w:rsidR="00803E30" w:rsidRPr="005564ED" w:rsidRDefault="00803E30" w:rsidP="005564ED">
      <w:pPr>
        <w:rPr>
          <w:b/>
          <w:bCs/>
        </w:rPr>
      </w:pPr>
      <w:r w:rsidRPr="005564ED">
        <w:rPr>
          <w:b/>
          <w:bCs/>
        </w:rPr>
        <w:t>Pouk o pravnem sredstvu</w:t>
      </w:r>
    </w:p>
    <w:p w14:paraId="5E7BE42E" w14:textId="7DE3429C" w:rsidR="00803E30" w:rsidRPr="00FF358E" w:rsidRDefault="00803E30" w:rsidP="00FF358E">
      <w:pPr>
        <w:tabs>
          <w:tab w:val="center" w:pos="4320"/>
          <w:tab w:val="center" w:pos="5245"/>
          <w:tab w:val="right" w:pos="8640"/>
        </w:tabs>
        <w:jc w:val="both"/>
        <w:rPr>
          <w:rFonts w:cs="Arial"/>
          <w:szCs w:val="20"/>
        </w:rPr>
      </w:pPr>
      <w:r w:rsidRPr="00FF358E">
        <w:rPr>
          <w:rFonts w:cs="Arial"/>
          <w:szCs w:val="20"/>
        </w:rPr>
        <w:t xml:space="preserve">Zoper ta zapisnik so dovoljene pripombe na Ministrstvo za finance, Urad Republike Slovenije za nadzor proračuna, Fajfarjeva ulica 33, </w:t>
      </w:r>
      <w:r w:rsidR="00623663">
        <w:rPr>
          <w:rFonts w:cs="Arial"/>
          <w:szCs w:val="20"/>
        </w:rPr>
        <w:t>1502</w:t>
      </w:r>
      <w:r w:rsidRPr="00FF358E">
        <w:rPr>
          <w:rFonts w:cs="Arial"/>
          <w:szCs w:val="20"/>
        </w:rPr>
        <w:t xml:space="preserve"> Ljubljana</w:t>
      </w:r>
      <w:r w:rsidR="00227FB0" w:rsidRPr="00FF358E">
        <w:rPr>
          <w:rFonts w:cs="Arial"/>
          <w:szCs w:val="20"/>
        </w:rPr>
        <w:t xml:space="preserve"> </w:t>
      </w:r>
      <w:r w:rsidR="00227FB0" w:rsidRPr="00623663">
        <w:rPr>
          <w:rFonts w:cs="Arial"/>
          <w:szCs w:val="20"/>
        </w:rPr>
        <w:t xml:space="preserve">ali na elektronski naslov </w:t>
      </w:r>
      <w:hyperlink r:id="rId13" w:history="1">
        <w:r w:rsidR="00227FB0" w:rsidRPr="00623663">
          <w:rPr>
            <w:rStyle w:val="Hiperpovezava"/>
            <w:rFonts w:cs="Arial"/>
            <w:color w:val="auto"/>
            <w:szCs w:val="20"/>
          </w:rPr>
          <w:t>mf.unp@gov.si</w:t>
        </w:r>
      </w:hyperlink>
      <w:r w:rsidRPr="00FF358E">
        <w:rPr>
          <w:rFonts w:cs="Arial"/>
          <w:szCs w:val="20"/>
        </w:rPr>
        <w:t>, v roku 15 dni po vročitvi zapisnika.</w:t>
      </w:r>
    </w:p>
    <w:p w14:paraId="48881748" w14:textId="77777777" w:rsidR="00DE69BE" w:rsidRDefault="00DE69BE" w:rsidP="00FF358E">
      <w:pPr>
        <w:pStyle w:val="podpisi"/>
        <w:tabs>
          <w:tab w:val="clear" w:pos="3402"/>
        </w:tabs>
        <w:spacing w:line="260" w:lineRule="atLeast"/>
        <w:jc w:val="both"/>
        <w:rPr>
          <w:rFonts w:cs="Arial"/>
          <w:b/>
          <w:bCs/>
          <w:szCs w:val="20"/>
          <w:lang w:val="sl-SI"/>
        </w:rPr>
      </w:pPr>
    </w:p>
    <w:p w14:paraId="08E05A48" w14:textId="77777777" w:rsidR="00574700" w:rsidRPr="00FF358E" w:rsidRDefault="00574700" w:rsidP="00FF358E">
      <w:pPr>
        <w:pStyle w:val="podpisi"/>
        <w:tabs>
          <w:tab w:val="clear" w:pos="3402"/>
        </w:tabs>
        <w:spacing w:line="260" w:lineRule="atLeast"/>
        <w:jc w:val="both"/>
        <w:rPr>
          <w:rFonts w:cs="Arial"/>
          <w:b/>
          <w:bCs/>
          <w:szCs w:val="20"/>
          <w:lang w:val="sl-SI"/>
        </w:rPr>
      </w:pPr>
    </w:p>
    <w:p w14:paraId="76486431" w14:textId="3A3EDB67" w:rsidR="000B02AF" w:rsidRPr="00585938" w:rsidRDefault="00693FDD" w:rsidP="000B02AF">
      <w:pPr>
        <w:spacing w:line="276" w:lineRule="auto"/>
        <w:jc w:val="center"/>
        <w:rPr>
          <w:rFonts w:cs="Arial"/>
          <w:color w:val="000000" w:themeColor="text1"/>
          <w:szCs w:val="20"/>
        </w:rPr>
      </w:pPr>
      <w:r>
        <w:rPr>
          <w:rFonts w:cs="Arial"/>
          <w:color w:val="000000" w:themeColor="text1"/>
          <w:szCs w:val="20"/>
        </w:rPr>
        <w:t xml:space="preserve">     </w:t>
      </w:r>
      <w:r w:rsidR="008217C9">
        <w:rPr>
          <w:rFonts w:cs="Arial"/>
          <w:color w:val="000000" w:themeColor="text1"/>
          <w:szCs w:val="20"/>
        </w:rPr>
        <w:t>█</w:t>
      </w:r>
    </w:p>
    <w:p w14:paraId="52389320" w14:textId="61039C29" w:rsidR="000B02AF" w:rsidRPr="00585938" w:rsidRDefault="00693FDD" w:rsidP="000B02AF">
      <w:pPr>
        <w:spacing w:line="276" w:lineRule="auto"/>
        <w:jc w:val="center"/>
        <w:rPr>
          <w:rFonts w:cs="Arial"/>
          <w:color w:val="000000" w:themeColor="text1"/>
          <w:szCs w:val="20"/>
        </w:rPr>
      </w:pPr>
      <w:r>
        <w:rPr>
          <w:rFonts w:cs="Arial"/>
          <w:color w:val="000000" w:themeColor="text1"/>
          <w:szCs w:val="20"/>
        </w:rPr>
        <w:t xml:space="preserve">     </w:t>
      </w:r>
      <w:r w:rsidR="000B02AF">
        <w:rPr>
          <w:rFonts w:cs="Arial"/>
          <w:color w:val="000000" w:themeColor="text1"/>
          <w:szCs w:val="20"/>
        </w:rPr>
        <w:t>PRORAČUNSKI INŠPEKTOR</w:t>
      </w:r>
    </w:p>
    <w:p w14:paraId="5F711F0B" w14:textId="55E52250" w:rsidR="000B02AF" w:rsidRDefault="00693FDD" w:rsidP="000B02AF">
      <w:pPr>
        <w:spacing w:line="276" w:lineRule="auto"/>
        <w:jc w:val="center"/>
        <w:rPr>
          <w:rFonts w:cs="Arial"/>
          <w:color w:val="000000" w:themeColor="text1"/>
          <w:szCs w:val="20"/>
        </w:rPr>
      </w:pPr>
      <w:r>
        <w:rPr>
          <w:rFonts w:cs="Arial"/>
          <w:color w:val="000000" w:themeColor="text1"/>
          <w:szCs w:val="20"/>
        </w:rPr>
        <w:t xml:space="preserve">     </w:t>
      </w:r>
      <w:r w:rsidR="000B02AF" w:rsidRPr="00585938">
        <w:rPr>
          <w:rFonts w:cs="Arial"/>
          <w:color w:val="000000" w:themeColor="text1"/>
          <w:szCs w:val="20"/>
        </w:rPr>
        <w:t>Inšpektor</w:t>
      </w:r>
      <w:r w:rsidR="000B02AF">
        <w:rPr>
          <w:rFonts w:cs="Arial"/>
          <w:color w:val="000000" w:themeColor="text1"/>
          <w:szCs w:val="20"/>
        </w:rPr>
        <w:t xml:space="preserve"> </w:t>
      </w:r>
      <w:r w:rsidR="00B6773B">
        <w:rPr>
          <w:rFonts w:cs="Arial"/>
          <w:color w:val="000000" w:themeColor="text1"/>
          <w:szCs w:val="20"/>
        </w:rPr>
        <w:t>–</w:t>
      </w:r>
      <w:r w:rsidR="00524E72">
        <w:rPr>
          <w:rFonts w:cs="Arial"/>
          <w:color w:val="000000" w:themeColor="text1"/>
          <w:szCs w:val="20"/>
        </w:rPr>
        <w:t xml:space="preserve"> </w:t>
      </w:r>
      <w:r w:rsidR="00B6773B">
        <w:rPr>
          <w:rFonts w:cs="Arial"/>
          <w:color w:val="000000" w:themeColor="text1"/>
          <w:szCs w:val="20"/>
        </w:rPr>
        <w:t xml:space="preserve">višji </w:t>
      </w:r>
      <w:r w:rsidR="000B02AF" w:rsidRPr="00585938">
        <w:rPr>
          <w:rFonts w:cs="Arial"/>
          <w:color w:val="000000" w:themeColor="text1"/>
          <w:szCs w:val="20"/>
        </w:rPr>
        <w:t>svetni</w:t>
      </w:r>
      <w:r w:rsidR="000B02AF">
        <w:rPr>
          <w:rFonts w:cs="Arial"/>
          <w:color w:val="000000" w:themeColor="text1"/>
          <w:szCs w:val="20"/>
        </w:rPr>
        <w:t>k</w:t>
      </w:r>
    </w:p>
    <w:p w14:paraId="6C1E2CD5" w14:textId="77777777" w:rsidR="00B6773B" w:rsidRDefault="00B6773B" w:rsidP="000B02AF">
      <w:pPr>
        <w:spacing w:line="276" w:lineRule="auto"/>
        <w:jc w:val="center"/>
        <w:rPr>
          <w:rFonts w:cs="Arial"/>
          <w:color w:val="000000" w:themeColor="text1"/>
          <w:szCs w:val="20"/>
        </w:rPr>
      </w:pPr>
    </w:p>
    <w:p w14:paraId="06B56E4A" w14:textId="77777777" w:rsidR="00D240A5" w:rsidRDefault="00D240A5" w:rsidP="00FF358E">
      <w:pPr>
        <w:pStyle w:val="podpisi"/>
        <w:tabs>
          <w:tab w:val="clear" w:pos="3402"/>
        </w:tabs>
        <w:spacing w:line="260" w:lineRule="atLeast"/>
        <w:jc w:val="both"/>
        <w:rPr>
          <w:rFonts w:cs="Arial"/>
          <w:szCs w:val="20"/>
          <w:lang w:val="sl-SI"/>
        </w:rPr>
      </w:pPr>
    </w:p>
    <w:p w14:paraId="24C3B2E4" w14:textId="234AC6B2" w:rsidR="00803E30" w:rsidRPr="00FF358E" w:rsidRDefault="00803E30" w:rsidP="00FF358E">
      <w:pPr>
        <w:pStyle w:val="podpisi"/>
        <w:tabs>
          <w:tab w:val="clear" w:pos="3402"/>
        </w:tabs>
        <w:spacing w:line="260" w:lineRule="atLeast"/>
        <w:jc w:val="both"/>
        <w:rPr>
          <w:rFonts w:cs="Arial"/>
          <w:szCs w:val="20"/>
          <w:lang w:val="sl-SI"/>
        </w:rPr>
      </w:pPr>
      <w:r w:rsidRPr="00FF358E">
        <w:rPr>
          <w:rFonts w:cs="Arial"/>
          <w:szCs w:val="20"/>
          <w:lang w:val="sl-SI"/>
        </w:rPr>
        <w:t xml:space="preserve">Vročiti: </w:t>
      </w:r>
      <w:r w:rsidR="00A150C8">
        <w:rPr>
          <w:rFonts w:cs="Arial"/>
          <w:szCs w:val="20"/>
          <w:lang w:val="sl-SI"/>
        </w:rPr>
        <w:t xml:space="preserve">- </w:t>
      </w:r>
      <w:r w:rsidR="00DC5703">
        <w:rPr>
          <w:rFonts w:cs="Arial"/>
          <w:szCs w:val="20"/>
          <w:lang w:val="sl-SI"/>
        </w:rPr>
        <w:t>Stanovanjski sklad RS</w:t>
      </w:r>
      <w:r w:rsidR="00F31F4E">
        <w:rPr>
          <w:rFonts w:cs="Arial"/>
          <w:szCs w:val="20"/>
          <w:lang w:val="sl-SI"/>
        </w:rPr>
        <w:t xml:space="preserve">, </w:t>
      </w:r>
      <w:r w:rsidR="00DC5703">
        <w:rPr>
          <w:rFonts w:cs="Arial"/>
          <w:szCs w:val="20"/>
          <w:lang w:val="sl-SI"/>
        </w:rPr>
        <w:t>Poljanska cesta 31</w:t>
      </w:r>
      <w:r w:rsidR="003C584D">
        <w:rPr>
          <w:rFonts w:cs="Arial"/>
          <w:szCs w:val="20"/>
          <w:lang w:val="sl-SI"/>
        </w:rPr>
        <w:t xml:space="preserve">, </w:t>
      </w:r>
      <w:r w:rsidR="00DC5703">
        <w:rPr>
          <w:rFonts w:cs="Arial"/>
          <w:szCs w:val="20"/>
          <w:lang w:val="sl-SI"/>
        </w:rPr>
        <w:t>1</w:t>
      </w:r>
      <w:r w:rsidR="003C584D">
        <w:rPr>
          <w:rFonts w:cs="Arial"/>
          <w:szCs w:val="20"/>
          <w:lang w:val="sl-SI"/>
        </w:rPr>
        <w:t xml:space="preserve">000 </w:t>
      </w:r>
      <w:r w:rsidR="00DC5703">
        <w:rPr>
          <w:rFonts w:cs="Arial"/>
          <w:szCs w:val="20"/>
          <w:lang w:val="sl-SI"/>
        </w:rPr>
        <w:t>Ljubljana</w:t>
      </w:r>
      <w:r w:rsidR="007D290D" w:rsidRPr="00FF358E">
        <w:rPr>
          <w:rFonts w:cs="Arial"/>
          <w:color w:val="FF0000"/>
          <w:szCs w:val="20"/>
          <w:lang w:val="sl-SI"/>
        </w:rPr>
        <w:t xml:space="preserve"> </w:t>
      </w:r>
      <w:r w:rsidRPr="00FF358E">
        <w:rPr>
          <w:rFonts w:cs="Arial"/>
          <w:szCs w:val="20"/>
          <w:lang w:val="sl-SI"/>
        </w:rPr>
        <w:t>– po ZUP</w:t>
      </w:r>
    </w:p>
    <w:sectPr w:rsidR="00803E30" w:rsidRPr="00FF358E" w:rsidSect="00CD41B7">
      <w:type w:val="continuous"/>
      <w:pgSz w:w="11906" w:h="16838"/>
      <w:pgMar w:top="1276"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535FF" w14:textId="77777777" w:rsidR="006F4145" w:rsidRDefault="006F4145" w:rsidP="00803BB2">
      <w:pPr>
        <w:spacing w:line="240" w:lineRule="auto"/>
      </w:pPr>
      <w:r>
        <w:separator/>
      </w:r>
    </w:p>
  </w:endnote>
  <w:endnote w:type="continuationSeparator" w:id="0">
    <w:p w14:paraId="45B9D9D1" w14:textId="77777777" w:rsidR="006F4145" w:rsidRDefault="006F4145" w:rsidP="0080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416015"/>
      <w:docPartObj>
        <w:docPartGallery w:val="Page Numbers (Bottom of Page)"/>
        <w:docPartUnique/>
      </w:docPartObj>
    </w:sdtPr>
    <w:sdtContent>
      <w:sdt>
        <w:sdtPr>
          <w:id w:val="-1769616900"/>
          <w:docPartObj>
            <w:docPartGallery w:val="Page Numbers (Top of Page)"/>
            <w:docPartUnique/>
          </w:docPartObj>
        </w:sdtPr>
        <w:sdtContent>
          <w:p w14:paraId="29957EC1" w14:textId="016BD655" w:rsidR="00127976" w:rsidRDefault="00127976">
            <w:pPr>
              <w:pStyle w:val="Noga"/>
              <w:jc w:val="right"/>
            </w:pPr>
            <w:r w:rsidRPr="00127976">
              <w:rPr>
                <w:rFonts w:cs="Arial"/>
                <w:szCs w:val="20"/>
              </w:rPr>
              <w:fldChar w:fldCharType="begin"/>
            </w:r>
            <w:r w:rsidRPr="00127976">
              <w:rPr>
                <w:rFonts w:cs="Arial"/>
                <w:szCs w:val="20"/>
              </w:rPr>
              <w:instrText>PAGE</w:instrText>
            </w:r>
            <w:r w:rsidRPr="00127976">
              <w:rPr>
                <w:rFonts w:cs="Arial"/>
                <w:szCs w:val="20"/>
              </w:rPr>
              <w:fldChar w:fldCharType="separate"/>
            </w:r>
            <w:r w:rsidRPr="00127976">
              <w:rPr>
                <w:rFonts w:cs="Arial"/>
                <w:szCs w:val="20"/>
              </w:rPr>
              <w:t>2</w:t>
            </w:r>
            <w:r w:rsidRPr="00127976">
              <w:rPr>
                <w:rFonts w:cs="Arial"/>
                <w:szCs w:val="20"/>
              </w:rPr>
              <w:fldChar w:fldCharType="end"/>
            </w:r>
            <w:r w:rsidRPr="00127976">
              <w:rPr>
                <w:rFonts w:cs="Arial"/>
                <w:szCs w:val="20"/>
              </w:rPr>
              <w:t>/</w:t>
            </w:r>
            <w:r w:rsidRPr="00127976">
              <w:rPr>
                <w:rFonts w:cs="Arial"/>
                <w:szCs w:val="20"/>
              </w:rPr>
              <w:fldChar w:fldCharType="begin"/>
            </w:r>
            <w:r w:rsidRPr="00127976">
              <w:rPr>
                <w:rFonts w:cs="Arial"/>
                <w:szCs w:val="20"/>
              </w:rPr>
              <w:instrText>NUMPAGES</w:instrText>
            </w:r>
            <w:r w:rsidRPr="00127976">
              <w:rPr>
                <w:rFonts w:cs="Arial"/>
                <w:szCs w:val="20"/>
              </w:rPr>
              <w:fldChar w:fldCharType="separate"/>
            </w:r>
            <w:r w:rsidRPr="00127976">
              <w:rPr>
                <w:rFonts w:cs="Arial"/>
                <w:szCs w:val="20"/>
              </w:rPr>
              <w:t>2</w:t>
            </w:r>
            <w:r w:rsidRPr="00127976">
              <w:rPr>
                <w:rFonts w:cs="Arial"/>
                <w:szCs w:val="20"/>
              </w:rPr>
              <w:fldChar w:fldCharType="end"/>
            </w:r>
          </w:p>
        </w:sdtContent>
      </w:sdt>
    </w:sdtContent>
  </w:sdt>
  <w:p w14:paraId="1697247E" w14:textId="77777777" w:rsidR="00127976" w:rsidRDefault="001279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F890" w14:textId="77777777" w:rsidR="006F4145" w:rsidRDefault="006F4145" w:rsidP="00803BB2">
      <w:pPr>
        <w:spacing w:line="240" w:lineRule="auto"/>
      </w:pPr>
      <w:r>
        <w:separator/>
      </w:r>
    </w:p>
  </w:footnote>
  <w:footnote w:type="continuationSeparator" w:id="0">
    <w:p w14:paraId="7260FFBA" w14:textId="77777777" w:rsidR="006F4145" w:rsidRDefault="006F4145" w:rsidP="00803BB2">
      <w:pPr>
        <w:spacing w:line="240" w:lineRule="auto"/>
      </w:pPr>
      <w:r>
        <w:continuationSeparator/>
      </w:r>
    </w:p>
  </w:footnote>
  <w:footnote w:id="1">
    <w:p w14:paraId="20A97C7F" w14:textId="7F9C394C" w:rsidR="007F7A67" w:rsidRPr="008F14FC" w:rsidRDefault="007F7A67" w:rsidP="000B2EF9">
      <w:pPr>
        <w:pStyle w:val="Sprotnaopomba-besedilo"/>
        <w:jc w:val="both"/>
        <w:rPr>
          <w:rFonts w:cs="Arial"/>
          <w:strike/>
          <w:sz w:val="16"/>
          <w:szCs w:val="16"/>
          <w:shd w:val="clear" w:color="auto" w:fill="FFFFFF"/>
        </w:rPr>
      </w:pPr>
      <w:r w:rsidRPr="007837B1">
        <w:rPr>
          <w:rStyle w:val="Sprotnaopomba-sklic"/>
          <w:sz w:val="16"/>
          <w:szCs w:val="16"/>
        </w:rPr>
        <w:footnoteRef/>
      </w:r>
      <w:r>
        <w:t xml:space="preserve"> </w:t>
      </w:r>
      <w:r w:rsidRPr="008A46D1">
        <w:rPr>
          <w:rFonts w:cs="Arial"/>
          <w:sz w:val="16"/>
          <w:szCs w:val="16"/>
        </w:rPr>
        <w:t xml:space="preserve">Zakon o javnih financah </w:t>
      </w:r>
      <w:r w:rsidRPr="008A46D1">
        <w:rPr>
          <w:rFonts w:cs="Arial"/>
          <w:sz w:val="16"/>
          <w:szCs w:val="16"/>
          <w:shd w:val="clear" w:color="auto" w:fill="FFFFFF"/>
        </w:rPr>
        <w:t>(Uradni list RS, št. </w:t>
      </w:r>
      <w:hyperlink r:id="rId1" w:tgtFrame="_blank" w:tooltip="Zakon o javnih financah (uradno prečiščeno besedilo)" w:history="1">
        <w:r w:rsidRPr="008A46D1">
          <w:rPr>
            <w:rFonts w:cs="Arial"/>
            <w:sz w:val="16"/>
            <w:szCs w:val="16"/>
          </w:rPr>
          <w:t>11/11</w:t>
        </w:r>
      </w:hyperlink>
      <w:r w:rsidRPr="008A46D1">
        <w:rPr>
          <w:rFonts w:cs="Arial"/>
          <w:sz w:val="16"/>
          <w:szCs w:val="16"/>
          <w:shd w:val="clear" w:color="auto" w:fill="FFFFFF"/>
        </w:rPr>
        <w:t> – uradno prečiščeno besedilo, </w:t>
      </w:r>
      <w:hyperlink r:id="rId2" w:tgtFrame="_blank" w:tooltip="Popravek Uradnega prečiščenega besedila Zakona  o javnih financah (ZJF-UPB4p)" w:history="1">
        <w:r w:rsidRPr="008A46D1">
          <w:rPr>
            <w:rFonts w:cs="Arial"/>
            <w:sz w:val="16"/>
            <w:szCs w:val="16"/>
          </w:rPr>
          <w:t>14/13 – popr.</w:t>
        </w:r>
      </w:hyperlink>
      <w:r w:rsidRPr="008A46D1">
        <w:rPr>
          <w:rFonts w:cs="Arial"/>
          <w:sz w:val="16"/>
          <w:szCs w:val="16"/>
          <w:shd w:val="clear" w:color="auto" w:fill="FFFFFF"/>
        </w:rPr>
        <w:t>, </w:t>
      </w:r>
      <w:hyperlink r:id="rId3" w:tgtFrame="_blank" w:tooltip="Zakon o dopolnitvi Zakona o javnih financah" w:history="1">
        <w:r w:rsidRPr="008A46D1">
          <w:rPr>
            <w:rFonts w:cs="Arial"/>
            <w:sz w:val="16"/>
            <w:szCs w:val="16"/>
          </w:rPr>
          <w:t>101/13</w:t>
        </w:r>
      </w:hyperlink>
      <w:r w:rsidRPr="008A46D1">
        <w:rPr>
          <w:rFonts w:cs="Arial"/>
          <w:sz w:val="16"/>
          <w:szCs w:val="16"/>
          <w:shd w:val="clear" w:color="auto" w:fill="FFFFFF"/>
        </w:rPr>
        <w:t>, </w:t>
      </w:r>
      <w:hyperlink r:id="rId4" w:tgtFrame="_blank" w:tooltip="Zakon o fiskalnem pravilu" w:history="1">
        <w:r w:rsidRPr="008A46D1">
          <w:rPr>
            <w:rFonts w:cs="Arial"/>
            <w:sz w:val="16"/>
            <w:szCs w:val="16"/>
          </w:rPr>
          <w:t>55/15</w:t>
        </w:r>
      </w:hyperlink>
      <w:r w:rsidRPr="008A46D1">
        <w:rPr>
          <w:rFonts w:cs="Arial"/>
          <w:sz w:val="16"/>
          <w:szCs w:val="16"/>
          <w:shd w:val="clear" w:color="auto" w:fill="FFFFFF"/>
        </w:rPr>
        <w:t> – ZFisP, </w:t>
      </w:r>
      <w:hyperlink r:id="rId5" w:tgtFrame="_blank" w:tooltip="Zakon o izvrševanju proračunov Republike Slovenije za leti 2016 in 2017" w:history="1">
        <w:r w:rsidRPr="008A46D1">
          <w:rPr>
            <w:rFonts w:cs="Arial"/>
            <w:sz w:val="16"/>
            <w:szCs w:val="16"/>
          </w:rPr>
          <w:t>96/15</w:t>
        </w:r>
      </w:hyperlink>
      <w:r w:rsidRPr="008A46D1">
        <w:rPr>
          <w:rFonts w:cs="Arial"/>
          <w:sz w:val="16"/>
          <w:szCs w:val="16"/>
          <w:shd w:val="clear" w:color="auto" w:fill="FFFFFF"/>
        </w:rPr>
        <w:t> – ZIPRS1617, </w:t>
      </w:r>
      <w:hyperlink r:id="rId6" w:tgtFrame="_blank" w:tooltip="Zakon o spremembah in dopolnitvah Zakona o javnih financah" w:history="1">
        <w:r w:rsidRPr="008A46D1">
          <w:rPr>
            <w:rFonts w:cs="Arial"/>
            <w:sz w:val="16"/>
            <w:szCs w:val="16"/>
          </w:rPr>
          <w:t>13/18</w:t>
        </w:r>
      </w:hyperlink>
      <w:r w:rsidRPr="008A46D1">
        <w:rPr>
          <w:rFonts w:cs="Arial"/>
          <w:sz w:val="16"/>
          <w:szCs w:val="16"/>
          <w:shd w:val="clear" w:color="auto" w:fill="FFFFFF"/>
        </w:rPr>
        <w:t xml:space="preserve">, </w:t>
      </w:r>
      <w:hyperlink r:id="rId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A46D1">
          <w:rPr>
            <w:rFonts w:cs="Arial"/>
            <w:sz w:val="16"/>
            <w:szCs w:val="16"/>
          </w:rPr>
          <w:t>195/20</w:t>
        </w:r>
      </w:hyperlink>
      <w:r w:rsidRPr="008A46D1">
        <w:rPr>
          <w:rFonts w:cs="Arial"/>
          <w:sz w:val="16"/>
          <w:szCs w:val="16"/>
          <w:shd w:val="clear" w:color="auto" w:fill="FFFFFF"/>
        </w:rPr>
        <w:t> – odl. US</w:t>
      </w:r>
      <w:r w:rsidR="003F362F">
        <w:rPr>
          <w:rFonts w:cs="Arial"/>
          <w:sz w:val="16"/>
          <w:szCs w:val="16"/>
          <w:shd w:val="clear" w:color="auto" w:fill="FFFFFF"/>
        </w:rPr>
        <w:t>,</w:t>
      </w:r>
      <w:r w:rsidRPr="008A46D1">
        <w:rPr>
          <w:rFonts w:cs="Arial"/>
          <w:sz w:val="16"/>
          <w:szCs w:val="16"/>
          <w:shd w:val="clear" w:color="auto" w:fill="FFFFFF"/>
        </w:rPr>
        <w:t xml:space="preserve"> </w:t>
      </w:r>
      <w:hyperlink r:id="rId8" w:tgtFrame="_blank" w:tooltip="Zakon o spremembah in dopolnitvah Zakona o državni upravi" w:history="1">
        <w:r w:rsidRPr="008A46D1">
          <w:rPr>
            <w:rFonts w:cs="Arial"/>
            <w:sz w:val="16"/>
            <w:szCs w:val="16"/>
          </w:rPr>
          <w:t>18/23</w:t>
        </w:r>
      </w:hyperlink>
      <w:r w:rsidRPr="008A46D1">
        <w:rPr>
          <w:rFonts w:cs="Arial"/>
          <w:sz w:val="16"/>
          <w:szCs w:val="16"/>
          <w:shd w:val="clear" w:color="auto" w:fill="FFFFFF"/>
        </w:rPr>
        <w:t> – ZDU-1O</w:t>
      </w:r>
      <w:r w:rsidR="00DC5703">
        <w:rPr>
          <w:rFonts w:cs="Arial"/>
          <w:sz w:val="16"/>
          <w:szCs w:val="16"/>
          <w:shd w:val="clear" w:color="auto" w:fill="FFFFFF"/>
        </w:rPr>
        <w:t>,</w:t>
      </w:r>
      <w:r w:rsidR="003F362F">
        <w:rPr>
          <w:rFonts w:cs="Arial"/>
          <w:sz w:val="16"/>
          <w:szCs w:val="16"/>
          <w:shd w:val="clear" w:color="auto" w:fill="FFFFFF"/>
        </w:rPr>
        <w:t xml:space="preserve"> 76/23</w:t>
      </w:r>
      <w:r w:rsidR="008546C0">
        <w:rPr>
          <w:rFonts w:cs="Arial"/>
          <w:sz w:val="16"/>
          <w:szCs w:val="16"/>
          <w:shd w:val="clear" w:color="auto" w:fill="FFFFFF"/>
        </w:rPr>
        <w:t>,</w:t>
      </w:r>
      <w:r w:rsidR="00DC5703">
        <w:rPr>
          <w:rFonts w:cs="Arial"/>
          <w:sz w:val="16"/>
          <w:szCs w:val="16"/>
          <w:shd w:val="clear" w:color="auto" w:fill="FFFFFF"/>
        </w:rPr>
        <w:t xml:space="preserve"> 24/25-ZFisP-1</w:t>
      </w:r>
      <w:r w:rsidR="008546C0">
        <w:rPr>
          <w:rFonts w:cs="Arial"/>
          <w:sz w:val="16"/>
          <w:szCs w:val="16"/>
          <w:shd w:val="clear" w:color="auto" w:fill="FFFFFF"/>
        </w:rPr>
        <w:t xml:space="preserve"> in 39/25</w:t>
      </w:r>
      <w:r w:rsidR="003F362F">
        <w:rPr>
          <w:rFonts w:cs="Arial"/>
          <w:sz w:val="16"/>
          <w:szCs w:val="16"/>
          <w:shd w:val="clear" w:color="auto" w:fill="FFFFFF"/>
        </w:rPr>
        <w:t>)</w:t>
      </w:r>
      <w:r w:rsidR="00D21787">
        <w:rPr>
          <w:rFonts w:cs="Arial"/>
          <w:sz w:val="16"/>
          <w:szCs w:val="16"/>
          <w:shd w:val="clear" w:color="auto" w:fill="FFFFFF"/>
        </w:rPr>
        <w:t xml:space="preserve"> </w:t>
      </w:r>
    </w:p>
  </w:footnote>
  <w:footnote w:id="2">
    <w:p w14:paraId="0F74CD03" w14:textId="0FF27B9F" w:rsidR="007837B1" w:rsidRDefault="007837B1" w:rsidP="007837B1">
      <w:pPr>
        <w:pStyle w:val="Sprotnaopomba-besedilo"/>
      </w:pPr>
      <w:r w:rsidRPr="007837B1">
        <w:rPr>
          <w:rStyle w:val="Sprotnaopomba-sklic"/>
          <w:sz w:val="16"/>
          <w:szCs w:val="16"/>
        </w:rPr>
        <w:footnoteRef/>
      </w:r>
      <w:r w:rsidRPr="007837B1">
        <w:rPr>
          <w:sz w:val="16"/>
          <w:szCs w:val="16"/>
        </w:rPr>
        <w:t xml:space="preserve"> </w:t>
      </w:r>
      <w:r w:rsidRPr="00BD6793">
        <w:rPr>
          <w:sz w:val="16"/>
          <w:szCs w:val="16"/>
        </w:rPr>
        <w:t>Standardn</w:t>
      </w:r>
      <w:r>
        <w:rPr>
          <w:sz w:val="16"/>
          <w:szCs w:val="16"/>
        </w:rPr>
        <w:t>a</w:t>
      </w:r>
      <w:r w:rsidRPr="00BD6793">
        <w:rPr>
          <w:sz w:val="16"/>
          <w:szCs w:val="16"/>
        </w:rPr>
        <w:t xml:space="preserve"> klasifikacij</w:t>
      </w:r>
      <w:r>
        <w:rPr>
          <w:sz w:val="16"/>
          <w:szCs w:val="16"/>
        </w:rPr>
        <w:t>a</w:t>
      </w:r>
      <w:r w:rsidRPr="00BD6793">
        <w:rPr>
          <w:sz w:val="16"/>
          <w:szCs w:val="16"/>
        </w:rPr>
        <w:t xml:space="preserve"> dejavnosti </w:t>
      </w:r>
      <w:hyperlink r:id="rId9" w:history="1">
        <w:r>
          <w:rPr>
            <w:rStyle w:val="Hiperpovezava"/>
            <w:sz w:val="16"/>
            <w:szCs w:val="16"/>
          </w:rPr>
          <w:t>evropska uredba.doc (stat.si)</w:t>
        </w:r>
      </w:hyperlink>
      <w:r>
        <w:t>.</w:t>
      </w:r>
    </w:p>
    <w:p w14:paraId="04D58FAA" w14:textId="0EE9A9D6" w:rsidR="007837B1" w:rsidRDefault="007837B1">
      <w:pPr>
        <w:pStyle w:val="Sprotnaopomba-besedilo"/>
      </w:pPr>
    </w:p>
  </w:footnote>
  <w:footnote w:id="3">
    <w:p w14:paraId="76BE2443" w14:textId="607E9480" w:rsidR="00685777" w:rsidRPr="00685777" w:rsidRDefault="00685777">
      <w:pPr>
        <w:pStyle w:val="Sprotnaopomba-besedilo"/>
        <w:rPr>
          <w:sz w:val="16"/>
          <w:szCs w:val="16"/>
        </w:rPr>
      </w:pPr>
      <w:r w:rsidRPr="00685777">
        <w:rPr>
          <w:rStyle w:val="Sprotnaopomba-sklic"/>
          <w:sz w:val="16"/>
          <w:szCs w:val="16"/>
        </w:rPr>
        <w:footnoteRef/>
      </w:r>
      <w:r w:rsidRPr="00685777">
        <w:rPr>
          <w:sz w:val="16"/>
          <w:szCs w:val="16"/>
        </w:rPr>
        <w:t xml:space="preserve"> </w:t>
      </w:r>
      <w:r w:rsidR="00FB0874">
        <w:rPr>
          <w:sz w:val="16"/>
          <w:szCs w:val="16"/>
        </w:rPr>
        <w:t xml:space="preserve">Zakon o začasni zaščiti razseljenih oseb z veljavnostjo do </w:t>
      </w:r>
      <w:r w:rsidR="00FC2CE3">
        <w:rPr>
          <w:sz w:val="16"/>
          <w:szCs w:val="16"/>
        </w:rPr>
        <w:t>18</w:t>
      </w:r>
      <w:r w:rsidR="00FB0874">
        <w:rPr>
          <w:sz w:val="16"/>
          <w:szCs w:val="16"/>
        </w:rPr>
        <w:t xml:space="preserve">. </w:t>
      </w:r>
      <w:r w:rsidR="00FC2CE3">
        <w:rPr>
          <w:sz w:val="16"/>
          <w:szCs w:val="16"/>
        </w:rPr>
        <w:t>4</w:t>
      </w:r>
      <w:r w:rsidR="00FB0874">
        <w:rPr>
          <w:sz w:val="16"/>
          <w:szCs w:val="16"/>
        </w:rPr>
        <w:t>. 2025</w:t>
      </w:r>
    </w:p>
  </w:footnote>
  <w:footnote w:id="4">
    <w:p w14:paraId="1AECCBA1" w14:textId="320BC92B" w:rsidR="00315158" w:rsidRPr="00315158" w:rsidRDefault="00315158" w:rsidP="00224703">
      <w:pPr>
        <w:pStyle w:val="Sprotnaopomba-besedilo"/>
        <w:jc w:val="both"/>
        <w:rPr>
          <w:sz w:val="16"/>
          <w:szCs w:val="16"/>
        </w:rPr>
      </w:pPr>
      <w:r w:rsidRPr="00315158">
        <w:rPr>
          <w:rStyle w:val="Sprotnaopomba-sklic"/>
          <w:sz w:val="16"/>
          <w:szCs w:val="16"/>
        </w:rPr>
        <w:footnoteRef/>
      </w:r>
      <w:r w:rsidRPr="00315158">
        <w:rPr>
          <w:sz w:val="16"/>
          <w:szCs w:val="16"/>
        </w:rPr>
        <w:t xml:space="preserve"> </w:t>
      </w:r>
      <w:bookmarkStart w:id="13" w:name="_Hlk199426543"/>
      <w:r w:rsidRPr="00315158">
        <w:rPr>
          <w:sz w:val="16"/>
          <w:szCs w:val="16"/>
        </w:rPr>
        <w:t xml:space="preserve">Pravilnik o dodeljevanju neprofitnih stanovanj v najem </w:t>
      </w:r>
      <w:bookmarkEnd w:id="13"/>
    </w:p>
  </w:footnote>
  <w:footnote w:id="5">
    <w:p w14:paraId="184A1572" w14:textId="6D380533" w:rsidR="00E07589" w:rsidRPr="00E07589" w:rsidRDefault="00E07589" w:rsidP="00E07589">
      <w:pPr>
        <w:pStyle w:val="Sprotnaopomba-besedilo"/>
        <w:jc w:val="both"/>
        <w:rPr>
          <w:sz w:val="16"/>
          <w:szCs w:val="16"/>
        </w:rPr>
      </w:pPr>
      <w:r w:rsidRPr="00E07589">
        <w:rPr>
          <w:rStyle w:val="Sprotnaopomba-sklic"/>
          <w:sz w:val="16"/>
          <w:szCs w:val="16"/>
        </w:rPr>
        <w:footnoteRef/>
      </w:r>
      <w:r w:rsidRPr="00E07589">
        <w:rPr>
          <w:sz w:val="16"/>
          <w:szCs w:val="16"/>
        </w:rPr>
        <w:t xml:space="preserve"> Pogoji in merila se določijo tako, da ima pri dodeljevanju neprofitnih stanovanj v najem prednost ena ali več kategorij prosilcev kot, na primer, družine z več otroki, družine z manjšim številom zaposlenih, mladi in mlade družine, invalidi in družine z invalidnim članom, državljani z daljšo delovno dobo, ki so brez stanovanja ali pa so podnajemniki, ter prosilci, ki so glede na poklic ali dejavnost, katero opravljajo, pomembni za posamezno lokalno skupnost, kar mora lokalna skupnost posebej opredeliti v razpisu.</w:t>
      </w:r>
    </w:p>
  </w:footnote>
  <w:footnote w:id="6">
    <w:p w14:paraId="1F573788" w14:textId="21D68EE1" w:rsidR="004E5962" w:rsidRPr="004E5962" w:rsidRDefault="004E5962">
      <w:pPr>
        <w:pStyle w:val="Sprotnaopomba-besedilo"/>
        <w:rPr>
          <w:sz w:val="16"/>
          <w:szCs w:val="16"/>
        </w:rPr>
      </w:pPr>
      <w:r>
        <w:rPr>
          <w:rStyle w:val="Sprotnaopomba-sklic"/>
        </w:rPr>
        <w:footnoteRef/>
      </w:r>
      <w:r>
        <w:t xml:space="preserve"> </w:t>
      </w:r>
      <w:r w:rsidRPr="004E5962">
        <w:rPr>
          <w:sz w:val="16"/>
          <w:szCs w:val="16"/>
        </w:rPr>
        <w:t>Vladno gradivo št. 3522-48/2023-2720-10 z dne 12. 7. 2023</w:t>
      </w:r>
    </w:p>
  </w:footnote>
  <w:footnote w:id="7">
    <w:p w14:paraId="4F652643" w14:textId="3F470EDF" w:rsidR="0019011E" w:rsidRPr="0019011E" w:rsidRDefault="0019011E">
      <w:pPr>
        <w:pStyle w:val="Sprotnaopomba-besedilo"/>
        <w:rPr>
          <w:sz w:val="16"/>
          <w:szCs w:val="16"/>
        </w:rPr>
      </w:pPr>
      <w:r w:rsidRPr="0019011E">
        <w:rPr>
          <w:rStyle w:val="Sprotnaopomba-sklic"/>
          <w:sz w:val="16"/>
          <w:szCs w:val="16"/>
        </w:rPr>
        <w:footnoteRef/>
      </w:r>
      <w:r w:rsidRPr="0019011E">
        <w:rPr>
          <w:sz w:val="16"/>
          <w:szCs w:val="16"/>
        </w:rPr>
        <w:t xml:space="preserve"> Letno poročilo SSRS za leto 2023</w:t>
      </w:r>
    </w:p>
  </w:footnote>
  <w:footnote w:id="8">
    <w:p w14:paraId="711D1DAE" w14:textId="5DCA0A11" w:rsidR="003F2D80" w:rsidRDefault="003F2D80" w:rsidP="006A3C58">
      <w:pPr>
        <w:pStyle w:val="Sprotnaopomba-besedilo"/>
      </w:pPr>
      <w:r>
        <w:rPr>
          <w:rStyle w:val="Sprotnaopomba-sklic"/>
        </w:rPr>
        <w:footnoteRef/>
      </w:r>
      <w:r>
        <w:t xml:space="preserve"> </w:t>
      </w:r>
      <w:r w:rsidRPr="00282871">
        <w:rPr>
          <w:sz w:val="16"/>
          <w:szCs w:val="16"/>
        </w:rPr>
        <w:t>Zakon o davku na dodano vrednost (Uradni list RS, št. 13/11 – uradno prečiščeno besedilo, 18/11, 78/11, 38/12,</w:t>
      </w:r>
      <w:r>
        <w:rPr>
          <w:sz w:val="16"/>
          <w:szCs w:val="16"/>
        </w:rPr>
        <w:t xml:space="preserve"> </w:t>
      </w:r>
    </w:p>
    <w:p w14:paraId="04C985C3" w14:textId="0C3FDCD1" w:rsidR="003F2D80" w:rsidRDefault="003F2D80" w:rsidP="006A3C58">
      <w:pPr>
        <w:pStyle w:val="Sprotnaopomba-besedilo"/>
      </w:pPr>
      <w:r>
        <w:t xml:space="preserve">  </w:t>
      </w:r>
      <w:r w:rsidRPr="00282871">
        <w:rPr>
          <w:sz w:val="16"/>
          <w:szCs w:val="16"/>
        </w:rPr>
        <w:t>83/12, 86/14, 90/15, 77/18, 59/19, 72/19, 196/21 – ZDOsk, 3/22, 29/22 – ZUOPDCE, 40/23 – ZDavPR-B in 122/23)</w:t>
      </w:r>
    </w:p>
  </w:footnote>
  <w:footnote w:id="9">
    <w:p w14:paraId="181701B6" w14:textId="5F096CE4" w:rsidR="003F2D80" w:rsidRDefault="003F2D80">
      <w:pPr>
        <w:pStyle w:val="Sprotnaopomba-besedilo"/>
      </w:pPr>
      <w:r>
        <w:rPr>
          <w:rStyle w:val="Sprotnaopomba-sklic"/>
        </w:rPr>
        <w:footnoteRef/>
      </w:r>
      <w:r>
        <w:t xml:space="preserve"> </w:t>
      </w:r>
      <w:hyperlink r:id="rId10" w:history="1">
        <w:r w:rsidRPr="00282871">
          <w:rPr>
            <w:rStyle w:val="Hiperpovezava"/>
            <w:sz w:val="16"/>
            <w:szCs w:val="16"/>
          </w:rPr>
          <w:t>Pravila skrbnega računovodenja (Slovenski inštitut za revizijo,2016)</w:t>
        </w:r>
      </w:hyperlink>
    </w:p>
  </w:footnote>
  <w:footnote w:id="10">
    <w:p w14:paraId="0EE82EB8" w14:textId="6DAF3C49" w:rsidR="00A07BF4" w:rsidRPr="00A07BF4" w:rsidRDefault="00A07BF4">
      <w:pPr>
        <w:pStyle w:val="Sprotnaopomba-besedilo"/>
        <w:rPr>
          <w:sz w:val="16"/>
          <w:szCs w:val="16"/>
        </w:rPr>
      </w:pPr>
      <w:r>
        <w:rPr>
          <w:rStyle w:val="Sprotnaopomba-sklic"/>
        </w:rPr>
        <w:footnoteRef/>
      </w:r>
      <w:r>
        <w:t xml:space="preserve"> </w:t>
      </w:r>
      <w:r w:rsidRPr="00A07BF4">
        <w:rPr>
          <w:sz w:val="16"/>
          <w:szCs w:val="16"/>
        </w:rPr>
        <w:t xml:space="preserve">Zakon o integriteti in preprečevanju korupcije </w:t>
      </w:r>
      <w:r w:rsidR="00410202">
        <w:rPr>
          <w:sz w:val="16"/>
          <w:szCs w:val="16"/>
        </w:rPr>
        <w:t>(</w:t>
      </w:r>
      <w:r w:rsidRPr="00A07BF4">
        <w:rPr>
          <w:sz w:val="16"/>
          <w:szCs w:val="16"/>
        </w:rPr>
        <w:t>Uradni list RS, št. 69/11 – uradno prečiščeno besedilo, 158/20, 3/22 – ZDeb in 16/23 – ZZPri</w:t>
      </w:r>
      <w:r w:rsidR="00410202">
        <w:rPr>
          <w:sz w:val="16"/>
          <w:szCs w:val="16"/>
        </w:rPr>
        <w:t>)</w:t>
      </w:r>
    </w:p>
  </w:footnote>
  <w:footnote w:id="11">
    <w:p w14:paraId="7D1D5426" w14:textId="7D21C6FB" w:rsidR="00B2410A" w:rsidRDefault="00B2410A">
      <w:pPr>
        <w:pStyle w:val="Sprotnaopomba-besedilo"/>
      </w:pPr>
      <w:r w:rsidRPr="00B2410A">
        <w:rPr>
          <w:rStyle w:val="Sprotnaopomba-sklic"/>
        </w:rPr>
        <w:footnoteRef/>
      </w:r>
      <w:r w:rsidRPr="00B2410A">
        <w:t xml:space="preserve"> </w:t>
      </w:r>
      <w:r w:rsidRPr="00B2410A">
        <w:rPr>
          <w:sz w:val="16"/>
          <w:szCs w:val="16"/>
        </w:rPr>
        <w:t>Zakon o splošnem upravnem postopku (Uradni list RS, št. 24/06 –uradno prečiščeno besedilo, 105/06 – ZUS-1, 126/07, 65/08, 8/10, 82/13, 175/20 –ZIUOPDVE in 3/22 – ZDeb), v nadaljevanju</w:t>
      </w:r>
      <w:r w:rsidR="00224367">
        <w:rPr>
          <w:sz w:val="16"/>
          <w:szCs w:val="16"/>
        </w:rPr>
        <w:t>:</w:t>
      </w:r>
      <w:r w:rsidRPr="00B2410A">
        <w:rPr>
          <w:sz w:val="16"/>
          <w:szCs w:val="16"/>
        </w:rPr>
        <w:t xml:space="preserve"> ZUP</w:t>
      </w:r>
      <w:r w:rsidRPr="00B2410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1419D"/>
    <w:multiLevelType w:val="hybridMultilevel"/>
    <w:tmpl w:val="91D0766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CB1FB4"/>
    <w:multiLevelType w:val="hybridMultilevel"/>
    <w:tmpl w:val="416EAF4A"/>
    <w:lvl w:ilvl="0" w:tplc="AF5255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7D5BAB"/>
    <w:multiLevelType w:val="hybridMultilevel"/>
    <w:tmpl w:val="45BA67B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AA52D6"/>
    <w:multiLevelType w:val="hybridMultilevel"/>
    <w:tmpl w:val="C84A34F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737160"/>
    <w:multiLevelType w:val="hybridMultilevel"/>
    <w:tmpl w:val="9F40F44A"/>
    <w:lvl w:ilvl="0" w:tplc="61546CFC">
      <w:start w:val="15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336075D"/>
    <w:multiLevelType w:val="hybridMultilevel"/>
    <w:tmpl w:val="4CB401CC"/>
    <w:lvl w:ilvl="0" w:tplc="5840235E">
      <w:start w:val="1"/>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39746330">
    <w:abstractNumId w:val="3"/>
  </w:num>
  <w:num w:numId="2" w16cid:durableId="1798796651">
    <w:abstractNumId w:val="0"/>
  </w:num>
  <w:num w:numId="3" w16cid:durableId="603150273">
    <w:abstractNumId w:val="1"/>
  </w:num>
  <w:num w:numId="4" w16cid:durableId="2082562111">
    <w:abstractNumId w:val="2"/>
  </w:num>
  <w:num w:numId="5" w16cid:durableId="1000501286">
    <w:abstractNumId w:val="4"/>
  </w:num>
  <w:num w:numId="6" w16cid:durableId="74016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94"/>
    <w:rsid w:val="0000006C"/>
    <w:rsid w:val="0000293D"/>
    <w:rsid w:val="0000559B"/>
    <w:rsid w:val="000070D7"/>
    <w:rsid w:val="0000714D"/>
    <w:rsid w:val="000101F5"/>
    <w:rsid w:val="000137F7"/>
    <w:rsid w:val="00014DEC"/>
    <w:rsid w:val="000164B5"/>
    <w:rsid w:val="000227F1"/>
    <w:rsid w:val="000243BF"/>
    <w:rsid w:val="000266E8"/>
    <w:rsid w:val="00026E78"/>
    <w:rsid w:val="00035189"/>
    <w:rsid w:val="00035426"/>
    <w:rsid w:val="0003790E"/>
    <w:rsid w:val="00040698"/>
    <w:rsid w:val="00043D89"/>
    <w:rsid w:val="00043E8A"/>
    <w:rsid w:val="00046E0E"/>
    <w:rsid w:val="000503FE"/>
    <w:rsid w:val="00051C1E"/>
    <w:rsid w:val="00052339"/>
    <w:rsid w:val="00053270"/>
    <w:rsid w:val="000609D0"/>
    <w:rsid w:val="000619A3"/>
    <w:rsid w:val="000725E6"/>
    <w:rsid w:val="00073656"/>
    <w:rsid w:val="00074551"/>
    <w:rsid w:val="000776BF"/>
    <w:rsid w:val="0008007B"/>
    <w:rsid w:val="00081B89"/>
    <w:rsid w:val="0008369C"/>
    <w:rsid w:val="000853CD"/>
    <w:rsid w:val="00087152"/>
    <w:rsid w:val="00090830"/>
    <w:rsid w:val="000928F6"/>
    <w:rsid w:val="00092A79"/>
    <w:rsid w:val="000939A5"/>
    <w:rsid w:val="0009647A"/>
    <w:rsid w:val="000970B9"/>
    <w:rsid w:val="000A27D8"/>
    <w:rsid w:val="000A3BFB"/>
    <w:rsid w:val="000B02AF"/>
    <w:rsid w:val="000B1468"/>
    <w:rsid w:val="000B2B74"/>
    <w:rsid w:val="000B2EF9"/>
    <w:rsid w:val="000B4B83"/>
    <w:rsid w:val="000B5DE7"/>
    <w:rsid w:val="000B7F88"/>
    <w:rsid w:val="000C3EBD"/>
    <w:rsid w:val="000C6973"/>
    <w:rsid w:val="000C71AB"/>
    <w:rsid w:val="000D1F6A"/>
    <w:rsid w:val="000D23B8"/>
    <w:rsid w:val="000D2BFE"/>
    <w:rsid w:val="000D3420"/>
    <w:rsid w:val="000D4896"/>
    <w:rsid w:val="000D4DA8"/>
    <w:rsid w:val="000D711B"/>
    <w:rsid w:val="000E60A9"/>
    <w:rsid w:val="000E79A0"/>
    <w:rsid w:val="000F04A7"/>
    <w:rsid w:val="000F0C09"/>
    <w:rsid w:val="000F3274"/>
    <w:rsid w:val="000F33B0"/>
    <w:rsid w:val="000F5686"/>
    <w:rsid w:val="00102A3E"/>
    <w:rsid w:val="001038E3"/>
    <w:rsid w:val="001049B5"/>
    <w:rsid w:val="0010550E"/>
    <w:rsid w:val="00105F3B"/>
    <w:rsid w:val="0011041B"/>
    <w:rsid w:val="00112A6C"/>
    <w:rsid w:val="00114A04"/>
    <w:rsid w:val="00115D73"/>
    <w:rsid w:val="00116800"/>
    <w:rsid w:val="001171C0"/>
    <w:rsid w:val="00122AA9"/>
    <w:rsid w:val="00123487"/>
    <w:rsid w:val="001241C8"/>
    <w:rsid w:val="0012472C"/>
    <w:rsid w:val="00124996"/>
    <w:rsid w:val="00124ABB"/>
    <w:rsid w:val="00124B2A"/>
    <w:rsid w:val="00127976"/>
    <w:rsid w:val="00127BE6"/>
    <w:rsid w:val="00130B68"/>
    <w:rsid w:val="00137798"/>
    <w:rsid w:val="001425F3"/>
    <w:rsid w:val="00143C5C"/>
    <w:rsid w:val="00144552"/>
    <w:rsid w:val="00145C95"/>
    <w:rsid w:val="00155A90"/>
    <w:rsid w:val="0016057D"/>
    <w:rsid w:val="0016498E"/>
    <w:rsid w:val="00171BDD"/>
    <w:rsid w:val="00171DDA"/>
    <w:rsid w:val="00173616"/>
    <w:rsid w:val="001801C2"/>
    <w:rsid w:val="001824E3"/>
    <w:rsid w:val="00185B94"/>
    <w:rsid w:val="0019011E"/>
    <w:rsid w:val="00191935"/>
    <w:rsid w:val="00193C3F"/>
    <w:rsid w:val="001951B7"/>
    <w:rsid w:val="001957E8"/>
    <w:rsid w:val="00196785"/>
    <w:rsid w:val="001976B4"/>
    <w:rsid w:val="00197888"/>
    <w:rsid w:val="001A01DD"/>
    <w:rsid w:val="001A3E1A"/>
    <w:rsid w:val="001B3ED1"/>
    <w:rsid w:val="001B44D6"/>
    <w:rsid w:val="001B6CBD"/>
    <w:rsid w:val="001C3480"/>
    <w:rsid w:val="001C500C"/>
    <w:rsid w:val="001C64BA"/>
    <w:rsid w:val="001D1969"/>
    <w:rsid w:val="001D1A44"/>
    <w:rsid w:val="001D2EC5"/>
    <w:rsid w:val="001D4FA8"/>
    <w:rsid w:val="001D5294"/>
    <w:rsid w:val="001E1E68"/>
    <w:rsid w:val="001E5031"/>
    <w:rsid w:val="001E5965"/>
    <w:rsid w:val="001E5A01"/>
    <w:rsid w:val="001E699D"/>
    <w:rsid w:val="001E710D"/>
    <w:rsid w:val="001F04C8"/>
    <w:rsid w:val="001F04D4"/>
    <w:rsid w:val="001F1A30"/>
    <w:rsid w:val="001F4CAC"/>
    <w:rsid w:val="001F4D53"/>
    <w:rsid w:val="001F5380"/>
    <w:rsid w:val="001F6A93"/>
    <w:rsid w:val="001F7922"/>
    <w:rsid w:val="002007A5"/>
    <w:rsid w:val="00201996"/>
    <w:rsid w:val="002037AE"/>
    <w:rsid w:val="00203B70"/>
    <w:rsid w:val="00206DA6"/>
    <w:rsid w:val="002120E1"/>
    <w:rsid w:val="00217B34"/>
    <w:rsid w:val="00224367"/>
    <w:rsid w:val="00224703"/>
    <w:rsid w:val="00224AD7"/>
    <w:rsid w:val="00227FB0"/>
    <w:rsid w:val="002308E6"/>
    <w:rsid w:val="00230A1F"/>
    <w:rsid w:val="002347D9"/>
    <w:rsid w:val="00234980"/>
    <w:rsid w:val="00234EC7"/>
    <w:rsid w:val="002366C3"/>
    <w:rsid w:val="00236B04"/>
    <w:rsid w:val="00237234"/>
    <w:rsid w:val="00237D60"/>
    <w:rsid w:val="002444D3"/>
    <w:rsid w:val="002448D6"/>
    <w:rsid w:val="00251A45"/>
    <w:rsid w:val="00252161"/>
    <w:rsid w:val="002529E0"/>
    <w:rsid w:val="00252BD5"/>
    <w:rsid w:val="0025654B"/>
    <w:rsid w:val="00257972"/>
    <w:rsid w:val="002605C7"/>
    <w:rsid w:val="00265644"/>
    <w:rsid w:val="00270066"/>
    <w:rsid w:val="00271AC4"/>
    <w:rsid w:val="002726EA"/>
    <w:rsid w:val="00275D25"/>
    <w:rsid w:val="00280053"/>
    <w:rsid w:val="0028137E"/>
    <w:rsid w:val="00281484"/>
    <w:rsid w:val="00281F12"/>
    <w:rsid w:val="002823F5"/>
    <w:rsid w:val="00282871"/>
    <w:rsid w:val="00283B09"/>
    <w:rsid w:val="00284652"/>
    <w:rsid w:val="0028545F"/>
    <w:rsid w:val="00286634"/>
    <w:rsid w:val="00291BE0"/>
    <w:rsid w:val="0029325A"/>
    <w:rsid w:val="00295257"/>
    <w:rsid w:val="00297124"/>
    <w:rsid w:val="0029778C"/>
    <w:rsid w:val="00297849"/>
    <w:rsid w:val="002A31F6"/>
    <w:rsid w:val="002A3CED"/>
    <w:rsid w:val="002A5E7F"/>
    <w:rsid w:val="002A6A31"/>
    <w:rsid w:val="002B697A"/>
    <w:rsid w:val="002C2D61"/>
    <w:rsid w:val="002C726D"/>
    <w:rsid w:val="002C7FCF"/>
    <w:rsid w:val="002D236D"/>
    <w:rsid w:val="002E04BF"/>
    <w:rsid w:val="002E054C"/>
    <w:rsid w:val="002E0A79"/>
    <w:rsid w:val="002E1931"/>
    <w:rsid w:val="002E28EB"/>
    <w:rsid w:val="002E3E01"/>
    <w:rsid w:val="002E727B"/>
    <w:rsid w:val="002E7BFB"/>
    <w:rsid w:val="002F0FB5"/>
    <w:rsid w:val="002F2269"/>
    <w:rsid w:val="002F554B"/>
    <w:rsid w:val="003013B9"/>
    <w:rsid w:val="00302A95"/>
    <w:rsid w:val="00304CE6"/>
    <w:rsid w:val="003063D2"/>
    <w:rsid w:val="00310DC4"/>
    <w:rsid w:val="00313717"/>
    <w:rsid w:val="00314F62"/>
    <w:rsid w:val="00315158"/>
    <w:rsid w:val="00316025"/>
    <w:rsid w:val="0031682E"/>
    <w:rsid w:val="003171C6"/>
    <w:rsid w:val="003202F0"/>
    <w:rsid w:val="0032651C"/>
    <w:rsid w:val="00327FFD"/>
    <w:rsid w:val="00330F35"/>
    <w:rsid w:val="00331216"/>
    <w:rsid w:val="003325DF"/>
    <w:rsid w:val="003331AC"/>
    <w:rsid w:val="00340753"/>
    <w:rsid w:val="00340774"/>
    <w:rsid w:val="00343CFC"/>
    <w:rsid w:val="00344F54"/>
    <w:rsid w:val="00345B5E"/>
    <w:rsid w:val="003465B8"/>
    <w:rsid w:val="0035117F"/>
    <w:rsid w:val="003517C0"/>
    <w:rsid w:val="00351D83"/>
    <w:rsid w:val="0035215F"/>
    <w:rsid w:val="0035383F"/>
    <w:rsid w:val="0035512F"/>
    <w:rsid w:val="00356258"/>
    <w:rsid w:val="00356EE3"/>
    <w:rsid w:val="003619A8"/>
    <w:rsid w:val="003658DB"/>
    <w:rsid w:val="00365A5E"/>
    <w:rsid w:val="003668F4"/>
    <w:rsid w:val="00366923"/>
    <w:rsid w:val="003714D3"/>
    <w:rsid w:val="00372608"/>
    <w:rsid w:val="0037266E"/>
    <w:rsid w:val="003753E3"/>
    <w:rsid w:val="00375DF5"/>
    <w:rsid w:val="00381666"/>
    <w:rsid w:val="0038604C"/>
    <w:rsid w:val="00386552"/>
    <w:rsid w:val="00386B01"/>
    <w:rsid w:val="00386E7D"/>
    <w:rsid w:val="00391A75"/>
    <w:rsid w:val="00391F16"/>
    <w:rsid w:val="00392757"/>
    <w:rsid w:val="003951FF"/>
    <w:rsid w:val="00396561"/>
    <w:rsid w:val="003A0A39"/>
    <w:rsid w:val="003A3535"/>
    <w:rsid w:val="003A63B7"/>
    <w:rsid w:val="003A76EB"/>
    <w:rsid w:val="003B14BD"/>
    <w:rsid w:val="003C017C"/>
    <w:rsid w:val="003C0DE4"/>
    <w:rsid w:val="003C584D"/>
    <w:rsid w:val="003C6AC7"/>
    <w:rsid w:val="003D109C"/>
    <w:rsid w:val="003D3F3E"/>
    <w:rsid w:val="003D3F9E"/>
    <w:rsid w:val="003D4790"/>
    <w:rsid w:val="003E17B6"/>
    <w:rsid w:val="003E2F60"/>
    <w:rsid w:val="003E4201"/>
    <w:rsid w:val="003E4A7B"/>
    <w:rsid w:val="003F2D80"/>
    <w:rsid w:val="003F353C"/>
    <w:rsid w:val="003F362F"/>
    <w:rsid w:val="003F38C8"/>
    <w:rsid w:val="003F3D49"/>
    <w:rsid w:val="003F3E5C"/>
    <w:rsid w:val="003F3EA7"/>
    <w:rsid w:val="003F53B7"/>
    <w:rsid w:val="003F5878"/>
    <w:rsid w:val="003F5FEA"/>
    <w:rsid w:val="003F6BB8"/>
    <w:rsid w:val="00400231"/>
    <w:rsid w:val="00401242"/>
    <w:rsid w:val="004040FF"/>
    <w:rsid w:val="00404211"/>
    <w:rsid w:val="00406344"/>
    <w:rsid w:val="00407DB6"/>
    <w:rsid w:val="00410202"/>
    <w:rsid w:val="00412D54"/>
    <w:rsid w:val="004136BD"/>
    <w:rsid w:val="00413FCF"/>
    <w:rsid w:val="0042312C"/>
    <w:rsid w:val="00424E33"/>
    <w:rsid w:val="00426EBC"/>
    <w:rsid w:val="00430871"/>
    <w:rsid w:val="00431F78"/>
    <w:rsid w:val="004344DF"/>
    <w:rsid w:val="00436ECE"/>
    <w:rsid w:val="0043788B"/>
    <w:rsid w:val="0044292C"/>
    <w:rsid w:val="004441ED"/>
    <w:rsid w:val="00444A4D"/>
    <w:rsid w:val="00445085"/>
    <w:rsid w:val="00446436"/>
    <w:rsid w:val="00447585"/>
    <w:rsid w:val="00452765"/>
    <w:rsid w:val="00466577"/>
    <w:rsid w:val="00470842"/>
    <w:rsid w:val="00472D19"/>
    <w:rsid w:val="00476623"/>
    <w:rsid w:val="00477DFA"/>
    <w:rsid w:val="00481EF9"/>
    <w:rsid w:val="004823E1"/>
    <w:rsid w:val="0048378D"/>
    <w:rsid w:val="004840C8"/>
    <w:rsid w:val="00484632"/>
    <w:rsid w:val="004846DE"/>
    <w:rsid w:val="0048725C"/>
    <w:rsid w:val="00487F79"/>
    <w:rsid w:val="00490273"/>
    <w:rsid w:val="00490589"/>
    <w:rsid w:val="004910A4"/>
    <w:rsid w:val="00496CD1"/>
    <w:rsid w:val="004973B5"/>
    <w:rsid w:val="00497C94"/>
    <w:rsid w:val="004A4274"/>
    <w:rsid w:val="004B2978"/>
    <w:rsid w:val="004B5336"/>
    <w:rsid w:val="004B59B7"/>
    <w:rsid w:val="004B6CCD"/>
    <w:rsid w:val="004C0064"/>
    <w:rsid w:val="004C2D47"/>
    <w:rsid w:val="004C5A91"/>
    <w:rsid w:val="004D2685"/>
    <w:rsid w:val="004D28E4"/>
    <w:rsid w:val="004D3192"/>
    <w:rsid w:val="004D3B0C"/>
    <w:rsid w:val="004D5063"/>
    <w:rsid w:val="004D5F90"/>
    <w:rsid w:val="004D6B94"/>
    <w:rsid w:val="004D7168"/>
    <w:rsid w:val="004D76A1"/>
    <w:rsid w:val="004D7E40"/>
    <w:rsid w:val="004E3A1C"/>
    <w:rsid w:val="004E5962"/>
    <w:rsid w:val="004F0622"/>
    <w:rsid w:val="004F192A"/>
    <w:rsid w:val="004F1F6B"/>
    <w:rsid w:val="004F521B"/>
    <w:rsid w:val="004F5EF8"/>
    <w:rsid w:val="004F7DA9"/>
    <w:rsid w:val="00503533"/>
    <w:rsid w:val="00506519"/>
    <w:rsid w:val="005067DB"/>
    <w:rsid w:val="00512900"/>
    <w:rsid w:val="00512F99"/>
    <w:rsid w:val="00524E72"/>
    <w:rsid w:val="00524E74"/>
    <w:rsid w:val="00524F1E"/>
    <w:rsid w:val="005258E6"/>
    <w:rsid w:val="00534F02"/>
    <w:rsid w:val="00540426"/>
    <w:rsid w:val="00540B09"/>
    <w:rsid w:val="00540C88"/>
    <w:rsid w:val="00541AF1"/>
    <w:rsid w:val="00543075"/>
    <w:rsid w:val="00546F2D"/>
    <w:rsid w:val="005507FE"/>
    <w:rsid w:val="00554C3B"/>
    <w:rsid w:val="005564ED"/>
    <w:rsid w:val="00561C27"/>
    <w:rsid w:val="005662AD"/>
    <w:rsid w:val="00572823"/>
    <w:rsid w:val="00572FF6"/>
    <w:rsid w:val="00574349"/>
    <w:rsid w:val="00574596"/>
    <w:rsid w:val="00574700"/>
    <w:rsid w:val="00574CDE"/>
    <w:rsid w:val="00581DA6"/>
    <w:rsid w:val="0058269C"/>
    <w:rsid w:val="00583788"/>
    <w:rsid w:val="00585783"/>
    <w:rsid w:val="00585BD8"/>
    <w:rsid w:val="00585C98"/>
    <w:rsid w:val="005872A6"/>
    <w:rsid w:val="005911B1"/>
    <w:rsid w:val="0059184D"/>
    <w:rsid w:val="00592D42"/>
    <w:rsid w:val="00593364"/>
    <w:rsid w:val="0059466E"/>
    <w:rsid w:val="00595949"/>
    <w:rsid w:val="0059596F"/>
    <w:rsid w:val="005A0000"/>
    <w:rsid w:val="005A1865"/>
    <w:rsid w:val="005A3CC3"/>
    <w:rsid w:val="005A5117"/>
    <w:rsid w:val="005A5D57"/>
    <w:rsid w:val="005A6A25"/>
    <w:rsid w:val="005A6CDB"/>
    <w:rsid w:val="005A7668"/>
    <w:rsid w:val="005A79BE"/>
    <w:rsid w:val="005B0287"/>
    <w:rsid w:val="005B044D"/>
    <w:rsid w:val="005B51E5"/>
    <w:rsid w:val="005B5C74"/>
    <w:rsid w:val="005B6669"/>
    <w:rsid w:val="005C0695"/>
    <w:rsid w:val="005C437A"/>
    <w:rsid w:val="005C6FC6"/>
    <w:rsid w:val="005D0DC9"/>
    <w:rsid w:val="005D5772"/>
    <w:rsid w:val="005D69B3"/>
    <w:rsid w:val="005D6CD5"/>
    <w:rsid w:val="005E38E1"/>
    <w:rsid w:val="005E4260"/>
    <w:rsid w:val="005E539B"/>
    <w:rsid w:val="005F0DB4"/>
    <w:rsid w:val="005F0ECE"/>
    <w:rsid w:val="005F103A"/>
    <w:rsid w:val="005F550A"/>
    <w:rsid w:val="005F70D2"/>
    <w:rsid w:val="0060028C"/>
    <w:rsid w:val="006002B1"/>
    <w:rsid w:val="00600920"/>
    <w:rsid w:val="00602FD0"/>
    <w:rsid w:val="00603A03"/>
    <w:rsid w:val="006054F6"/>
    <w:rsid w:val="00605A20"/>
    <w:rsid w:val="00606CB9"/>
    <w:rsid w:val="00607EB3"/>
    <w:rsid w:val="006115EE"/>
    <w:rsid w:val="00613B33"/>
    <w:rsid w:val="00613C60"/>
    <w:rsid w:val="006143B3"/>
    <w:rsid w:val="006179CC"/>
    <w:rsid w:val="0062127C"/>
    <w:rsid w:val="00622CB3"/>
    <w:rsid w:val="00623663"/>
    <w:rsid w:val="00624709"/>
    <w:rsid w:val="00626D82"/>
    <w:rsid w:val="00627F16"/>
    <w:rsid w:val="00632D96"/>
    <w:rsid w:val="0063623A"/>
    <w:rsid w:val="006363F8"/>
    <w:rsid w:val="0064143C"/>
    <w:rsid w:val="00641B7B"/>
    <w:rsid w:val="00644F30"/>
    <w:rsid w:val="00651CF3"/>
    <w:rsid w:val="006528BF"/>
    <w:rsid w:val="0065372C"/>
    <w:rsid w:val="00653D53"/>
    <w:rsid w:val="00655055"/>
    <w:rsid w:val="006567B3"/>
    <w:rsid w:val="00657E19"/>
    <w:rsid w:val="00660355"/>
    <w:rsid w:val="00663167"/>
    <w:rsid w:val="00663BFA"/>
    <w:rsid w:val="0066695D"/>
    <w:rsid w:val="00666A7B"/>
    <w:rsid w:val="00667191"/>
    <w:rsid w:val="006727DB"/>
    <w:rsid w:val="00673D38"/>
    <w:rsid w:val="00674A6C"/>
    <w:rsid w:val="006755B6"/>
    <w:rsid w:val="006774B7"/>
    <w:rsid w:val="00680619"/>
    <w:rsid w:val="0068187A"/>
    <w:rsid w:val="0068232B"/>
    <w:rsid w:val="0068378A"/>
    <w:rsid w:val="00683BD4"/>
    <w:rsid w:val="00685777"/>
    <w:rsid w:val="00685E54"/>
    <w:rsid w:val="00685F76"/>
    <w:rsid w:val="00690006"/>
    <w:rsid w:val="00691C64"/>
    <w:rsid w:val="00693B92"/>
    <w:rsid w:val="00693D1C"/>
    <w:rsid w:val="00693FDD"/>
    <w:rsid w:val="006942A6"/>
    <w:rsid w:val="006955D2"/>
    <w:rsid w:val="00696BD6"/>
    <w:rsid w:val="006A3942"/>
    <w:rsid w:val="006A3C58"/>
    <w:rsid w:val="006A4FA0"/>
    <w:rsid w:val="006A5D80"/>
    <w:rsid w:val="006A5D9A"/>
    <w:rsid w:val="006A6306"/>
    <w:rsid w:val="006A6910"/>
    <w:rsid w:val="006A7B2E"/>
    <w:rsid w:val="006B07F6"/>
    <w:rsid w:val="006B0A20"/>
    <w:rsid w:val="006B0C25"/>
    <w:rsid w:val="006B3A84"/>
    <w:rsid w:val="006B5ADF"/>
    <w:rsid w:val="006B5F04"/>
    <w:rsid w:val="006C1B42"/>
    <w:rsid w:val="006C2393"/>
    <w:rsid w:val="006C38C0"/>
    <w:rsid w:val="006C3F97"/>
    <w:rsid w:val="006C4A26"/>
    <w:rsid w:val="006C659E"/>
    <w:rsid w:val="006C7070"/>
    <w:rsid w:val="006C7358"/>
    <w:rsid w:val="006D23A9"/>
    <w:rsid w:val="006D4D20"/>
    <w:rsid w:val="006D5B7A"/>
    <w:rsid w:val="006D6E55"/>
    <w:rsid w:val="006E353F"/>
    <w:rsid w:val="006E4185"/>
    <w:rsid w:val="006E4E37"/>
    <w:rsid w:val="006E5D45"/>
    <w:rsid w:val="006E60F0"/>
    <w:rsid w:val="006F4145"/>
    <w:rsid w:val="006F6C7D"/>
    <w:rsid w:val="006F756C"/>
    <w:rsid w:val="0070344E"/>
    <w:rsid w:val="00705AC9"/>
    <w:rsid w:val="00714736"/>
    <w:rsid w:val="00716132"/>
    <w:rsid w:val="0072012A"/>
    <w:rsid w:val="00720B71"/>
    <w:rsid w:val="0072605E"/>
    <w:rsid w:val="007262A3"/>
    <w:rsid w:val="00727153"/>
    <w:rsid w:val="00727EEC"/>
    <w:rsid w:val="00730D66"/>
    <w:rsid w:val="007330D9"/>
    <w:rsid w:val="00733DE5"/>
    <w:rsid w:val="00735C89"/>
    <w:rsid w:val="00740EA3"/>
    <w:rsid w:val="00742BE4"/>
    <w:rsid w:val="00747180"/>
    <w:rsid w:val="007475D2"/>
    <w:rsid w:val="007502AE"/>
    <w:rsid w:val="0075230A"/>
    <w:rsid w:val="00752467"/>
    <w:rsid w:val="0075356F"/>
    <w:rsid w:val="007544DD"/>
    <w:rsid w:val="007554E1"/>
    <w:rsid w:val="00756B04"/>
    <w:rsid w:val="007609A0"/>
    <w:rsid w:val="00760C85"/>
    <w:rsid w:val="0076464D"/>
    <w:rsid w:val="0076483C"/>
    <w:rsid w:val="0076610C"/>
    <w:rsid w:val="007676E4"/>
    <w:rsid w:val="00767EFD"/>
    <w:rsid w:val="00771DED"/>
    <w:rsid w:val="00773937"/>
    <w:rsid w:val="00776D60"/>
    <w:rsid w:val="007770B3"/>
    <w:rsid w:val="00777352"/>
    <w:rsid w:val="007837B1"/>
    <w:rsid w:val="00783A40"/>
    <w:rsid w:val="00786A1E"/>
    <w:rsid w:val="007915FC"/>
    <w:rsid w:val="00791F42"/>
    <w:rsid w:val="00794847"/>
    <w:rsid w:val="00794A59"/>
    <w:rsid w:val="007A1FD1"/>
    <w:rsid w:val="007A401A"/>
    <w:rsid w:val="007A495D"/>
    <w:rsid w:val="007A5925"/>
    <w:rsid w:val="007A64DB"/>
    <w:rsid w:val="007A7A5D"/>
    <w:rsid w:val="007B5E72"/>
    <w:rsid w:val="007C06D0"/>
    <w:rsid w:val="007C2444"/>
    <w:rsid w:val="007C47CA"/>
    <w:rsid w:val="007C56BF"/>
    <w:rsid w:val="007C7527"/>
    <w:rsid w:val="007D1D41"/>
    <w:rsid w:val="007D1EE5"/>
    <w:rsid w:val="007D28E1"/>
    <w:rsid w:val="007D290D"/>
    <w:rsid w:val="007D7418"/>
    <w:rsid w:val="007E26CF"/>
    <w:rsid w:val="007E300D"/>
    <w:rsid w:val="007E40F9"/>
    <w:rsid w:val="007E77D3"/>
    <w:rsid w:val="007F1666"/>
    <w:rsid w:val="007F231E"/>
    <w:rsid w:val="007F3BA4"/>
    <w:rsid w:val="007F5D36"/>
    <w:rsid w:val="007F7A67"/>
    <w:rsid w:val="00803B1D"/>
    <w:rsid w:val="00803BB2"/>
    <w:rsid w:val="00803E30"/>
    <w:rsid w:val="00804D7B"/>
    <w:rsid w:val="008071A6"/>
    <w:rsid w:val="00810C00"/>
    <w:rsid w:val="008121E3"/>
    <w:rsid w:val="00812CE9"/>
    <w:rsid w:val="008138D9"/>
    <w:rsid w:val="0081405D"/>
    <w:rsid w:val="00816996"/>
    <w:rsid w:val="0082049D"/>
    <w:rsid w:val="0082064E"/>
    <w:rsid w:val="00820C66"/>
    <w:rsid w:val="008217C9"/>
    <w:rsid w:val="00825A4C"/>
    <w:rsid w:val="00825DD9"/>
    <w:rsid w:val="00835555"/>
    <w:rsid w:val="00836452"/>
    <w:rsid w:val="00850D16"/>
    <w:rsid w:val="0085330C"/>
    <w:rsid w:val="00853A8C"/>
    <w:rsid w:val="008546C0"/>
    <w:rsid w:val="00854912"/>
    <w:rsid w:val="00855B62"/>
    <w:rsid w:val="00856D61"/>
    <w:rsid w:val="0086235A"/>
    <w:rsid w:val="008661DB"/>
    <w:rsid w:val="00866AF1"/>
    <w:rsid w:val="00866B71"/>
    <w:rsid w:val="00867745"/>
    <w:rsid w:val="0087047E"/>
    <w:rsid w:val="00870536"/>
    <w:rsid w:val="00873D39"/>
    <w:rsid w:val="0087428E"/>
    <w:rsid w:val="00875AB7"/>
    <w:rsid w:val="00876BBD"/>
    <w:rsid w:val="00883754"/>
    <w:rsid w:val="008908E9"/>
    <w:rsid w:val="00890B26"/>
    <w:rsid w:val="008912B3"/>
    <w:rsid w:val="00891996"/>
    <w:rsid w:val="00892364"/>
    <w:rsid w:val="008954D7"/>
    <w:rsid w:val="008A46D1"/>
    <w:rsid w:val="008A5EAF"/>
    <w:rsid w:val="008A7230"/>
    <w:rsid w:val="008B042D"/>
    <w:rsid w:val="008B17E3"/>
    <w:rsid w:val="008B3628"/>
    <w:rsid w:val="008B5964"/>
    <w:rsid w:val="008B6545"/>
    <w:rsid w:val="008C2139"/>
    <w:rsid w:val="008C6BE7"/>
    <w:rsid w:val="008C7DF8"/>
    <w:rsid w:val="008D071C"/>
    <w:rsid w:val="008D08D1"/>
    <w:rsid w:val="008D38F2"/>
    <w:rsid w:val="008D40F1"/>
    <w:rsid w:val="008D4B34"/>
    <w:rsid w:val="008D4C83"/>
    <w:rsid w:val="008D5C53"/>
    <w:rsid w:val="008D6B4F"/>
    <w:rsid w:val="008D7858"/>
    <w:rsid w:val="008E242D"/>
    <w:rsid w:val="008E2CFB"/>
    <w:rsid w:val="008E35BD"/>
    <w:rsid w:val="008E38F1"/>
    <w:rsid w:val="008E4EAA"/>
    <w:rsid w:val="008E59E6"/>
    <w:rsid w:val="008E6A1E"/>
    <w:rsid w:val="008E6C4D"/>
    <w:rsid w:val="008E7A7B"/>
    <w:rsid w:val="008F1088"/>
    <w:rsid w:val="008F14FC"/>
    <w:rsid w:val="008F1C4C"/>
    <w:rsid w:val="008F1F93"/>
    <w:rsid w:val="008F3F03"/>
    <w:rsid w:val="008F4C9B"/>
    <w:rsid w:val="008F734D"/>
    <w:rsid w:val="008F7C1B"/>
    <w:rsid w:val="0090086E"/>
    <w:rsid w:val="009045C9"/>
    <w:rsid w:val="00906A2F"/>
    <w:rsid w:val="00913AE1"/>
    <w:rsid w:val="00914195"/>
    <w:rsid w:val="00914B7D"/>
    <w:rsid w:val="009247E9"/>
    <w:rsid w:val="00924D8D"/>
    <w:rsid w:val="009300AF"/>
    <w:rsid w:val="00930C2D"/>
    <w:rsid w:val="00934040"/>
    <w:rsid w:val="00934676"/>
    <w:rsid w:val="009368EC"/>
    <w:rsid w:val="00937599"/>
    <w:rsid w:val="00937908"/>
    <w:rsid w:val="009417C2"/>
    <w:rsid w:val="009426A9"/>
    <w:rsid w:val="00943D55"/>
    <w:rsid w:val="00951937"/>
    <w:rsid w:val="00951F0E"/>
    <w:rsid w:val="009545F7"/>
    <w:rsid w:val="00957A77"/>
    <w:rsid w:val="00965791"/>
    <w:rsid w:val="00965B91"/>
    <w:rsid w:val="00970A4A"/>
    <w:rsid w:val="00971717"/>
    <w:rsid w:val="00972C36"/>
    <w:rsid w:val="009762CC"/>
    <w:rsid w:val="0097664B"/>
    <w:rsid w:val="00980F56"/>
    <w:rsid w:val="00981D79"/>
    <w:rsid w:val="009840E2"/>
    <w:rsid w:val="00985AC7"/>
    <w:rsid w:val="00987D6B"/>
    <w:rsid w:val="009914F0"/>
    <w:rsid w:val="0099186A"/>
    <w:rsid w:val="00993579"/>
    <w:rsid w:val="00993877"/>
    <w:rsid w:val="00993BAE"/>
    <w:rsid w:val="00993E16"/>
    <w:rsid w:val="009966B9"/>
    <w:rsid w:val="00996BB5"/>
    <w:rsid w:val="009A1394"/>
    <w:rsid w:val="009A35BE"/>
    <w:rsid w:val="009A3F23"/>
    <w:rsid w:val="009B5F9A"/>
    <w:rsid w:val="009B7383"/>
    <w:rsid w:val="009C6E7D"/>
    <w:rsid w:val="009C78A0"/>
    <w:rsid w:val="009C7B9D"/>
    <w:rsid w:val="009C7FEB"/>
    <w:rsid w:val="009D1137"/>
    <w:rsid w:val="009D130E"/>
    <w:rsid w:val="009D2678"/>
    <w:rsid w:val="009D3A40"/>
    <w:rsid w:val="009E05A0"/>
    <w:rsid w:val="009E672B"/>
    <w:rsid w:val="009F11E6"/>
    <w:rsid w:val="009F2415"/>
    <w:rsid w:val="009F340F"/>
    <w:rsid w:val="009F5BBF"/>
    <w:rsid w:val="00A0014A"/>
    <w:rsid w:val="00A019A1"/>
    <w:rsid w:val="00A07BF4"/>
    <w:rsid w:val="00A11697"/>
    <w:rsid w:val="00A12461"/>
    <w:rsid w:val="00A12A5D"/>
    <w:rsid w:val="00A150C8"/>
    <w:rsid w:val="00A15419"/>
    <w:rsid w:val="00A20829"/>
    <w:rsid w:val="00A215D1"/>
    <w:rsid w:val="00A22D63"/>
    <w:rsid w:val="00A23AFE"/>
    <w:rsid w:val="00A30D6F"/>
    <w:rsid w:val="00A35E1C"/>
    <w:rsid w:val="00A37D94"/>
    <w:rsid w:val="00A476D9"/>
    <w:rsid w:val="00A50F87"/>
    <w:rsid w:val="00A5235A"/>
    <w:rsid w:val="00A54E5F"/>
    <w:rsid w:val="00A57BC1"/>
    <w:rsid w:val="00A62A22"/>
    <w:rsid w:val="00A63D42"/>
    <w:rsid w:val="00A63DC8"/>
    <w:rsid w:val="00A6524B"/>
    <w:rsid w:val="00A66070"/>
    <w:rsid w:val="00A66619"/>
    <w:rsid w:val="00A70411"/>
    <w:rsid w:val="00A70A67"/>
    <w:rsid w:val="00A73FA2"/>
    <w:rsid w:val="00A76C23"/>
    <w:rsid w:val="00A76E19"/>
    <w:rsid w:val="00A813AA"/>
    <w:rsid w:val="00A8518A"/>
    <w:rsid w:val="00A91046"/>
    <w:rsid w:val="00A91FCB"/>
    <w:rsid w:val="00A91FF8"/>
    <w:rsid w:val="00A9606D"/>
    <w:rsid w:val="00A96247"/>
    <w:rsid w:val="00A97A71"/>
    <w:rsid w:val="00AA1449"/>
    <w:rsid w:val="00AA18D8"/>
    <w:rsid w:val="00AA2861"/>
    <w:rsid w:val="00AA45DD"/>
    <w:rsid w:val="00AA5606"/>
    <w:rsid w:val="00AA60A6"/>
    <w:rsid w:val="00AA6EA9"/>
    <w:rsid w:val="00AA7494"/>
    <w:rsid w:val="00AB02B1"/>
    <w:rsid w:val="00AB2A1D"/>
    <w:rsid w:val="00AB3233"/>
    <w:rsid w:val="00AB65BE"/>
    <w:rsid w:val="00AB7347"/>
    <w:rsid w:val="00AC43FD"/>
    <w:rsid w:val="00AD0DC8"/>
    <w:rsid w:val="00AD0E85"/>
    <w:rsid w:val="00AD44FB"/>
    <w:rsid w:val="00AD654A"/>
    <w:rsid w:val="00AD7375"/>
    <w:rsid w:val="00AD7734"/>
    <w:rsid w:val="00AE06FE"/>
    <w:rsid w:val="00AE3027"/>
    <w:rsid w:val="00AE3421"/>
    <w:rsid w:val="00AE3A74"/>
    <w:rsid w:val="00AE6E0B"/>
    <w:rsid w:val="00AE7456"/>
    <w:rsid w:val="00AF1C4E"/>
    <w:rsid w:val="00AF6698"/>
    <w:rsid w:val="00AF7C14"/>
    <w:rsid w:val="00B003F7"/>
    <w:rsid w:val="00B01748"/>
    <w:rsid w:val="00B02BE6"/>
    <w:rsid w:val="00B0457F"/>
    <w:rsid w:val="00B05F42"/>
    <w:rsid w:val="00B1046C"/>
    <w:rsid w:val="00B13222"/>
    <w:rsid w:val="00B135FF"/>
    <w:rsid w:val="00B155BB"/>
    <w:rsid w:val="00B157E2"/>
    <w:rsid w:val="00B2410A"/>
    <w:rsid w:val="00B249ED"/>
    <w:rsid w:val="00B26B33"/>
    <w:rsid w:val="00B33F71"/>
    <w:rsid w:val="00B37613"/>
    <w:rsid w:val="00B404E5"/>
    <w:rsid w:val="00B4423D"/>
    <w:rsid w:val="00B44ECE"/>
    <w:rsid w:val="00B45462"/>
    <w:rsid w:val="00B459FD"/>
    <w:rsid w:val="00B47EBF"/>
    <w:rsid w:val="00B50FAD"/>
    <w:rsid w:val="00B5152A"/>
    <w:rsid w:val="00B51767"/>
    <w:rsid w:val="00B527DD"/>
    <w:rsid w:val="00B52C2F"/>
    <w:rsid w:val="00B54534"/>
    <w:rsid w:val="00B56BFC"/>
    <w:rsid w:val="00B6070E"/>
    <w:rsid w:val="00B6090C"/>
    <w:rsid w:val="00B6208C"/>
    <w:rsid w:val="00B6773B"/>
    <w:rsid w:val="00B67E84"/>
    <w:rsid w:val="00B714A7"/>
    <w:rsid w:val="00B7771A"/>
    <w:rsid w:val="00B77FDD"/>
    <w:rsid w:val="00B81362"/>
    <w:rsid w:val="00B92091"/>
    <w:rsid w:val="00B934F8"/>
    <w:rsid w:val="00B93550"/>
    <w:rsid w:val="00B97CFD"/>
    <w:rsid w:val="00BA0032"/>
    <w:rsid w:val="00BA1AC5"/>
    <w:rsid w:val="00BA382D"/>
    <w:rsid w:val="00BA4514"/>
    <w:rsid w:val="00BA743D"/>
    <w:rsid w:val="00BB3E78"/>
    <w:rsid w:val="00BB6B65"/>
    <w:rsid w:val="00BC144F"/>
    <w:rsid w:val="00BC2532"/>
    <w:rsid w:val="00BC4C02"/>
    <w:rsid w:val="00BD06AF"/>
    <w:rsid w:val="00BD593F"/>
    <w:rsid w:val="00BD6793"/>
    <w:rsid w:val="00BE0773"/>
    <w:rsid w:val="00BE0D8E"/>
    <w:rsid w:val="00BE1B73"/>
    <w:rsid w:val="00BE2273"/>
    <w:rsid w:val="00BE32B9"/>
    <w:rsid w:val="00BE641D"/>
    <w:rsid w:val="00BE657C"/>
    <w:rsid w:val="00BE73DC"/>
    <w:rsid w:val="00BF14DD"/>
    <w:rsid w:val="00BF2A7B"/>
    <w:rsid w:val="00BF3337"/>
    <w:rsid w:val="00BF3DC3"/>
    <w:rsid w:val="00BF518A"/>
    <w:rsid w:val="00BF6EBE"/>
    <w:rsid w:val="00BF75D7"/>
    <w:rsid w:val="00BF7C5A"/>
    <w:rsid w:val="00C013D9"/>
    <w:rsid w:val="00C0295F"/>
    <w:rsid w:val="00C0441F"/>
    <w:rsid w:val="00C046F5"/>
    <w:rsid w:val="00C05BF3"/>
    <w:rsid w:val="00C062D3"/>
    <w:rsid w:val="00C1161B"/>
    <w:rsid w:val="00C11B4F"/>
    <w:rsid w:val="00C11C99"/>
    <w:rsid w:val="00C12FC6"/>
    <w:rsid w:val="00C17E2B"/>
    <w:rsid w:val="00C200D3"/>
    <w:rsid w:val="00C20BC0"/>
    <w:rsid w:val="00C21A1C"/>
    <w:rsid w:val="00C21C3F"/>
    <w:rsid w:val="00C21D12"/>
    <w:rsid w:val="00C2568E"/>
    <w:rsid w:val="00C26B71"/>
    <w:rsid w:val="00C2788F"/>
    <w:rsid w:val="00C27926"/>
    <w:rsid w:val="00C27AD7"/>
    <w:rsid w:val="00C33B7E"/>
    <w:rsid w:val="00C344E5"/>
    <w:rsid w:val="00C36B57"/>
    <w:rsid w:val="00C424A9"/>
    <w:rsid w:val="00C43D5E"/>
    <w:rsid w:val="00C44AE5"/>
    <w:rsid w:val="00C4661B"/>
    <w:rsid w:val="00C46627"/>
    <w:rsid w:val="00C52DDA"/>
    <w:rsid w:val="00C54C9E"/>
    <w:rsid w:val="00C55243"/>
    <w:rsid w:val="00C558DB"/>
    <w:rsid w:val="00C55E2D"/>
    <w:rsid w:val="00C56523"/>
    <w:rsid w:val="00C578AA"/>
    <w:rsid w:val="00C635FE"/>
    <w:rsid w:val="00C63AE0"/>
    <w:rsid w:val="00C657FA"/>
    <w:rsid w:val="00C65B54"/>
    <w:rsid w:val="00C729B1"/>
    <w:rsid w:val="00C764D1"/>
    <w:rsid w:val="00C774C7"/>
    <w:rsid w:val="00C909F5"/>
    <w:rsid w:val="00C91D40"/>
    <w:rsid w:val="00C92790"/>
    <w:rsid w:val="00C9437B"/>
    <w:rsid w:val="00C952E0"/>
    <w:rsid w:val="00C9619D"/>
    <w:rsid w:val="00C97A40"/>
    <w:rsid w:val="00CA0688"/>
    <w:rsid w:val="00CA371D"/>
    <w:rsid w:val="00CA4611"/>
    <w:rsid w:val="00CA5FB0"/>
    <w:rsid w:val="00CA6F89"/>
    <w:rsid w:val="00CA78BB"/>
    <w:rsid w:val="00CC01B4"/>
    <w:rsid w:val="00CC06A9"/>
    <w:rsid w:val="00CC47DA"/>
    <w:rsid w:val="00CC5BCB"/>
    <w:rsid w:val="00CC673A"/>
    <w:rsid w:val="00CC6F18"/>
    <w:rsid w:val="00CC75AC"/>
    <w:rsid w:val="00CC7CF1"/>
    <w:rsid w:val="00CD0C2D"/>
    <w:rsid w:val="00CD14A3"/>
    <w:rsid w:val="00CD41B7"/>
    <w:rsid w:val="00CD458D"/>
    <w:rsid w:val="00CD4F67"/>
    <w:rsid w:val="00CE1EF0"/>
    <w:rsid w:val="00CE4469"/>
    <w:rsid w:val="00CE7DC6"/>
    <w:rsid w:val="00CF2A8E"/>
    <w:rsid w:val="00CF3DE4"/>
    <w:rsid w:val="00CF731C"/>
    <w:rsid w:val="00D002AE"/>
    <w:rsid w:val="00D00FAB"/>
    <w:rsid w:val="00D02237"/>
    <w:rsid w:val="00D02C8E"/>
    <w:rsid w:val="00D04AC3"/>
    <w:rsid w:val="00D10101"/>
    <w:rsid w:val="00D102B6"/>
    <w:rsid w:val="00D1073B"/>
    <w:rsid w:val="00D14C87"/>
    <w:rsid w:val="00D15EF4"/>
    <w:rsid w:val="00D21787"/>
    <w:rsid w:val="00D240A5"/>
    <w:rsid w:val="00D2495C"/>
    <w:rsid w:val="00D25309"/>
    <w:rsid w:val="00D30051"/>
    <w:rsid w:val="00D3028D"/>
    <w:rsid w:val="00D34F89"/>
    <w:rsid w:val="00D3534A"/>
    <w:rsid w:val="00D3551C"/>
    <w:rsid w:val="00D3560E"/>
    <w:rsid w:val="00D41967"/>
    <w:rsid w:val="00D41C88"/>
    <w:rsid w:val="00D53CA6"/>
    <w:rsid w:val="00D54E61"/>
    <w:rsid w:val="00D57E66"/>
    <w:rsid w:val="00D61304"/>
    <w:rsid w:val="00D6197D"/>
    <w:rsid w:val="00D61CA2"/>
    <w:rsid w:val="00D706EE"/>
    <w:rsid w:val="00D7373E"/>
    <w:rsid w:val="00D816FA"/>
    <w:rsid w:val="00D85938"/>
    <w:rsid w:val="00D9058A"/>
    <w:rsid w:val="00D90661"/>
    <w:rsid w:val="00D953E1"/>
    <w:rsid w:val="00DA21E3"/>
    <w:rsid w:val="00DA26A4"/>
    <w:rsid w:val="00DA277B"/>
    <w:rsid w:val="00DA3918"/>
    <w:rsid w:val="00DA467F"/>
    <w:rsid w:val="00DA4954"/>
    <w:rsid w:val="00DB04AB"/>
    <w:rsid w:val="00DB20C1"/>
    <w:rsid w:val="00DB4AFC"/>
    <w:rsid w:val="00DB5CC5"/>
    <w:rsid w:val="00DB660F"/>
    <w:rsid w:val="00DB7A19"/>
    <w:rsid w:val="00DC1444"/>
    <w:rsid w:val="00DC324B"/>
    <w:rsid w:val="00DC38D1"/>
    <w:rsid w:val="00DC43D5"/>
    <w:rsid w:val="00DC55D7"/>
    <w:rsid w:val="00DC5703"/>
    <w:rsid w:val="00DC6257"/>
    <w:rsid w:val="00DC70B9"/>
    <w:rsid w:val="00DC77A5"/>
    <w:rsid w:val="00DD2367"/>
    <w:rsid w:val="00DD2F56"/>
    <w:rsid w:val="00DD43A0"/>
    <w:rsid w:val="00DD4F34"/>
    <w:rsid w:val="00DE3418"/>
    <w:rsid w:val="00DE4C07"/>
    <w:rsid w:val="00DE502A"/>
    <w:rsid w:val="00DE5CA5"/>
    <w:rsid w:val="00DE5E38"/>
    <w:rsid w:val="00DE68B4"/>
    <w:rsid w:val="00DE69BE"/>
    <w:rsid w:val="00DF4DCC"/>
    <w:rsid w:val="00E00BCB"/>
    <w:rsid w:val="00E026C4"/>
    <w:rsid w:val="00E02A42"/>
    <w:rsid w:val="00E03101"/>
    <w:rsid w:val="00E051C4"/>
    <w:rsid w:val="00E061A2"/>
    <w:rsid w:val="00E07589"/>
    <w:rsid w:val="00E16C6A"/>
    <w:rsid w:val="00E24A4D"/>
    <w:rsid w:val="00E268E1"/>
    <w:rsid w:val="00E26B6D"/>
    <w:rsid w:val="00E27628"/>
    <w:rsid w:val="00E31F3C"/>
    <w:rsid w:val="00E320FA"/>
    <w:rsid w:val="00E35CBB"/>
    <w:rsid w:val="00E40AAA"/>
    <w:rsid w:val="00E4220A"/>
    <w:rsid w:val="00E425C9"/>
    <w:rsid w:val="00E44980"/>
    <w:rsid w:val="00E470FD"/>
    <w:rsid w:val="00E47E8D"/>
    <w:rsid w:val="00E5139F"/>
    <w:rsid w:val="00E51727"/>
    <w:rsid w:val="00E51BBC"/>
    <w:rsid w:val="00E51F45"/>
    <w:rsid w:val="00E52D18"/>
    <w:rsid w:val="00E54E5F"/>
    <w:rsid w:val="00E5619A"/>
    <w:rsid w:val="00E57904"/>
    <w:rsid w:val="00E60479"/>
    <w:rsid w:val="00E721A4"/>
    <w:rsid w:val="00E743F4"/>
    <w:rsid w:val="00E7643F"/>
    <w:rsid w:val="00E76602"/>
    <w:rsid w:val="00E76F71"/>
    <w:rsid w:val="00E80DD9"/>
    <w:rsid w:val="00E82D5E"/>
    <w:rsid w:val="00E86428"/>
    <w:rsid w:val="00E9417A"/>
    <w:rsid w:val="00E9729C"/>
    <w:rsid w:val="00E97603"/>
    <w:rsid w:val="00EA12BE"/>
    <w:rsid w:val="00EA29A7"/>
    <w:rsid w:val="00EA2CBC"/>
    <w:rsid w:val="00EA5CF1"/>
    <w:rsid w:val="00EA788F"/>
    <w:rsid w:val="00EB1439"/>
    <w:rsid w:val="00EB26F2"/>
    <w:rsid w:val="00EB52DF"/>
    <w:rsid w:val="00EC07FA"/>
    <w:rsid w:val="00EC0FB7"/>
    <w:rsid w:val="00EC21D1"/>
    <w:rsid w:val="00EC3241"/>
    <w:rsid w:val="00EC4241"/>
    <w:rsid w:val="00EC4D17"/>
    <w:rsid w:val="00EC5871"/>
    <w:rsid w:val="00EC6099"/>
    <w:rsid w:val="00ED0279"/>
    <w:rsid w:val="00ED0704"/>
    <w:rsid w:val="00ED0907"/>
    <w:rsid w:val="00ED12AA"/>
    <w:rsid w:val="00ED244F"/>
    <w:rsid w:val="00ED2DB6"/>
    <w:rsid w:val="00ED6A4E"/>
    <w:rsid w:val="00ED6E9F"/>
    <w:rsid w:val="00EE0582"/>
    <w:rsid w:val="00EE2DBE"/>
    <w:rsid w:val="00EE3D5A"/>
    <w:rsid w:val="00EE5E42"/>
    <w:rsid w:val="00EF04E5"/>
    <w:rsid w:val="00EF2BF8"/>
    <w:rsid w:val="00EF4354"/>
    <w:rsid w:val="00F03376"/>
    <w:rsid w:val="00F04A15"/>
    <w:rsid w:val="00F1001A"/>
    <w:rsid w:val="00F105A9"/>
    <w:rsid w:val="00F12D7B"/>
    <w:rsid w:val="00F14556"/>
    <w:rsid w:val="00F171F2"/>
    <w:rsid w:val="00F17F02"/>
    <w:rsid w:val="00F203CC"/>
    <w:rsid w:val="00F24574"/>
    <w:rsid w:val="00F24D48"/>
    <w:rsid w:val="00F25E69"/>
    <w:rsid w:val="00F27D63"/>
    <w:rsid w:val="00F30CA6"/>
    <w:rsid w:val="00F31F4E"/>
    <w:rsid w:val="00F355CA"/>
    <w:rsid w:val="00F377F6"/>
    <w:rsid w:val="00F40FDE"/>
    <w:rsid w:val="00F41CF0"/>
    <w:rsid w:val="00F44872"/>
    <w:rsid w:val="00F44E13"/>
    <w:rsid w:val="00F52AFE"/>
    <w:rsid w:val="00F57258"/>
    <w:rsid w:val="00F57AA5"/>
    <w:rsid w:val="00F61237"/>
    <w:rsid w:val="00F635EF"/>
    <w:rsid w:val="00F6501C"/>
    <w:rsid w:val="00F66EA9"/>
    <w:rsid w:val="00F70146"/>
    <w:rsid w:val="00F72A20"/>
    <w:rsid w:val="00F72A33"/>
    <w:rsid w:val="00F72CD9"/>
    <w:rsid w:val="00F73B33"/>
    <w:rsid w:val="00F7590F"/>
    <w:rsid w:val="00F77AAE"/>
    <w:rsid w:val="00F80109"/>
    <w:rsid w:val="00F83309"/>
    <w:rsid w:val="00F858A3"/>
    <w:rsid w:val="00F8756F"/>
    <w:rsid w:val="00F879D1"/>
    <w:rsid w:val="00F90109"/>
    <w:rsid w:val="00F914FD"/>
    <w:rsid w:val="00F92B9F"/>
    <w:rsid w:val="00F935CF"/>
    <w:rsid w:val="00F93AB7"/>
    <w:rsid w:val="00F952B0"/>
    <w:rsid w:val="00FA0286"/>
    <w:rsid w:val="00FA19CA"/>
    <w:rsid w:val="00FA21DC"/>
    <w:rsid w:val="00FA43BE"/>
    <w:rsid w:val="00FB04C6"/>
    <w:rsid w:val="00FB07D2"/>
    <w:rsid w:val="00FB0874"/>
    <w:rsid w:val="00FC0C9E"/>
    <w:rsid w:val="00FC120E"/>
    <w:rsid w:val="00FC12E5"/>
    <w:rsid w:val="00FC13A0"/>
    <w:rsid w:val="00FC13FF"/>
    <w:rsid w:val="00FC16A6"/>
    <w:rsid w:val="00FC2CE3"/>
    <w:rsid w:val="00FC31B5"/>
    <w:rsid w:val="00FC5696"/>
    <w:rsid w:val="00FC5C9D"/>
    <w:rsid w:val="00FD2E85"/>
    <w:rsid w:val="00FD55F4"/>
    <w:rsid w:val="00FD72A4"/>
    <w:rsid w:val="00FE0425"/>
    <w:rsid w:val="00FE0D2C"/>
    <w:rsid w:val="00FE1B29"/>
    <w:rsid w:val="00FE2CD3"/>
    <w:rsid w:val="00FE3D58"/>
    <w:rsid w:val="00FE6BE4"/>
    <w:rsid w:val="00FE7D67"/>
    <w:rsid w:val="00FF19B7"/>
    <w:rsid w:val="00FF2204"/>
    <w:rsid w:val="00FF330F"/>
    <w:rsid w:val="00FF358E"/>
    <w:rsid w:val="00FF41EF"/>
    <w:rsid w:val="00FF5500"/>
    <w:rsid w:val="00FF79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55243"/>
    <w:pPr>
      <w:spacing w:after="0" w:line="260" w:lineRule="atLeast"/>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132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222"/>
    <w:rPr>
      <w:rFonts w:ascii="Segoe UI" w:hAnsi="Segoe UI" w:cs="Segoe UI"/>
      <w:sz w:val="18"/>
      <w:szCs w:val="18"/>
    </w:rPr>
  </w:style>
  <w:style w:type="character" w:styleId="Hiperpovezava">
    <w:name w:val="Hyperlink"/>
    <w:basedOn w:val="Privzetapisavaodstavka"/>
    <w:unhideWhenUsed/>
    <w:rsid w:val="00B13222"/>
    <w:rPr>
      <w:color w:val="0563C1" w:themeColor="hyperlink"/>
      <w:u w:val="single"/>
    </w:rPr>
  </w:style>
  <w:style w:type="character" w:styleId="Nerazreenaomemba">
    <w:name w:val="Unresolved Mention"/>
    <w:basedOn w:val="Privzetapisavaodstavka"/>
    <w:uiPriority w:val="99"/>
    <w:semiHidden/>
    <w:unhideWhenUsed/>
    <w:rsid w:val="00B13222"/>
    <w:rPr>
      <w:color w:val="605E5C"/>
      <w:shd w:val="clear" w:color="auto" w:fill="E1DFDD"/>
    </w:rPr>
  </w:style>
  <w:style w:type="paragraph" w:customStyle="1" w:styleId="datumtevilka">
    <w:name w:val="datum številka"/>
    <w:basedOn w:val="Navaden"/>
    <w:qFormat/>
    <w:rsid w:val="00685E54"/>
    <w:pPr>
      <w:tabs>
        <w:tab w:val="left" w:pos="1701"/>
      </w:tabs>
    </w:pPr>
    <w:rPr>
      <w:rFonts w:eastAsia="Times New Roman" w:cs="Times New Roman"/>
      <w:szCs w:val="20"/>
      <w:lang w:eastAsia="sl-SI"/>
    </w:rPr>
  </w:style>
  <w:style w:type="paragraph" w:customStyle="1" w:styleId="ZADEVA">
    <w:name w:val="ZADEVA"/>
    <w:basedOn w:val="Naslov"/>
    <w:next w:val="Navaden"/>
    <w:qFormat/>
    <w:rsid w:val="004D5F90"/>
    <w:pPr>
      <w:tabs>
        <w:tab w:val="left" w:pos="1701"/>
      </w:tabs>
      <w:spacing w:before="240" w:after="280" w:line="260" w:lineRule="atLeast"/>
      <w:ind w:left="1701" w:hanging="1701"/>
    </w:pPr>
    <w:rPr>
      <w:rFonts w:ascii="Arial" w:eastAsia="Times New Roman" w:hAnsi="Arial" w:cs="Times New Roman"/>
      <w:b/>
      <w:spacing w:val="0"/>
      <w:sz w:val="20"/>
      <w:szCs w:val="24"/>
    </w:rPr>
  </w:style>
  <w:style w:type="paragraph" w:customStyle="1" w:styleId="podpisi">
    <w:name w:val="podpisi"/>
    <w:basedOn w:val="Navaden"/>
    <w:qFormat/>
    <w:rsid w:val="003F5FEA"/>
    <w:pPr>
      <w:tabs>
        <w:tab w:val="left" w:pos="3402"/>
      </w:tabs>
      <w:spacing w:line="360" w:lineRule="auto"/>
    </w:pPr>
    <w:rPr>
      <w:rFonts w:eastAsia="Times New Roman" w:cs="Times New Roman"/>
      <w:szCs w:val="24"/>
      <w:lang w:val="it-IT"/>
    </w:rPr>
  </w:style>
  <w:style w:type="paragraph" w:styleId="Naslov">
    <w:name w:val="Title"/>
    <w:basedOn w:val="Navaden"/>
    <w:next w:val="Navaden"/>
    <w:link w:val="NaslovZnak"/>
    <w:qFormat/>
    <w:rsid w:val="001E1E6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1E1E68"/>
    <w:rPr>
      <w:rFonts w:asciiTheme="majorHAnsi" w:eastAsiaTheme="majorEastAsia" w:hAnsiTheme="majorHAnsi" w:cstheme="majorBidi"/>
      <w:spacing w:val="-10"/>
      <w:kern w:val="28"/>
      <w:sz w:val="56"/>
      <w:szCs w:val="56"/>
    </w:rPr>
  </w:style>
  <w:style w:type="paragraph" w:customStyle="1" w:styleId="naslovprejemnika">
    <w:name w:val="naslov prejemnika"/>
    <w:basedOn w:val="Navaden"/>
    <w:next w:val="datumtevilka"/>
    <w:link w:val="naslovprejemnikaZnak"/>
    <w:qFormat/>
    <w:rsid w:val="00A37D94"/>
    <w:pPr>
      <w:spacing w:line="288" w:lineRule="auto"/>
    </w:pPr>
  </w:style>
  <w:style w:type="character" w:customStyle="1" w:styleId="naslovprejemnikaZnak">
    <w:name w:val="naslov prejemnika Znak"/>
    <w:basedOn w:val="Privzetapisavaodstavka"/>
    <w:link w:val="naslovprejemnika"/>
    <w:rsid w:val="00A37D94"/>
    <w:rPr>
      <w:rFonts w:ascii="Arial" w:hAnsi="Arial"/>
      <w:sz w:val="20"/>
    </w:rPr>
  </w:style>
  <w:style w:type="paragraph" w:styleId="Glava">
    <w:name w:val="header"/>
    <w:basedOn w:val="Navaden"/>
    <w:link w:val="GlavaZnak"/>
    <w:uiPriority w:val="99"/>
    <w:unhideWhenUsed/>
    <w:rsid w:val="00803BB2"/>
    <w:pPr>
      <w:tabs>
        <w:tab w:val="center" w:pos="4536"/>
        <w:tab w:val="right" w:pos="9072"/>
      </w:tabs>
      <w:spacing w:line="240" w:lineRule="auto"/>
    </w:pPr>
  </w:style>
  <w:style w:type="character" w:customStyle="1" w:styleId="GlavaZnak">
    <w:name w:val="Glava Znak"/>
    <w:basedOn w:val="Privzetapisavaodstavka"/>
    <w:link w:val="Glava"/>
    <w:uiPriority w:val="99"/>
    <w:rsid w:val="00803BB2"/>
  </w:style>
  <w:style w:type="paragraph" w:styleId="Noga">
    <w:name w:val="footer"/>
    <w:basedOn w:val="Navaden"/>
    <w:link w:val="NogaZnak"/>
    <w:uiPriority w:val="99"/>
    <w:unhideWhenUsed/>
    <w:rsid w:val="00803BB2"/>
    <w:pPr>
      <w:tabs>
        <w:tab w:val="center" w:pos="4536"/>
        <w:tab w:val="right" w:pos="9072"/>
      </w:tabs>
      <w:spacing w:line="240" w:lineRule="auto"/>
    </w:pPr>
  </w:style>
  <w:style w:type="character" w:customStyle="1" w:styleId="NogaZnak">
    <w:name w:val="Noga Znak"/>
    <w:basedOn w:val="Privzetapisavaodstavka"/>
    <w:link w:val="Noga"/>
    <w:uiPriority w:val="99"/>
    <w:rsid w:val="00803BB2"/>
  </w:style>
  <w:style w:type="paragraph" w:styleId="Sprotnaopomba-besedilo">
    <w:name w:val="footnote text"/>
    <w:aliases w:val="Char Char,Sprotna opomba - besedilo Znak Znak2,Sprotna opomba - besedilo Znak1 Znak Znak1,Sprotna opomba - besedilo Znak1 Znak Znak Znak,Sprotna opomba - besedilo Znak Znak Znak Znak Znak"/>
    <w:basedOn w:val="Navaden"/>
    <w:link w:val="Sprotnaopomba-besediloZnak"/>
    <w:uiPriority w:val="99"/>
    <w:unhideWhenUsed/>
    <w:rsid w:val="007F7A67"/>
    <w:pPr>
      <w:spacing w:line="240" w:lineRule="auto"/>
    </w:pPr>
    <w:rPr>
      <w:szCs w:val="20"/>
    </w:rPr>
  </w:style>
  <w:style w:type="character" w:customStyle="1" w:styleId="Sprotnaopomba-besediloZnak">
    <w:name w:val="Sprotna opomba - besedilo Znak"/>
    <w:aliases w:val="Char Char Znak,Sprotna opomba - besedilo Znak Znak2 Znak,Sprotna opomba - besedilo Znak1 Znak Znak1 Znak,Sprotna opomba - besedilo Znak1 Znak Znak Znak Znak,Sprotna opomba - besedilo Znak Znak Znak Znak Znak Znak"/>
    <w:basedOn w:val="Privzetapisavaodstavka"/>
    <w:link w:val="Sprotnaopomba-besedilo"/>
    <w:uiPriority w:val="99"/>
    <w:rsid w:val="007F7A67"/>
    <w:rPr>
      <w:sz w:val="20"/>
      <w:szCs w:val="20"/>
    </w:rPr>
  </w:style>
  <w:style w:type="character" w:styleId="Sprotnaopomba-sklic">
    <w:name w:val="footnote reference"/>
    <w:aliases w:val="Footnote symbol,Footnote,Fussnota"/>
    <w:basedOn w:val="Privzetapisavaodstavka"/>
    <w:uiPriority w:val="99"/>
    <w:semiHidden/>
    <w:unhideWhenUsed/>
    <w:rsid w:val="007F7A67"/>
    <w:rPr>
      <w:vertAlign w:val="superscript"/>
    </w:rPr>
  </w:style>
  <w:style w:type="table" w:styleId="Tabelamrea">
    <w:name w:val="Table Grid"/>
    <w:basedOn w:val="Navadnatabela"/>
    <w:uiPriority w:val="39"/>
    <w:rsid w:val="00CD0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dostopnost">
    <w:name w:val="Naslov dostopnost"/>
    <w:basedOn w:val="Navaden"/>
    <w:link w:val="NaslovdostopnostZnak"/>
    <w:autoRedefine/>
    <w:qFormat/>
    <w:rsid w:val="00667191"/>
    <w:pPr>
      <w:tabs>
        <w:tab w:val="left" w:pos="567"/>
      </w:tabs>
      <w:spacing w:line="276" w:lineRule="auto"/>
      <w:jc w:val="both"/>
    </w:pPr>
    <w:rPr>
      <w:rFonts w:cs="Arial"/>
      <w:b/>
      <w:bCs/>
      <w:color w:val="000000" w:themeColor="text1"/>
      <w:szCs w:val="20"/>
    </w:rPr>
  </w:style>
  <w:style w:type="character" w:customStyle="1" w:styleId="NaslovdostopnostZnak">
    <w:name w:val="Naslov dostopnost Znak"/>
    <w:basedOn w:val="Privzetapisavaodstavka"/>
    <w:link w:val="Naslovdostopnost"/>
    <w:rsid w:val="00667191"/>
    <w:rPr>
      <w:rFonts w:ascii="Arial" w:hAnsi="Arial" w:cs="Arial"/>
      <w:b/>
      <w:bCs/>
      <w:color w:val="000000" w:themeColor="text1"/>
      <w:sz w:val="20"/>
      <w:szCs w:val="20"/>
    </w:rPr>
  </w:style>
  <w:style w:type="paragraph" w:customStyle="1" w:styleId="Naslovakta">
    <w:name w:val="Naslov akta"/>
    <w:basedOn w:val="Naslovdostopnost"/>
    <w:link w:val="NaslovaktaZnak"/>
    <w:qFormat/>
    <w:rsid w:val="005564ED"/>
    <w:pPr>
      <w:jc w:val="center"/>
    </w:pPr>
  </w:style>
  <w:style w:type="character" w:customStyle="1" w:styleId="NaslovaktaZnak">
    <w:name w:val="Naslov akta Znak"/>
    <w:basedOn w:val="NaslovdostopnostZnak"/>
    <w:link w:val="Naslovakta"/>
    <w:rsid w:val="005564ED"/>
    <w:rPr>
      <w:rFonts w:ascii="Arial" w:hAnsi="Arial" w:cs="Arial"/>
      <w:b/>
      <w:bCs/>
      <w:color w:val="FF0000"/>
      <w:sz w:val="20"/>
      <w:szCs w:val="20"/>
    </w:rPr>
  </w:style>
  <w:style w:type="table" w:customStyle="1" w:styleId="Tabelamrea1">
    <w:name w:val="Tabela – mreža1"/>
    <w:basedOn w:val="Navadnatabela"/>
    <w:next w:val="Tabelamrea"/>
    <w:rsid w:val="00AE3421"/>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43788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C774C7"/>
    <w:pPr>
      <w:ind w:left="720"/>
      <w:contextualSpacing/>
    </w:pPr>
  </w:style>
  <w:style w:type="character" w:styleId="SledenaHiperpovezava">
    <w:name w:val="FollowedHyperlink"/>
    <w:basedOn w:val="Privzetapisavaodstavka"/>
    <w:uiPriority w:val="99"/>
    <w:semiHidden/>
    <w:unhideWhenUsed/>
    <w:rsid w:val="004F192A"/>
    <w:rPr>
      <w:color w:val="954F72" w:themeColor="followedHyperlink"/>
      <w:u w:val="single"/>
    </w:rPr>
  </w:style>
  <w:style w:type="paragraph" w:styleId="Revizija">
    <w:name w:val="Revision"/>
    <w:hidden/>
    <w:uiPriority w:val="99"/>
    <w:semiHidden/>
    <w:rsid w:val="00171DDA"/>
    <w:pPr>
      <w:spacing w:after="0" w:line="240" w:lineRule="auto"/>
    </w:pPr>
    <w:rPr>
      <w:rFonts w:ascii="Arial" w:hAnsi="Arial"/>
      <w:sz w:val="20"/>
    </w:rPr>
  </w:style>
  <w:style w:type="character" w:styleId="Pripombasklic">
    <w:name w:val="annotation reference"/>
    <w:basedOn w:val="Privzetapisavaodstavka"/>
    <w:uiPriority w:val="99"/>
    <w:semiHidden/>
    <w:unhideWhenUsed/>
    <w:rsid w:val="00C2568E"/>
    <w:rPr>
      <w:sz w:val="16"/>
      <w:szCs w:val="16"/>
    </w:rPr>
  </w:style>
  <w:style w:type="paragraph" w:styleId="Pripombabesedilo">
    <w:name w:val="annotation text"/>
    <w:basedOn w:val="Navaden"/>
    <w:link w:val="PripombabesediloZnak"/>
    <w:uiPriority w:val="99"/>
    <w:unhideWhenUsed/>
    <w:rsid w:val="00C2568E"/>
    <w:pPr>
      <w:spacing w:line="240" w:lineRule="auto"/>
    </w:pPr>
    <w:rPr>
      <w:szCs w:val="20"/>
    </w:rPr>
  </w:style>
  <w:style w:type="character" w:customStyle="1" w:styleId="PripombabesediloZnak">
    <w:name w:val="Pripomba – besedilo Znak"/>
    <w:basedOn w:val="Privzetapisavaodstavka"/>
    <w:link w:val="Pripombabesedilo"/>
    <w:uiPriority w:val="99"/>
    <w:rsid w:val="00C2568E"/>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C2568E"/>
    <w:rPr>
      <w:b/>
      <w:bCs/>
    </w:rPr>
  </w:style>
  <w:style w:type="character" w:customStyle="1" w:styleId="ZadevapripombeZnak">
    <w:name w:val="Zadeva pripombe Znak"/>
    <w:basedOn w:val="PripombabesediloZnak"/>
    <w:link w:val="Zadevapripombe"/>
    <w:uiPriority w:val="99"/>
    <w:semiHidden/>
    <w:rsid w:val="00C2568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492">
      <w:bodyDiv w:val="1"/>
      <w:marLeft w:val="0"/>
      <w:marRight w:val="0"/>
      <w:marTop w:val="0"/>
      <w:marBottom w:val="0"/>
      <w:divBdr>
        <w:top w:val="none" w:sz="0" w:space="0" w:color="auto"/>
        <w:left w:val="none" w:sz="0" w:space="0" w:color="auto"/>
        <w:bottom w:val="none" w:sz="0" w:space="0" w:color="auto"/>
        <w:right w:val="none" w:sz="0" w:space="0" w:color="auto"/>
      </w:divBdr>
    </w:div>
    <w:div w:id="28458004">
      <w:bodyDiv w:val="1"/>
      <w:marLeft w:val="0"/>
      <w:marRight w:val="0"/>
      <w:marTop w:val="0"/>
      <w:marBottom w:val="0"/>
      <w:divBdr>
        <w:top w:val="none" w:sz="0" w:space="0" w:color="auto"/>
        <w:left w:val="none" w:sz="0" w:space="0" w:color="auto"/>
        <w:bottom w:val="none" w:sz="0" w:space="0" w:color="auto"/>
        <w:right w:val="none" w:sz="0" w:space="0" w:color="auto"/>
      </w:divBdr>
      <w:divsChild>
        <w:div w:id="609123500">
          <w:marLeft w:val="0"/>
          <w:marRight w:val="0"/>
          <w:marTop w:val="0"/>
          <w:marBottom w:val="120"/>
          <w:divBdr>
            <w:top w:val="none" w:sz="0" w:space="0" w:color="auto"/>
            <w:left w:val="none" w:sz="0" w:space="0" w:color="auto"/>
            <w:bottom w:val="none" w:sz="0" w:space="0" w:color="auto"/>
            <w:right w:val="none" w:sz="0" w:space="0" w:color="auto"/>
          </w:divBdr>
        </w:div>
        <w:div w:id="2091922145">
          <w:marLeft w:val="0"/>
          <w:marRight w:val="0"/>
          <w:marTop w:val="0"/>
          <w:marBottom w:val="120"/>
          <w:divBdr>
            <w:top w:val="none" w:sz="0" w:space="0" w:color="auto"/>
            <w:left w:val="none" w:sz="0" w:space="0" w:color="auto"/>
            <w:bottom w:val="none" w:sz="0" w:space="0" w:color="auto"/>
            <w:right w:val="none" w:sz="0" w:space="0" w:color="auto"/>
          </w:divBdr>
        </w:div>
      </w:divsChild>
    </w:div>
    <w:div w:id="384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f.un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3-01-0348" TargetMode="External"/><Relationship Id="rId3" Type="http://schemas.openxmlformats.org/officeDocument/2006/relationships/hyperlink" Target="http://www.uradni-list.si/1/objava.jsp?sop=2013-01-3677" TargetMode="External"/><Relationship Id="rId7" Type="http://schemas.openxmlformats.org/officeDocument/2006/relationships/hyperlink" Target="http://www.uradni-list.si/1/objava.jsp?sop=2020-01-3501" TargetMode="External"/><Relationship Id="rId2" Type="http://schemas.openxmlformats.org/officeDocument/2006/relationships/hyperlink" Target="http://www.uradni-list.si/1/objava.jsp?sop=2013-21-0433" TargetMode="External"/><Relationship Id="rId1" Type="http://schemas.openxmlformats.org/officeDocument/2006/relationships/hyperlink" Target="http://www.uradni-list.si/1/objava.jsp?sop=2011-01-0449" TargetMode="External"/><Relationship Id="rId6" Type="http://schemas.openxmlformats.org/officeDocument/2006/relationships/hyperlink" Target="http://www.uradni-list.si/1/objava.jsp?sop=2018-01-0544" TargetMode="External"/><Relationship Id="rId5" Type="http://schemas.openxmlformats.org/officeDocument/2006/relationships/hyperlink" Target="http://www.uradni-list.si/1/objava.jsp?sop=2015-01-3772" TargetMode="External"/><Relationship Id="rId10" Type="http://schemas.openxmlformats.org/officeDocument/2006/relationships/hyperlink" Target="https://si-revizija.si/datoteke/standardi/1508/psr-2016.pdf" TargetMode="External"/><Relationship Id="rId4" Type="http://schemas.openxmlformats.org/officeDocument/2006/relationships/hyperlink" Target="http://www.uradni-list.si/1/objava.jsp?sop=2015-01-2277" TargetMode="External"/><Relationship Id="rId9" Type="http://schemas.openxmlformats.org/officeDocument/2006/relationships/hyperlink" Target="https://www.stat.si/doc/pub/sk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G58\Downloads\MF%20UNP_slo%20dopis%202024%20(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8C64E-1DEE-4995-9CE6-442448F5819B}">
  <ds:schemaRefs>
    <ds:schemaRef ds:uri="http://schemas.microsoft.com/sharepoint/v3/contenttype/forms"/>
  </ds:schemaRefs>
</ds:datastoreItem>
</file>

<file path=customXml/itemProps2.xml><?xml version="1.0" encoding="utf-8"?>
<ds:datastoreItem xmlns:ds="http://schemas.openxmlformats.org/officeDocument/2006/customXml" ds:itemID="{7E2B7D77-B728-4EA3-B88D-C3EB5FAA7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4CC95-865C-427D-B757-4A0B10CA32B3}">
  <ds:schemaRefs>
    <ds:schemaRef ds:uri="http://schemas.openxmlformats.org/officeDocument/2006/bibliography"/>
  </ds:schemaRefs>
</ds:datastoreItem>
</file>

<file path=customXml/itemProps4.xml><?xml version="1.0" encoding="utf-8"?>
<ds:datastoreItem xmlns:ds="http://schemas.openxmlformats.org/officeDocument/2006/customXml" ds:itemID="{9FD1386B-2B45-4A73-95B1-9BA0C2717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MF UNP_slo dopis 2024 (2)</Template>
  <TotalTime>0</TotalTime>
  <Pages>18</Pages>
  <Words>8876</Words>
  <Characters>50599</Characters>
  <Application>Microsoft Office Word</Application>
  <DocSecurity>0</DocSecurity>
  <Lines>421</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2025-07-02T11:17:00Z</dcterms:created>
  <dcterms:modified xsi:type="dcterms:W3CDTF">2025-08-29T12:18:00Z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