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DEFC" w14:textId="30651B65" w:rsidR="00C21C3F" w:rsidRPr="00FF358E" w:rsidRDefault="00391A75" w:rsidP="00EC5871">
      <w:pPr>
        <w:ind w:left="-1701"/>
        <w:rPr>
          <w:rFonts w:cs="Arial"/>
          <w:szCs w:val="20"/>
        </w:rPr>
        <w:sectPr w:rsidR="00C21C3F" w:rsidRPr="00FF358E" w:rsidSect="004E3A1C">
          <w:footerReference w:type="default" r:id="rId11"/>
          <w:type w:val="continuous"/>
          <w:pgSz w:w="11906" w:h="16838"/>
          <w:pgMar w:top="0" w:right="1701" w:bottom="1134" w:left="1701" w:header="709" w:footer="709" w:gutter="0"/>
          <w:cols w:space="708"/>
          <w:docGrid w:linePitch="360"/>
        </w:sectPr>
      </w:pPr>
      <w:r w:rsidRPr="00FF358E">
        <w:rPr>
          <w:rFonts w:cs="Arial"/>
          <w:noProof/>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14:paraId="15A11815" w14:textId="676A07FA" w:rsidR="007676E4" w:rsidRPr="00FF358E" w:rsidRDefault="00391A75" w:rsidP="00C11C99">
      <w:pPr>
        <w:tabs>
          <w:tab w:val="left" w:pos="5114"/>
        </w:tabs>
        <w:spacing w:before="120"/>
        <w:ind w:left="-993" w:firstLine="993"/>
        <w:rPr>
          <w:rFonts w:cs="Arial"/>
          <w:sz w:val="16"/>
          <w:szCs w:val="16"/>
        </w:rPr>
        <w:sectPr w:rsidR="007676E4" w:rsidRPr="00FF358E" w:rsidSect="004E3A1C">
          <w:type w:val="continuous"/>
          <w:pgSz w:w="11906" w:h="16838"/>
          <w:pgMar w:top="0" w:right="1701" w:bottom="1134" w:left="1701" w:header="709" w:footer="709" w:gutter="0"/>
          <w:cols w:space="708"/>
          <w:docGrid w:linePitch="360"/>
        </w:sectPr>
      </w:pPr>
      <w:r w:rsidRPr="00FF358E">
        <w:rPr>
          <w:rFonts w:cs="Arial"/>
          <w:sz w:val="16"/>
          <w:szCs w:val="16"/>
        </w:rPr>
        <w:t xml:space="preserve">Fajfarjeva </w:t>
      </w:r>
      <w:r w:rsidR="00B02BE6">
        <w:rPr>
          <w:rFonts w:cs="Arial"/>
          <w:sz w:val="16"/>
          <w:szCs w:val="16"/>
        </w:rPr>
        <w:t xml:space="preserve">ulica </w:t>
      </w:r>
      <w:r w:rsidRPr="00FF358E">
        <w:rPr>
          <w:rFonts w:cs="Arial"/>
          <w:sz w:val="16"/>
          <w:szCs w:val="16"/>
        </w:rPr>
        <w:t>33, 1502 Ljubljana</w:t>
      </w:r>
      <w:r w:rsidR="00B13222" w:rsidRPr="00FF358E">
        <w:rPr>
          <w:rFonts w:cs="Arial"/>
          <w:sz w:val="16"/>
          <w:szCs w:val="16"/>
        </w:rPr>
        <w:tab/>
        <w:t xml:space="preserve">T: 01 </w:t>
      </w:r>
      <w:r w:rsidRPr="00FF358E">
        <w:rPr>
          <w:rFonts w:cs="Arial"/>
          <w:sz w:val="16"/>
          <w:szCs w:val="16"/>
        </w:rPr>
        <w:t>369 69 00</w:t>
      </w:r>
      <w:r w:rsidR="00C11C99" w:rsidRPr="00FF358E">
        <w:rPr>
          <w:rFonts w:cs="Arial"/>
          <w:sz w:val="16"/>
          <w:szCs w:val="16"/>
        </w:rPr>
        <w:br/>
      </w:r>
      <w:r w:rsidR="00B13222" w:rsidRPr="00FF358E">
        <w:rPr>
          <w:rFonts w:cs="Arial"/>
          <w:sz w:val="16"/>
          <w:szCs w:val="16"/>
        </w:rPr>
        <w:tab/>
        <w:t xml:space="preserve">E: </w:t>
      </w:r>
      <w:r w:rsidRPr="00FF358E">
        <w:rPr>
          <w:rFonts w:cs="Arial"/>
          <w:sz w:val="16"/>
          <w:szCs w:val="16"/>
        </w:rPr>
        <w:t>mf.unp</w:t>
      </w:r>
      <w:r w:rsidR="00E35CBB" w:rsidRPr="00FF358E">
        <w:rPr>
          <w:rFonts w:cs="Arial"/>
          <w:sz w:val="16"/>
          <w:szCs w:val="16"/>
        </w:rPr>
        <w:t>@gov.si</w:t>
      </w:r>
      <w:r w:rsidR="00C11C99" w:rsidRPr="00FF358E">
        <w:rPr>
          <w:rFonts w:cs="Arial"/>
          <w:sz w:val="16"/>
          <w:szCs w:val="16"/>
        </w:rPr>
        <w:br/>
      </w:r>
      <w:r w:rsidR="00B13222" w:rsidRPr="00FF358E">
        <w:rPr>
          <w:rFonts w:cs="Arial"/>
          <w:sz w:val="16"/>
          <w:szCs w:val="16"/>
        </w:rPr>
        <w:tab/>
      </w:r>
      <w:r w:rsidRPr="00FF358E">
        <w:rPr>
          <w:rFonts w:cs="Arial"/>
          <w:sz w:val="16"/>
          <w:szCs w:val="16"/>
        </w:rPr>
        <w:t>www.unp.gov.si</w:t>
      </w:r>
    </w:p>
    <w:p w14:paraId="57B6C6C8" w14:textId="77777777" w:rsidR="001D4FA8" w:rsidRPr="00FF358E" w:rsidRDefault="00356258" w:rsidP="00D16F32">
      <w:pPr>
        <w:tabs>
          <w:tab w:val="left" w:pos="5114"/>
        </w:tabs>
        <w:rPr>
          <w:rFonts w:cs="Arial"/>
          <w:szCs w:val="20"/>
        </w:rPr>
        <w:sectPr w:rsidR="001D4FA8" w:rsidRPr="00FF358E" w:rsidSect="00314F62">
          <w:type w:val="continuous"/>
          <w:pgSz w:w="11906" w:h="16838"/>
          <w:pgMar w:top="0" w:right="1701" w:bottom="1134" w:left="1701" w:header="709" w:footer="709" w:gutter="0"/>
          <w:cols w:num="2" w:space="708"/>
          <w:docGrid w:linePitch="360"/>
        </w:sectPr>
      </w:pPr>
      <w:r w:rsidRPr="00FF358E">
        <w:rPr>
          <w:rFonts w:cs="Arial"/>
          <w:noProof/>
          <w:szCs w:val="20"/>
          <w:lang w:eastAsia="sl-SI"/>
        </w:rPr>
        <mc:AlternateContent>
          <mc:Choice Requires="wps">
            <w:drawing>
              <wp:anchor distT="0" distB="0" distL="114300" distR="114300" simplePos="0" relativeHeight="251659264"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904EA" id="Raven povezovalnik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o:allowincell="f" strokecolor="#428299" strokeweight=".5pt">
                <w10:wrap anchory="page"/>
              </v:line>
            </w:pict>
          </mc:Fallback>
        </mc:AlternateContent>
      </w:r>
    </w:p>
    <w:p w14:paraId="65DF7EA5" w14:textId="77777777" w:rsidR="00DB117A" w:rsidRDefault="00DB117A" w:rsidP="00925AA1">
      <w:pPr>
        <w:pStyle w:val="datumtevilka"/>
        <w:jc w:val="both"/>
        <w:rPr>
          <w:rFonts w:cs="Arial"/>
        </w:rPr>
      </w:pPr>
    </w:p>
    <w:p w14:paraId="6950A514" w14:textId="77777777" w:rsidR="008D3E5D" w:rsidRDefault="008D3E5D" w:rsidP="00925AA1">
      <w:pPr>
        <w:pStyle w:val="datumtevilka"/>
        <w:jc w:val="both"/>
        <w:rPr>
          <w:rFonts w:cs="Arial"/>
        </w:rPr>
      </w:pPr>
    </w:p>
    <w:p w14:paraId="4869AE7E" w14:textId="4A0A7295" w:rsidR="00925AA1" w:rsidRDefault="00925AA1" w:rsidP="00925AA1">
      <w:pPr>
        <w:pStyle w:val="datumtevilka"/>
        <w:jc w:val="both"/>
        <w:rPr>
          <w:rFonts w:cs="Arial"/>
        </w:rPr>
      </w:pPr>
      <w:r>
        <w:rPr>
          <w:rFonts w:cs="Arial"/>
        </w:rPr>
        <w:t xml:space="preserve">Številka: </w:t>
      </w:r>
      <w:r>
        <w:rPr>
          <w:rFonts w:cs="Arial"/>
        </w:rPr>
        <w:tab/>
      </w:r>
      <w:bookmarkStart w:id="0" w:name="KlasSt"/>
      <w:r>
        <w:fldChar w:fldCharType="begin"/>
      </w:r>
      <w:r>
        <w:rPr>
          <w:rFonts w:cs="Arial"/>
        </w:rPr>
        <w:instrText xml:space="preserve"> MACROBUTTON  AcceptAllChangesInDocAndStopTracking [številka-avtomatsko] </w:instrText>
      </w:r>
      <w:r>
        <w:fldChar w:fldCharType="end"/>
      </w:r>
      <w:bookmarkEnd w:id="0"/>
    </w:p>
    <w:p w14:paraId="1957E3C1" w14:textId="77777777" w:rsidR="00925AA1" w:rsidRDefault="00925AA1" w:rsidP="00925AA1">
      <w:pPr>
        <w:pStyle w:val="datumtevilka"/>
        <w:jc w:val="both"/>
        <w:rPr>
          <w:rFonts w:cs="Arial"/>
        </w:rPr>
      </w:pPr>
      <w:r>
        <w:rPr>
          <w:rFonts w:cs="Arial"/>
        </w:rPr>
        <w:t xml:space="preserve">Datum: </w:t>
      </w:r>
      <w:r>
        <w:rPr>
          <w:rFonts w:cs="Arial"/>
        </w:rPr>
        <w:tab/>
      </w:r>
      <w:bookmarkStart w:id="1" w:name="DatumDokumenta"/>
      <w:r>
        <w:fldChar w:fldCharType="begin"/>
      </w:r>
      <w:r>
        <w:instrText xml:space="preserve"> MACROBUTTON  AcceptAllChangesInDocAndStopTracking [datum-avtomatsko] </w:instrText>
      </w:r>
      <w:r>
        <w:fldChar w:fldCharType="end"/>
      </w:r>
      <w:bookmarkEnd w:id="1"/>
    </w:p>
    <w:p w14:paraId="49DDA954" w14:textId="5D240358" w:rsidR="00344803" w:rsidRDefault="008D3E5D" w:rsidP="0031610B">
      <w:pPr>
        <w:tabs>
          <w:tab w:val="left" w:pos="1701"/>
        </w:tabs>
        <w:spacing w:line="240" w:lineRule="auto"/>
        <w:jc w:val="both"/>
        <w:rPr>
          <w:rFonts w:eastAsia="Times New Roman" w:cs="Times New Roman"/>
          <w:b/>
          <w:szCs w:val="20"/>
          <w:lang w:eastAsia="sl-SI"/>
        </w:rPr>
      </w:pPr>
      <w:proofErr w:type="spellStart"/>
      <w:r w:rsidRPr="0063376E">
        <w:rPr>
          <w:rFonts w:eastAsia="Times New Roman" w:cs="Times New Roman"/>
          <w:bCs/>
          <w:szCs w:val="20"/>
          <w:lang w:eastAsia="sl-SI"/>
        </w:rPr>
        <w:t>U.p</w:t>
      </w:r>
      <w:proofErr w:type="spellEnd"/>
      <w:r w:rsidRPr="0063376E">
        <w:rPr>
          <w:rFonts w:eastAsia="Times New Roman" w:cs="Times New Roman"/>
          <w:bCs/>
          <w:szCs w:val="20"/>
          <w:lang w:eastAsia="sl-SI"/>
        </w:rPr>
        <w:t xml:space="preserve">.: </w:t>
      </w:r>
      <w:r>
        <w:rPr>
          <w:rFonts w:eastAsia="Times New Roman" w:cs="Times New Roman"/>
          <w:bCs/>
          <w:szCs w:val="20"/>
          <w:lang w:eastAsia="sl-SI"/>
        </w:rPr>
        <w:t xml:space="preserve">                      </w:t>
      </w:r>
      <w:r>
        <w:rPr>
          <w:rFonts w:cs="Arial"/>
        </w:rPr>
        <w:t>UNP200 P2</w:t>
      </w:r>
    </w:p>
    <w:p w14:paraId="02BF898B" w14:textId="77777777" w:rsidR="0013731E" w:rsidRPr="0031610B" w:rsidRDefault="0013731E" w:rsidP="0031610B">
      <w:pPr>
        <w:tabs>
          <w:tab w:val="left" w:pos="1701"/>
        </w:tabs>
        <w:spacing w:line="240" w:lineRule="auto"/>
        <w:jc w:val="both"/>
        <w:rPr>
          <w:rFonts w:eastAsia="Times New Roman" w:cs="Times New Roman"/>
          <w:b/>
          <w:szCs w:val="20"/>
          <w:lang w:eastAsia="sl-SI"/>
        </w:rPr>
      </w:pPr>
    </w:p>
    <w:p w14:paraId="02A14E6B" w14:textId="77777777" w:rsidR="008D3E5D" w:rsidRDefault="008D3E5D" w:rsidP="008D3E5D">
      <w:pPr>
        <w:spacing w:line="240" w:lineRule="auto"/>
        <w:jc w:val="both"/>
        <w:rPr>
          <w:rFonts w:eastAsia="Times New Roman" w:cs="Arial"/>
          <w:color w:val="212529"/>
          <w:szCs w:val="20"/>
          <w:lang w:eastAsia="sl-SI"/>
        </w:rPr>
      </w:pPr>
    </w:p>
    <w:p w14:paraId="6BC0973E" w14:textId="77777777" w:rsidR="008D3E5D" w:rsidRDefault="008D3E5D" w:rsidP="008D3E5D">
      <w:pPr>
        <w:spacing w:line="240" w:lineRule="auto"/>
        <w:jc w:val="both"/>
        <w:rPr>
          <w:rFonts w:eastAsia="Times New Roman" w:cs="Arial"/>
          <w:color w:val="212529"/>
          <w:szCs w:val="20"/>
          <w:lang w:eastAsia="sl-SI"/>
        </w:rPr>
      </w:pPr>
    </w:p>
    <w:p w14:paraId="34621D25" w14:textId="77777777" w:rsidR="008D3E5D" w:rsidRPr="00355A22" w:rsidRDefault="008D3E5D" w:rsidP="008D3E5D">
      <w:pPr>
        <w:spacing w:line="240" w:lineRule="auto"/>
        <w:jc w:val="both"/>
        <w:rPr>
          <w:rFonts w:eastAsia="Times New Roman" w:cs="Arial"/>
          <w:b/>
          <w:bCs/>
          <w:color w:val="212529"/>
          <w:szCs w:val="20"/>
          <w:lang w:eastAsia="sl-SI"/>
        </w:rPr>
      </w:pPr>
    </w:p>
    <w:p w14:paraId="5E7B3A3C" w14:textId="77777777" w:rsidR="008D3E5D" w:rsidRPr="00355A22" w:rsidRDefault="008D3E5D" w:rsidP="008D3E5D">
      <w:pPr>
        <w:spacing w:line="240" w:lineRule="auto"/>
        <w:jc w:val="both"/>
        <w:rPr>
          <w:rFonts w:eastAsia="Times New Roman" w:cs="Arial"/>
          <w:b/>
          <w:bCs/>
          <w:color w:val="212529"/>
          <w:szCs w:val="20"/>
          <w:lang w:eastAsia="sl-SI"/>
        </w:rPr>
      </w:pPr>
    </w:p>
    <w:p w14:paraId="014A15F3" w14:textId="77777777" w:rsidR="008D3E5D" w:rsidRPr="00355A22" w:rsidRDefault="008D3E5D" w:rsidP="00355A22">
      <w:pPr>
        <w:pStyle w:val="datumtevilka"/>
        <w:jc w:val="center"/>
        <w:rPr>
          <w:b/>
          <w:bCs/>
        </w:rPr>
      </w:pPr>
      <w:r w:rsidRPr="00355A22">
        <w:rPr>
          <w:b/>
          <w:bCs/>
        </w:rPr>
        <w:t>Zapisnik</w:t>
      </w:r>
    </w:p>
    <w:p w14:paraId="1238ABCD" w14:textId="77777777" w:rsidR="008D3E5D" w:rsidRPr="00167D0A" w:rsidRDefault="008D3E5D" w:rsidP="008D3E5D">
      <w:pPr>
        <w:pStyle w:val="datumtevilka"/>
        <w:jc w:val="center"/>
        <w:rPr>
          <w:b/>
          <w:bCs/>
        </w:rPr>
      </w:pPr>
      <w:r w:rsidRPr="00167D0A">
        <w:rPr>
          <w:b/>
          <w:bCs/>
        </w:rPr>
        <w:t>o inšpekcijskem nadzoru nad izvajanjem Zakona o javnih financah</w:t>
      </w:r>
      <w:r>
        <w:rPr>
          <w:b/>
          <w:bCs/>
        </w:rPr>
        <w:t xml:space="preserve"> </w:t>
      </w:r>
      <w:r w:rsidRPr="00532755">
        <w:rPr>
          <w:b/>
          <w:bCs/>
        </w:rPr>
        <w:t>in predpisov, ki urejajo poslovanje s sredstvi državnega proračuna</w:t>
      </w:r>
    </w:p>
    <w:p w14:paraId="23239B81" w14:textId="77777777" w:rsidR="008D3E5D" w:rsidRPr="00167D0A" w:rsidRDefault="008D3E5D" w:rsidP="008D3E5D">
      <w:pPr>
        <w:pStyle w:val="datumtevilka"/>
        <w:jc w:val="center"/>
        <w:rPr>
          <w:b/>
          <w:bCs/>
        </w:rPr>
      </w:pPr>
      <w:r w:rsidRPr="00167D0A">
        <w:rPr>
          <w:b/>
          <w:bCs/>
        </w:rPr>
        <w:t>pri proračunskem uporabniku</w:t>
      </w:r>
    </w:p>
    <w:p w14:paraId="281167E2" w14:textId="77777777" w:rsidR="008D3E5D" w:rsidRDefault="008D3E5D" w:rsidP="008D3E5D">
      <w:pPr>
        <w:jc w:val="center"/>
        <w:rPr>
          <w:rFonts w:cs="Arial"/>
          <w:b/>
          <w:bCs/>
          <w:szCs w:val="20"/>
        </w:rPr>
      </w:pPr>
    </w:p>
    <w:p w14:paraId="55EEF04B" w14:textId="77777777" w:rsidR="00C9638A" w:rsidRPr="003C0B2F" w:rsidRDefault="00C9638A" w:rsidP="008D3E5D">
      <w:pPr>
        <w:jc w:val="center"/>
        <w:rPr>
          <w:rFonts w:cs="Arial"/>
          <w:b/>
          <w:bCs/>
          <w:szCs w:val="20"/>
        </w:rPr>
      </w:pPr>
    </w:p>
    <w:p w14:paraId="3ECB01BF" w14:textId="77777777" w:rsidR="008D3E5D" w:rsidRPr="003C0B2F" w:rsidRDefault="008D3E5D" w:rsidP="008D3E5D">
      <w:pPr>
        <w:pStyle w:val="datumtevilka"/>
        <w:jc w:val="center"/>
        <w:rPr>
          <w:b/>
          <w:bCs/>
        </w:rPr>
      </w:pPr>
      <w:bookmarkStart w:id="2" w:name="_Hlk166766439"/>
      <w:r w:rsidRPr="00A60623">
        <w:rPr>
          <w:b/>
          <w:bCs/>
        </w:rPr>
        <w:t>MINISTRSTVO ZA VISOKO ŠOLSTVO, ZNANOST IN INOVACIJE </w:t>
      </w:r>
      <w:r w:rsidRPr="00A60623">
        <w:rPr>
          <w:b/>
          <w:bCs/>
        </w:rPr>
        <w:br/>
        <w:t>Masarykova cesta 16</w:t>
      </w:r>
      <w:r>
        <w:rPr>
          <w:b/>
          <w:bCs/>
        </w:rPr>
        <w:t xml:space="preserve">, </w:t>
      </w:r>
      <w:r w:rsidRPr="00A60623">
        <w:rPr>
          <w:b/>
          <w:bCs/>
        </w:rPr>
        <w:t>1000 Ljubljana</w:t>
      </w:r>
    </w:p>
    <w:p w14:paraId="0D0EE284" w14:textId="77777777" w:rsidR="008D3E5D" w:rsidRPr="003C0B2F" w:rsidRDefault="008D3E5D" w:rsidP="008D3E5D">
      <w:pPr>
        <w:pStyle w:val="datumtevilka"/>
        <w:jc w:val="center"/>
        <w:rPr>
          <w:rFonts w:cs="Arial"/>
          <w:i/>
          <w:iCs/>
        </w:rPr>
      </w:pPr>
    </w:p>
    <w:bookmarkEnd w:id="2"/>
    <w:p w14:paraId="0F14AB89" w14:textId="77777777" w:rsidR="008D3E5D" w:rsidRPr="003C0B2F" w:rsidRDefault="008D3E5D" w:rsidP="008D3E5D">
      <w:pPr>
        <w:autoSpaceDE w:val="0"/>
        <w:autoSpaceDN w:val="0"/>
        <w:adjustRightInd w:val="0"/>
        <w:spacing w:line="240" w:lineRule="auto"/>
        <w:jc w:val="center"/>
        <w:rPr>
          <w:b/>
          <w:szCs w:val="20"/>
        </w:rPr>
      </w:pPr>
    </w:p>
    <w:p w14:paraId="2705687C" w14:textId="77777777" w:rsidR="008D3E5D" w:rsidRPr="003C0B2F" w:rsidRDefault="008D3E5D" w:rsidP="008D3E5D">
      <w:pPr>
        <w:autoSpaceDE w:val="0"/>
        <w:autoSpaceDN w:val="0"/>
        <w:adjustRightInd w:val="0"/>
        <w:jc w:val="both"/>
        <w:rPr>
          <w:rFonts w:cs="Arial"/>
          <w:szCs w:val="20"/>
          <w:lang w:eastAsia="sl-SI"/>
        </w:rPr>
      </w:pPr>
    </w:p>
    <w:p w14:paraId="15861BFD" w14:textId="77777777" w:rsidR="008D3E5D" w:rsidRPr="003C0B2F" w:rsidRDefault="008D3E5D" w:rsidP="008D3E5D">
      <w:pPr>
        <w:jc w:val="both"/>
      </w:pPr>
      <w:r w:rsidRPr="003C0B2F">
        <w:t>Inšpekcijski postopek je bil opravljen na podlagi 102. do 104. člena Zakona o javnih financah</w:t>
      </w:r>
      <w:r w:rsidRPr="003C0B2F">
        <w:rPr>
          <w:rStyle w:val="Sprotnaopomba-sklic"/>
        </w:rPr>
        <w:footnoteReference w:id="1"/>
      </w:r>
      <w:r w:rsidRPr="003C0B2F">
        <w:t>.</w:t>
      </w:r>
    </w:p>
    <w:p w14:paraId="54EC8290" w14:textId="77777777" w:rsidR="008D3E5D" w:rsidRPr="003C0B2F" w:rsidRDefault="008D3E5D" w:rsidP="008D3E5D">
      <w:pPr>
        <w:autoSpaceDE w:val="0"/>
        <w:autoSpaceDN w:val="0"/>
        <w:adjustRightInd w:val="0"/>
        <w:jc w:val="both"/>
        <w:rPr>
          <w:rFonts w:cs="Arial"/>
          <w:szCs w:val="20"/>
          <w:lang w:eastAsia="sl-SI"/>
        </w:rPr>
      </w:pPr>
    </w:p>
    <w:p w14:paraId="1059BD5C" w14:textId="5C07A5D8" w:rsidR="008D3E5D" w:rsidRDefault="008D3E5D" w:rsidP="008D3E5D">
      <w:pPr>
        <w:autoSpaceDE w:val="0"/>
        <w:autoSpaceDN w:val="0"/>
        <w:adjustRightInd w:val="0"/>
        <w:jc w:val="both"/>
        <w:rPr>
          <w:rFonts w:cs="Arial"/>
          <w:szCs w:val="20"/>
          <w:lang w:eastAsia="sl-SI"/>
        </w:rPr>
      </w:pPr>
      <w:r w:rsidRPr="00685F2C">
        <w:rPr>
          <w:rFonts w:cs="Arial"/>
          <w:szCs w:val="20"/>
          <w:lang w:eastAsia="sl-SI"/>
        </w:rPr>
        <w:t xml:space="preserve">Inšpekcijski nadzor </w:t>
      </w:r>
      <w:r w:rsidR="00785923">
        <w:rPr>
          <w:rFonts w:cs="Arial"/>
          <w:szCs w:val="20"/>
          <w:lang w:eastAsia="sl-SI"/>
        </w:rPr>
        <w:t>je</w:t>
      </w:r>
      <w:r w:rsidRPr="00685F2C">
        <w:rPr>
          <w:rFonts w:cs="Arial"/>
          <w:szCs w:val="20"/>
          <w:lang w:eastAsia="sl-SI"/>
        </w:rPr>
        <w:t xml:space="preserve"> opravil</w:t>
      </w:r>
      <w:r w:rsidR="00785923">
        <w:rPr>
          <w:rFonts w:cs="Arial"/>
          <w:szCs w:val="20"/>
          <w:lang w:eastAsia="sl-SI"/>
        </w:rPr>
        <w:t>a</w:t>
      </w:r>
      <w:r w:rsidRPr="00685F2C">
        <w:rPr>
          <w:rFonts w:cs="Arial"/>
          <w:szCs w:val="20"/>
          <w:lang w:eastAsia="sl-SI"/>
        </w:rPr>
        <w:t xml:space="preserve"> proračunsk</w:t>
      </w:r>
      <w:r w:rsidR="00785923">
        <w:rPr>
          <w:rFonts w:cs="Arial"/>
          <w:szCs w:val="20"/>
          <w:lang w:eastAsia="sl-SI"/>
        </w:rPr>
        <w:t>a</w:t>
      </w:r>
      <w:r w:rsidRPr="00685F2C">
        <w:rPr>
          <w:rFonts w:cs="Arial"/>
          <w:szCs w:val="20"/>
          <w:lang w:eastAsia="sl-SI"/>
        </w:rPr>
        <w:t xml:space="preserve"> inšpektor</w:t>
      </w:r>
      <w:r>
        <w:rPr>
          <w:rFonts w:cs="Arial"/>
          <w:szCs w:val="20"/>
          <w:lang w:eastAsia="sl-SI"/>
        </w:rPr>
        <w:t>i</w:t>
      </w:r>
      <w:r w:rsidR="00785923">
        <w:rPr>
          <w:rFonts w:cs="Arial"/>
          <w:szCs w:val="20"/>
          <w:lang w:eastAsia="sl-SI"/>
        </w:rPr>
        <w:t>ca</w:t>
      </w:r>
      <w:r w:rsidRPr="00685F2C">
        <w:rPr>
          <w:rFonts w:cs="Arial"/>
          <w:szCs w:val="20"/>
          <w:lang w:eastAsia="sl-SI"/>
        </w:rPr>
        <w:t xml:space="preserve"> Urada Republike Slovenije za nadzor proračuna </w:t>
      </w:r>
      <w:r w:rsidR="00AB2ED7" w:rsidRPr="00AB2ED7">
        <w:rPr>
          <w:rFonts w:cs="Arial"/>
          <w:szCs w:val="20"/>
          <w:lang w:eastAsia="sl-SI"/>
        </w:rPr>
        <w:t> █</w:t>
      </w:r>
      <w:r w:rsidRPr="00685F2C">
        <w:rPr>
          <w:rFonts w:cs="Arial"/>
          <w:szCs w:val="20"/>
          <w:lang w:eastAsia="sl-SI"/>
        </w:rPr>
        <w:t xml:space="preserve">, reg. št. izkaznice </w:t>
      </w:r>
      <w:r w:rsidR="00AB2ED7" w:rsidRPr="00AB2ED7">
        <w:rPr>
          <w:rFonts w:cs="Arial"/>
          <w:szCs w:val="20"/>
          <w:lang w:eastAsia="sl-SI"/>
        </w:rPr>
        <w:t>█</w:t>
      </w:r>
      <w:r w:rsidR="00785923">
        <w:rPr>
          <w:rFonts w:cs="Arial"/>
          <w:szCs w:val="20"/>
          <w:lang w:eastAsia="sl-SI"/>
        </w:rPr>
        <w:t>.</w:t>
      </w:r>
    </w:p>
    <w:p w14:paraId="5DC22D3D" w14:textId="77777777" w:rsidR="008D3E5D" w:rsidRPr="003C0B2F" w:rsidRDefault="008D3E5D" w:rsidP="008D3E5D">
      <w:pPr>
        <w:autoSpaceDE w:val="0"/>
        <w:autoSpaceDN w:val="0"/>
        <w:adjustRightInd w:val="0"/>
        <w:jc w:val="both"/>
        <w:rPr>
          <w:rFonts w:cs="Arial"/>
          <w:szCs w:val="20"/>
          <w:lang w:eastAsia="sl-SI"/>
        </w:rPr>
      </w:pPr>
    </w:p>
    <w:p w14:paraId="7D4E6D8D" w14:textId="4D12504F" w:rsidR="008D3E5D" w:rsidRDefault="008D3E5D" w:rsidP="008D3E5D">
      <w:pPr>
        <w:autoSpaceDE w:val="0"/>
        <w:autoSpaceDN w:val="0"/>
        <w:adjustRightInd w:val="0"/>
        <w:jc w:val="both"/>
        <w:rPr>
          <w:rFonts w:cs="Arial"/>
          <w:szCs w:val="20"/>
        </w:rPr>
      </w:pPr>
      <w:r w:rsidRPr="003C0B2F">
        <w:rPr>
          <w:rFonts w:cs="Arial"/>
          <w:szCs w:val="20"/>
          <w:lang w:eastAsia="sl-SI"/>
        </w:rPr>
        <w:t xml:space="preserve">Nadzor je bil opravljen v obdobju od </w:t>
      </w:r>
      <w:r>
        <w:rPr>
          <w:rFonts w:cs="Arial"/>
          <w:szCs w:val="20"/>
          <w:lang w:eastAsia="sl-SI"/>
        </w:rPr>
        <w:t xml:space="preserve">dne 4. 7. </w:t>
      </w:r>
      <w:r w:rsidRPr="003C0B2F">
        <w:rPr>
          <w:rFonts w:cs="Arial"/>
          <w:szCs w:val="20"/>
          <w:lang w:eastAsia="sl-SI"/>
        </w:rPr>
        <w:t>202</w:t>
      </w:r>
      <w:r>
        <w:rPr>
          <w:rFonts w:cs="Arial"/>
          <w:szCs w:val="20"/>
          <w:lang w:eastAsia="sl-SI"/>
        </w:rPr>
        <w:t>5</w:t>
      </w:r>
      <w:r w:rsidRPr="003C0B2F">
        <w:rPr>
          <w:rFonts w:cs="Arial"/>
          <w:szCs w:val="20"/>
          <w:lang w:eastAsia="sl-SI"/>
        </w:rPr>
        <w:t xml:space="preserve"> do</w:t>
      </w:r>
      <w:r>
        <w:rPr>
          <w:rFonts w:cs="Arial"/>
          <w:szCs w:val="20"/>
          <w:lang w:eastAsia="sl-SI"/>
        </w:rPr>
        <w:t xml:space="preserve"> </w:t>
      </w:r>
      <w:r w:rsidR="00746ED9">
        <w:rPr>
          <w:rFonts w:cs="Arial"/>
          <w:szCs w:val="20"/>
          <w:lang w:eastAsia="sl-SI"/>
        </w:rPr>
        <w:t>1</w:t>
      </w:r>
      <w:r w:rsidR="008836E9">
        <w:rPr>
          <w:rFonts w:cs="Arial"/>
          <w:szCs w:val="20"/>
          <w:lang w:eastAsia="sl-SI"/>
        </w:rPr>
        <w:t>6</w:t>
      </w:r>
      <w:r w:rsidR="00746ED9">
        <w:rPr>
          <w:rFonts w:cs="Arial"/>
          <w:szCs w:val="20"/>
          <w:lang w:eastAsia="sl-SI"/>
        </w:rPr>
        <w:t>.</w:t>
      </w:r>
      <w:r w:rsidRPr="00116920">
        <w:rPr>
          <w:rFonts w:cs="Arial"/>
          <w:szCs w:val="20"/>
          <w:lang w:eastAsia="sl-SI"/>
        </w:rPr>
        <w:t xml:space="preserve"> </w:t>
      </w:r>
      <w:r w:rsidR="00514F91">
        <w:rPr>
          <w:rFonts w:cs="Arial"/>
          <w:szCs w:val="20"/>
          <w:lang w:eastAsia="sl-SI"/>
        </w:rPr>
        <w:t>12</w:t>
      </w:r>
      <w:r>
        <w:rPr>
          <w:rFonts w:cs="Arial"/>
          <w:szCs w:val="20"/>
          <w:lang w:eastAsia="sl-SI"/>
        </w:rPr>
        <w:t xml:space="preserve">. </w:t>
      </w:r>
      <w:r w:rsidRPr="003C0B2F">
        <w:rPr>
          <w:rFonts w:cs="Arial"/>
          <w:szCs w:val="20"/>
          <w:lang w:eastAsia="sl-SI"/>
        </w:rPr>
        <w:t>202</w:t>
      </w:r>
      <w:r>
        <w:rPr>
          <w:rFonts w:cs="Arial"/>
          <w:szCs w:val="20"/>
          <w:lang w:eastAsia="sl-SI"/>
        </w:rPr>
        <w:t>5</w:t>
      </w:r>
      <w:r w:rsidRPr="003C0B2F">
        <w:rPr>
          <w:rFonts w:cs="Arial"/>
          <w:szCs w:val="20"/>
          <w:lang w:eastAsia="sl-SI"/>
        </w:rPr>
        <w:t xml:space="preserve"> (z vmesnimi prekinitvami) v prostorih Urada za nadzor proračuna ter na </w:t>
      </w:r>
      <w:r w:rsidR="0046276B">
        <w:rPr>
          <w:rFonts w:cs="Arial"/>
          <w:szCs w:val="20"/>
          <w:lang w:eastAsia="sl-SI"/>
        </w:rPr>
        <w:t xml:space="preserve">sedežu </w:t>
      </w:r>
      <w:r w:rsidRPr="00706EF0">
        <w:rPr>
          <w:rFonts w:cs="Arial"/>
          <w:szCs w:val="20"/>
          <w:lang w:eastAsia="sl-SI"/>
        </w:rPr>
        <w:t>M</w:t>
      </w:r>
      <w:r w:rsidRPr="00706EF0">
        <w:t>inistrstv</w:t>
      </w:r>
      <w:r w:rsidR="0046276B">
        <w:t>a</w:t>
      </w:r>
      <w:r w:rsidRPr="00706EF0">
        <w:t xml:space="preserve"> za visoko šolstvo, znanost in inovacije</w:t>
      </w:r>
      <w:r w:rsidRPr="00A60623">
        <w:rPr>
          <w:b/>
          <w:bCs/>
        </w:rPr>
        <w:t> </w:t>
      </w:r>
      <w:r w:rsidRPr="003C0B2F">
        <w:rPr>
          <w:rFonts w:cs="Arial"/>
          <w:szCs w:val="20"/>
          <w:lang w:eastAsia="sl-SI"/>
        </w:rPr>
        <w:t xml:space="preserve">dne </w:t>
      </w:r>
      <w:r>
        <w:rPr>
          <w:rFonts w:cs="Arial"/>
          <w:szCs w:val="20"/>
          <w:lang w:eastAsia="sl-SI"/>
        </w:rPr>
        <w:t xml:space="preserve">6. 8. </w:t>
      </w:r>
      <w:r w:rsidRPr="00706EF0">
        <w:rPr>
          <w:rFonts w:cs="Arial"/>
          <w:szCs w:val="20"/>
          <w:lang w:eastAsia="sl-SI"/>
        </w:rPr>
        <w:t>2025</w:t>
      </w:r>
      <w:r w:rsidRPr="003C0B2F">
        <w:rPr>
          <w:rFonts w:cs="Arial"/>
          <w:szCs w:val="20"/>
          <w:lang w:eastAsia="sl-SI"/>
        </w:rPr>
        <w:t xml:space="preserve">. </w:t>
      </w:r>
      <w:r w:rsidRPr="003C0B2F">
        <w:rPr>
          <w:rFonts w:cs="Arial"/>
          <w:szCs w:val="20"/>
        </w:rPr>
        <w:t>Dokumentacijo</w:t>
      </w:r>
      <w:r>
        <w:rPr>
          <w:rFonts w:cs="Arial"/>
          <w:szCs w:val="20"/>
        </w:rPr>
        <w:t xml:space="preserve">, ki je bila predmet nadzora, je proračunski uporabnik predložil na USB ključu in preko elektronske pošte. </w:t>
      </w:r>
      <w:r w:rsidRPr="00FF358E">
        <w:rPr>
          <w:rFonts w:cs="Arial"/>
          <w:szCs w:val="20"/>
        </w:rPr>
        <w:t xml:space="preserve">Dokumentacijo in pojasnila v zvezi s predmetom inšpekcijskega nadzora je </w:t>
      </w:r>
      <w:r w:rsidRPr="00706EF0">
        <w:rPr>
          <w:rFonts w:cs="Arial"/>
          <w:szCs w:val="20"/>
        </w:rPr>
        <w:t>M</w:t>
      </w:r>
      <w:r w:rsidRPr="00706EF0">
        <w:t>inistrstvo za visoko šolstvo, znanost in inovacije</w:t>
      </w:r>
      <w:r w:rsidRPr="00A60623">
        <w:rPr>
          <w:b/>
          <w:bCs/>
        </w:rPr>
        <w:t> </w:t>
      </w:r>
      <w:r>
        <w:t>(v nadaljevanju MVZI)</w:t>
      </w:r>
      <w:r>
        <w:rPr>
          <w:color w:val="000000"/>
        </w:rPr>
        <w:t xml:space="preserve"> </w:t>
      </w:r>
      <w:r w:rsidRPr="00FF358E">
        <w:rPr>
          <w:rFonts w:cs="Arial"/>
          <w:szCs w:val="20"/>
        </w:rPr>
        <w:t>posredoval</w:t>
      </w:r>
      <w:r w:rsidR="0046276B">
        <w:rPr>
          <w:rFonts w:cs="Arial"/>
          <w:szCs w:val="20"/>
        </w:rPr>
        <w:t>o</w:t>
      </w:r>
      <w:r w:rsidRPr="00FF358E">
        <w:rPr>
          <w:rFonts w:cs="Arial"/>
          <w:szCs w:val="20"/>
        </w:rPr>
        <w:t xml:space="preserve"> na podlagi zahteve inšpektor</w:t>
      </w:r>
      <w:r>
        <w:rPr>
          <w:rFonts w:cs="Arial"/>
          <w:szCs w:val="20"/>
        </w:rPr>
        <w:t>jev</w:t>
      </w:r>
      <w:r w:rsidRPr="00FF358E">
        <w:rPr>
          <w:rFonts w:cs="Arial"/>
          <w:szCs w:val="20"/>
        </w:rPr>
        <w:t xml:space="preserve">. V postopku inšpekcijskega </w:t>
      </w:r>
      <w:r>
        <w:rPr>
          <w:rFonts w:cs="Arial"/>
          <w:szCs w:val="20"/>
        </w:rPr>
        <w:t>nadzora so</w:t>
      </w:r>
      <w:r w:rsidRPr="00FF358E">
        <w:rPr>
          <w:rFonts w:cs="Arial"/>
          <w:szCs w:val="20"/>
        </w:rPr>
        <w:t xml:space="preserve"> s strani </w:t>
      </w:r>
      <w:r>
        <w:rPr>
          <w:rFonts w:cs="Arial"/>
          <w:szCs w:val="20"/>
        </w:rPr>
        <w:t>MVZI</w:t>
      </w:r>
      <w:r>
        <w:rPr>
          <w:color w:val="000000"/>
        </w:rPr>
        <w:t xml:space="preserve"> </w:t>
      </w:r>
      <w:r w:rsidRPr="00FF358E">
        <w:rPr>
          <w:rFonts w:cs="Arial"/>
          <w:szCs w:val="20"/>
        </w:rPr>
        <w:t>sodeloval</w:t>
      </w:r>
      <w:r>
        <w:rPr>
          <w:rFonts w:cs="Arial"/>
          <w:szCs w:val="20"/>
        </w:rPr>
        <w:t xml:space="preserve">e </w:t>
      </w:r>
      <w:r w:rsidR="00AB2ED7" w:rsidRPr="00AB2ED7">
        <w:rPr>
          <w:rFonts w:cs="Arial"/>
          <w:szCs w:val="20"/>
          <w:lang w:eastAsia="sl-SI"/>
        </w:rPr>
        <w:t>█</w:t>
      </w:r>
      <w:r>
        <w:rPr>
          <w:rFonts w:cs="Arial"/>
          <w:szCs w:val="20"/>
        </w:rPr>
        <w:t xml:space="preserve">, vodja Službe za notranjo revizijo, </w:t>
      </w:r>
      <w:r w:rsidR="00AB2ED7" w:rsidRPr="00AB2ED7">
        <w:rPr>
          <w:rFonts w:cs="Arial"/>
          <w:szCs w:val="20"/>
          <w:lang w:eastAsia="sl-SI"/>
        </w:rPr>
        <w:t>█</w:t>
      </w:r>
      <w:r>
        <w:rPr>
          <w:rFonts w:cs="Arial"/>
          <w:szCs w:val="20"/>
        </w:rPr>
        <w:t>, vodja Sektorja za visoko šolstvo</w:t>
      </w:r>
      <w:r w:rsidR="002450E8">
        <w:rPr>
          <w:rFonts w:cs="Arial"/>
          <w:szCs w:val="20"/>
        </w:rPr>
        <w:t>,</w:t>
      </w:r>
      <w:r>
        <w:rPr>
          <w:rFonts w:cs="Arial"/>
          <w:szCs w:val="20"/>
        </w:rPr>
        <w:t xml:space="preserve"> in </w:t>
      </w:r>
      <w:r w:rsidR="00AB2ED7" w:rsidRPr="00AB2ED7">
        <w:rPr>
          <w:rFonts w:cs="Arial"/>
          <w:szCs w:val="20"/>
          <w:lang w:eastAsia="sl-SI"/>
        </w:rPr>
        <w:t>█</w:t>
      </w:r>
      <w:r>
        <w:rPr>
          <w:rFonts w:cs="Arial"/>
          <w:szCs w:val="20"/>
        </w:rPr>
        <w:t>, vodja Sektorja za znanost.</w:t>
      </w:r>
    </w:p>
    <w:p w14:paraId="44CDA5BF" w14:textId="77777777" w:rsidR="008D3E5D" w:rsidRDefault="008D3E5D" w:rsidP="008D3E5D">
      <w:pPr>
        <w:jc w:val="both"/>
        <w:rPr>
          <w:rFonts w:cs="Arial"/>
          <w:szCs w:val="20"/>
        </w:rPr>
      </w:pPr>
    </w:p>
    <w:p w14:paraId="693C26EC" w14:textId="5503874E" w:rsidR="00785923" w:rsidRDefault="00785923" w:rsidP="00785923">
      <w:pPr>
        <w:jc w:val="both"/>
      </w:pPr>
      <w:r w:rsidRPr="00523962">
        <w:t>Z ugotovitvami, navedenimi v tem dodatku, je bil</w:t>
      </w:r>
      <w:r>
        <w:t xml:space="preserve"> MVZI</w:t>
      </w:r>
      <w:r w:rsidRPr="00523962">
        <w:t xml:space="preserve"> oziroma kontaktna oseba v postopku, </w:t>
      </w:r>
      <w:r w:rsidR="00AB2ED7" w:rsidRPr="00AB2ED7">
        <w:rPr>
          <w:rFonts w:cs="Arial"/>
          <w:szCs w:val="20"/>
          <w:lang w:eastAsia="sl-SI"/>
        </w:rPr>
        <w:t>█</w:t>
      </w:r>
      <w:r w:rsidRPr="00523962">
        <w:t xml:space="preserve">, seznanjena </w:t>
      </w:r>
      <w:r>
        <w:t xml:space="preserve">po elektronski pošti </w:t>
      </w:r>
      <w:r w:rsidRPr="00523962">
        <w:t xml:space="preserve">dne </w:t>
      </w:r>
      <w:r w:rsidR="00746ED9">
        <w:t>1</w:t>
      </w:r>
      <w:r w:rsidR="009B0052">
        <w:t>5</w:t>
      </w:r>
      <w:r w:rsidRPr="00523962">
        <w:t xml:space="preserve">. </w:t>
      </w:r>
      <w:r>
        <w:t>12</w:t>
      </w:r>
      <w:r w:rsidRPr="00523962">
        <w:t>. 2025.</w:t>
      </w:r>
    </w:p>
    <w:p w14:paraId="126A1B82" w14:textId="77777777" w:rsidR="008D3E5D" w:rsidRDefault="008D3E5D" w:rsidP="008D3E5D">
      <w:pPr>
        <w:autoSpaceDE w:val="0"/>
        <w:autoSpaceDN w:val="0"/>
        <w:adjustRightInd w:val="0"/>
        <w:jc w:val="both"/>
        <w:rPr>
          <w:rFonts w:cs="Arial"/>
          <w:szCs w:val="20"/>
          <w:lang w:eastAsia="sl-SI"/>
        </w:rPr>
      </w:pPr>
    </w:p>
    <w:p w14:paraId="0BADF9A9" w14:textId="77777777" w:rsidR="008D3E5D" w:rsidRDefault="008D3E5D" w:rsidP="008D3E5D">
      <w:pPr>
        <w:autoSpaceDE w:val="0"/>
        <w:autoSpaceDN w:val="0"/>
        <w:adjustRightInd w:val="0"/>
        <w:jc w:val="both"/>
        <w:rPr>
          <w:rFonts w:cs="Arial"/>
          <w:szCs w:val="20"/>
          <w:lang w:eastAsia="sl-SI"/>
        </w:rPr>
      </w:pPr>
      <w:r w:rsidRPr="0099660A">
        <w:rPr>
          <w:rFonts w:cs="Arial"/>
          <w:szCs w:val="20"/>
          <w:lang w:eastAsia="sl-SI"/>
        </w:rPr>
        <w:t>Zapisnik je sestavljen v skladu s tretjim odstavkom 102. člena ZJF.</w:t>
      </w:r>
    </w:p>
    <w:p w14:paraId="2C4F7B0C" w14:textId="77777777" w:rsidR="008D3E5D" w:rsidRDefault="008D3E5D" w:rsidP="008D3E5D">
      <w:pPr>
        <w:autoSpaceDE w:val="0"/>
        <w:autoSpaceDN w:val="0"/>
        <w:adjustRightInd w:val="0"/>
        <w:jc w:val="both"/>
        <w:rPr>
          <w:rFonts w:cs="Arial"/>
          <w:szCs w:val="20"/>
          <w:lang w:eastAsia="sl-SI"/>
        </w:rPr>
      </w:pPr>
    </w:p>
    <w:p w14:paraId="00304D1C" w14:textId="77777777" w:rsidR="008D3E5D" w:rsidRDefault="008D3E5D" w:rsidP="008D3E5D">
      <w:pPr>
        <w:autoSpaceDE w:val="0"/>
        <w:autoSpaceDN w:val="0"/>
        <w:adjustRightInd w:val="0"/>
        <w:jc w:val="both"/>
        <w:rPr>
          <w:rFonts w:cs="Arial"/>
          <w:szCs w:val="20"/>
          <w:lang w:eastAsia="sl-SI"/>
        </w:rPr>
      </w:pPr>
    </w:p>
    <w:p w14:paraId="727643B6" w14:textId="77777777" w:rsidR="00785923" w:rsidRDefault="00785923" w:rsidP="008D3E5D">
      <w:pPr>
        <w:autoSpaceDE w:val="0"/>
        <w:autoSpaceDN w:val="0"/>
        <w:adjustRightInd w:val="0"/>
        <w:jc w:val="both"/>
        <w:rPr>
          <w:rFonts w:cs="Arial"/>
          <w:szCs w:val="20"/>
          <w:lang w:eastAsia="sl-SI"/>
        </w:rPr>
      </w:pPr>
    </w:p>
    <w:p w14:paraId="7A0B5171" w14:textId="77777777" w:rsidR="00785923" w:rsidRDefault="00785923" w:rsidP="008D3E5D">
      <w:pPr>
        <w:autoSpaceDE w:val="0"/>
        <w:autoSpaceDN w:val="0"/>
        <w:adjustRightInd w:val="0"/>
        <w:jc w:val="both"/>
        <w:rPr>
          <w:rFonts w:cs="Arial"/>
          <w:szCs w:val="20"/>
          <w:lang w:eastAsia="sl-SI"/>
        </w:rPr>
      </w:pPr>
    </w:p>
    <w:p w14:paraId="580AE52A" w14:textId="77777777" w:rsidR="008D3E5D" w:rsidRDefault="008D3E5D" w:rsidP="008D3E5D">
      <w:pPr>
        <w:autoSpaceDE w:val="0"/>
        <w:autoSpaceDN w:val="0"/>
        <w:adjustRightInd w:val="0"/>
        <w:jc w:val="both"/>
        <w:rPr>
          <w:rFonts w:cs="Arial"/>
          <w:szCs w:val="20"/>
          <w:lang w:eastAsia="sl-SI"/>
        </w:rPr>
      </w:pPr>
    </w:p>
    <w:p w14:paraId="35066CBA" w14:textId="77777777" w:rsidR="008D3E5D" w:rsidRDefault="008D3E5D" w:rsidP="008D3E5D">
      <w:pPr>
        <w:autoSpaceDE w:val="0"/>
        <w:autoSpaceDN w:val="0"/>
        <w:adjustRightInd w:val="0"/>
        <w:jc w:val="both"/>
        <w:rPr>
          <w:rFonts w:cs="Arial"/>
          <w:szCs w:val="20"/>
          <w:lang w:eastAsia="sl-SI"/>
        </w:rPr>
      </w:pPr>
    </w:p>
    <w:p w14:paraId="5285F615" w14:textId="77777777" w:rsidR="008D3E5D" w:rsidRDefault="008D3E5D" w:rsidP="008D3E5D">
      <w:pPr>
        <w:autoSpaceDE w:val="0"/>
        <w:autoSpaceDN w:val="0"/>
        <w:adjustRightInd w:val="0"/>
        <w:jc w:val="both"/>
        <w:rPr>
          <w:rFonts w:cs="Arial"/>
          <w:szCs w:val="20"/>
          <w:lang w:eastAsia="sl-SI"/>
        </w:rPr>
      </w:pPr>
    </w:p>
    <w:p w14:paraId="69BEE0A0" w14:textId="77777777" w:rsidR="008D3E5D" w:rsidRPr="00316E6F" w:rsidRDefault="008D3E5D" w:rsidP="00356195">
      <w:pPr>
        <w:pStyle w:val="datumtevilka"/>
        <w:numPr>
          <w:ilvl w:val="0"/>
          <w:numId w:val="3"/>
        </w:numPr>
        <w:rPr>
          <w:b/>
          <w:bCs/>
        </w:rPr>
      </w:pPr>
      <w:r w:rsidRPr="00316E6F">
        <w:rPr>
          <w:b/>
          <w:bCs/>
        </w:rPr>
        <w:lastRenderedPageBreak/>
        <w:t>Osnovni podatki o proračunskem uporabniku</w:t>
      </w:r>
    </w:p>
    <w:p w14:paraId="5ABC3A7B" w14:textId="77777777" w:rsidR="008D3E5D" w:rsidRPr="003C0B2F" w:rsidRDefault="008D3E5D" w:rsidP="008D3E5D">
      <w:pPr>
        <w:jc w:val="both"/>
        <w:rPr>
          <w:rFonts w:cs="Arial"/>
          <w:szCs w:val="20"/>
        </w:rPr>
      </w:pPr>
    </w:p>
    <w:tbl>
      <w:tblPr>
        <w:tblStyle w:val="Tabelamrea"/>
        <w:tblW w:w="8500" w:type="dxa"/>
        <w:tblLook w:val="04A0" w:firstRow="1" w:lastRow="0" w:firstColumn="1" w:lastColumn="0" w:noHBand="0" w:noVBand="1"/>
      </w:tblPr>
      <w:tblGrid>
        <w:gridCol w:w="2122"/>
        <w:gridCol w:w="6378"/>
      </w:tblGrid>
      <w:tr w:rsidR="008D3E5D" w:rsidRPr="003C0B2F" w14:paraId="2BF77912"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021C7128" w14:textId="77777777" w:rsidR="008D3E5D" w:rsidRPr="003C0B2F" w:rsidRDefault="008D3E5D" w:rsidP="0081554D">
            <w:pPr>
              <w:rPr>
                <w:rFonts w:cs="Arial"/>
                <w:szCs w:val="20"/>
              </w:rPr>
            </w:pPr>
            <w:r w:rsidRPr="003C0B2F">
              <w:rPr>
                <w:rFonts w:cs="Arial"/>
                <w:szCs w:val="20"/>
              </w:rPr>
              <w:t>Naziv zavezanca</w:t>
            </w:r>
          </w:p>
        </w:tc>
        <w:tc>
          <w:tcPr>
            <w:tcW w:w="6378" w:type="dxa"/>
            <w:tcBorders>
              <w:top w:val="single" w:sz="4" w:space="0" w:color="auto"/>
              <w:left w:val="single" w:sz="4" w:space="0" w:color="auto"/>
              <w:bottom w:val="single" w:sz="4" w:space="0" w:color="auto"/>
              <w:right w:val="single" w:sz="4" w:space="0" w:color="auto"/>
            </w:tcBorders>
            <w:vAlign w:val="center"/>
          </w:tcPr>
          <w:p w14:paraId="182DB14C" w14:textId="77777777" w:rsidR="008D3E5D" w:rsidRPr="003C0B2F" w:rsidRDefault="008D3E5D" w:rsidP="0081554D">
            <w:pPr>
              <w:rPr>
                <w:szCs w:val="20"/>
              </w:rPr>
            </w:pPr>
            <w:r w:rsidRPr="00706EF0">
              <w:rPr>
                <w:rFonts w:cs="Arial"/>
                <w:szCs w:val="20"/>
              </w:rPr>
              <w:t>M</w:t>
            </w:r>
            <w:r w:rsidRPr="00706EF0">
              <w:t>inistrstvo za visoko šolstvo, znanost in inovacije</w:t>
            </w:r>
            <w:r w:rsidRPr="00A60623">
              <w:rPr>
                <w:b/>
                <w:bCs/>
              </w:rPr>
              <w:t> </w:t>
            </w:r>
            <w:r>
              <w:t xml:space="preserve"> </w:t>
            </w:r>
            <w:r w:rsidRPr="003C0B2F">
              <w:rPr>
                <w:szCs w:val="20"/>
              </w:rPr>
              <w:t xml:space="preserve">(kratki naziv: </w:t>
            </w:r>
            <w:r>
              <w:rPr>
                <w:szCs w:val="20"/>
              </w:rPr>
              <w:t>MVZI</w:t>
            </w:r>
            <w:r w:rsidRPr="003C0B2F">
              <w:rPr>
                <w:szCs w:val="20"/>
              </w:rPr>
              <w:t>)</w:t>
            </w:r>
            <w:r>
              <w:rPr>
                <w:rStyle w:val="Sprotnaopomba-sklic"/>
                <w:szCs w:val="20"/>
              </w:rPr>
              <w:footnoteReference w:id="2"/>
            </w:r>
          </w:p>
        </w:tc>
      </w:tr>
      <w:tr w:rsidR="008D3E5D" w:rsidRPr="003C0B2F" w14:paraId="7E933974"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4FEC6475" w14:textId="77777777" w:rsidR="008D3E5D" w:rsidRPr="003C0B2F" w:rsidRDefault="008D3E5D" w:rsidP="0081554D">
            <w:pPr>
              <w:rPr>
                <w:rFonts w:cs="Arial"/>
                <w:szCs w:val="20"/>
              </w:rPr>
            </w:pPr>
            <w:r w:rsidRPr="003C0B2F">
              <w:rPr>
                <w:rFonts w:cs="Arial"/>
                <w:szCs w:val="20"/>
              </w:rPr>
              <w:t>Področje dela</w:t>
            </w:r>
          </w:p>
        </w:tc>
        <w:tc>
          <w:tcPr>
            <w:tcW w:w="6378" w:type="dxa"/>
            <w:tcBorders>
              <w:top w:val="single" w:sz="4" w:space="0" w:color="auto"/>
              <w:left w:val="single" w:sz="4" w:space="0" w:color="auto"/>
              <w:bottom w:val="single" w:sz="4" w:space="0" w:color="auto"/>
              <w:right w:val="single" w:sz="4" w:space="0" w:color="auto"/>
            </w:tcBorders>
            <w:vAlign w:val="center"/>
          </w:tcPr>
          <w:p w14:paraId="2103C1A7" w14:textId="24EB7E81" w:rsidR="0081554D" w:rsidRPr="003C0B2F" w:rsidRDefault="008D3E5D" w:rsidP="0081554D">
            <w:pPr>
              <w:spacing w:line="240" w:lineRule="auto"/>
              <w:rPr>
                <w:rFonts w:cs="Arial"/>
                <w:szCs w:val="20"/>
              </w:rPr>
            </w:pPr>
            <w:r w:rsidRPr="003C41B5">
              <w:rPr>
                <w:rFonts w:cs="Arial"/>
                <w:szCs w:val="20"/>
              </w:rPr>
              <w:t>Ministrstvo za visoko šolstvo, znanost in inovacije se osredotoča na kakovosten razvoj visokega šolstva, prenos znanja v prakso z namenom razvoja celotne družbe ter vzpostavitev spodbudnega okolja za raziskovanje in inoviranje.</w:t>
            </w:r>
          </w:p>
          <w:p w14:paraId="60C19C3A" w14:textId="43B17498" w:rsidR="008D3E5D" w:rsidRPr="003C0B2F" w:rsidRDefault="008D3E5D" w:rsidP="0081554D">
            <w:pPr>
              <w:rPr>
                <w:rFonts w:ascii="Times New Roman" w:hAnsi="Times New Roman"/>
                <w:sz w:val="24"/>
                <w:lang w:eastAsia="sl-SI"/>
              </w:rPr>
            </w:pPr>
            <w:r>
              <w:rPr>
                <w:rFonts w:cs="Arial"/>
                <w:szCs w:val="20"/>
                <w:lang w:eastAsia="sl-SI"/>
              </w:rPr>
              <w:t>Glavna dejavnost je uvrščena pod klasifikacijsko številko 84.110 – Splošna dejavnost javne uprave.</w:t>
            </w:r>
          </w:p>
        </w:tc>
      </w:tr>
      <w:tr w:rsidR="008D3E5D" w:rsidRPr="003C0B2F" w14:paraId="7020FD1E"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711015EB" w14:textId="77777777" w:rsidR="008D3E5D" w:rsidRPr="003C0B2F" w:rsidRDefault="008D3E5D" w:rsidP="0081554D">
            <w:pPr>
              <w:rPr>
                <w:rFonts w:cs="Arial"/>
                <w:szCs w:val="20"/>
              </w:rPr>
            </w:pPr>
            <w:r w:rsidRPr="003C0B2F">
              <w:rPr>
                <w:rFonts w:cs="Arial"/>
                <w:szCs w:val="20"/>
              </w:rPr>
              <w:t>Matična št.</w:t>
            </w:r>
          </w:p>
        </w:tc>
        <w:tc>
          <w:tcPr>
            <w:tcW w:w="6378" w:type="dxa"/>
            <w:tcBorders>
              <w:top w:val="single" w:sz="4" w:space="0" w:color="auto"/>
              <w:left w:val="single" w:sz="4" w:space="0" w:color="auto"/>
              <w:bottom w:val="single" w:sz="4" w:space="0" w:color="auto"/>
              <w:right w:val="single" w:sz="4" w:space="0" w:color="auto"/>
            </w:tcBorders>
            <w:vAlign w:val="center"/>
          </w:tcPr>
          <w:p w14:paraId="1125BF1A" w14:textId="77777777" w:rsidR="008D3E5D" w:rsidRPr="003C0B2F" w:rsidRDefault="008D3E5D" w:rsidP="0081554D">
            <w:pPr>
              <w:rPr>
                <w:rFonts w:cs="Arial"/>
                <w:szCs w:val="20"/>
              </w:rPr>
            </w:pPr>
            <w:r w:rsidRPr="00CF569A">
              <w:rPr>
                <w:bCs/>
                <w:szCs w:val="20"/>
              </w:rPr>
              <w:t>2632543000</w:t>
            </w:r>
          </w:p>
        </w:tc>
      </w:tr>
      <w:tr w:rsidR="008D3E5D" w:rsidRPr="003C0B2F" w14:paraId="33F14A32"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3C9B5C56" w14:textId="77777777" w:rsidR="008D3E5D" w:rsidRPr="003C0B2F" w:rsidRDefault="008D3E5D" w:rsidP="0081554D">
            <w:pPr>
              <w:rPr>
                <w:rFonts w:cs="Arial"/>
                <w:szCs w:val="20"/>
              </w:rPr>
            </w:pPr>
            <w:r w:rsidRPr="003C0B2F">
              <w:rPr>
                <w:rFonts w:cs="Arial"/>
                <w:szCs w:val="20"/>
              </w:rPr>
              <w:t>Davčna št.</w:t>
            </w:r>
          </w:p>
        </w:tc>
        <w:tc>
          <w:tcPr>
            <w:tcW w:w="6378" w:type="dxa"/>
            <w:tcBorders>
              <w:top w:val="single" w:sz="4" w:space="0" w:color="auto"/>
              <w:left w:val="single" w:sz="4" w:space="0" w:color="auto"/>
              <w:bottom w:val="single" w:sz="4" w:space="0" w:color="auto"/>
              <w:right w:val="single" w:sz="4" w:space="0" w:color="auto"/>
            </w:tcBorders>
            <w:vAlign w:val="center"/>
          </w:tcPr>
          <w:p w14:paraId="2F323393" w14:textId="77777777" w:rsidR="008D3E5D" w:rsidRPr="003C0B2F" w:rsidRDefault="008D3E5D" w:rsidP="0081554D">
            <w:pPr>
              <w:rPr>
                <w:rFonts w:cs="Arial"/>
                <w:szCs w:val="20"/>
              </w:rPr>
            </w:pPr>
            <w:r w:rsidRPr="00CF569A">
              <w:rPr>
                <w:bCs/>
                <w:szCs w:val="20"/>
              </w:rPr>
              <w:t>54707218</w:t>
            </w:r>
          </w:p>
        </w:tc>
      </w:tr>
      <w:tr w:rsidR="008D3E5D" w:rsidRPr="003C0B2F" w14:paraId="1BE51381"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tcPr>
          <w:p w14:paraId="4AB8380E" w14:textId="77777777" w:rsidR="008D3E5D" w:rsidRPr="003C0B2F" w:rsidRDefault="008D3E5D" w:rsidP="0081554D">
            <w:pPr>
              <w:rPr>
                <w:rFonts w:cs="Arial"/>
                <w:szCs w:val="20"/>
              </w:rPr>
            </w:pPr>
            <w:r>
              <w:rPr>
                <w:rFonts w:cs="Arial"/>
                <w:szCs w:val="20"/>
              </w:rPr>
              <w:t>Ustanovitelj</w:t>
            </w:r>
          </w:p>
        </w:tc>
        <w:tc>
          <w:tcPr>
            <w:tcW w:w="6378" w:type="dxa"/>
            <w:tcBorders>
              <w:top w:val="single" w:sz="4" w:space="0" w:color="auto"/>
              <w:left w:val="single" w:sz="4" w:space="0" w:color="auto"/>
              <w:bottom w:val="single" w:sz="4" w:space="0" w:color="auto"/>
              <w:right w:val="single" w:sz="4" w:space="0" w:color="auto"/>
            </w:tcBorders>
            <w:vAlign w:val="center"/>
          </w:tcPr>
          <w:p w14:paraId="184B4D66" w14:textId="77777777" w:rsidR="008D3E5D" w:rsidRPr="003C0B2F" w:rsidRDefault="008D3E5D" w:rsidP="0081554D">
            <w:pPr>
              <w:rPr>
                <w:bCs/>
                <w:szCs w:val="20"/>
              </w:rPr>
            </w:pPr>
            <w:r>
              <w:rPr>
                <w:bCs/>
                <w:szCs w:val="20"/>
              </w:rPr>
              <w:t>Republika Slovenija</w:t>
            </w:r>
          </w:p>
        </w:tc>
      </w:tr>
      <w:tr w:rsidR="008D3E5D" w:rsidRPr="003C0B2F" w14:paraId="27CD985D"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3E2A0059" w14:textId="77777777" w:rsidR="008D3E5D" w:rsidRPr="003C0B2F" w:rsidRDefault="008D3E5D" w:rsidP="0081554D">
            <w:pPr>
              <w:rPr>
                <w:rFonts w:cs="Arial"/>
                <w:szCs w:val="20"/>
              </w:rPr>
            </w:pPr>
            <w:r w:rsidRPr="003C0B2F">
              <w:rPr>
                <w:rFonts w:cs="Arial"/>
                <w:szCs w:val="20"/>
              </w:rPr>
              <w:t>Vrsta  proračunskega uporabnika</w:t>
            </w:r>
          </w:p>
        </w:tc>
        <w:tc>
          <w:tcPr>
            <w:tcW w:w="6378" w:type="dxa"/>
            <w:tcBorders>
              <w:top w:val="single" w:sz="4" w:space="0" w:color="auto"/>
              <w:left w:val="single" w:sz="4" w:space="0" w:color="auto"/>
              <w:bottom w:val="single" w:sz="4" w:space="0" w:color="auto"/>
              <w:right w:val="single" w:sz="4" w:space="0" w:color="auto"/>
            </w:tcBorders>
            <w:vAlign w:val="center"/>
          </w:tcPr>
          <w:p w14:paraId="6C5C30EB" w14:textId="77777777" w:rsidR="008D3E5D" w:rsidRPr="003C0B2F" w:rsidRDefault="008D3E5D" w:rsidP="0081554D">
            <w:pPr>
              <w:rPr>
                <w:rFonts w:cs="Arial"/>
                <w:szCs w:val="20"/>
              </w:rPr>
            </w:pPr>
            <w:r>
              <w:rPr>
                <w:bCs/>
                <w:szCs w:val="20"/>
              </w:rPr>
              <w:t>Ne</w:t>
            </w:r>
            <w:r w:rsidRPr="003C0B2F">
              <w:rPr>
                <w:bCs/>
                <w:szCs w:val="20"/>
              </w:rPr>
              <w:t>posredni proračunski uporabnik (</w:t>
            </w:r>
            <w:r>
              <w:rPr>
                <w:bCs/>
                <w:szCs w:val="20"/>
              </w:rPr>
              <w:t>N</w:t>
            </w:r>
            <w:r w:rsidRPr="003C0B2F">
              <w:rPr>
                <w:bCs/>
                <w:szCs w:val="20"/>
              </w:rPr>
              <w:t>PU)</w:t>
            </w:r>
          </w:p>
        </w:tc>
      </w:tr>
      <w:tr w:rsidR="008D3E5D" w:rsidRPr="003C0B2F" w14:paraId="1FFB7ACE"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155AFE55" w14:textId="77777777" w:rsidR="008D3E5D" w:rsidRPr="003C0B2F" w:rsidRDefault="008D3E5D" w:rsidP="0081554D">
            <w:pPr>
              <w:rPr>
                <w:rFonts w:cs="Arial"/>
                <w:szCs w:val="20"/>
              </w:rPr>
            </w:pPr>
            <w:r w:rsidRPr="003C0B2F">
              <w:rPr>
                <w:rFonts w:cs="Arial"/>
                <w:szCs w:val="20"/>
              </w:rPr>
              <w:t>Št</w:t>
            </w:r>
            <w:r>
              <w:rPr>
                <w:rFonts w:cs="Arial"/>
                <w:szCs w:val="20"/>
              </w:rPr>
              <w:t>.</w:t>
            </w:r>
            <w:r w:rsidRPr="003C0B2F">
              <w:rPr>
                <w:rFonts w:cs="Arial"/>
                <w:szCs w:val="20"/>
              </w:rPr>
              <w:t xml:space="preserve"> </w:t>
            </w:r>
            <w:r>
              <w:rPr>
                <w:rFonts w:cs="Arial"/>
                <w:szCs w:val="20"/>
              </w:rPr>
              <w:t>p</w:t>
            </w:r>
            <w:r w:rsidRPr="003C0B2F">
              <w:rPr>
                <w:rFonts w:cs="Arial"/>
                <w:szCs w:val="20"/>
              </w:rPr>
              <w:t>roračunskega uporabnika</w:t>
            </w:r>
          </w:p>
        </w:tc>
        <w:tc>
          <w:tcPr>
            <w:tcW w:w="6378" w:type="dxa"/>
            <w:tcBorders>
              <w:top w:val="single" w:sz="4" w:space="0" w:color="auto"/>
              <w:left w:val="single" w:sz="4" w:space="0" w:color="auto"/>
              <w:bottom w:val="single" w:sz="4" w:space="0" w:color="auto"/>
              <w:right w:val="single" w:sz="4" w:space="0" w:color="auto"/>
            </w:tcBorders>
            <w:vAlign w:val="center"/>
          </w:tcPr>
          <w:p w14:paraId="2CC1C050" w14:textId="09D2CCB4" w:rsidR="008D3E5D" w:rsidRPr="0081554D" w:rsidRDefault="008D3E5D" w:rsidP="0081554D">
            <w:pPr>
              <w:spacing w:line="240" w:lineRule="auto"/>
              <w:rPr>
                <w:rFonts w:cs="Arial"/>
                <w:color w:val="000000"/>
                <w:szCs w:val="20"/>
              </w:rPr>
            </w:pPr>
            <w:r w:rsidRPr="00CF569A">
              <w:rPr>
                <w:rFonts w:cs="Arial"/>
                <w:color w:val="000000"/>
                <w:szCs w:val="20"/>
                <w:bdr w:val="none" w:sz="0" w:space="0" w:color="auto" w:frame="1"/>
              </w:rPr>
              <w:t>33600</w:t>
            </w:r>
          </w:p>
        </w:tc>
      </w:tr>
      <w:tr w:rsidR="008D3E5D" w:rsidRPr="003C0B2F" w14:paraId="63972A13" w14:textId="77777777" w:rsidTr="00B434F3">
        <w:trPr>
          <w:trHeight w:val="283"/>
        </w:trPr>
        <w:tc>
          <w:tcPr>
            <w:tcW w:w="2122" w:type="dxa"/>
            <w:tcBorders>
              <w:top w:val="single" w:sz="4" w:space="0" w:color="auto"/>
              <w:left w:val="single" w:sz="4" w:space="0" w:color="auto"/>
              <w:bottom w:val="single" w:sz="4" w:space="0" w:color="auto"/>
              <w:right w:val="single" w:sz="4" w:space="0" w:color="auto"/>
            </w:tcBorders>
            <w:vAlign w:val="center"/>
            <w:hideMark/>
          </w:tcPr>
          <w:p w14:paraId="0DA2FE17" w14:textId="77777777" w:rsidR="008D3E5D" w:rsidRPr="003C0B2F" w:rsidRDefault="008D3E5D" w:rsidP="0081554D">
            <w:pPr>
              <w:rPr>
                <w:rFonts w:cs="Arial"/>
                <w:szCs w:val="20"/>
              </w:rPr>
            </w:pPr>
            <w:r w:rsidRPr="003C0B2F">
              <w:rPr>
                <w:rFonts w:cs="Arial"/>
                <w:szCs w:val="20"/>
              </w:rPr>
              <w:t>Odgovorna oseba</w:t>
            </w:r>
          </w:p>
        </w:tc>
        <w:tc>
          <w:tcPr>
            <w:tcW w:w="6378" w:type="dxa"/>
            <w:tcBorders>
              <w:top w:val="single" w:sz="4" w:space="0" w:color="auto"/>
              <w:left w:val="single" w:sz="4" w:space="0" w:color="auto"/>
              <w:bottom w:val="single" w:sz="4" w:space="0" w:color="auto"/>
              <w:right w:val="single" w:sz="4" w:space="0" w:color="auto"/>
            </w:tcBorders>
            <w:vAlign w:val="center"/>
          </w:tcPr>
          <w:p w14:paraId="40FA763F" w14:textId="5D6FC2CA" w:rsidR="008D3E5D" w:rsidRPr="003C0B2F" w:rsidRDefault="00622352" w:rsidP="0081554D">
            <w:pPr>
              <w:rPr>
                <w:rFonts w:cs="Arial"/>
                <w:szCs w:val="20"/>
              </w:rPr>
            </w:pPr>
            <w:r w:rsidRPr="00AB2ED7">
              <w:rPr>
                <w:rFonts w:cs="Arial"/>
                <w:szCs w:val="20"/>
                <w:lang w:eastAsia="sl-SI"/>
              </w:rPr>
              <w:t>█</w:t>
            </w:r>
            <w:r w:rsidR="008D3E5D">
              <w:rPr>
                <w:rFonts w:cs="Arial"/>
                <w:szCs w:val="20"/>
              </w:rPr>
              <w:t>, minister</w:t>
            </w:r>
          </w:p>
        </w:tc>
      </w:tr>
    </w:tbl>
    <w:p w14:paraId="3935F6EA" w14:textId="77777777" w:rsidR="008D3E5D" w:rsidRDefault="008D3E5D" w:rsidP="008D3E5D">
      <w:pPr>
        <w:jc w:val="both"/>
        <w:rPr>
          <w:rFonts w:cs="Arial"/>
          <w:szCs w:val="20"/>
        </w:rPr>
      </w:pPr>
    </w:p>
    <w:p w14:paraId="649DFAE1" w14:textId="77777777" w:rsidR="008D3E5D" w:rsidRPr="000D3A6F" w:rsidRDefault="008D3E5D" w:rsidP="00356195">
      <w:pPr>
        <w:pStyle w:val="datumtevilka"/>
        <w:numPr>
          <w:ilvl w:val="0"/>
          <w:numId w:val="3"/>
        </w:numPr>
        <w:rPr>
          <w:b/>
          <w:bCs/>
        </w:rPr>
      </w:pPr>
      <w:r w:rsidRPr="000D3A6F">
        <w:rPr>
          <w:b/>
          <w:bCs/>
        </w:rPr>
        <w:t>Predmet inšpekcijskega nadzora</w:t>
      </w:r>
    </w:p>
    <w:p w14:paraId="1BAE8932" w14:textId="77777777" w:rsidR="008D3E5D" w:rsidRPr="003C0B2F" w:rsidRDefault="008D3E5D" w:rsidP="008D3E5D">
      <w:pPr>
        <w:jc w:val="both"/>
        <w:rPr>
          <w:rFonts w:cs="Arial"/>
          <w:b/>
          <w:bCs/>
          <w:szCs w:val="20"/>
        </w:rPr>
      </w:pPr>
    </w:p>
    <w:p w14:paraId="11D1F585" w14:textId="14B7EBE0" w:rsidR="008D3E5D" w:rsidRDefault="008D3E5D" w:rsidP="008D3E5D">
      <w:pPr>
        <w:jc w:val="both"/>
        <w:rPr>
          <w:rFonts w:cs="Arial"/>
          <w:szCs w:val="20"/>
        </w:rPr>
      </w:pPr>
      <w:r w:rsidRPr="003C0B2F">
        <w:rPr>
          <w:rFonts w:cs="Arial"/>
          <w:szCs w:val="20"/>
        </w:rPr>
        <w:t>Predmet</w:t>
      </w:r>
      <w:r>
        <w:rPr>
          <w:rFonts w:cs="Arial"/>
          <w:szCs w:val="20"/>
        </w:rPr>
        <w:t>a</w:t>
      </w:r>
      <w:r w:rsidRPr="003C0B2F">
        <w:rPr>
          <w:rFonts w:cs="Arial"/>
          <w:szCs w:val="20"/>
        </w:rPr>
        <w:t xml:space="preserve"> inšpekcijskega nadzora </w:t>
      </w:r>
      <w:r>
        <w:rPr>
          <w:rFonts w:cs="Arial"/>
          <w:szCs w:val="20"/>
        </w:rPr>
        <w:t>sta bila naslednja:</w:t>
      </w:r>
    </w:p>
    <w:p w14:paraId="3EC4A531" w14:textId="77777777" w:rsidR="008D3E5D" w:rsidRDefault="008D3E5D" w:rsidP="008D3E5D">
      <w:pPr>
        <w:jc w:val="both"/>
        <w:rPr>
          <w:rFonts w:cs="Arial"/>
          <w:szCs w:val="20"/>
        </w:rPr>
      </w:pPr>
    </w:p>
    <w:p w14:paraId="19021348" w14:textId="77777777" w:rsidR="008D3E5D" w:rsidRDefault="008D3E5D" w:rsidP="00356195">
      <w:pPr>
        <w:pStyle w:val="datumtevilka"/>
        <w:numPr>
          <w:ilvl w:val="0"/>
          <w:numId w:val="5"/>
        </w:numPr>
        <w:jc w:val="both"/>
        <w:rPr>
          <w:rFonts w:cs="Arial"/>
        </w:rPr>
      </w:pPr>
      <w:r w:rsidRPr="003D0AAF">
        <w:rPr>
          <w:rFonts w:cs="Arial"/>
        </w:rPr>
        <w:t>PP 221166 C3K8IC Sofinanciranje projektov za krepitev mednarodne mobilnosti-NOO-MIZŠ-MVZI; Projekt 3330-23-3100 »Mednarodna mobilnost slovenskih raziskovalcev« ter</w:t>
      </w:r>
    </w:p>
    <w:p w14:paraId="7FAA79C2" w14:textId="77777777" w:rsidR="008D3E5D" w:rsidRPr="003D0AAF" w:rsidRDefault="008D3E5D" w:rsidP="008D3E5D">
      <w:pPr>
        <w:pStyle w:val="datumtevilka"/>
        <w:ind w:left="360"/>
        <w:jc w:val="both"/>
        <w:rPr>
          <w:rFonts w:cs="Arial"/>
        </w:rPr>
      </w:pPr>
    </w:p>
    <w:p w14:paraId="4A0E080E" w14:textId="77777777" w:rsidR="008D3E5D" w:rsidRPr="003D0AAF" w:rsidRDefault="008D3E5D" w:rsidP="00356195">
      <w:pPr>
        <w:pStyle w:val="datumtevilka"/>
        <w:numPr>
          <w:ilvl w:val="0"/>
          <w:numId w:val="5"/>
        </w:numPr>
        <w:jc w:val="both"/>
        <w:rPr>
          <w:rFonts w:cs="Arial"/>
        </w:rPr>
      </w:pPr>
      <w:r w:rsidRPr="003D0AAF">
        <w:rPr>
          <w:rFonts w:cs="Arial"/>
        </w:rPr>
        <w:t>PP 231843 Evro-Sredozemska univerza.</w:t>
      </w:r>
    </w:p>
    <w:p w14:paraId="1757CF3D" w14:textId="77777777" w:rsidR="008D3E5D" w:rsidRPr="000236DE" w:rsidRDefault="008D3E5D" w:rsidP="008D3E5D">
      <w:pPr>
        <w:pStyle w:val="datumtevilka"/>
        <w:ind w:left="360"/>
        <w:jc w:val="both"/>
        <w:rPr>
          <w:rFonts w:cs="Arial"/>
        </w:rPr>
      </w:pPr>
    </w:p>
    <w:tbl>
      <w:tblPr>
        <w:tblStyle w:val="Tabelamrea"/>
        <w:tblW w:w="0" w:type="auto"/>
        <w:tblLook w:val="04A0" w:firstRow="1" w:lastRow="0" w:firstColumn="1" w:lastColumn="0" w:noHBand="0" w:noVBand="1"/>
      </w:tblPr>
      <w:tblGrid>
        <w:gridCol w:w="2122"/>
        <w:gridCol w:w="6372"/>
      </w:tblGrid>
      <w:tr w:rsidR="008D3E5D" w:rsidRPr="003C0B2F" w14:paraId="78C3CA98" w14:textId="77777777" w:rsidTr="00514F91">
        <w:trPr>
          <w:trHeight w:val="340"/>
        </w:trPr>
        <w:tc>
          <w:tcPr>
            <w:tcW w:w="2122" w:type="dxa"/>
            <w:vAlign w:val="center"/>
            <w:hideMark/>
          </w:tcPr>
          <w:p w14:paraId="1EB61BF2" w14:textId="77777777" w:rsidR="008D3E5D" w:rsidRPr="003C0B2F" w:rsidRDefault="008D3E5D" w:rsidP="00514F91">
            <w:pPr>
              <w:rPr>
                <w:rFonts w:cs="Arial"/>
                <w:szCs w:val="20"/>
              </w:rPr>
            </w:pPr>
            <w:r w:rsidRPr="003C0B2F">
              <w:rPr>
                <w:rFonts w:cs="Arial"/>
                <w:szCs w:val="20"/>
              </w:rPr>
              <w:t xml:space="preserve">Inšpicirano obdobje </w:t>
            </w:r>
          </w:p>
        </w:tc>
        <w:tc>
          <w:tcPr>
            <w:tcW w:w="6372" w:type="dxa"/>
            <w:vAlign w:val="center"/>
          </w:tcPr>
          <w:p w14:paraId="4B5AE303" w14:textId="77777777" w:rsidR="008D3E5D" w:rsidRPr="003C0B2F" w:rsidRDefault="008D3E5D" w:rsidP="00514F91">
            <w:pPr>
              <w:rPr>
                <w:rFonts w:cs="Arial"/>
                <w:szCs w:val="20"/>
              </w:rPr>
            </w:pPr>
            <w:r>
              <w:rPr>
                <w:rFonts w:cs="Arial"/>
                <w:szCs w:val="20"/>
              </w:rPr>
              <w:t>2023, 2024</w:t>
            </w:r>
          </w:p>
        </w:tc>
      </w:tr>
      <w:tr w:rsidR="008D3E5D" w:rsidRPr="003C0B2F" w14:paraId="6DC6C12A" w14:textId="77777777" w:rsidTr="00514F91">
        <w:trPr>
          <w:trHeight w:val="340"/>
        </w:trPr>
        <w:tc>
          <w:tcPr>
            <w:tcW w:w="2122" w:type="dxa"/>
            <w:vAlign w:val="center"/>
            <w:hideMark/>
          </w:tcPr>
          <w:p w14:paraId="0A4027A0" w14:textId="77777777" w:rsidR="008D3E5D" w:rsidRPr="003C0B2F" w:rsidRDefault="008D3E5D" w:rsidP="00514F91">
            <w:pPr>
              <w:rPr>
                <w:rFonts w:cs="Arial"/>
                <w:szCs w:val="20"/>
              </w:rPr>
            </w:pPr>
            <w:r w:rsidRPr="003C0B2F">
              <w:rPr>
                <w:rFonts w:cs="Arial"/>
                <w:szCs w:val="20"/>
              </w:rPr>
              <w:t>Znesek nadziranih sredstev</w:t>
            </w:r>
          </w:p>
        </w:tc>
        <w:tc>
          <w:tcPr>
            <w:tcW w:w="6372" w:type="dxa"/>
            <w:vAlign w:val="center"/>
            <w:hideMark/>
          </w:tcPr>
          <w:p w14:paraId="5A3CE915" w14:textId="3502B5B0" w:rsidR="008D3E5D" w:rsidRPr="003C0B2F" w:rsidRDefault="008D3E5D" w:rsidP="00514F91">
            <w:pPr>
              <w:rPr>
                <w:rFonts w:cs="Arial"/>
                <w:szCs w:val="20"/>
                <w:highlight w:val="yellow"/>
              </w:rPr>
            </w:pPr>
            <w:r w:rsidRPr="003C0B2F">
              <w:rPr>
                <w:rFonts w:cs="Arial"/>
                <w:szCs w:val="20"/>
              </w:rPr>
              <w:t xml:space="preserve">Skupni znesek </w:t>
            </w:r>
            <w:r w:rsidR="00EA3FBA" w:rsidRPr="003C0B2F">
              <w:rPr>
                <w:rFonts w:cs="Arial"/>
                <w:szCs w:val="20"/>
              </w:rPr>
              <w:t>nadziranih</w:t>
            </w:r>
            <w:r w:rsidR="00EA3FBA">
              <w:rPr>
                <w:rFonts w:cs="Arial"/>
                <w:szCs w:val="20"/>
              </w:rPr>
              <w:t xml:space="preserve"> </w:t>
            </w:r>
            <w:r>
              <w:rPr>
                <w:rFonts w:cs="Arial"/>
                <w:szCs w:val="20"/>
              </w:rPr>
              <w:t xml:space="preserve">sredstev </w:t>
            </w:r>
            <w:r w:rsidRPr="003C0B2F">
              <w:rPr>
                <w:rFonts w:cs="Arial"/>
                <w:szCs w:val="20"/>
              </w:rPr>
              <w:t xml:space="preserve">znaša </w:t>
            </w:r>
            <w:r w:rsidR="00514F91" w:rsidRPr="00514F91">
              <w:rPr>
                <w:rFonts w:cs="Arial"/>
                <w:szCs w:val="20"/>
              </w:rPr>
              <w:t>6.469.227,00</w:t>
            </w:r>
            <w:r w:rsidRPr="00514F91">
              <w:t xml:space="preserve"> EUR.</w:t>
            </w:r>
          </w:p>
        </w:tc>
      </w:tr>
    </w:tbl>
    <w:p w14:paraId="3718B34B" w14:textId="77777777" w:rsidR="008D3E5D" w:rsidRPr="003C0B2F" w:rsidRDefault="008D3E5D" w:rsidP="008D3E5D">
      <w:pPr>
        <w:pStyle w:val="Naslovdostopnost"/>
      </w:pPr>
    </w:p>
    <w:p w14:paraId="49A30F8C" w14:textId="77777777" w:rsidR="008D3E5D" w:rsidRPr="00E22A9B" w:rsidRDefault="008D3E5D" w:rsidP="00356195">
      <w:pPr>
        <w:pStyle w:val="datumtevilka"/>
        <w:numPr>
          <w:ilvl w:val="0"/>
          <w:numId w:val="3"/>
        </w:numPr>
        <w:rPr>
          <w:b/>
          <w:bCs/>
        </w:rPr>
      </w:pPr>
      <w:r w:rsidRPr="00E22A9B">
        <w:rPr>
          <w:b/>
          <w:bCs/>
        </w:rPr>
        <w:t>Materialnopravna ureditev nadziranega področja</w:t>
      </w:r>
    </w:p>
    <w:p w14:paraId="0F985CC2" w14:textId="77777777" w:rsidR="008D3E5D" w:rsidRPr="003C0B2F" w:rsidRDefault="008D3E5D" w:rsidP="008D3E5D">
      <w:pPr>
        <w:shd w:val="clear" w:color="auto" w:fill="FFFFFF" w:themeFill="background1"/>
        <w:autoSpaceDE w:val="0"/>
        <w:autoSpaceDN w:val="0"/>
        <w:adjustRightInd w:val="0"/>
        <w:ind w:right="276"/>
        <w:jc w:val="both"/>
        <w:rPr>
          <w:b/>
          <w:bCs/>
          <w:szCs w:val="20"/>
        </w:rPr>
      </w:pPr>
    </w:p>
    <w:p w14:paraId="632B2B5B" w14:textId="77777777" w:rsidR="008D3E5D" w:rsidRPr="00D32D5A" w:rsidRDefault="008D3E5D" w:rsidP="00356195">
      <w:pPr>
        <w:pStyle w:val="Odstavekseznama"/>
        <w:numPr>
          <w:ilvl w:val="0"/>
          <w:numId w:val="4"/>
        </w:numPr>
        <w:jc w:val="both"/>
      </w:pPr>
      <w:bookmarkStart w:id="3" w:name="_Hlk163207337"/>
      <w:r w:rsidRPr="00D32D5A">
        <w:t>Zakon o izvrševanju proračunov Republike Slovenije za leti 202</w:t>
      </w:r>
      <w:r>
        <w:t>3</w:t>
      </w:r>
      <w:r w:rsidRPr="00D32D5A">
        <w:t xml:space="preserve"> in 202</w:t>
      </w:r>
      <w:r>
        <w:t>4</w:t>
      </w:r>
      <w:r w:rsidRPr="00D32D5A">
        <w:t xml:space="preserve"> – ZIPRS2</w:t>
      </w:r>
      <w:r>
        <w:t>3</w:t>
      </w:r>
      <w:r w:rsidRPr="00D32D5A">
        <w:t>2</w:t>
      </w:r>
      <w:r>
        <w:t>4</w:t>
      </w:r>
      <w:r w:rsidRPr="00D32D5A">
        <w:t xml:space="preserve"> (</w:t>
      </w:r>
      <w:r w:rsidRPr="00ED4FBA">
        <w:t>Uradni list RS, št. </w:t>
      </w:r>
      <w:hyperlink r:id="rId13" w:tgtFrame="_blank" w:tooltip="Zakon o izvrševanju proračunov Republike Slovenije za leti 2023 in 2024 (ZIPRS2324)" w:history="1">
        <w:r w:rsidRPr="00ED4FBA">
          <w:rPr>
            <w:rStyle w:val="Hiperpovezava"/>
            <w:color w:val="auto"/>
            <w:u w:val="none"/>
          </w:rPr>
          <w:t>150/22</w:t>
        </w:r>
      </w:hyperlink>
      <w:r w:rsidRPr="00ED4FBA">
        <w:t>, </w:t>
      </w:r>
      <w:hyperlink r:id="rId14" w:tgtFrame="_blank" w:tooltip="Zakon o spremembah in dopolnitvah Zakona o izvrševanju proračunov Republike Slovenije za leti 2023 in 2024 (ZIPRS2324-A)" w:history="1">
        <w:r w:rsidRPr="00ED4FBA">
          <w:rPr>
            <w:rStyle w:val="Hiperpovezava"/>
            <w:color w:val="auto"/>
            <w:u w:val="none"/>
          </w:rPr>
          <w:t>65/23</w:t>
        </w:r>
      </w:hyperlink>
      <w:r w:rsidRPr="00ED4FBA">
        <w:t>, </w:t>
      </w:r>
      <w:hyperlink r:id="rId15" w:tgtFrame="_blank" w:tooltip="Zakon o spremembah in dopolnitvah Zakona o javnih financah (ZJF-I)" w:history="1">
        <w:r w:rsidRPr="00ED4FBA">
          <w:rPr>
            <w:rStyle w:val="Hiperpovezava"/>
            <w:color w:val="auto"/>
            <w:u w:val="none"/>
          </w:rPr>
          <w:t>76/23</w:t>
        </w:r>
      </w:hyperlink>
      <w:r w:rsidRPr="00ED4FBA">
        <w:t> – ZJF-I, </w:t>
      </w:r>
      <w:hyperlink r:id="rId16" w:tgtFrame="_blank" w:tooltip="Zakon o spremembah in dopolnitvah Zakona o izvrševanju proračunov Republike Slovenije za leti 2023 in 2024 (ZIPRS2324-B)" w:history="1">
        <w:r w:rsidRPr="00ED4FBA">
          <w:rPr>
            <w:rStyle w:val="Hiperpovezava"/>
            <w:color w:val="auto"/>
            <w:u w:val="none"/>
          </w:rPr>
          <w:t>97/23</w:t>
        </w:r>
      </w:hyperlink>
      <w:r w:rsidRPr="00ED4FBA">
        <w:t> in </w:t>
      </w:r>
      <w:hyperlink r:id="rId17" w:tgtFrame="_blank" w:tooltip="Zakon o izvrševanju proračunov Republike Slovenije za leti 2024 in 2025 (ZIPRS2425)" w:history="1">
        <w:r w:rsidRPr="00ED4FBA">
          <w:rPr>
            <w:rStyle w:val="Hiperpovezava"/>
            <w:color w:val="auto"/>
            <w:u w:val="none"/>
          </w:rPr>
          <w:t>123/23</w:t>
        </w:r>
      </w:hyperlink>
      <w:r w:rsidRPr="00ED4FBA">
        <w:t> – ZIPRS2425</w:t>
      </w:r>
      <w:r w:rsidRPr="00D32D5A">
        <w:t>);</w:t>
      </w:r>
    </w:p>
    <w:p w14:paraId="0A2B3AB2" w14:textId="77777777" w:rsidR="008D3E5D" w:rsidRDefault="008D3E5D" w:rsidP="00356195">
      <w:pPr>
        <w:pStyle w:val="Odstavekseznama"/>
        <w:numPr>
          <w:ilvl w:val="0"/>
          <w:numId w:val="1"/>
        </w:numPr>
        <w:jc w:val="both"/>
        <w:rPr>
          <w:szCs w:val="20"/>
        </w:rPr>
      </w:pPr>
      <w:r w:rsidRPr="003C0B2F">
        <w:rPr>
          <w:szCs w:val="20"/>
        </w:rPr>
        <w:t>Pravilnik o postopkih za izvrševanje proračuna Republike Slovenije (Uradni list RS, št. 50/07, 61/08, 99/09 – ZIPRS1011, 3/13, 81/16, 11/22, 96/22, 105/22 – ZZNŠPP, 149/22</w:t>
      </w:r>
      <w:r>
        <w:rPr>
          <w:szCs w:val="20"/>
        </w:rPr>
        <w:t>,</w:t>
      </w:r>
      <w:r w:rsidRPr="003C0B2F">
        <w:rPr>
          <w:szCs w:val="20"/>
        </w:rPr>
        <w:t xml:space="preserve"> 106/23</w:t>
      </w:r>
      <w:r>
        <w:rPr>
          <w:szCs w:val="20"/>
        </w:rPr>
        <w:t xml:space="preserve"> in 88/24</w:t>
      </w:r>
      <w:r w:rsidRPr="003C0B2F">
        <w:rPr>
          <w:szCs w:val="20"/>
        </w:rPr>
        <w:t>)</w:t>
      </w:r>
      <w:r>
        <w:rPr>
          <w:szCs w:val="20"/>
        </w:rPr>
        <w:t>;</w:t>
      </w:r>
    </w:p>
    <w:p w14:paraId="37778313" w14:textId="77777777" w:rsidR="008D3E5D" w:rsidRDefault="008D3E5D" w:rsidP="00356195">
      <w:pPr>
        <w:pStyle w:val="Odstavekseznama"/>
        <w:numPr>
          <w:ilvl w:val="0"/>
          <w:numId w:val="1"/>
        </w:numPr>
        <w:jc w:val="both"/>
        <w:rPr>
          <w:szCs w:val="20"/>
        </w:rPr>
      </w:pPr>
      <w:r w:rsidRPr="003C0B2F">
        <w:rPr>
          <w:szCs w:val="20"/>
        </w:rPr>
        <w:t xml:space="preserve">Zakon o državni upravi (Uradni list RS, št. 113/05 – uradno prečiščeno besedilo, 89/07 – </w:t>
      </w:r>
      <w:proofErr w:type="spellStart"/>
      <w:r w:rsidRPr="003C0B2F">
        <w:rPr>
          <w:szCs w:val="20"/>
        </w:rPr>
        <w:t>odl</w:t>
      </w:r>
      <w:proofErr w:type="spellEnd"/>
      <w:r w:rsidRPr="003C0B2F">
        <w:rPr>
          <w:szCs w:val="20"/>
        </w:rPr>
        <w:t>. US, 126/07 – ZUP-E, 48/09, 8/10 – ZUP-G, 8/12 – ZVRS-F, 21/12, 47/13, 12/14, 90/14, 51/16, 36/21, 82/21, 189/21, 153/22 in 18/23)</w:t>
      </w:r>
      <w:r>
        <w:rPr>
          <w:szCs w:val="20"/>
        </w:rPr>
        <w:t>;</w:t>
      </w:r>
    </w:p>
    <w:p w14:paraId="7EEC4385" w14:textId="4E1709F2" w:rsidR="008D3E5D" w:rsidRDefault="008D3E5D" w:rsidP="00356195">
      <w:pPr>
        <w:pStyle w:val="Odstavekseznama"/>
        <w:numPr>
          <w:ilvl w:val="0"/>
          <w:numId w:val="1"/>
        </w:numPr>
        <w:jc w:val="both"/>
        <w:rPr>
          <w:szCs w:val="20"/>
        </w:rPr>
      </w:pPr>
      <w:r w:rsidRPr="00ED4FBA">
        <w:rPr>
          <w:szCs w:val="20"/>
        </w:rPr>
        <w:t xml:space="preserve">Zakon o visokem šolstvu (Uradni list RS, št. 32/12 – uradno prečiščeno besedilo, 40/12 – ZUJF, 57/12 – ZPCP-2D, 109/12, 85/14, 75/16, 61/17 – ZUPŠ, 65/17, 175/20- ZIUOPDVE, 57/21 – </w:t>
      </w:r>
      <w:proofErr w:type="spellStart"/>
      <w:r w:rsidRPr="00ED4FBA">
        <w:rPr>
          <w:szCs w:val="20"/>
        </w:rPr>
        <w:t>odl</w:t>
      </w:r>
      <w:proofErr w:type="spellEnd"/>
      <w:r w:rsidRPr="00ED4FBA">
        <w:rPr>
          <w:szCs w:val="20"/>
        </w:rPr>
        <w:t>. US, 54/22 – ZUPŠ-1, 100/22 – ZSZUN in 102/23</w:t>
      </w:r>
      <w:r w:rsidR="008C7C3E">
        <w:rPr>
          <w:szCs w:val="20"/>
        </w:rPr>
        <w:t>; v nadaljevanju ZViS</w:t>
      </w:r>
      <w:r w:rsidRPr="00ED4FBA">
        <w:rPr>
          <w:szCs w:val="20"/>
        </w:rPr>
        <w:t>)</w:t>
      </w:r>
      <w:r>
        <w:rPr>
          <w:szCs w:val="20"/>
        </w:rPr>
        <w:t>;</w:t>
      </w:r>
    </w:p>
    <w:p w14:paraId="07AD59B5" w14:textId="5BE264F6" w:rsidR="000050A8" w:rsidRPr="000050A8" w:rsidRDefault="000050A8" w:rsidP="0042347B">
      <w:pPr>
        <w:pStyle w:val="Naslov1"/>
        <w:numPr>
          <w:ilvl w:val="0"/>
          <w:numId w:val="1"/>
        </w:numPr>
      </w:pPr>
      <w:r w:rsidRPr="000050A8">
        <w:t>Zakon o znanstvenoraziskovalni in inovacijski dejavnosti (Uradni list RS, št. </w:t>
      </w:r>
      <w:hyperlink r:id="rId18" w:tgtFrame="_blank" w:tooltip="Zakon o znanstvenoraziskovalni in inovacijski dejavnosti (ZZrID)" w:history="1">
        <w:r w:rsidRPr="000050A8">
          <w:rPr>
            <w:rStyle w:val="Hiperpovezava"/>
            <w:color w:val="auto"/>
            <w:u w:val="none"/>
          </w:rPr>
          <w:t>186/21</w:t>
        </w:r>
      </w:hyperlink>
      <w:r w:rsidRPr="000050A8">
        <w:t xml:space="preserve"> in </w:t>
      </w:r>
      <w:hyperlink r:id="rId19" w:tgtFrame="_blank" w:tooltip="Zakon o spremembah in dopolnitvah Zakona o znanstvenoraziskovalni in inovacijski dejavnosti (ZZrID-A)" w:history="1">
        <w:r w:rsidRPr="000050A8">
          <w:rPr>
            <w:rStyle w:val="Hiperpovezava"/>
            <w:color w:val="auto"/>
            <w:u w:val="none"/>
          </w:rPr>
          <w:t>40/23</w:t>
        </w:r>
      </w:hyperlink>
      <w:r w:rsidRPr="000050A8">
        <w:t>);</w:t>
      </w:r>
    </w:p>
    <w:p w14:paraId="48E73A6E" w14:textId="77777777" w:rsidR="008D3E5D" w:rsidRDefault="008D3E5D" w:rsidP="00356195">
      <w:pPr>
        <w:pStyle w:val="Odstavekseznama"/>
        <w:numPr>
          <w:ilvl w:val="0"/>
          <w:numId w:val="1"/>
        </w:numPr>
        <w:jc w:val="both"/>
        <w:rPr>
          <w:szCs w:val="20"/>
        </w:rPr>
      </w:pPr>
      <w:r w:rsidRPr="00ED4FBA">
        <w:rPr>
          <w:szCs w:val="20"/>
        </w:rPr>
        <w:t>Resolucija o Nacionalnem programu visokega šolstva 2030 (Uradni list RS, št. 49/22)</w:t>
      </w:r>
      <w:r>
        <w:rPr>
          <w:szCs w:val="20"/>
        </w:rPr>
        <w:t>;</w:t>
      </w:r>
    </w:p>
    <w:p w14:paraId="69B96434" w14:textId="77777777" w:rsidR="008D3E5D" w:rsidRDefault="008D3E5D" w:rsidP="00356195">
      <w:pPr>
        <w:pStyle w:val="Odstavekseznama"/>
        <w:numPr>
          <w:ilvl w:val="0"/>
          <w:numId w:val="1"/>
        </w:numPr>
        <w:jc w:val="both"/>
        <w:rPr>
          <w:szCs w:val="20"/>
        </w:rPr>
      </w:pPr>
      <w:r w:rsidRPr="00ED4FBA">
        <w:rPr>
          <w:szCs w:val="20"/>
        </w:rPr>
        <w:t>Uredba o javnem financiranju visokošolskih zavodov in drugih zavodov (Uradni list RS, št. 35/17, 24/19, 65/22, 61/23 in 2/24)</w:t>
      </w:r>
      <w:r>
        <w:rPr>
          <w:szCs w:val="20"/>
        </w:rPr>
        <w:t>;</w:t>
      </w:r>
    </w:p>
    <w:p w14:paraId="0845FB5B" w14:textId="78C07CB1" w:rsidR="008D3E5D" w:rsidRDefault="008D3E5D" w:rsidP="00356195">
      <w:pPr>
        <w:pStyle w:val="Odstavekseznama"/>
        <w:numPr>
          <w:ilvl w:val="0"/>
          <w:numId w:val="1"/>
        </w:numPr>
        <w:jc w:val="both"/>
        <w:rPr>
          <w:szCs w:val="20"/>
        </w:rPr>
      </w:pPr>
      <w:r w:rsidRPr="00ED4FBA">
        <w:rPr>
          <w:szCs w:val="20"/>
        </w:rPr>
        <w:t>Uredba o postopku, merilih in načinih dodeljevanja sredstev za spodbujanje razvojnih programov in prednostnih nalog (Uradni list RS, št. 56/11)</w:t>
      </w:r>
      <w:r>
        <w:rPr>
          <w:szCs w:val="20"/>
        </w:rPr>
        <w:t>;</w:t>
      </w:r>
    </w:p>
    <w:p w14:paraId="7FC88B13" w14:textId="77777777" w:rsidR="008D3E5D" w:rsidRPr="003C0B2F" w:rsidRDefault="008D3E5D" w:rsidP="00356195">
      <w:pPr>
        <w:pStyle w:val="Odstavekseznama"/>
        <w:numPr>
          <w:ilvl w:val="0"/>
          <w:numId w:val="1"/>
        </w:numPr>
        <w:jc w:val="both"/>
        <w:rPr>
          <w:szCs w:val="20"/>
        </w:rPr>
      </w:pPr>
      <w:r w:rsidRPr="00ED4FBA">
        <w:rPr>
          <w:szCs w:val="20"/>
        </w:rPr>
        <w:t>Pravilnik o razvojnih nalogah v visokem šolstvu (Uradni list RS, št. 16/18)</w:t>
      </w:r>
      <w:r>
        <w:rPr>
          <w:szCs w:val="20"/>
        </w:rPr>
        <w:t xml:space="preserve"> in</w:t>
      </w:r>
    </w:p>
    <w:bookmarkEnd w:id="3"/>
    <w:p w14:paraId="4B8C60DF" w14:textId="77777777" w:rsidR="008D3E5D" w:rsidRDefault="008D3E5D" w:rsidP="00356195">
      <w:pPr>
        <w:pStyle w:val="Odstavekseznama"/>
        <w:numPr>
          <w:ilvl w:val="0"/>
          <w:numId w:val="2"/>
        </w:numPr>
        <w:ind w:left="360"/>
        <w:jc w:val="both"/>
      </w:pPr>
      <w:r>
        <w:t>ZJF.</w:t>
      </w:r>
    </w:p>
    <w:p w14:paraId="58E1B3DA" w14:textId="77777777" w:rsidR="008D3E5D" w:rsidRPr="007900DE" w:rsidRDefault="008D3E5D" w:rsidP="00356195">
      <w:pPr>
        <w:pStyle w:val="datumtevilka"/>
        <w:numPr>
          <w:ilvl w:val="0"/>
          <w:numId w:val="3"/>
        </w:numPr>
        <w:rPr>
          <w:b/>
          <w:bCs/>
        </w:rPr>
      </w:pPr>
      <w:r w:rsidRPr="007900DE">
        <w:rPr>
          <w:b/>
          <w:bCs/>
        </w:rPr>
        <w:lastRenderedPageBreak/>
        <w:t xml:space="preserve">Opravljene preveritve in ugotovitve inšpekcijskega nadzora </w:t>
      </w:r>
    </w:p>
    <w:p w14:paraId="65BD87FC" w14:textId="77777777" w:rsidR="008D3E5D" w:rsidRDefault="008D3E5D" w:rsidP="008D3E5D">
      <w:pPr>
        <w:jc w:val="both"/>
      </w:pPr>
      <w:bookmarkStart w:id="4" w:name="_Hlk212551086"/>
    </w:p>
    <w:p w14:paraId="630C97A5" w14:textId="05866FDB" w:rsidR="00EC7C2F" w:rsidRPr="00DA77F7" w:rsidRDefault="00DA77F7" w:rsidP="00DA77F7">
      <w:pPr>
        <w:pStyle w:val="Odstavekseznama"/>
        <w:numPr>
          <w:ilvl w:val="0"/>
          <w:numId w:val="33"/>
        </w:numPr>
        <w:jc w:val="both"/>
        <w:rPr>
          <w:b/>
          <w:bCs/>
        </w:rPr>
      </w:pPr>
      <w:r w:rsidRPr="00DA77F7">
        <w:rPr>
          <w:b/>
          <w:bCs/>
        </w:rPr>
        <w:t>P</w:t>
      </w:r>
      <w:r w:rsidR="00EC7C2F" w:rsidRPr="00DA77F7">
        <w:rPr>
          <w:b/>
          <w:bCs/>
        </w:rPr>
        <w:t>rojekt Spodbujanje mednarodne mobilnosti slovenskih raziskovalcev (</w:t>
      </w:r>
      <w:proofErr w:type="spellStart"/>
      <w:r w:rsidR="00EC7C2F" w:rsidRPr="00DA77F7">
        <w:rPr>
          <w:b/>
          <w:bCs/>
        </w:rPr>
        <w:t>outgoing</w:t>
      </w:r>
      <w:proofErr w:type="spellEnd"/>
      <w:r w:rsidR="00EC7C2F" w:rsidRPr="00DA77F7">
        <w:rPr>
          <w:b/>
          <w:bCs/>
        </w:rPr>
        <w:t>)</w:t>
      </w:r>
    </w:p>
    <w:p w14:paraId="073E9B7F" w14:textId="77777777" w:rsidR="00843B43" w:rsidRDefault="00843B43" w:rsidP="00843B43">
      <w:pPr>
        <w:pStyle w:val="Odstavekseznama"/>
        <w:ind w:left="360" w:right="47"/>
        <w:jc w:val="both"/>
      </w:pPr>
    </w:p>
    <w:p w14:paraId="7375FE88" w14:textId="4CED6C21" w:rsidR="00116920" w:rsidRPr="00116920" w:rsidRDefault="00DB740F" w:rsidP="00116920">
      <w:pPr>
        <w:jc w:val="both"/>
      </w:pPr>
      <w:r>
        <w:t>MVZI</w:t>
      </w:r>
      <w:r w:rsidRPr="00DB740F">
        <w:t xml:space="preserve"> je inšpekcijskemu organu pojasnil, da je analiza stanja na področju raziskovalne dejavnosti pokazala, da Slovenija zaostaja za povprečjem Evropske unije pri doseganju znanstvene odličnosti.</w:t>
      </w:r>
      <w:r>
        <w:t xml:space="preserve"> </w:t>
      </w:r>
      <w:r w:rsidR="00116920" w:rsidRPr="00116920">
        <w:t>Zaznani so bili izraziti negativni trendi, med drugim zmanjševanje števila raziskovalcev v javnem sektorju ter občutno znižanje sredstev, namenjenih financiranju mladih raziskovalcev. Ti procesi</w:t>
      </w:r>
      <w:r w:rsidR="00046140">
        <w:t xml:space="preserve"> so</w:t>
      </w:r>
      <w:r w:rsidR="00116920" w:rsidRPr="00116920">
        <w:t xml:space="preserve"> najbolj prizade</w:t>
      </w:r>
      <w:r w:rsidR="00046140">
        <w:t>li</w:t>
      </w:r>
      <w:r w:rsidR="00116920" w:rsidRPr="00116920">
        <w:t xml:space="preserve"> mlajšo generacijo raziskovalcev na začetku kariere, ki se sooča z omejenimi priložnostmi za strokovni razvoj in napredovanje.</w:t>
      </w:r>
    </w:p>
    <w:p w14:paraId="10B28A04" w14:textId="77777777" w:rsidR="00116920" w:rsidRPr="00116920" w:rsidRDefault="00116920" w:rsidP="00116920">
      <w:pPr>
        <w:jc w:val="both"/>
      </w:pPr>
    </w:p>
    <w:p w14:paraId="4A96EF8C" w14:textId="6B115674" w:rsidR="00116920" w:rsidRDefault="002450E8" w:rsidP="00116920">
      <w:pPr>
        <w:jc w:val="both"/>
      </w:pPr>
      <w:r w:rsidRPr="002450E8">
        <w:t>Poleg neugodne starostne sestave raziskovalcev in odhoda strokovnjakov v tujino stanje še poslabšajo demografske spremembe. M</w:t>
      </w:r>
      <w:r w:rsidR="0046276B">
        <w:t>l</w:t>
      </w:r>
      <w:r w:rsidRPr="002450E8">
        <w:t>ajše generacije, ki vstopajo v visokošolsko in doktorsko izobraževanje, zmanjšujejo število razpoložljivih strokovnjakov. To predstavlja resno tveganje za dolgoročno konkurenčnost slovenskega raziskovalnega in inovacijskega sistema.</w:t>
      </w:r>
    </w:p>
    <w:p w14:paraId="62440920" w14:textId="77777777" w:rsidR="002450E8" w:rsidRPr="00116920" w:rsidRDefault="002450E8" w:rsidP="00116920">
      <w:pPr>
        <w:jc w:val="both"/>
      </w:pPr>
    </w:p>
    <w:p w14:paraId="1B70A18F" w14:textId="4B5A1D55" w:rsidR="00116920" w:rsidRPr="00116920" w:rsidRDefault="00116920" w:rsidP="00116920">
      <w:pPr>
        <w:jc w:val="both"/>
      </w:pPr>
      <w:r w:rsidRPr="00116920">
        <w:t xml:space="preserve">Z namenom sistematičnega naslavljanja navedenih izzivov je MVZI sprejel odločitev o vzpostavitvi projekta </w:t>
      </w:r>
      <w:r w:rsidRPr="00116920">
        <w:rPr>
          <w:i/>
          <w:iCs/>
        </w:rPr>
        <w:t>Spodbujanje mednarodne mobilnosti slovenskih raziskovalcev</w:t>
      </w:r>
      <w:r w:rsidRPr="00116920">
        <w:t>. Temeljni cilj projekta je krepitev kadrovskega potenciala v znanosti z vzpostavitvijo pogojev za učinkovito kroženje znanja in izkušenj – tako imenovano »kroženje možganov«. Poseben poudarek je namenjen spodbujanju mednarodne in medsektorske mobilnosti ter reintegraciji, zlasti mlajših raziskovalcev, v slovenski raziskovalno-razvojno-inovacijski prostor.</w:t>
      </w:r>
    </w:p>
    <w:p w14:paraId="6D07991F" w14:textId="77777777" w:rsidR="006B1132" w:rsidRDefault="006B1132" w:rsidP="00843B43">
      <w:pPr>
        <w:jc w:val="both"/>
      </w:pPr>
    </w:p>
    <w:p w14:paraId="6B53CB99" w14:textId="5B241C92" w:rsidR="006B1132" w:rsidRPr="00531A16" w:rsidRDefault="00FF209D" w:rsidP="00843B43">
      <w:pPr>
        <w:jc w:val="both"/>
      </w:pPr>
      <w:r>
        <w:t>Za izvajalca projekta je MVZI določil Javno agencijo za znanstvenoraziskovalno in inovacijsko dejavnost Republike Slovenije (v nadaljevanju: ARIS).</w:t>
      </w:r>
    </w:p>
    <w:p w14:paraId="371137D0" w14:textId="77777777" w:rsidR="006B412D" w:rsidRDefault="006B412D" w:rsidP="006B412D">
      <w:pPr>
        <w:pStyle w:val="Odstavekseznama"/>
        <w:ind w:left="360"/>
        <w:jc w:val="both"/>
        <w:rPr>
          <w:b/>
          <w:bCs/>
        </w:rPr>
      </w:pPr>
    </w:p>
    <w:p w14:paraId="6AC997FA" w14:textId="1368ECF3" w:rsidR="004C70FE" w:rsidRDefault="004C70FE" w:rsidP="004C70FE">
      <w:pPr>
        <w:pStyle w:val="Odstavekseznama"/>
        <w:numPr>
          <w:ilvl w:val="1"/>
          <w:numId w:val="33"/>
        </w:numPr>
        <w:jc w:val="both"/>
      </w:pPr>
      <w:r>
        <w:t xml:space="preserve">Planiranje </w:t>
      </w:r>
      <w:r w:rsidR="009218FD">
        <w:t xml:space="preserve">obsega </w:t>
      </w:r>
      <w:r>
        <w:t>projekt</w:t>
      </w:r>
      <w:r w:rsidR="00C7126C">
        <w:t>a</w:t>
      </w:r>
    </w:p>
    <w:p w14:paraId="47342199" w14:textId="77777777" w:rsidR="00843B43" w:rsidRPr="004C70FE" w:rsidRDefault="00843B43" w:rsidP="00843B43">
      <w:pPr>
        <w:jc w:val="both"/>
      </w:pPr>
    </w:p>
    <w:p w14:paraId="18DB0BC8" w14:textId="6D3C7D4C" w:rsidR="004C70FE" w:rsidRDefault="004C70FE" w:rsidP="004C70FE">
      <w:pPr>
        <w:jc w:val="both"/>
        <w:rPr>
          <w:rFonts w:cs="Arial"/>
          <w:szCs w:val="20"/>
        </w:rPr>
      </w:pPr>
      <w:r w:rsidRPr="004C70FE">
        <w:rPr>
          <w:rFonts w:cs="Arial"/>
          <w:szCs w:val="20"/>
        </w:rPr>
        <w:t>MVZI je</w:t>
      </w:r>
      <w:r>
        <w:rPr>
          <w:rFonts w:cs="Arial"/>
          <w:szCs w:val="20"/>
        </w:rPr>
        <w:t xml:space="preserve"> inšpekcijskemu organu</w:t>
      </w:r>
      <w:r w:rsidRPr="004C70FE">
        <w:rPr>
          <w:rFonts w:cs="Arial"/>
          <w:szCs w:val="20"/>
        </w:rPr>
        <w:t xml:space="preserve"> </w:t>
      </w:r>
      <w:r w:rsidR="009218FD">
        <w:rPr>
          <w:rFonts w:cs="Arial"/>
          <w:szCs w:val="20"/>
        </w:rPr>
        <w:t>pojasnil</w:t>
      </w:r>
      <w:r w:rsidRPr="004C70FE">
        <w:rPr>
          <w:rFonts w:cs="Arial"/>
          <w:szCs w:val="20"/>
        </w:rPr>
        <w:t xml:space="preserve">, da je bil začetni predlog za vključitev 100 raziskovalk in raziskovalcev v projekt </w:t>
      </w:r>
      <w:r w:rsidRPr="004C70FE">
        <w:rPr>
          <w:rFonts w:cs="Arial"/>
          <w:i/>
          <w:iCs/>
          <w:szCs w:val="20"/>
        </w:rPr>
        <w:t>»Sofinanciranje projektov in programov za krepitev mednarodne mobilnosti slovenskih raziskovalcev in raziskovalnih organizacij ter za spodbujanje mednarodne vpetosti slovenskih prijaviteljev«</w:t>
      </w:r>
      <w:r w:rsidRPr="004C70FE">
        <w:rPr>
          <w:rFonts w:cs="Arial"/>
          <w:szCs w:val="20"/>
        </w:rPr>
        <w:t xml:space="preserve"> v okviru </w:t>
      </w:r>
      <w:r w:rsidR="00A153AD">
        <w:rPr>
          <w:rFonts w:cs="Arial"/>
          <w:szCs w:val="20"/>
        </w:rPr>
        <w:t xml:space="preserve">Načrta za okrevanje in odpornost (v nadaljevanju: </w:t>
      </w:r>
      <w:r w:rsidRPr="004C70FE">
        <w:rPr>
          <w:rFonts w:cs="Arial"/>
          <w:szCs w:val="20"/>
        </w:rPr>
        <w:t>NOO</w:t>
      </w:r>
      <w:r w:rsidR="00A153AD">
        <w:rPr>
          <w:rFonts w:cs="Arial"/>
          <w:szCs w:val="20"/>
        </w:rPr>
        <w:t>)</w:t>
      </w:r>
      <w:r w:rsidRPr="004C70FE">
        <w:rPr>
          <w:rFonts w:cs="Arial"/>
          <w:szCs w:val="20"/>
        </w:rPr>
        <w:t xml:space="preserve"> pripravljen na takratnem Ministrstvu za izobraževanje, znanost in šport. Predlog je temeljil na analizi prijav slovenskih raziskovalk in raziskovalcev na podoktorske razpise MSCA</w:t>
      </w:r>
      <w:r w:rsidR="00B6419F">
        <w:rPr>
          <w:rStyle w:val="Sprotnaopomba-sklic"/>
          <w:rFonts w:cs="Arial"/>
          <w:szCs w:val="20"/>
        </w:rPr>
        <w:footnoteReference w:id="3"/>
      </w:r>
      <w:r w:rsidRPr="004C70FE">
        <w:rPr>
          <w:rFonts w:cs="Arial"/>
          <w:szCs w:val="20"/>
        </w:rPr>
        <w:t xml:space="preserve"> v okviru programa Obzorje 2020 za obdobje 2019–2021.</w:t>
      </w:r>
    </w:p>
    <w:p w14:paraId="1B51EAF4" w14:textId="77777777" w:rsidR="004C70FE" w:rsidRPr="004C70FE" w:rsidRDefault="004C70FE" w:rsidP="004C70FE">
      <w:pPr>
        <w:jc w:val="both"/>
        <w:rPr>
          <w:rFonts w:cs="Arial"/>
          <w:szCs w:val="20"/>
        </w:rPr>
      </w:pPr>
    </w:p>
    <w:p w14:paraId="265FA79D" w14:textId="7BF87634" w:rsidR="004C70FE" w:rsidRDefault="004C70FE" w:rsidP="004C70FE">
      <w:pPr>
        <w:jc w:val="both"/>
        <w:rPr>
          <w:rFonts w:cs="Arial"/>
          <w:szCs w:val="20"/>
        </w:rPr>
      </w:pPr>
      <w:r w:rsidRPr="004C70FE">
        <w:rPr>
          <w:rFonts w:cs="Arial"/>
          <w:szCs w:val="20"/>
        </w:rPr>
        <w:t xml:space="preserve">Podatki o prijavah so bili pridobljeni od Evropske komisije, </w:t>
      </w:r>
      <w:r w:rsidR="002450E8">
        <w:rPr>
          <w:rFonts w:cs="Arial"/>
          <w:szCs w:val="20"/>
        </w:rPr>
        <w:t>saj</w:t>
      </w:r>
      <w:r w:rsidRPr="004C70FE">
        <w:rPr>
          <w:rFonts w:cs="Arial"/>
          <w:szCs w:val="20"/>
        </w:rPr>
        <w:t xml:space="preserve"> podatki o nacionalnosti prijaviteljev niso javno dostopni. Pri oceni je bila uporabljena tudi povprečna vrednost projektov MSCA za podoktorske štipendije, kot je bila določena v takrat veljavnem Delovnem programu Evropske komisije za MSCA.</w:t>
      </w:r>
    </w:p>
    <w:p w14:paraId="53A82A73" w14:textId="77777777" w:rsidR="004C70FE" w:rsidRPr="004C70FE" w:rsidRDefault="004C70FE" w:rsidP="004C70FE">
      <w:pPr>
        <w:jc w:val="both"/>
        <w:rPr>
          <w:rFonts w:cs="Arial"/>
          <w:szCs w:val="20"/>
        </w:rPr>
      </w:pPr>
    </w:p>
    <w:p w14:paraId="3EADEF1A" w14:textId="77777777" w:rsidR="004C70FE" w:rsidRDefault="004C70FE" w:rsidP="004C70FE">
      <w:pPr>
        <w:jc w:val="both"/>
        <w:rPr>
          <w:rFonts w:cs="Arial"/>
          <w:szCs w:val="20"/>
        </w:rPr>
      </w:pPr>
      <w:r w:rsidRPr="004C70FE">
        <w:rPr>
          <w:rFonts w:cs="Arial"/>
          <w:szCs w:val="20"/>
        </w:rPr>
        <w:t xml:space="preserve">V treh letih pred pripravo predloga je bilo na glavni seznam za financiranje uvrščenih 17 slovenskih raziskovalk in raziskovalcev, v celotnem obdobju programa Obzorje 2020 pa 36. Ta podatek je bil uporabljen kot osnova za oblikovanje </w:t>
      </w:r>
      <w:proofErr w:type="spellStart"/>
      <w:r w:rsidRPr="004C70FE">
        <w:rPr>
          <w:rFonts w:cs="Arial"/>
          <w:szCs w:val="20"/>
        </w:rPr>
        <w:t>reintegracijske</w:t>
      </w:r>
      <w:proofErr w:type="spellEnd"/>
      <w:r w:rsidRPr="004C70FE">
        <w:rPr>
          <w:rFonts w:cs="Arial"/>
          <w:szCs w:val="20"/>
        </w:rPr>
        <w:t xml:space="preserve"> sheme, saj predstavljajo osebe, ki so bile izbrane na glavni seznam Evropske komisije, ključni potencial za reintegracijo v slovenski raziskovalni in gospodarski prostor.</w:t>
      </w:r>
    </w:p>
    <w:p w14:paraId="1C3D4BE7" w14:textId="77777777" w:rsidR="004C70FE" w:rsidRPr="004C70FE" w:rsidRDefault="004C70FE" w:rsidP="004C70FE">
      <w:pPr>
        <w:jc w:val="both"/>
        <w:rPr>
          <w:rFonts w:cs="Arial"/>
          <w:szCs w:val="20"/>
        </w:rPr>
      </w:pPr>
    </w:p>
    <w:p w14:paraId="31BA93B6" w14:textId="32B32FC6" w:rsidR="004C70FE" w:rsidRDefault="004C70FE" w:rsidP="004C70FE">
      <w:pPr>
        <w:jc w:val="both"/>
        <w:rPr>
          <w:rFonts w:cs="Arial"/>
          <w:szCs w:val="20"/>
        </w:rPr>
      </w:pPr>
      <w:r w:rsidRPr="004C70FE">
        <w:rPr>
          <w:rFonts w:cs="Arial"/>
          <w:szCs w:val="20"/>
        </w:rPr>
        <w:t>Število raziskovalk in raziskovalcev za t. i. »</w:t>
      </w:r>
      <w:proofErr w:type="spellStart"/>
      <w:r w:rsidRPr="004C70FE">
        <w:rPr>
          <w:rFonts w:cs="Arial"/>
          <w:szCs w:val="20"/>
        </w:rPr>
        <w:t>outgoing</w:t>
      </w:r>
      <w:proofErr w:type="spellEnd"/>
      <w:r w:rsidRPr="004C70FE">
        <w:rPr>
          <w:rFonts w:cs="Arial"/>
          <w:szCs w:val="20"/>
        </w:rPr>
        <w:t xml:space="preserve">« shemo je bilo posledično prilagojeno številu mest v </w:t>
      </w:r>
      <w:proofErr w:type="spellStart"/>
      <w:r w:rsidRPr="004C70FE">
        <w:rPr>
          <w:rFonts w:cs="Arial"/>
          <w:szCs w:val="20"/>
        </w:rPr>
        <w:t>reintegracijski</w:t>
      </w:r>
      <w:proofErr w:type="spellEnd"/>
      <w:r w:rsidRPr="004C70FE">
        <w:rPr>
          <w:rFonts w:cs="Arial"/>
          <w:szCs w:val="20"/>
        </w:rPr>
        <w:t xml:space="preserve"> shemi. Pri pripravi ocen je bilo predvideno, da bo interes za sodelovanje izjemno velik, ker je bila zagotovljena okrepljena strokovna podpora prijaviteljem ter intenzivnejše promocijske aktivnosti. </w:t>
      </w:r>
    </w:p>
    <w:p w14:paraId="13E89056" w14:textId="77777777" w:rsidR="00D1519B" w:rsidRDefault="00D1519B" w:rsidP="004C70FE">
      <w:pPr>
        <w:jc w:val="both"/>
        <w:rPr>
          <w:rFonts w:cs="Arial"/>
          <w:szCs w:val="20"/>
        </w:rPr>
      </w:pPr>
    </w:p>
    <w:p w14:paraId="7D42EE42" w14:textId="77777777" w:rsidR="00A33FD5" w:rsidRDefault="00A33FD5" w:rsidP="004C70FE">
      <w:pPr>
        <w:jc w:val="both"/>
        <w:rPr>
          <w:rFonts w:cs="Arial"/>
          <w:szCs w:val="20"/>
        </w:rPr>
      </w:pPr>
    </w:p>
    <w:p w14:paraId="2447453B" w14:textId="1E039F11" w:rsidR="004C70FE" w:rsidRDefault="006960BD" w:rsidP="004C70FE">
      <w:pPr>
        <w:pStyle w:val="Odstavekseznama"/>
        <w:numPr>
          <w:ilvl w:val="1"/>
          <w:numId w:val="33"/>
        </w:numPr>
        <w:jc w:val="both"/>
      </w:pPr>
      <w:r>
        <w:lastRenderedPageBreak/>
        <w:t>Priprava, nastanek in izvedba</w:t>
      </w:r>
      <w:r w:rsidR="004C70FE">
        <w:t xml:space="preserve"> projekta</w:t>
      </w:r>
    </w:p>
    <w:p w14:paraId="78BF481A" w14:textId="77777777" w:rsidR="002450E8" w:rsidRDefault="002450E8" w:rsidP="002450E8">
      <w:pPr>
        <w:jc w:val="both"/>
      </w:pPr>
    </w:p>
    <w:p w14:paraId="5D3DFD89" w14:textId="66909C0B" w:rsidR="002450E8" w:rsidRDefault="002450E8" w:rsidP="002450E8">
      <w:pPr>
        <w:jc w:val="both"/>
      </w:pPr>
      <w:r w:rsidRPr="0081554D">
        <w:t>Inšpekcijski organ v nadaljevanju podrobno popisuje dokumentacijo, ki je bila potrebna za pripravo, nastanek ter izvedbo projekta.</w:t>
      </w:r>
    </w:p>
    <w:p w14:paraId="454A5D8E" w14:textId="77777777" w:rsidR="0081554D" w:rsidRDefault="0081554D" w:rsidP="006B412D">
      <w:pPr>
        <w:pStyle w:val="Odstavekseznama"/>
        <w:ind w:left="360"/>
        <w:jc w:val="both"/>
        <w:rPr>
          <w:b/>
          <w:bCs/>
        </w:rPr>
      </w:pPr>
    </w:p>
    <w:p w14:paraId="763EBF81" w14:textId="2A359268" w:rsidR="00337719" w:rsidRDefault="00AB1C03" w:rsidP="00843B43">
      <w:pPr>
        <w:pStyle w:val="Odstavekseznama"/>
        <w:numPr>
          <w:ilvl w:val="2"/>
          <w:numId w:val="33"/>
        </w:numPr>
        <w:jc w:val="both"/>
      </w:pPr>
      <w:r w:rsidRPr="00C86340">
        <w:t>Investicijski dokument za projekt</w:t>
      </w:r>
    </w:p>
    <w:p w14:paraId="71CE73FB" w14:textId="77777777" w:rsidR="00531A16" w:rsidRPr="00531A16" w:rsidRDefault="00531A16" w:rsidP="00531A16">
      <w:pPr>
        <w:jc w:val="both"/>
      </w:pPr>
    </w:p>
    <w:p w14:paraId="18446417" w14:textId="1AAD786C" w:rsidR="00531A16" w:rsidRPr="00531A16" w:rsidRDefault="00531A16" w:rsidP="00531A16">
      <w:pPr>
        <w:jc w:val="both"/>
      </w:pPr>
      <w:r w:rsidRPr="00531A16">
        <w:t>Investitor MVZI in izvajalec projekta ARIS sta dne 6. 12. 2022 sklenila Investicijski dokument za projekt Spodbujanje mednarodne mobilnosti slovenskih raziskovalcev (</w:t>
      </w:r>
      <w:proofErr w:type="spellStart"/>
      <w:r w:rsidRPr="00531A16">
        <w:t>outgoing</w:t>
      </w:r>
      <w:proofErr w:type="spellEnd"/>
      <w:r w:rsidRPr="00531A16">
        <w:t xml:space="preserve">), št. dokumenta 303-121/2022/1. V dokumentu sta opredelila namen in cilje projekta, </w:t>
      </w:r>
      <w:proofErr w:type="spellStart"/>
      <w:r w:rsidRPr="00531A16">
        <w:t>časovnico</w:t>
      </w:r>
      <w:proofErr w:type="spellEnd"/>
      <w:r w:rsidRPr="00531A16">
        <w:t xml:space="preserve"> izvajanja</w:t>
      </w:r>
      <w:r w:rsidR="00475E77">
        <w:t xml:space="preserve"> projekta</w:t>
      </w:r>
      <w:r w:rsidRPr="00531A16">
        <w:t xml:space="preserve"> ter stroškovno oceno.</w:t>
      </w:r>
    </w:p>
    <w:p w14:paraId="4653E0EB" w14:textId="77777777" w:rsidR="00C86340" w:rsidRDefault="00C86340" w:rsidP="00C86340">
      <w:pPr>
        <w:jc w:val="both"/>
      </w:pPr>
    </w:p>
    <w:p w14:paraId="0FBAAA1B" w14:textId="7F777A75" w:rsidR="00C86340" w:rsidRPr="00C86340" w:rsidRDefault="00C86340" w:rsidP="00C86340">
      <w:pPr>
        <w:jc w:val="both"/>
        <w:rPr>
          <w:i/>
          <w:iCs/>
        </w:rPr>
      </w:pPr>
      <w:r w:rsidRPr="00C86340">
        <w:rPr>
          <w:i/>
          <w:iCs/>
        </w:rPr>
        <w:t xml:space="preserve">Namen </w:t>
      </w:r>
    </w:p>
    <w:p w14:paraId="4F6F6AFC" w14:textId="77777777" w:rsidR="00C86340" w:rsidRDefault="00C86340" w:rsidP="00C86340">
      <w:pPr>
        <w:jc w:val="both"/>
      </w:pPr>
    </w:p>
    <w:p w14:paraId="6CE240EC" w14:textId="2003660A" w:rsidR="00F831C4" w:rsidRDefault="00F831C4" w:rsidP="00C86340">
      <w:pPr>
        <w:jc w:val="both"/>
      </w:pPr>
      <w:r w:rsidRPr="00F831C4">
        <w:t xml:space="preserve">Projekt </w:t>
      </w:r>
      <w:r>
        <w:t>bo</w:t>
      </w:r>
      <w:r w:rsidRPr="00F831C4">
        <w:t xml:space="preserve"> usmerjen v krepitev mednarodne mobilnosti slovenskih raziskovalcev in raziskovalk ter v izboljšanje njihovega strokovnega, transverzalnega in raziskovalnega znanja. Z omogočanjem pridobivanja mednarodnih, medsektorskih in interdisciplinarnih izkušenj </w:t>
      </w:r>
      <w:r>
        <w:t xml:space="preserve">bo </w:t>
      </w:r>
      <w:r w:rsidRPr="00F831C4">
        <w:t>projekt spodbuja</w:t>
      </w:r>
      <w:r>
        <w:t>l</w:t>
      </w:r>
      <w:r w:rsidRPr="00F831C4">
        <w:t xml:space="preserve"> vključevanje slovenskih raziskovalcev v globalne znanstvene tokove in mreže sodelovanja. Na ta način</w:t>
      </w:r>
      <w:r>
        <w:t xml:space="preserve"> bo</w:t>
      </w:r>
      <w:r w:rsidRPr="00F831C4">
        <w:t xml:space="preserve"> prispeva</w:t>
      </w:r>
      <w:r>
        <w:t>l</w:t>
      </w:r>
      <w:r w:rsidRPr="00F831C4">
        <w:t xml:space="preserve"> k dolgoročnemu razvoju raziskovalnega potenciala ter k večji zaposljivosti in konkurenčnosti kadrov na področju raziskav, razvoja in inovacij.</w:t>
      </w:r>
    </w:p>
    <w:p w14:paraId="634D49F8" w14:textId="77777777" w:rsidR="00F831C4" w:rsidRPr="00196D7D" w:rsidRDefault="00F831C4" w:rsidP="00C86340">
      <w:pPr>
        <w:jc w:val="both"/>
      </w:pPr>
    </w:p>
    <w:p w14:paraId="33BA1F76" w14:textId="3D6E5E68" w:rsidR="00C86340" w:rsidRPr="00C86340" w:rsidRDefault="00C86340" w:rsidP="00C86340">
      <w:pPr>
        <w:jc w:val="both"/>
        <w:rPr>
          <w:i/>
          <w:iCs/>
        </w:rPr>
      </w:pPr>
      <w:r w:rsidRPr="00C86340">
        <w:rPr>
          <w:i/>
          <w:iCs/>
        </w:rPr>
        <w:t>Cilji</w:t>
      </w:r>
    </w:p>
    <w:p w14:paraId="6AB2B245" w14:textId="77777777" w:rsidR="00C86340" w:rsidRDefault="00C86340" w:rsidP="00C86340">
      <w:pPr>
        <w:jc w:val="both"/>
      </w:pPr>
    </w:p>
    <w:p w14:paraId="3221434C" w14:textId="77777777" w:rsidR="00F831C4" w:rsidRPr="00F831C4" w:rsidRDefault="00F831C4" w:rsidP="00F831C4">
      <w:pPr>
        <w:jc w:val="both"/>
      </w:pPr>
      <w:r w:rsidRPr="00F831C4">
        <w:t>Cilji projekta bodo usmerjeni v celovito izboljšanje sodelovanja med ključnimi akterji v sistemu raziskav, razvoja in inovacij (RRI) ter v povečanje kakovosti storitev, ki bodo prispevale k učinkovitejšemu delovanju tega sistema. Projekt bo stremel h krepitvi povezav med znanstveno-raziskovalno in inovacijsko dejavnostjo ter k spodbujanju prenosa in izmenjave znanja med različnimi sektorji.</w:t>
      </w:r>
    </w:p>
    <w:p w14:paraId="411F834A" w14:textId="77777777" w:rsidR="00F831C4" w:rsidRPr="00F831C4" w:rsidRDefault="00F831C4" w:rsidP="00F831C4">
      <w:pPr>
        <w:jc w:val="both"/>
      </w:pPr>
    </w:p>
    <w:p w14:paraId="70FC8F10" w14:textId="094BF6A3" w:rsidR="00F831C4" w:rsidRPr="00F831C4" w:rsidRDefault="00F831C4" w:rsidP="00F831C4">
      <w:pPr>
        <w:jc w:val="both"/>
      </w:pPr>
      <w:r w:rsidRPr="00F831C4">
        <w:t>Poseben poudarek bo namenjen dvigu ravni usposobljenosti raziskovalk in raziskovalcev, zlasti na področju strokovnih in transverzalnih znanj ter spretnosti, ki so ključne za sodobno raziskovalno delo. Projekt bo spodbujal mednarodno, medsektorsko in interdisciplinarno mobilnost ter kroženje znanja in izkušenj (t. i. kroženje možganov). Na ta način bo prispeval k večji zaposljivosti raziskovalcev, podpiral njihovo reintegracijo v slovenski raziskovalni in gospodarski prostor ter dolgoročno prispeval k dvigu znanstvene odličnosti</w:t>
      </w:r>
      <w:r w:rsidR="00004122">
        <w:t>.</w:t>
      </w:r>
    </w:p>
    <w:p w14:paraId="32F7AB44" w14:textId="77777777" w:rsidR="00C86340" w:rsidRDefault="00C86340" w:rsidP="00C86340">
      <w:pPr>
        <w:jc w:val="both"/>
      </w:pPr>
    </w:p>
    <w:p w14:paraId="6EE56919" w14:textId="0D642EDC" w:rsidR="00C86340" w:rsidRPr="00C86340" w:rsidRDefault="00C86340" w:rsidP="00C86340">
      <w:pPr>
        <w:jc w:val="both"/>
        <w:rPr>
          <w:i/>
          <w:iCs/>
        </w:rPr>
      </w:pPr>
      <w:r w:rsidRPr="00C86340">
        <w:rPr>
          <w:i/>
          <w:iCs/>
        </w:rPr>
        <w:t>Programske aktivnosti</w:t>
      </w:r>
    </w:p>
    <w:p w14:paraId="100C1CB3" w14:textId="77777777" w:rsidR="00C86340" w:rsidRDefault="00C86340" w:rsidP="00C86340">
      <w:pPr>
        <w:jc w:val="both"/>
      </w:pPr>
    </w:p>
    <w:p w14:paraId="4AA11DE8" w14:textId="77777777" w:rsidR="00C86340" w:rsidRPr="00C86340" w:rsidRDefault="00C86340" w:rsidP="00C86340">
      <w:pPr>
        <w:jc w:val="both"/>
      </w:pPr>
      <w:r w:rsidRPr="00C86340">
        <w:t xml:space="preserve">Zastavljeni splošni cilji bodo uresničeni prek dveh konkretnih programskih aktivnosti, ki se bodo spremljale na ravni projekta. Prva aktivnost zajema financiranje projektov slovenskih javnih raziskovalnih organizacij in raziskovalcev, ki so se prijavili na razpis Obzorje Evropa – MSCA podoktorske štipendije ter dosegli dobre ali odlične ocene v mednarodni evalvaciji, vendar zaradi omejenih sredstev niso prejeli financiranja iz programa Marie </w:t>
      </w:r>
      <w:proofErr w:type="spellStart"/>
      <w:r w:rsidRPr="00C86340">
        <w:t>Skłodowska</w:t>
      </w:r>
      <w:proofErr w:type="spellEnd"/>
      <w:r w:rsidRPr="00C86340">
        <w:t>-Curie. V okviru te aktivnosti bo podprtih do 52 raziskovalcev za obdobje do treh let.</w:t>
      </w:r>
    </w:p>
    <w:p w14:paraId="22052D91" w14:textId="77777777" w:rsidR="00C86340" w:rsidRPr="00C86340" w:rsidRDefault="00C86340" w:rsidP="00C86340">
      <w:pPr>
        <w:jc w:val="both"/>
      </w:pPr>
    </w:p>
    <w:p w14:paraId="3BB1D6D0" w14:textId="77777777" w:rsidR="00C86340" w:rsidRPr="00C86340" w:rsidRDefault="00C86340" w:rsidP="00C86340">
      <w:pPr>
        <w:jc w:val="both"/>
      </w:pPr>
      <w:r w:rsidRPr="00C86340">
        <w:t xml:space="preserve">Druga aktivnost se nanaša na financiranje </w:t>
      </w:r>
      <w:proofErr w:type="spellStart"/>
      <w:r w:rsidRPr="00C86340">
        <w:t>reintegracijskih</w:t>
      </w:r>
      <w:proofErr w:type="spellEnd"/>
      <w:r w:rsidRPr="00C86340">
        <w:t xml:space="preserve"> aktivnosti po zaključku mobilnosti raziskovalcev, ki so bili izbrani in financirani v okviru programa Marie </w:t>
      </w:r>
      <w:proofErr w:type="spellStart"/>
      <w:r w:rsidRPr="00C86340">
        <w:t>Skłodowska</w:t>
      </w:r>
      <w:proofErr w:type="spellEnd"/>
      <w:r w:rsidRPr="00C86340">
        <w:t>-Curie. V tej fazi bo podprtih 36 raziskovalcev za obdobje do dveh let.</w:t>
      </w:r>
    </w:p>
    <w:p w14:paraId="308AB9D0" w14:textId="77777777" w:rsidR="00C86340" w:rsidRPr="00C86340" w:rsidRDefault="00C86340" w:rsidP="00C86340">
      <w:pPr>
        <w:jc w:val="both"/>
      </w:pPr>
    </w:p>
    <w:p w14:paraId="550728A4" w14:textId="31C16849" w:rsidR="00C86340" w:rsidRDefault="00C86340" w:rsidP="00C86340">
      <w:pPr>
        <w:jc w:val="both"/>
      </w:pPr>
      <w:r w:rsidRPr="00C86340">
        <w:t>Skupno bo projekt omogočil mednarodno mobilnost in/ali reintegracijo za 88 slovenskih raziskovalcev.</w:t>
      </w:r>
    </w:p>
    <w:p w14:paraId="32748DC7" w14:textId="77777777" w:rsidR="004B3400" w:rsidRDefault="004B3400" w:rsidP="00C86340">
      <w:pPr>
        <w:jc w:val="both"/>
      </w:pPr>
    </w:p>
    <w:p w14:paraId="2E59DEA1" w14:textId="77777777" w:rsidR="00A33FD5" w:rsidRDefault="00A33FD5" w:rsidP="00C86340">
      <w:pPr>
        <w:jc w:val="both"/>
      </w:pPr>
    </w:p>
    <w:p w14:paraId="542227CC" w14:textId="77777777" w:rsidR="00A33FD5" w:rsidRDefault="00A33FD5" w:rsidP="00C86340">
      <w:pPr>
        <w:jc w:val="both"/>
      </w:pPr>
    </w:p>
    <w:p w14:paraId="4E48EDD9" w14:textId="77777777" w:rsidR="00A33FD5" w:rsidRDefault="00A33FD5" w:rsidP="00C86340">
      <w:pPr>
        <w:jc w:val="both"/>
      </w:pPr>
    </w:p>
    <w:p w14:paraId="1C60FC7F" w14:textId="37C6EB72" w:rsidR="00CA769F" w:rsidRPr="00203DF0" w:rsidRDefault="00CA769F" w:rsidP="00203DF0">
      <w:pPr>
        <w:rPr>
          <w:i/>
          <w:iCs/>
        </w:rPr>
      </w:pPr>
      <w:r w:rsidRPr="00203DF0">
        <w:rPr>
          <w:i/>
          <w:iCs/>
        </w:rPr>
        <w:lastRenderedPageBreak/>
        <w:t>Financiranje</w:t>
      </w:r>
    </w:p>
    <w:p w14:paraId="53117AE9" w14:textId="77777777" w:rsidR="00CA769F" w:rsidRDefault="00CA769F" w:rsidP="00CA769F">
      <w:pPr>
        <w:jc w:val="both"/>
      </w:pPr>
    </w:p>
    <w:p w14:paraId="13D84A1A" w14:textId="5159C7F0" w:rsidR="00CA769F" w:rsidRDefault="00531A16" w:rsidP="00CA769F">
      <w:pPr>
        <w:jc w:val="both"/>
      </w:pPr>
      <w:r w:rsidRPr="00531A16">
        <w:t xml:space="preserve">MVZI bo sredstva v višini 17.220.000,00 EUR zagotovil v skladu z veljavnimi finančnimi predpisi, internimi akti ministrstva ter navodili koordinacijskega organa. </w:t>
      </w:r>
    </w:p>
    <w:p w14:paraId="133FA228" w14:textId="77777777" w:rsidR="00337719" w:rsidRDefault="00337719" w:rsidP="0042347B">
      <w:pPr>
        <w:pStyle w:val="Naslov1"/>
      </w:pPr>
    </w:p>
    <w:p w14:paraId="4D02342E" w14:textId="445886FE" w:rsidR="00CA769F" w:rsidRPr="00203DF0" w:rsidRDefault="00CA769F" w:rsidP="00203DF0">
      <w:pPr>
        <w:rPr>
          <w:i/>
          <w:iCs/>
        </w:rPr>
      </w:pPr>
      <w:r w:rsidRPr="00203DF0">
        <w:rPr>
          <w:i/>
          <w:iCs/>
        </w:rPr>
        <w:t xml:space="preserve">Časovni načrt izvedbe projekta </w:t>
      </w:r>
    </w:p>
    <w:p w14:paraId="063E8683" w14:textId="77777777" w:rsidR="00DA77F7" w:rsidRPr="00DA77F7" w:rsidRDefault="00DA77F7" w:rsidP="00DA77F7">
      <w:pPr>
        <w:rPr>
          <w:lang w:eastAsia="sl-SI"/>
        </w:rPr>
      </w:pPr>
    </w:p>
    <w:p w14:paraId="4800DA5E" w14:textId="19183945" w:rsidR="00CA769F" w:rsidRPr="00531A16" w:rsidRDefault="00531A16" w:rsidP="00DA77F7">
      <w:pPr>
        <w:jc w:val="both"/>
      </w:pPr>
      <w:r>
        <w:t xml:space="preserve">Projekt naj </w:t>
      </w:r>
      <w:r w:rsidR="008A009A">
        <w:t>bi</w:t>
      </w:r>
      <w:r>
        <w:t xml:space="preserve"> trajal</w:t>
      </w:r>
      <w:r w:rsidRPr="00531A16">
        <w:t xml:space="preserve"> od 1. januarja 2023 do 30. junija 2026.</w:t>
      </w:r>
    </w:p>
    <w:p w14:paraId="46E57ACF" w14:textId="77777777" w:rsidR="00531A16" w:rsidRPr="00C86340" w:rsidRDefault="00531A16" w:rsidP="00CA769F">
      <w:pPr>
        <w:jc w:val="both"/>
      </w:pPr>
    </w:p>
    <w:p w14:paraId="53736170" w14:textId="2F30A17A" w:rsidR="00CA769F" w:rsidRPr="00CA769F" w:rsidRDefault="00AB1C03" w:rsidP="00843B43">
      <w:pPr>
        <w:pStyle w:val="Odstavekseznama"/>
        <w:numPr>
          <w:ilvl w:val="2"/>
          <w:numId w:val="33"/>
        </w:numPr>
        <w:jc w:val="both"/>
      </w:pPr>
      <w:r w:rsidRPr="00CA769F">
        <w:t>Sklep o potrditvi investicijskega dokumenta</w:t>
      </w:r>
    </w:p>
    <w:p w14:paraId="235C655E" w14:textId="77777777" w:rsidR="00AB1C03" w:rsidRDefault="00AB1C03" w:rsidP="00EC7C2F">
      <w:pPr>
        <w:jc w:val="both"/>
      </w:pPr>
    </w:p>
    <w:p w14:paraId="04DDACC2" w14:textId="7C5811AF" w:rsidR="00083334" w:rsidRDefault="00A12D56" w:rsidP="00EC7C2F">
      <w:pPr>
        <w:jc w:val="both"/>
      </w:pPr>
      <w:r w:rsidRPr="00A12D56">
        <w:t xml:space="preserve">Dne 6. </w:t>
      </w:r>
      <w:r>
        <w:t>12.</w:t>
      </w:r>
      <w:r w:rsidRPr="00A12D56">
        <w:t xml:space="preserve"> 2022 je bil sprejet Sklep o potrditvi investicijskega dokumenta, št. 303-121/2022/2, s katerim je bilo potrjeno, da investicijski dokument za obravnavani projekt izpolnjuje vse zahtevane pogoje. </w:t>
      </w:r>
    </w:p>
    <w:p w14:paraId="5C1E3EEF" w14:textId="77777777" w:rsidR="00A12D56" w:rsidRDefault="00A12D56" w:rsidP="00EC7C2F">
      <w:pPr>
        <w:jc w:val="both"/>
      </w:pPr>
    </w:p>
    <w:p w14:paraId="2425738A" w14:textId="7BF48A4D" w:rsidR="00D16189" w:rsidRPr="00083334" w:rsidRDefault="00D16189" w:rsidP="00843B43">
      <w:pPr>
        <w:pStyle w:val="Odstavekseznama"/>
        <w:numPr>
          <w:ilvl w:val="2"/>
          <w:numId w:val="33"/>
        </w:numPr>
        <w:jc w:val="both"/>
      </w:pPr>
      <w:r w:rsidRPr="00083334">
        <w:t xml:space="preserve">Krovni sporazum </w:t>
      </w:r>
    </w:p>
    <w:p w14:paraId="0A93AE89" w14:textId="566568EC" w:rsidR="00EC7C2F" w:rsidRDefault="00EC7C2F" w:rsidP="00CB3869">
      <w:pPr>
        <w:pStyle w:val="Odstavekseznama"/>
        <w:ind w:left="0"/>
        <w:jc w:val="both"/>
        <w:rPr>
          <w:b/>
          <w:bCs/>
        </w:rPr>
      </w:pPr>
    </w:p>
    <w:p w14:paraId="0D2913AD" w14:textId="08AB83B7" w:rsidR="007F2EAE" w:rsidRDefault="00D16189" w:rsidP="007F2EAE">
      <w:pPr>
        <w:ind w:right="14"/>
        <w:jc w:val="both"/>
        <w:rPr>
          <w:rFonts w:cs="Arial"/>
          <w:szCs w:val="20"/>
        </w:rPr>
      </w:pPr>
      <w:r w:rsidRPr="00D16189">
        <w:rPr>
          <w:szCs w:val="20"/>
        </w:rPr>
        <w:t>MVZI in ARIS sta dne 2</w:t>
      </w:r>
      <w:r w:rsidR="00B430F7">
        <w:rPr>
          <w:szCs w:val="20"/>
        </w:rPr>
        <w:t>9</w:t>
      </w:r>
      <w:r w:rsidRPr="00D16189">
        <w:rPr>
          <w:szCs w:val="20"/>
        </w:rPr>
        <w:t xml:space="preserve">. </w:t>
      </w:r>
      <w:r w:rsidR="00B430F7">
        <w:rPr>
          <w:szCs w:val="20"/>
        </w:rPr>
        <w:t>7</w:t>
      </w:r>
      <w:r w:rsidRPr="00D16189">
        <w:rPr>
          <w:szCs w:val="20"/>
        </w:rPr>
        <w:t>. 202</w:t>
      </w:r>
      <w:r w:rsidR="007F2EAE">
        <w:rPr>
          <w:szCs w:val="20"/>
        </w:rPr>
        <w:t>2</w:t>
      </w:r>
      <w:r w:rsidRPr="00D16189">
        <w:rPr>
          <w:szCs w:val="20"/>
        </w:rPr>
        <w:t xml:space="preserve"> sklenila KROVNI SPORAZUM</w:t>
      </w:r>
      <w:r>
        <w:rPr>
          <w:szCs w:val="20"/>
        </w:rPr>
        <w:t xml:space="preserve"> </w:t>
      </w:r>
      <w:r w:rsidRPr="00D16189">
        <w:rPr>
          <w:szCs w:val="20"/>
        </w:rPr>
        <w:t>o prenosu dela nalog in izvajanja ukrepov iz Načrta za okrevanje in odpornost</w:t>
      </w:r>
      <w:r w:rsidR="00CB3869">
        <w:rPr>
          <w:szCs w:val="20"/>
        </w:rPr>
        <w:t>, št. 1002-16/2022/3</w:t>
      </w:r>
      <w:r w:rsidR="00CB3869" w:rsidRPr="00CB3869">
        <w:rPr>
          <w:szCs w:val="20"/>
        </w:rPr>
        <w:t xml:space="preserve">. </w:t>
      </w:r>
      <w:r w:rsidR="007F2EAE" w:rsidRPr="007F2EAE">
        <w:rPr>
          <w:rFonts w:cs="Arial"/>
          <w:szCs w:val="20"/>
        </w:rPr>
        <w:t xml:space="preserve">Sporazum določa razmerje med </w:t>
      </w:r>
      <w:r w:rsidR="007F2EAE">
        <w:rPr>
          <w:rFonts w:cs="Arial"/>
          <w:szCs w:val="20"/>
        </w:rPr>
        <w:t>MVZI</w:t>
      </w:r>
      <w:r w:rsidR="007F2EAE" w:rsidRPr="007F2EAE">
        <w:rPr>
          <w:rFonts w:cs="Arial"/>
          <w:szCs w:val="20"/>
        </w:rPr>
        <w:t xml:space="preserve"> kot nosilnim organom in AR</w:t>
      </w:r>
      <w:r w:rsidR="007F2EAE">
        <w:rPr>
          <w:rFonts w:cs="Arial"/>
          <w:szCs w:val="20"/>
        </w:rPr>
        <w:t>IS</w:t>
      </w:r>
      <w:r w:rsidR="007F2EAE" w:rsidRPr="007F2EAE">
        <w:rPr>
          <w:rFonts w:cs="Arial"/>
          <w:szCs w:val="20"/>
        </w:rPr>
        <w:t xml:space="preserve"> kot izvajalcem ukrepov oziroma končnim prejemnikom sredstev NOO ter ureja prenos pristojnosti, nalog in odgovornosti na področju izvajanja ukrepov za krepitev raziskovalno-razvojnega in inovacijskega sistema (RRI).</w:t>
      </w:r>
    </w:p>
    <w:p w14:paraId="6BAE8AFA" w14:textId="77777777" w:rsidR="00CB3869" w:rsidRDefault="00CB3869" w:rsidP="00CB3869">
      <w:pPr>
        <w:ind w:right="14"/>
        <w:jc w:val="both"/>
        <w:rPr>
          <w:rFonts w:cs="Arial"/>
          <w:szCs w:val="20"/>
        </w:rPr>
      </w:pPr>
    </w:p>
    <w:p w14:paraId="6DF0A465" w14:textId="5823516C" w:rsidR="00A12D56" w:rsidRDefault="007F2EAE" w:rsidP="007F2EAE">
      <w:pPr>
        <w:ind w:right="14"/>
        <w:jc w:val="both"/>
        <w:rPr>
          <w:rFonts w:cs="Arial"/>
          <w:szCs w:val="20"/>
        </w:rPr>
      </w:pPr>
      <w:r w:rsidRPr="007F2EAE">
        <w:rPr>
          <w:rFonts w:cs="Arial"/>
          <w:szCs w:val="20"/>
        </w:rPr>
        <w:t>AR</w:t>
      </w:r>
      <w:r>
        <w:rPr>
          <w:rFonts w:cs="Arial"/>
          <w:szCs w:val="20"/>
        </w:rPr>
        <w:t>IS</w:t>
      </w:r>
      <w:r w:rsidR="00A12D56">
        <w:rPr>
          <w:rFonts w:cs="Arial"/>
          <w:szCs w:val="20"/>
        </w:rPr>
        <w:t xml:space="preserve"> bo</w:t>
      </w:r>
      <w:r w:rsidRPr="007F2EAE">
        <w:rPr>
          <w:rFonts w:cs="Arial"/>
          <w:szCs w:val="20"/>
        </w:rPr>
        <w:t xml:space="preserve"> kot izvajalec ukrepov opravlja</w:t>
      </w:r>
      <w:r w:rsidR="00A12D56">
        <w:rPr>
          <w:rFonts w:cs="Arial"/>
          <w:szCs w:val="20"/>
        </w:rPr>
        <w:t>l</w:t>
      </w:r>
      <w:r w:rsidRPr="007F2EAE">
        <w:rPr>
          <w:rFonts w:cs="Arial"/>
          <w:szCs w:val="20"/>
        </w:rPr>
        <w:t xml:space="preserve"> naloge</w:t>
      </w:r>
      <w:r w:rsidR="00A12D56">
        <w:rPr>
          <w:rFonts w:cs="Arial"/>
          <w:szCs w:val="20"/>
        </w:rPr>
        <w:t>,</w:t>
      </w:r>
      <w:r w:rsidRPr="007F2EAE">
        <w:rPr>
          <w:rFonts w:cs="Arial"/>
          <w:szCs w:val="20"/>
        </w:rPr>
        <w:t xml:space="preserve"> </w:t>
      </w:r>
      <w:r w:rsidR="00A12D56" w:rsidRPr="00A12D56">
        <w:rPr>
          <w:rFonts w:cs="Arial"/>
          <w:szCs w:val="20"/>
        </w:rPr>
        <w:t>povezane s pripravo in izvedbo javnih razpisov ter pozivov, izborom končnih prejemnikov sredstev, sklepanjem pogodb o sofinanciranju, spremljanjem izvajanja projektov, poročanjem in nadzorom nad namensko porabo dodeljenih sredstev.</w:t>
      </w:r>
    </w:p>
    <w:p w14:paraId="7BD52D6A" w14:textId="77777777" w:rsidR="00A12D56" w:rsidRPr="007F2EAE" w:rsidRDefault="00A12D56" w:rsidP="007F2EAE">
      <w:pPr>
        <w:ind w:right="14"/>
        <w:jc w:val="both"/>
        <w:rPr>
          <w:rFonts w:cs="Arial"/>
          <w:szCs w:val="20"/>
        </w:rPr>
      </w:pPr>
    </w:p>
    <w:p w14:paraId="7D6173E6" w14:textId="54BF2EAE" w:rsidR="007F2EAE" w:rsidRPr="007F2EAE" w:rsidRDefault="007F2EAE" w:rsidP="007F2EAE">
      <w:pPr>
        <w:ind w:right="14"/>
        <w:jc w:val="both"/>
        <w:rPr>
          <w:rFonts w:cs="Arial"/>
          <w:szCs w:val="20"/>
        </w:rPr>
      </w:pPr>
      <w:r w:rsidRPr="007F2EAE">
        <w:rPr>
          <w:rFonts w:cs="Arial"/>
          <w:szCs w:val="20"/>
        </w:rPr>
        <w:t>M</w:t>
      </w:r>
      <w:r>
        <w:rPr>
          <w:rFonts w:cs="Arial"/>
          <w:szCs w:val="20"/>
        </w:rPr>
        <w:t>VZI</w:t>
      </w:r>
      <w:r w:rsidRPr="007F2EAE">
        <w:rPr>
          <w:rFonts w:cs="Arial"/>
          <w:szCs w:val="20"/>
        </w:rPr>
        <w:t xml:space="preserve"> </w:t>
      </w:r>
      <w:r w:rsidR="00A12D56" w:rsidRPr="00A12D56">
        <w:rPr>
          <w:rFonts w:cs="Arial"/>
          <w:szCs w:val="20"/>
        </w:rPr>
        <w:t>bo ohranil vlogo nosilnega organa, pristojnega za usklajevanje, nadzor ter zagotavljanje skladnosti izvajanja ukrepov z določili Načrta za okrevanje in odpornost ter z veljavnimi evropskimi in nacionalnimi predpisi.</w:t>
      </w:r>
    </w:p>
    <w:p w14:paraId="1EA83F95" w14:textId="77777777" w:rsidR="007F2EAE" w:rsidRPr="007F2EAE" w:rsidRDefault="007F2EAE" w:rsidP="007F2EAE">
      <w:pPr>
        <w:ind w:right="14"/>
        <w:jc w:val="both"/>
        <w:rPr>
          <w:rFonts w:cs="Arial"/>
          <w:szCs w:val="20"/>
        </w:rPr>
      </w:pPr>
    </w:p>
    <w:p w14:paraId="385AE410" w14:textId="6CB89D11" w:rsidR="007F2EAE" w:rsidRDefault="00A12D56" w:rsidP="00CB3869">
      <w:pPr>
        <w:ind w:right="14"/>
        <w:jc w:val="both"/>
        <w:rPr>
          <w:rFonts w:cs="Arial"/>
          <w:szCs w:val="20"/>
        </w:rPr>
      </w:pPr>
      <w:r w:rsidRPr="00A12D56">
        <w:rPr>
          <w:rFonts w:cs="Arial"/>
          <w:szCs w:val="20"/>
        </w:rPr>
        <w:t>Sporazum med institucijama določa tudi obveznosti glede poročanja, preprečevanja nepravilnosti, varstva osebnih podatkov, transparentnega komuniciranja z javnostjo ter postopkov vračanja neupravičeno porabljenih sredstev.</w:t>
      </w:r>
    </w:p>
    <w:p w14:paraId="5CC3CAC1" w14:textId="77777777" w:rsidR="00A12D56" w:rsidRDefault="00A12D56" w:rsidP="00CB3869">
      <w:pPr>
        <w:ind w:right="14"/>
        <w:jc w:val="both"/>
        <w:rPr>
          <w:rFonts w:cs="Arial"/>
          <w:szCs w:val="20"/>
        </w:rPr>
      </w:pPr>
    </w:p>
    <w:p w14:paraId="7DEA5DF1" w14:textId="30B11B84" w:rsidR="00F23F22" w:rsidRPr="00843B43" w:rsidRDefault="003D49D9" w:rsidP="00843B43">
      <w:pPr>
        <w:pStyle w:val="Odstavekseznama"/>
        <w:numPr>
          <w:ilvl w:val="2"/>
          <w:numId w:val="33"/>
        </w:numPr>
        <w:ind w:right="14"/>
        <w:jc w:val="both"/>
        <w:rPr>
          <w:rFonts w:cs="Arial"/>
          <w:szCs w:val="20"/>
        </w:rPr>
      </w:pPr>
      <w:r w:rsidRPr="00843B43">
        <w:rPr>
          <w:rFonts w:cs="Arial"/>
          <w:szCs w:val="20"/>
        </w:rPr>
        <w:t>Dopolnitev sklepa o potrditvi investicijskega dokumenta</w:t>
      </w:r>
    </w:p>
    <w:p w14:paraId="1157F54A" w14:textId="77777777" w:rsidR="003D49D9" w:rsidRPr="00CB3869" w:rsidRDefault="003D49D9" w:rsidP="00CB3869">
      <w:pPr>
        <w:ind w:right="14"/>
        <w:jc w:val="both"/>
        <w:rPr>
          <w:rFonts w:cs="Arial"/>
          <w:szCs w:val="20"/>
        </w:rPr>
      </w:pPr>
    </w:p>
    <w:p w14:paraId="0299A0A7" w14:textId="7DD04DF1" w:rsidR="00E32163" w:rsidRPr="00E32163" w:rsidRDefault="00E32163" w:rsidP="00E32163">
      <w:pPr>
        <w:ind w:left="29" w:right="38" w:hanging="11"/>
        <w:jc w:val="both"/>
      </w:pPr>
      <w:r w:rsidRPr="00E32163">
        <w:t xml:space="preserve">Dne 19. </w:t>
      </w:r>
      <w:r>
        <w:t>1.</w:t>
      </w:r>
      <w:r w:rsidRPr="00E32163">
        <w:t xml:space="preserve"> 2023 je bil izdan dokument Dopolnitev sklepa o potrditvi investicijskega dokumenta, št. 303-121/2022/5. Z dopolnitvijo je bilo določeno, da skupna vrednost projekta znaša 17.220.000 EUR, pri čemer davek na dodano vrednost (DDV) ne predstavlja upravičenega stroška.</w:t>
      </w:r>
    </w:p>
    <w:p w14:paraId="5AB4EA7A" w14:textId="77777777" w:rsidR="00E32163" w:rsidRPr="00E32163" w:rsidRDefault="00E32163" w:rsidP="00E32163">
      <w:pPr>
        <w:ind w:left="29" w:right="38" w:hanging="11"/>
        <w:jc w:val="both"/>
      </w:pPr>
    </w:p>
    <w:p w14:paraId="699432EC" w14:textId="58CB7804" w:rsidR="00E32163" w:rsidRPr="00E32163" w:rsidRDefault="00E32163" w:rsidP="00E32163">
      <w:pPr>
        <w:ind w:left="29" w:right="38" w:hanging="11"/>
        <w:jc w:val="both"/>
      </w:pPr>
      <w:r w:rsidRPr="00E32163">
        <w:t>V dokumentu je nadalje opredeljeno, da se bodo sredstva za izvedbo projekta zagotavljala v okviru proračunskega Sklada za okrevanje in odpornost, skladno s proračunskimi možnostmi ter razpoložljivostjo sredstev omenjenega sklada.</w:t>
      </w:r>
    </w:p>
    <w:p w14:paraId="6509C9C4" w14:textId="77777777" w:rsidR="00F23F22" w:rsidRPr="00F23F22" w:rsidRDefault="00F23F22" w:rsidP="00F23F22">
      <w:pPr>
        <w:ind w:left="29" w:right="38" w:hanging="11"/>
        <w:jc w:val="both"/>
      </w:pPr>
    </w:p>
    <w:p w14:paraId="438E575E" w14:textId="1266B5EA" w:rsidR="00F23F22" w:rsidRDefault="00F23F22" w:rsidP="00F23F22">
      <w:pPr>
        <w:ind w:left="29" w:right="38" w:hanging="11"/>
        <w:jc w:val="both"/>
      </w:pPr>
      <w:r w:rsidRPr="00F23F22">
        <w:t>Izvajanje projekta je predvideno do 30</w:t>
      </w:r>
      <w:r>
        <w:t>. 6.</w:t>
      </w:r>
      <w:r w:rsidRPr="00F23F22">
        <w:t xml:space="preserve"> 2026.</w:t>
      </w:r>
    </w:p>
    <w:p w14:paraId="00163FF5" w14:textId="77777777" w:rsidR="00DB5CD9" w:rsidRDefault="00DB5CD9" w:rsidP="00DB5CD9">
      <w:pPr>
        <w:ind w:left="29" w:right="38" w:hanging="11"/>
        <w:jc w:val="both"/>
      </w:pPr>
    </w:p>
    <w:p w14:paraId="3533F2C8" w14:textId="43685000" w:rsidR="00DB5CD9" w:rsidRPr="00843B43" w:rsidRDefault="00DB5CD9" w:rsidP="00DB5CD9">
      <w:pPr>
        <w:pStyle w:val="Odstavekseznama"/>
        <w:numPr>
          <w:ilvl w:val="2"/>
          <w:numId w:val="33"/>
        </w:numPr>
        <w:jc w:val="both"/>
        <w:rPr>
          <w:rFonts w:eastAsia="Arial" w:cs="Arial"/>
          <w:bCs/>
          <w:iCs/>
          <w:szCs w:val="20"/>
        </w:rPr>
      </w:pPr>
      <w:r>
        <w:rPr>
          <w:rFonts w:eastAsia="Arial" w:cs="Arial"/>
          <w:bCs/>
          <w:iCs/>
          <w:szCs w:val="20"/>
        </w:rPr>
        <w:t>Subjekti, ki se lahko prijavijo na javni poziv</w:t>
      </w:r>
    </w:p>
    <w:p w14:paraId="15845985" w14:textId="533A44EE" w:rsidR="00DB5CD9" w:rsidRPr="00D1519B" w:rsidRDefault="00DB5CD9" w:rsidP="00DB5CD9">
      <w:pPr>
        <w:jc w:val="both"/>
        <w:rPr>
          <w:rFonts w:cs="Arial"/>
          <w:szCs w:val="20"/>
        </w:rPr>
      </w:pPr>
    </w:p>
    <w:p w14:paraId="116B0375" w14:textId="6A4006E6" w:rsidR="00DB5CD9" w:rsidRDefault="00DB5CD9" w:rsidP="00DB5CD9">
      <w:pPr>
        <w:jc w:val="both"/>
        <w:rPr>
          <w:rFonts w:cs="Arial"/>
          <w:szCs w:val="20"/>
        </w:rPr>
      </w:pPr>
      <w:r>
        <w:rPr>
          <w:rFonts w:cs="Arial"/>
          <w:szCs w:val="20"/>
        </w:rPr>
        <w:t xml:space="preserve">ARIS je objavil </w:t>
      </w:r>
      <w:r w:rsidRPr="00D1519B">
        <w:rPr>
          <w:rFonts w:cs="Arial"/>
          <w:szCs w:val="20"/>
        </w:rPr>
        <w:t xml:space="preserve">Javni poziv za (so)financiranje projektov in programov za krepitev mednarodne mobilnosti slovenskih raziskovalcev in raziskovalnih organizacij ter za spodbujanje mednarodne </w:t>
      </w:r>
      <w:r w:rsidRPr="00D1519B">
        <w:rPr>
          <w:rFonts w:cs="Arial"/>
          <w:szCs w:val="20"/>
        </w:rPr>
        <w:lastRenderedPageBreak/>
        <w:t>vpetosti slovenskih prijaviteljev</w:t>
      </w:r>
      <w:r>
        <w:rPr>
          <w:rStyle w:val="Sprotnaopomba-sklic"/>
          <w:rFonts w:cs="Arial"/>
          <w:szCs w:val="20"/>
        </w:rPr>
        <w:footnoteReference w:id="4"/>
      </w:r>
      <w:r>
        <w:rPr>
          <w:rFonts w:cs="Arial"/>
          <w:szCs w:val="20"/>
        </w:rPr>
        <w:t>, na katerega se</w:t>
      </w:r>
      <w:r w:rsidR="005E0CCC">
        <w:rPr>
          <w:rFonts w:cs="Arial"/>
          <w:szCs w:val="20"/>
        </w:rPr>
        <w:t xml:space="preserve"> </w:t>
      </w:r>
      <w:r w:rsidRPr="00D1519B">
        <w:rPr>
          <w:rFonts w:cs="Arial"/>
          <w:szCs w:val="20"/>
        </w:rPr>
        <w:t>lahko prijavijo J</w:t>
      </w:r>
      <w:r>
        <w:rPr>
          <w:rFonts w:cs="Arial"/>
          <w:szCs w:val="20"/>
        </w:rPr>
        <w:t>avno raziskovalne organizacije (v nadaljevanju: JRO)</w:t>
      </w:r>
      <w:r w:rsidRPr="00D1519B">
        <w:rPr>
          <w:rFonts w:cs="Arial"/>
          <w:szCs w:val="20"/>
        </w:rPr>
        <w:t xml:space="preserve">, ki so vpisane v Zbirko podatkov o izvajalcih znanstvenoraziskovalne dejavnosti, ki jo vodi ARIS ter izpolnjujejo pogoje, predpisane z </w:t>
      </w:r>
      <w:proofErr w:type="spellStart"/>
      <w:r w:rsidRPr="00D1519B">
        <w:rPr>
          <w:rFonts w:cs="Arial"/>
          <w:szCs w:val="20"/>
        </w:rPr>
        <w:t>ZZrID</w:t>
      </w:r>
      <w:proofErr w:type="spellEnd"/>
      <w:r w:rsidRPr="00D1519B">
        <w:rPr>
          <w:rStyle w:val="Sprotnaopomba-sklic"/>
          <w:rFonts w:cs="Arial"/>
          <w:szCs w:val="20"/>
        </w:rPr>
        <w:footnoteReference w:id="5"/>
      </w:r>
      <w:r w:rsidRPr="00D1519B">
        <w:rPr>
          <w:rFonts w:cs="Arial"/>
          <w:szCs w:val="20"/>
        </w:rPr>
        <w:t xml:space="preserve">, Splošnim aktom o postopkih (so)financiranja </w:t>
      </w:r>
      <w:r w:rsidRPr="00D1519B">
        <w:t> in ocenjevanja ter spremljanju izvajanja znanstvenoraziskovalne dejavnosti</w:t>
      </w:r>
      <w:r w:rsidRPr="00D1519B">
        <w:rPr>
          <w:rStyle w:val="Sprotnaopomba-sklic"/>
          <w:rFonts w:cs="Arial"/>
          <w:szCs w:val="20"/>
        </w:rPr>
        <w:footnoteReference w:id="6"/>
      </w:r>
      <w:r w:rsidRPr="00D1519B">
        <w:rPr>
          <w:rFonts w:cs="Arial"/>
          <w:szCs w:val="20"/>
        </w:rPr>
        <w:t xml:space="preserve"> in </w:t>
      </w:r>
      <w:r w:rsidR="005E0CCC">
        <w:rPr>
          <w:rFonts w:cs="Arial"/>
          <w:szCs w:val="20"/>
        </w:rPr>
        <w:t>omenjenim</w:t>
      </w:r>
      <w:r>
        <w:rPr>
          <w:rFonts w:cs="Arial"/>
          <w:szCs w:val="20"/>
        </w:rPr>
        <w:t xml:space="preserve"> pozivom.</w:t>
      </w:r>
      <w:r w:rsidRPr="00D1519B">
        <w:rPr>
          <w:rFonts w:cs="Arial"/>
          <w:szCs w:val="20"/>
        </w:rPr>
        <w:t xml:space="preserve"> V Evidenco RO morajo biti vpisani tudi v prijavi opredeljeni mentorica ali mentor na JRO in podoktorska raziskovalka ali raziskovalec.</w:t>
      </w:r>
    </w:p>
    <w:p w14:paraId="51706590" w14:textId="77777777" w:rsidR="00DB5CD9" w:rsidRPr="00D1519B" w:rsidRDefault="00DB5CD9" w:rsidP="00DB5CD9">
      <w:pPr>
        <w:jc w:val="both"/>
      </w:pPr>
    </w:p>
    <w:p w14:paraId="5FF518C8" w14:textId="3CF91055" w:rsidR="00DB5CD9" w:rsidRPr="00DB5CD9" w:rsidRDefault="00DB5CD9" w:rsidP="00DB5CD9">
      <w:pPr>
        <w:pStyle w:val="Odstavekseznama"/>
        <w:ind w:left="0"/>
        <w:rPr>
          <w:i/>
          <w:iCs/>
        </w:rPr>
      </w:pPr>
      <w:r w:rsidRPr="00DB5CD9">
        <w:rPr>
          <w:i/>
          <w:iCs/>
        </w:rPr>
        <w:t>Subjekti, ki se lahko prijavijo na SKLOP A</w:t>
      </w:r>
    </w:p>
    <w:p w14:paraId="58C497D5" w14:textId="77777777" w:rsidR="00DB5CD9" w:rsidRPr="00F533C7" w:rsidRDefault="00DB5CD9" w:rsidP="00DB5CD9">
      <w:pPr>
        <w:pStyle w:val="Odstavekseznama"/>
        <w:ind w:left="0"/>
        <w:rPr>
          <w:rFonts w:cs="Arial"/>
          <w:szCs w:val="20"/>
        </w:rPr>
      </w:pPr>
    </w:p>
    <w:p w14:paraId="0901A4CB" w14:textId="77777777" w:rsidR="00DB5CD9" w:rsidRPr="00F533C7" w:rsidRDefault="00DB5CD9" w:rsidP="00DB5CD9">
      <w:pPr>
        <w:jc w:val="both"/>
        <w:rPr>
          <w:rFonts w:cs="Arial"/>
          <w:szCs w:val="20"/>
        </w:rPr>
      </w:pPr>
      <w:r w:rsidRPr="00F533C7">
        <w:rPr>
          <w:rFonts w:cs="Arial"/>
          <w:szCs w:val="20"/>
        </w:rPr>
        <w:t>Na javni poziv se lahko prijavijo JRO, ki v prijavi opredelijo mentorico ali mentorja in podoktorsko raziskovalko ali raziskovalca, s katero ali katerim bo prijavitelj sklenil pogodbo o zaposlitvi za obdobje trajanja prijavljenega raziskovalnega projekta in izpolnjujejo pogoje opredeljene v točki 5.1 in 5.1.1.</w:t>
      </w:r>
    </w:p>
    <w:p w14:paraId="1F1BAE21" w14:textId="77777777" w:rsidR="00DB5CD9" w:rsidRDefault="00DB5CD9" w:rsidP="00DB5CD9">
      <w:pPr>
        <w:pStyle w:val="Odstavekseznama"/>
        <w:ind w:left="0"/>
        <w:jc w:val="both"/>
      </w:pPr>
    </w:p>
    <w:p w14:paraId="03F3EC2D" w14:textId="7B5BE201" w:rsidR="00DB5CD9" w:rsidRPr="00DB5CD9" w:rsidRDefault="00DB5CD9" w:rsidP="00DB5CD9">
      <w:pPr>
        <w:jc w:val="both"/>
        <w:rPr>
          <w:rFonts w:cs="Arial"/>
          <w:i/>
          <w:iCs/>
          <w:szCs w:val="20"/>
        </w:rPr>
      </w:pPr>
      <w:r w:rsidRPr="00DB5CD9">
        <w:rPr>
          <w:rFonts w:cs="Arial"/>
          <w:i/>
          <w:iCs/>
          <w:szCs w:val="20"/>
        </w:rPr>
        <w:t>Subjekti, ki se lahko prijavijo na SKLOP B</w:t>
      </w:r>
    </w:p>
    <w:p w14:paraId="3FB83910" w14:textId="77777777" w:rsidR="00DB5CD9" w:rsidRPr="00F533C7" w:rsidRDefault="00DB5CD9" w:rsidP="00DB5CD9">
      <w:pPr>
        <w:jc w:val="both"/>
        <w:rPr>
          <w:rFonts w:cs="Arial"/>
          <w:szCs w:val="20"/>
        </w:rPr>
      </w:pPr>
    </w:p>
    <w:p w14:paraId="1971F5EE" w14:textId="77777777" w:rsidR="00DB5CD9" w:rsidRDefault="00DB5CD9" w:rsidP="00DB5CD9">
      <w:pPr>
        <w:jc w:val="both"/>
        <w:rPr>
          <w:rFonts w:cs="Arial"/>
          <w:szCs w:val="20"/>
        </w:rPr>
      </w:pPr>
      <w:r w:rsidRPr="00F533C7">
        <w:rPr>
          <w:rFonts w:cs="Arial"/>
          <w:szCs w:val="20"/>
        </w:rPr>
        <w:t>Na javni poziv se lahko prijavijo JRO, ki v prijavi opredelijo mentorico ali mentorja in podoktorsko raziskovalko ali raziskovalca, s katero ali katerim bo prijavitelj sklenil pogodbo o zaposlitvi za obdobje trajanja prijavljenega raziskovalnega projekta in izpolnjujejo pogoje opredeljene v točki 5.2 in 5.2.1.</w:t>
      </w:r>
    </w:p>
    <w:p w14:paraId="60F8DBE6" w14:textId="346BB3AC" w:rsidR="00D16189" w:rsidRPr="00D16189" w:rsidRDefault="00D16189" w:rsidP="00D16189">
      <w:pPr>
        <w:ind w:left="29" w:right="38" w:hanging="11"/>
        <w:jc w:val="both"/>
        <w:rPr>
          <w:szCs w:val="20"/>
        </w:rPr>
      </w:pPr>
    </w:p>
    <w:p w14:paraId="0CECD600" w14:textId="5088B303" w:rsidR="00F23F22" w:rsidRPr="00843B43" w:rsidRDefault="003D49D9" w:rsidP="00843B43">
      <w:pPr>
        <w:pStyle w:val="Odstavekseznama"/>
        <w:numPr>
          <w:ilvl w:val="2"/>
          <w:numId w:val="33"/>
        </w:numPr>
        <w:jc w:val="both"/>
        <w:rPr>
          <w:rFonts w:eastAsia="Arial" w:cs="Arial"/>
          <w:bCs/>
          <w:iCs/>
          <w:szCs w:val="20"/>
        </w:rPr>
      </w:pPr>
      <w:r w:rsidRPr="00843B43">
        <w:rPr>
          <w:rFonts w:eastAsia="Arial" w:cs="Arial"/>
          <w:bCs/>
          <w:iCs/>
          <w:szCs w:val="20"/>
        </w:rPr>
        <w:t>Navodila</w:t>
      </w:r>
      <w:r w:rsidR="00BA654A" w:rsidRPr="00843B43">
        <w:rPr>
          <w:rFonts w:eastAsia="Arial" w:cs="Arial"/>
          <w:bCs/>
          <w:iCs/>
          <w:szCs w:val="20"/>
        </w:rPr>
        <w:t xml:space="preserve"> MVZI </w:t>
      </w:r>
      <w:r w:rsidR="00F23F22" w:rsidRPr="00843B43">
        <w:rPr>
          <w:rFonts w:eastAsia="Arial" w:cs="Arial"/>
          <w:bCs/>
          <w:iCs/>
          <w:szCs w:val="20"/>
        </w:rPr>
        <w:t xml:space="preserve">za izvajanje nalog izvajalca ukrepa </w:t>
      </w:r>
      <w:r w:rsidR="00BA654A" w:rsidRPr="00843B43">
        <w:rPr>
          <w:rFonts w:eastAsia="Arial" w:cs="Arial"/>
          <w:bCs/>
          <w:iCs/>
          <w:szCs w:val="20"/>
        </w:rPr>
        <w:t>ARIS</w:t>
      </w:r>
      <w:r w:rsidR="00F23F22" w:rsidRPr="00843B43">
        <w:rPr>
          <w:rFonts w:eastAsia="Arial" w:cs="Arial"/>
          <w:bCs/>
          <w:iCs/>
          <w:szCs w:val="20"/>
        </w:rPr>
        <w:t xml:space="preserve"> v okviru Mehanizma za okrevanje in odpornost</w:t>
      </w:r>
    </w:p>
    <w:p w14:paraId="5BA14768" w14:textId="77777777" w:rsidR="00D16189" w:rsidRPr="003C26F1" w:rsidRDefault="00D16189" w:rsidP="00EC7C2F">
      <w:pPr>
        <w:pStyle w:val="Odstavekseznama"/>
        <w:ind w:left="0"/>
        <w:jc w:val="both"/>
      </w:pPr>
    </w:p>
    <w:p w14:paraId="0795E39A" w14:textId="66EA6392" w:rsidR="00A153AD" w:rsidRPr="00A153AD" w:rsidRDefault="003C26F1" w:rsidP="00DB740F">
      <w:pPr>
        <w:tabs>
          <w:tab w:val="center" w:pos="1750"/>
          <w:tab w:val="center" w:pos="3792"/>
          <w:tab w:val="center" w:pos="5779"/>
          <w:tab w:val="center" w:pos="7473"/>
          <w:tab w:val="right" w:pos="9891"/>
        </w:tabs>
        <w:spacing w:after="4" w:line="267" w:lineRule="auto"/>
        <w:jc w:val="both"/>
      </w:pPr>
      <w:r w:rsidRPr="003C26F1">
        <w:t xml:space="preserve">MVZI je dne 27. 2. 2023 izdal </w:t>
      </w:r>
      <w:r w:rsidR="00E32163">
        <w:t xml:space="preserve">dokument </w:t>
      </w:r>
      <w:r w:rsidR="00E32163" w:rsidRPr="00DB740F">
        <w:rPr>
          <w:i/>
          <w:iCs/>
        </w:rPr>
        <w:t>N</w:t>
      </w:r>
      <w:r w:rsidRPr="00DB740F">
        <w:rPr>
          <w:i/>
          <w:iCs/>
        </w:rPr>
        <w:t>avodil</w:t>
      </w:r>
      <w:r w:rsidR="00E32163" w:rsidRPr="00DB740F">
        <w:rPr>
          <w:i/>
          <w:iCs/>
        </w:rPr>
        <w:t>a</w:t>
      </w:r>
      <w:r w:rsidR="00BA654A" w:rsidRPr="00DB740F">
        <w:rPr>
          <w:i/>
          <w:iCs/>
        </w:rPr>
        <w:t xml:space="preserve"> </w:t>
      </w:r>
      <w:r w:rsidR="00BA654A" w:rsidRPr="00DB740F">
        <w:rPr>
          <w:rFonts w:eastAsia="Arial" w:cs="Arial"/>
          <w:bCs/>
          <w:i/>
          <w:iCs/>
          <w:szCs w:val="20"/>
        </w:rPr>
        <w:t>Ministrstva za visoko</w:t>
      </w:r>
      <w:r w:rsidR="00BA654A" w:rsidRPr="00DB740F">
        <w:rPr>
          <w:bCs/>
          <w:i/>
          <w:iCs/>
          <w:szCs w:val="20"/>
        </w:rPr>
        <w:t xml:space="preserve"> </w:t>
      </w:r>
      <w:r w:rsidR="00BA654A" w:rsidRPr="00DB740F">
        <w:rPr>
          <w:rFonts w:eastAsia="Arial" w:cs="Arial"/>
          <w:bCs/>
          <w:i/>
          <w:iCs/>
          <w:szCs w:val="20"/>
        </w:rPr>
        <w:t>šolstvo, znanost in inovacije za</w:t>
      </w:r>
      <w:r w:rsidR="00BA654A" w:rsidRPr="00DB740F">
        <w:rPr>
          <w:bCs/>
          <w:i/>
          <w:iCs/>
          <w:szCs w:val="20"/>
          <w:vertAlign w:val="superscript"/>
        </w:rPr>
        <w:t xml:space="preserve"> </w:t>
      </w:r>
      <w:r w:rsidR="00BA654A" w:rsidRPr="00DB740F">
        <w:rPr>
          <w:rFonts w:eastAsia="Arial" w:cs="Arial"/>
          <w:bCs/>
          <w:i/>
          <w:iCs/>
          <w:szCs w:val="20"/>
        </w:rPr>
        <w:t>izvajanje nalog izvajalca ukrepa, Javne agencije za raziskovalno dejavnost Republike Slovenije, v</w:t>
      </w:r>
      <w:r w:rsidR="00BA654A" w:rsidRPr="00DB740F">
        <w:rPr>
          <w:bCs/>
          <w:i/>
          <w:iCs/>
          <w:szCs w:val="20"/>
          <w:vertAlign w:val="superscript"/>
        </w:rPr>
        <w:t xml:space="preserve"> </w:t>
      </w:r>
      <w:r w:rsidR="00BA654A" w:rsidRPr="00DB740F">
        <w:rPr>
          <w:rFonts w:eastAsia="Arial" w:cs="Arial"/>
          <w:bCs/>
          <w:i/>
          <w:iCs/>
          <w:szCs w:val="20"/>
        </w:rPr>
        <w:t>okviru Mehanizma za okrevanje in odpornost</w:t>
      </w:r>
      <w:r w:rsidR="00BA654A">
        <w:rPr>
          <w:rFonts w:eastAsia="Arial" w:cs="Arial"/>
          <w:bCs/>
          <w:iCs/>
          <w:szCs w:val="20"/>
        </w:rPr>
        <w:t>,</w:t>
      </w:r>
      <w:r w:rsidRPr="00BA654A">
        <w:rPr>
          <w:iCs/>
        </w:rPr>
        <w:t xml:space="preserve"> </w:t>
      </w:r>
      <w:r w:rsidRPr="003C26F1">
        <w:t>št. 303-28/2023/1</w:t>
      </w:r>
      <w:r w:rsidR="00E32163">
        <w:t xml:space="preserve">. </w:t>
      </w:r>
      <w:r w:rsidR="00DB740F" w:rsidRPr="00DB740F">
        <w:t>V navodilih so natančneje opredeljene naloge agencije ARIS kot izvajalke ukrepa. Med njene ključne pristojnosti sodijo izvedba javnih razpisov in pozivov, sklepanje pogodb s končnimi prejemniki sredstev, izvajanje administrativnih in terenskih preverjanj, spremljanje poteka projektov ter redno poročanje MVZI</w:t>
      </w:r>
      <w:r w:rsidR="00DB740F">
        <w:t>-ju</w:t>
      </w:r>
      <w:r w:rsidR="00DB740F" w:rsidRPr="00DB740F">
        <w:t xml:space="preserve"> o doseženih mejnikih in ciljih.</w:t>
      </w:r>
    </w:p>
    <w:p w14:paraId="3ACADA5D" w14:textId="77777777" w:rsidR="00A153AD" w:rsidRPr="00A153AD" w:rsidRDefault="00A153AD" w:rsidP="00A153AD">
      <w:pPr>
        <w:tabs>
          <w:tab w:val="center" w:pos="1750"/>
          <w:tab w:val="center" w:pos="3792"/>
          <w:tab w:val="center" w:pos="5779"/>
          <w:tab w:val="center" w:pos="7473"/>
          <w:tab w:val="right" w:pos="9891"/>
        </w:tabs>
        <w:jc w:val="both"/>
      </w:pPr>
    </w:p>
    <w:p w14:paraId="1C49441E" w14:textId="77777777" w:rsidR="00A153AD" w:rsidRPr="00A153AD" w:rsidRDefault="00A153AD" w:rsidP="00A153AD">
      <w:pPr>
        <w:tabs>
          <w:tab w:val="center" w:pos="1750"/>
          <w:tab w:val="center" w:pos="3792"/>
          <w:tab w:val="center" w:pos="5779"/>
          <w:tab w:val="center" w:pos="7473"/>
          <w:tab w:val="right" w:pos="9891"/>
        </w:tabs>
        <w:jc w:val="both"/>
      </w:pPr>
      <w:r w:rsidRPr="00A153AD">
        <w:t>Navodilo določa tudi sistem notranjih kontrol, obveznost zagotavljanja revizijske sledi, preverjanje postopkov javnih naročil, preprečevanje goljufij, nasprotij interesov in dvojnega financiranja, ter obveznost sodelovanja z MVZI in drugimi nadzornimi organi.</w:t>
      </w:r>
    </w:p>
    <w:p w14:paraId="002C37F5" w14:textId="77777777" w:rsidR="00A153AD" w:rsidRPr="00A153AD" w:rsidRDefault="00A153AD" w:rsidP="00A153AD">
      <w:pPr>
        <w:tabs>
          <w:tab w:val="center" w:pos="1750"/>
          <w:tab w:val="center" w:pos="3792"/>
          <w:tab w:val="center" w:pos="5779"/>
          <w:tab w:val="center" w:pos="7473"/>
          <w:tab w:val="right" w:pos="9891"/>
        </w:tabs>
        <w:jc w:val="both"/>
      </w:pPr>
    </w:p>
    <w:p w14:paraId="41C6FD14" w14:textId="77777777" w:rsidR="00A153AD" w:rsidRPr="00A153AD" w:rsidRDefault="00A153AD" w:rsidP="00A153AD">
      <w:pPr>
        <w:tabs>
          <w:tab w:val="center" w:pos="1750"/>
          <w:tab w:val="center" w:pos="3792"/>
          <w:tab w:val="center" w:pos="5779"/>
          <w:tab w:val="center" w:pos="7473"/>
          <w:tab w:val="right" w:pos="9891"/>
        </w:tabs>
        <w:jc w:val="both"/>
      </w:pPr>
      <w:r w:rsidRPr="00A153AD">
        <w:t>MVZI ima vlogo nosilnega organa, ki potrjuje dokumente, metodologije in rezultate preverjanj, ter nadzira, da ARIS vse naloge izvaja skladno s pravili NOO, smernicami Urada za okrevanje in odpornost ter veljavno zakonodajo.</w:t>
      </w:r>
    </w:p>
    <w:p w14:paraId="78CA056A" w14:textId="77777777" w:rsidR="00E32163" w:rsidRPr="00D417F5" w:rsidRDefault="00E32163" w:rsidP="00D417F5">
      <w:pPr>
        <w:tabs>
          <w:tab w:val="center" w:pos="1750"/>
          <w:tab w:val="center" w:pos="3792"/>
          <w:tab w:val="center" w:pos="5779"/>
          <w:tab w:val="center" w:pos="7473"/>
          <w:tab w:val="right" w:pos="9891"/>
        </w:tabs>
        <w:jc w:val="both"/>
        <w:rPr>
          <w:rFonts w:cs="Arial"/>
          <w:bCs/>
          <w:szCs w:val="20"/>
        </w:rPr>
      </w:pPr>
    </w:p>
    <w:p w14:paraId="3337E851" w14:textId="0464B258" w:rsidR="00B430F7" w:rsidRPr="00843B43" w:rsidRDefault="00D417F5" w:rsidP="00843B43">
      <w:pPr>
        <w:pStyle w:val="Odstavekseznama"/>
        <w:numPr>
          <w:ilvl w:val="2"/>
          <w:numId w:val="33"/>
        </w:numPr>
        <w:jc w:val="both"/>
        <w:rPr>
          <w:rFonts w:eastAsia="Calibri" w:cs="Arial"/>
          <w:szCs w:val="20"/>
        </w:rPr>
      </w:pPr>
      <w:r w:rsidRPr="00843B43">
        <w:rPr>
          <w:rFonts w:eastAsia="Calibri" w:cs="Arial"/>
          <w:szCs w:val="20"/>
        </w:rPr>
        <w:t>POGODBA št. C3330-23-952001 z dne 2. 2. 2023 o sofinanciranju ukrepa</w:t>
      </w:r>
      <w:r w:rsidRPr="00843B43">
        <w:rPr>
          <w:rFonts w:cs="Arial"/>
          <w:szCs w:val="20"/>
        </w:rPr>
        <w:t xml:space="preserve"> </w:t>
      </w:r>
      <w:r w:rsidRPr="00843B43">
        <w:rPr>
          <w:rFonts w:eastAsia="Calibri" w:cs="Arial"/>
          <w:szCs w:val="20"/>
        </w:rPr>
        <w:t>»Sofinanciranje projektov in programov za krepitev mednarodne mobilnosti slovenskih raziskovalcev in raziskovalnih organizacij ter za spodbujanje mednarodne vpetosti slovenskih prijaviteljev«</w:t>
      </w:r>
    </w:p>
    <w:p w14:paraId="716D67F1" w14:textId="606A7C97" w:rsidR="00BA654A" w:rsidRPr="00B91887" w:rsidRDefault="00BA654A" w:rsidP="00B91887">
      <w:pPr>
        <w:tabs>
          <w:tab w:val="center" w:pos="1750"/>
          <w:tab w:val="center" w:pos="3792"/>
          <w:tab w:val="center" w:pos="5779"/>
          <w:tab w:val="center" w:pos="7473"/>
          <w:tab w:val="right" w:pos="9891"/>
        </w:tabs>
        <w:jc w:val="both"/>
        <w:rPr>
          <w:rFonts w:cs="Arial"/>
          <w:bCs/>
        </w:rPr>
      </w:pPr>
    </w:p>
    <w:p w14:paraId="5C402E78" w14:textId="77777777" w:rsidR="00392550" w:rsidRDefault="00B430F7" w:rsidP="00B91887">
      <w:pPr>
        <w:ind w:left="17" w:right="14" w:hanging="3"/>
        <w:jc w:val="both"/>
        <w:rPr>
          <w:rFonts w:eastAsia="Calibri" w:cs="Arial"/>
        </w:rPr>
      </w:pPr>
      <w:r>
        <w:rPr>
          <w:rFonts w:cs="Arial"/>
        </w:rPr>
        <w:t>MVZI in ARIS sta dne 2. 2. 2023 sklenila Pogodbo št. C3330-23-952001</w:t>
      </w:r>
      <w:r w:rsidR="009D1451">
        <w:rPr>
          <w:rFonts w:cs="Arial"/>
        </w:rPr>
        <w:t xml:space="preserve"> o sofinanciranju ukrepa</w:t>
      </w:r>
      <w:r>
        <w:rPr>
          <w:rFonts w:cs="Arial"/>
        </w:rPr>
        <w:t xml:space="preserve">. </w:t>
      </w:r>
      <w:r w:rsidR="00D417F5" w:rsidRPr="00B91887">
        <w:rPr>
          <w:rFonts w:cs="Arial"/>
        </w:rPr>
        <w:t xml:space="preserve">V 2. členu pogodbe je </w:t>
      </w:r>
      <w:r w:rsidR="00392550">
        <w:rPr>
          <w:rFonts w:cs="Arial"/>
        </w:rPr>
        <w:t>določeno</w:t>
      </w:r>
      <w:r w:rsidR="00D417F5" w:rsidRPr="00B91887">
        <w:rPr>
          <w:rFonts w:cs="Arial"/>
        </w:rPr>
        <w:t xml:space="preserve">, da </w:t>
      </w:r>
      <w:r w:rsidR="00B91887" w:rsidRPr="00B91887">
        <w:rPr>
          <w:rFonts w:cs="Arial"/>
        </w:rPr>
        <w:t xml:space="preserve">MVZI nastopa </w:t>
      </w:r>
      <w:r w:rsidR="00392550">
        <w:rPr>
          <w:rFonts w:cs="Arial"/>
        </w:rPr>
        <w:t>kot nosilni organ</w:t>
      </w:r>
      <w:r w:rsidR="00B91887" w:rsidRPr="00B91887">
        <w:rPr>
          <w:rFonts w:cs="Arial"/>
        </w:rPr>
        <w:t>, medtem ko ARIS</w:t>
      </w:r>
      <w:r w:rsidR="00392550">
        <w:rPr>
          <w:rFonts w:cs="Arial"/>
        </w:rPr>
        <w:t>,</w:t>
      </w:r>
      <w:r w:rsidR="00B91887" w:rsidRPr="00B91887">
        <w:rPr>
          <w:rFonts w:cs="Arial"/>
        </w:rPr>
        <w:t xml:space="preserve"> </w:t>
      </w:r>
      <w:r w:rsidR="00B91887" w:rsidRPr="00B91887">
        <w:rPr>
          <w:rFonts w:eastAsia="Calibri" w:cs="Arial"/>
        </w:rPr>
        <w:t>skladno s krovnim sporazumom</w:t>
      </w:r>
      <w:r w:rsidR="00392550">
        <w:rPr>
          <w:rFonts w:eastAsia="Calibri" w:cs="Arial"/>
        </w:rPr>
        <w:t>,</w:t>
      </w:r>
      <w:r w:rsidR="00B91887" w:rsidRPr="00B91887">
        <w:rPr>
          <w:rFonts w:eastAsia="Calibri" w:cs="Arial"/>
        </w:rPr>
        <w:t xml:space="preserve"> </w:t>
      </w:r>
      <w:r w:rsidR="00392550">
        <w:rPr>
          <w:rFonts w:eastAsia="Calibri" w:cs="Arial"/>
        </w:rPr>
        <w:t>deluje</w:t>
      </w:r>
      <w:r w:rsidR="00B91887" w:rsidRPr="00B91887">
        <w:rPr>
          <w:rFonts w:eastAsia="Calibri" w:cs="Arial"/>
        </w:rPr>
        <w:t xml:space="preserve"> kot izvajalec ukrepa. </w:t>
      </w:r>
    </w:p>
    <w:p w14:paraId="2E203247" w14:textId="77777777" w:rsidR="00392550" w:rsidRDefault="00392550" w:rsidP="00B91887">
      <w:pPr>
        <w:ind w:left="17" w:right="14" w:hanging="3"/>
        <w:jc w:val="both"/>
        <w:rPr>
          <w:rFonts w:eastAsia="Calibri" w:cs="Arial"/>
        </w:rPr>
      </w:pPr>
    </w:p>
    <w:p w14:paraId="4092E827" w14:textId="5D6B90B7" w:rsidR="00B91887" w:rsidRDefault="00392550" w:rsidP="00392550">
      <w:pPr>
        <w:ind w:left="17" w:right="14" w:hanging="3"/>
        <w:jc w:val="both"/>
        <w:rPr>
          <w:rFonts w:eastAsia="Calibri" w:cs="Arial"/>
        </w:rPr>
      </w:pPr>
      <w:r>
        <w:rPr>
          <w:rFonts w:eastAsia="Calibri" w:cs="Arial"/>
        </w:rPr>
        <w:t xml:space="preserve">V </w:t>
      </w:r>
      <w:r w:rsidR="00B91887" w:rsidRPr="00B91887">
        <w:rPr>
          <w:rFonts w:eastAsia="Calibri" w:cs="Arial"/>
        </w:rPr>
        <w:t>3. člen</w:t>
      </w:r>
      <w:r>
        <w:rPr>
          <w:rFonts w:eastAsia="Calibri" w:cs="Arial"/>
        </w:rPr>
        <w:t>u</w:t>
      </w:r>
      <w:r w:rsidR="00B91887" w:rsidRPr="00B91887">
        <w:rPr>
          <w:rFonts w:eastAsia="Calibri" w:cs="Arial"/>
        </w:rPr>
        <w:t xml:space="preserve"> pogodbe </w:t>
      </w:r>
      <w:r>
        <w:rPr>
          <w:rFonts w:eastAsia="Calibri" w:cs="Arial"/>
        </w:rPr>
        <w:t>je opredeljeno</w:t>
      </w:r>
      <w:r w:rsidR="00B91887" w:rsidRPr="00B91887">
        <w:rPr>
          <w:rFonts w:eastAsia="Calibri" w:cs="Arial"/>
        </w:rPr>
        <w:t xml:space="preserve">, da je </w:t>
      </w:r>
      <w:r>
        <w:rPr>
          <w:rFonts w:eastAsia="Calibri" w:cs="Arial"/>
        </w:rPr>
        <w:t xml:space="preserve">njen </w:t>
      </w:r>
      <w:r w:rsidR="00B91887" w:rsidRPr="00B91887">
        <w:rPr>
          <w:rFonts w:eastAsia="Calibri" w:cs="Arial"/>
        </w:rPr>
        <w:t xml:space="preserve">predmet sofinanciranje upravičenih stroškov izvedbe ukrepa »Sofinanciranje projektov in programov za krepitev mednarodne mobilnosti slovenskih raziskovalcev in raziskovalnih organizacij ter za spodbujanje mednarodne vpetosti </w:t>
      </w:r>
      <w:r w:rsidR="00B91887" w:rsidRPr="00B91887">
        <w:rPr>
          <w:rFonts w:eastAsia="Calibri" w:cs="Arial"/>
        </w:rPr>
        <w:lastRenderedPageBreak/>
        <w:t>slovenskih prijaviteljev</w:t>
      </w:r>
      <w:r w:rsidR="00B430F7">
        <w:rPr>
          <w:rFonts w:eastAsia="Calibri" w:cs="Arial"/>
        </w:rPr>
        <w:t>«</w:t>
      </w:r>
      <w:r>
        <w:rPr>
          <w:rFonts w:eastAsia="Calibri" w:cs="Arial"/>
        </w:rPr>
        <w:t xml:space="preserve">. </w:t>
      </w:r>
      <w:r w:rsidRPr="00392550">
        <w:rPr>
          <w:rFonts w:eastAsia="Calibri" w:cs="Arial"/>
        </w:rPr>
        <w:t>Izvajalec ukrepa bo ukrep izvedel preko postopka javnega poziva, v okviru katerega bo izbral končne prejemnike sredstev. Predmet pogodbe je delno že določen v Krovnem sporazumu št. 303-53/2021/16 z dne 29. 7. 2022, ki sta ga MVZI in ARIS sklenila z namenom opredelitve vsebin za nadaljnje pogodbeno sodelovanje.</w:t>
      </w:r>
    </w:p>
    <w:p w14:paraId="26D40E99" w14:textId="77777777" w:rsidR="00392550" w:rsidRPr="00B91887" w:rsidRDefault="00392550" w:rsidP="00392550">
      <w:pPr>
        <w:ind w:left="17" w:right="14" w:hanging="3"/>
        <w:jc w:val="both"/>
        <w:rPr>
          <w:rFonts w:cs="Arial"/>
        </w:rPr>
      </w:pPr>
    </w:p>
    <w:p w14:paraId="20A44DB1" w14:textId="7CB415A6" w:rsidR="00392550" w:rsidRDefault="00392550" w:rsidP="00B91887">
      <w:pPr>
        <w:ind w:left="6" w:hanging="6"/>
        <w:jc w:val="both"/>
        <w:rPr>
          <w:rFonts w:eastAsia="Calibri" w:cs="Arial"/>
        </w:rPr>
      </w:pPr>
      <w:r w:rsidRPr="00392550">
        <w:rPr>
          <w:rFonts w:eastAsia="Calibri" w:cs="Arial"/>
        </w:rPr>
        <w:t xml:space="preserve">Namen ukrepa, ki ga bo ARIS izvedel po postopku javnega poziva, je izvedba 88 projektov spodbujanja mednarodne mobilnosti raziskovalcev in raziskovalk ter njihove reintegracije v slovenski raziskovalno-razvojni in inovacijski (RRI) prostor. Cilj javnega poziva bo spodbujanje kroženja talentov, krepitev mobilnosti slovenskih raziskovalcev, izboljšanje njihovih strokovnih in transverzalnih znanj ter spretnosti, pridobivanje mednarodnih, medsektorskih in interdisciplinarnih izkušenj ter krepitev raziskovalnega potenciala in zaposljivosti v RRI dejavnosti. </w:t>
      </w:r>
      <w:r w:rsidR="0048309E">
        <w:rPr>
          <w:rFonts w:eastAsia="Calibri" w:cs="Arial"/>
        </w:rPr>
        <w:t>Z j</w:t>
      </w:r>
      <w:r w:rsidRPr="00392550">
        <w:rPr>
          <w:rFonts w:eastAsia="Calibri" w:cs="Arial"/>
        </w:rPr>
        <w:t>avnim pozivom se bo obenem spodbujala reintegracija raziskovalcev v slovenski raziskovalni in gospodarski prostor.</w:t>
      </w:r>
    </w:p>
    <w:p w14:paraId="4FC17471" w14:textId="77777777" w:rsidR="00392550" w:rsidRDefault="00392550" w:rsidP="00B91887">
      <w:pPr>
        <w:ind w:left="6" w:hanging="6"/>
        <w:jc w:val="both"/>
        <w:rPr>
          <w:rFonts w:eastAsia="Calibri" w:cs="Arial"/>
        </w:rPr>
      </w:pPr>
    </w:p>
    <w:p w14:paraId="7F4E43B3" w14:textId="7D5A8B81" w:rsidR="00101C4E" w:rsidRDefault="00392550" w:rsidP="00101C4E">
      <w:pPr>
        <w:ind w:left="6" w:hanging="6"/>
        <w:jc w:val="both"/>
        <w:rPr>
          <w:rFonts w:eastAsia="Calibri" w:cs="Arial"/>
        </w:rPr>
      </w:pPr>
      <w:r w:rsidRPr="00392550">
        <w:rPr>
          <w:rFonts w:eastAsia="Calibri" w:cs="Arial"/>
        </w:rPr>
        <w:t>V 5. členu pogodbe je določena vrednost ukrepa, ki znaša največ 17.220.000</w:t>
      </w:r>
      <w:r w:rsidR="00C65D39">
        <w:rPr>
          <w:rFonts w:eastAsia="Calibri" w:cs="Arial"/>
        </w:rPr>
        <w:t>,00</w:t>
      </w:r>
      <w:r w:rsidRPr="00392550">
        <w:rPr>
          <w:rFonts w:eastAsia="Calibri" w:cs="Arial"/>
        </w:rPr>
        <w:t xml:space="preserve"> EUR. Gre za namensko podporo, namenjeno financiranju projektov, izbranih v okviru javnega poziva, skladno z določili drugega odstavka 2. člena krovnega sporazuma.</w:t>
      </w:r>
    </w:p>
    <w:p w14:paraId="4A041B9F" w14:textId="77777777" w:rsidR="00392550" w:rsidRPr="00101C4E" w:rsidRDefault="00392550" w:rsidP="00101C4E">
      <w:pPr>
        <w:ind w:left="6" w:hanging="6"/>
        <w:jc w:val="both"/>
        <w:rPr>
          <w:rFonts w:eastAsia="Calibri" w:cs="Arial"/>
        </w:rPr>
      </w:pPr>
    </w:p>
    <w:p w14:paraId="2896843B" w14:textId="3D8DA025" w:rsidR="00101C4E" w:rsidRDefault="00101C4E" w:rsidP="00101C4E">
      <w:pPr>
        <w:ind w:left="17" w:right="14" w:hanging="3"/>
        <w:jc w:val="both"/>
        <w:rPr>
          <w:rFonts w:eastAsia="Calibri" w:cs="Arial"/>
        </w:rPr>
      </w:pPr>
      <w:r w:rsidRPr="00101C4E">
        <w:rPr>
          <w:rFonts w:eastAsia="Calibri" w:cs="Arial"/>
        </w:rPr>
        <w:t>6. člen pogodbe določa obdobje upravičenosti stroškov (nastanek stroškov: datum opravljene storitve oziroma dobavljenega blaga) je od dne 1. 1. 2023 do dne 30. 6. 2026. Obdobje upravičenosti izdatkov (datum plačila računov oziroma verodostojnih knjigovodskih listin) je od dne 1. 1. 2023 do dne 31. 8. 2026</w:t>
      </w:r>
      <w:r w:rsidR="00392550">
        <w:rPr>
          <w:rFonts w:eastAsia="Calibri" w:cs="Arial"/>
        </w:rPr>
        <w:t xml:space="preserve">. </w:t>
      </w:r>
      <w:r w:rsidR="00392550" w:rsidRPr="00392550">
        <w:rPr>
          <w:rFonts w:eastAsia="Calibri" w:cs="Arial"/>
        </w:rPr>
        <w:t>V 7. členu so opredeljeni upravičeni stroški.</w:t>
      </w:r>
    </w:p>
    <w:p w14:paraId="258C75D8" w14:textId="77777777" w:rsidR="007F49C0" w:rsidRPr="00D65486" w:rsidRDefault="007F49C0" w:rsidP="00D65486">
      <w:pPr>
        <w:ind w:left="17" w:right="14" w:hanging="3"/>
        <w:jc w:val="both"/>
        <w:rPr>
          <w:rFonts w:eastAsia="Calibri" w:cs="Arial"/>
          <w:szCs w:val="20"/>
        </w:rPr>
      </w:pPr>
    </w:p>
    <w:p w14:paraId="2878CF31" w14:textId="58C49EBD" w:rsidR="00D65486" w:rsidRDefault="00392550" w:rsidP="00392550">
      <w:pPr>
        <w:jc w:val="both"/>
        <w:rPr>
          <w:rFonts w:eastAsia="Calibri" w:cs="Arial"/>
          <w:szCs w:val="20"/>
        </w:rPr>
      </w:pPr>
      <w:r w:rsidRPr="00392550">
        <w:rPr>
          <w:rFonts w:eastAsia="Calibri" w:cs="Arial"/>
          <w:szCs w:val="20"/>
        </w:rPr>
        <w:t>Pogodba določa tudi pravice in obveznosti pogodbenih strank ter nadzor nad porabo sredstev. V skladu z 13. členom bo MVZI nadzor izvajal z administrativnimi preverjanji in preverjanji na kraju samem. Predvideno je 100-odstotno administrativno preverjanje vseh vlog za izplačilo, po potrebi pa tudi terenski pregledi. Izvajalec ukrepa mora MVZI in drugim pristojnim organom omogočiti dostop do vseh dokumentov, prostorov in podatkov, povezanih z izvajanjem projekta. V primeru ugotovljenih nepravilnosti ali neupravičene porabe sredstev je izvajalec dolžan vrniti prejeta sredstva z zakonskimi zamudnimi obrestmi. Če pride do prekinitve revizijske sledi, se sofinanciranje začasno ustavi do odprave nepravilnosti.</w:t>
      </w:r>
    </w:p>
    <w:p w14:paraId="7BDFEE44" w14:textId="77777777" w:rsidR="00392550" w:rsidRDefault="00392550" w:rsidP="00D65486"/>
    <w:p w14:paraId="01BB057A" w14:textId="77777777" w:rsidR="00392550" w:rsidRDefault="00D65486" w:rsidP="00D65486">
      <w:pPr>
        <w:jc w:val="both"/>
      </w:pPr>
      <w:r w:rsidRPr="00D65486">
        <w:t xml:space="preserve">14. člen pogodbe </w:t>
      </w:r>
      <w:r>
        <w:t>določa</w:t>
      </w:r>
      <w:r w:rsidRPr="00D65486">
        <w:t xml:space="preserve">, da je </w:t>
      </w:r>
      <w:r w:rsidR="00392550" w:rsidRPr="00392550">
        <w:t>ARIS kot izvajalec ukrepa odgovoren za pravilno, zakonito, gospodarno in učinkovito izvedbo ukrepa ter za doseganje zastavljenih mejnikov in ciljev v predpisanih rokih. Izvajalec mora izvesti javni poziv, skleniti in izvajati pogodbe s končnimi prejemniki, poročati MVZI ter zagotavljati popolno in verodostojno dokumentacijo. Obvezan je izvajati 100-odstotno administrativno preverjanje zahtevkov, vzorčna preverjanja na kraju samem, voditi ločeno računovodsko evidenco, zagotavljati revizijsko sled ter hraniti dokumentacijo najmanj pet let po zadnjem plačilu iz sredstev EU.</w:t>
      </w:r>
    </w:p>
    <w:p w14:paraId="3986D0A7" w14:textId="77777777" w:rsidR="00392550" w:rsidRDefault="00392550" w:rsidP="00D65486">
      <w:pPr>
        <w:jc w:val="both"/>
      </w:pPr>
    </w:p>
    <w:p w14:paraId="6941DBE7" w14:textId="7ECDD58F" w:rsidR="00D65486" w:rsidRPr="00D65486" w:rsidRDefault="00D65486" w:rsidP="00D65486">
      <w:pPr>
        <w:jc w:val="both"/>
      </w:pPr>
      <w:r w:rsidRPr="00D65486">
        <w:t>Izvajalec mora preprečevati nepravilnosti, nasprotja interesov in dvojno financiranje, zagotavljati transparentno obveščanje javnosti in spoštovati pravila o informiranju glede financiranja iz mehanizma »</w:t>
      </w:r>
      <w:proofErr w:type="spellStart"/>
      <w:r w:rsidRPr="00D65486">
        <w:t>NextGenerationEU</w:t>
      </w:r>
      <w:proofErr w:type="spellEnd"/>
      <w:r w:rsidRPr="00D65486">
        <w:t>«.</w:t>
      </w:r>
    </w:p>
    <w:p w14:paraId="1E9E24BB" w14:textId="77777777" w:rsidR="00D65486" w:rsidRPr="00D65486" w:rsidRDefault="00D65486" w:rsidP="00D65486">
      <w:pPr>
        <w:jc w:val="both"/>
      </w:pPr>
    </w:p>
    <w:p w14:paraId="33F3DE6B" w14:textId="334CAE99" w:rsidR="00D65486" w:rsidRDefault="00D65486" w:rsidP="00D65486">
      <w:pPr>
        <w:jc w:val="both"/>
      </w:pPr>
      <w:r w:rsidRPr="00D65486">
        <w:t xml:space="preserve">V primeru kršitev ali neizpolnjevanja obveznosti </w:t>
      </w:r>
      <w:r>
        <w:t>MVZI</w:t>
      </w:r>
      <w:r w:rsidRPr="00D65486">
        <w:t xml:space="preserve"> določi rok za odpravo nepravilnosti; če izvajalec tega ne stori, lahko ministrstvo zahteva vračilo neupravičeno porabljenih sredstev z zakonskimi zamudnimi obrestmi.</w:t>
      </w:r>
    </w:p>
    <w:p w14:paraId="41FA0666" w14:textId="77777777" w:rsidR="00BB637F" w:rsidRDefault="00BB637F" w:rsidP="00D65486">
      <w:pPr>
        <w:jc w:val="both"/>
      </w:pPr>
    </w:p>
    <w:p w14:paraId="00D3DFFC" w14:textId="603232A2" w:rsidR="00BB637F" w:rsidRDefault="006960BD" w:rsidP="00BB637F">
      <w:pPr>
        <w:pStyle w:val="Odstavekseznama"/>
        <w:numPr>
          <w:ilvl w:val="1"/>
          <w:numId w:val="33"/>
        </w:numPr>
        <w:jc w:val="both"/>
      </w:pPr>
      <w:r>
        <w:t>Z</w:t>
      </w:r>
      <w:r w:rsidR="00BB637F">
        <w:t xml:space="preserve">nižanje </w:t>
      </w:r>
      <w:r w:rsidR="00C65D39">
        <w:t>vrednosti projekta</w:t>
      </w:r>
      <w:r w:rsidR="00203DF0">
        <w:t xml:space="preserve"> </w:t>
      </w:r>
    </w:p>
    <w:p w14:paraId="04CF215C" w14:textId="77777777" w:rsidR="006960BD" w:rsidRDefault="006960BD" w:rsidP="006960BD">
      <w:pPr>
        <w:jc w:val="both"/>
      </w:pPr>
    </w:p>
    <w:p w14:paraId="3995DEF7" w14:textId="5A871417" w:rsidR="006960BD" w:rsidRPr="006960BD" w:rsidRDefault="006960BD" w:rsidP="006960BD">
      <w:pPr>
        <w:jc w:val="both"/>
        <w:rPr>
          <w:rFonts w:cs="Arial"/>
          <w:szCs w:val="20"/>
        </w:rPr>
      </w:pPr>
      <w:r>
        <w:rPr>
          <w:rFonts w:cs="Arial"/>
          <w:szCs w:val="20"/>
        </w:rPr>
        <w:t>MVZI je inšpekcijskemu organu pojasnil</w:t>
      </w:r>
      <w:r w:rsidRPr="006960BD">
        <w:rPr>
          <w:rFonts w:cs="Arial"/>
          <w:szCs w:val="20"/>
        </w:rPr>
        <w:t xml:space="preserve">, da je pri pripravi izhodišč za javni poziv oblikoval realne ocene na podlagi razpoložljivih podatkov in trendov prijav, ob predpostavki velikega interesa raziskovalk, raziskovalcev in raziskovalnih organizacij. V letu 2024 je bilo evidentiranih več kot sto potencialnih kandidatov, vendar </w:t>
      </w:r>
      <w:r w:rsidR="00203DF0">
        <w:rPr>
          <w:rFonts w:cs="Arial"/>
          <w:szCs w:val="20"/>
        </w:rPr>
        <w:t xml:space="preserve">se je kasneje izkazalo, da </w:t>
      </w:r>
      <w:r w:rsidRPr="006960BD">
        <w:rPr>
          <w:rFonts w:cs="Arial"/>
          <w:szCs w:val="20"/>
        </w:rPr>
        <w:t>je bil dejanski interes raziskovalnih organizacij manjši, kar je vplivalo na nižje število prejetih prijav.</w:t>
      </w:r>
    </w:p>
    <w:p w14:paraId="32AF1B05" w14:textId="2BB8CFC1" w:rsidR="006960BD" w:rsidRPr="006960BD" w:rsidRDefault="006960BD" w:rsidP="006960BD">
      <w:pPr>
        <w:jc w:val="both"/>
        <w:rPr>
          <w:rFonts w:cs="Arial"/>
          <w:szCs w:val="20"/>
        </w:rPr>
      </w:pPr>
      <w:r w:rsidRPr="006960BD">
        <w:rPr>
          <w:rFonts w:cs="Arial"/>
          <w:szCs w:val="20"/>
        </w:rPr>
        <w:lastRenderedPageBreak/>
        <w:t xml:space="preserve">Kljub manjšemu interesu za navedeno shemo MVZI načrtuje njeno nadaljevanje iz proračunskih sredstev. Namen ohranitve ukrepa je ustvarjanje pogojev za zmanjšanje bega možganov v tujino ter spodbujanje mednarodne mobilnosti slovenskih raziskovalk in raziskovalcev. </w:t>
      </w:r>
    </w:p>
    <w:p w14:paraId="02AC5E78" w14:textId="77777777" w:rsidR="006960BD" w:rsidRPr="006960BD" w:rsidRDefault="006960BD" w:rsidP="006960BD">
      <w:pPr>
        <w:jc w:val="both"/>
        <w:rPr>
          <w:rFonts w:cs="Arial"/>
          <w:szCs w:val="20"/>
        </w:rPr>
      </w:pPr>
    </w:p>
    <w:p w14:paraId="29B0D84B" w14:textId="58DE94CF" w:rsidR="006960BD" w:rsidRPr="006960BD" w:rsidRDefault="006960BD" w:rsidP="006960BD">
      <w:pPr>
        <w:jc w:val="both"/>
        <w:rPr>
          <w:rFonts w:cs="Arial"/>
          <w:szCs w:val="20"/>
        </w:rPr>
      </w:pPr>
      <w:r w:rsidRPr="006960BD">
        <w:rPr>
          <w:rFonts w:cs="Arial"/>
          <w:szCs w:val="20"/>
        </w:rPr>
        <w:t xml:space="preserve">MVZI ocenjuje, da se bo interes za tovrstne sheme v prihodnosti povečal, saj se stopnja uspeha prijav na razpisih MSCA </w:t>
      </w:r>
      <w:proofErr w:type="spellStart"/>
      <w:r w:rsidRPr="006960BD">
        <w:rPr>
          <w:rFonts w:cs="Arial"/>
          <w:szCs w:val="20"/>
        </w:rPr>
        <w:t>Postdoctoral</w:t>
      </w:r>
      <w:proofErr w:type="spellEnd"/>
      <w:r w:rsidRPr="006960BD">
        <w:rPr>
          <w:rFonts w:cs="Arial"/>
          <w:szCs w:val="20"/>
        </w:rPr>
        <w:t xml:space="preserve"> </w:t>
      </w:r>
      <w:proofErr w:type="spellStart"/>
      <w:r w:rsidRPr="006960BD">
        <w:rPr>
          <w:rFonts w:cs="Arial"/>
          <w:szCs w:val="20"/>
        </w:rPr>
        <w:t>Fellowships</w:t>
      </w:r>
      <w:proofErr w:type="spellEnd"/>
      <w:r w:rsidRPr="006960BD">
        <w:rPr>
          <w:rFonts w:cs="Arial"/>
          <w:szCs w:val="20"/>
        </w:rPr>
        <w:t xml:space="preserve"> zmanjšuje, medtem ko se zvišuje prag odličnosti, zaradi česar bo več kakovostnih prijav ostalo brez financiranja s strani Evropske komisije. Ohranitev nacionalne, komplementarne sheme je zato ključna za podporo odličnim projektom in preprečevanje izgube raziskovalnega potenciala.</w:t>
      </w:r>
    </w:p>
    <w:p w14:paraId="37D04D15" w14:textId="543165F8" w:rsidR="00BB637F" w:rsidRDefault="00BB637F" w:rsidP="006960BD">
      <w:pPr>
        <w:jc w:val="both"/>
        <w:rPr>
          <w:rFonts w:cs="Arial"/>
          <w:szCs w:val="20"/>
        </w:rPr>
      </w:pPr>
    </w:p>
    <w:p w14:paraId="64E4DFA5" w14:textId="1F2E9F67" w:rsidR="00BB637F" w:rsidRPr="00D65486" w:rsidRDefault="006960BD" w:rsidP="006960BD">
      <w:pPr>
        <w:jc w:val="both"/>
      </w:pPr>
      <w:r>
        <w:t xml:space="preserve">MVZI je pripravil </w:t>
      </w:r>
      <w:proofErr w:type="spellStart"/>
      <w:r>
        <w:t>novelacijo</w:t>
      </w:r>
      <w:proofErr w:type="spellEnd"/>
      <w:r>
        <w:t xml:space="preserve"> dokumenta, kar je popisano v nadaljevanju</w:t>
      </w:r>
      <w:r w:rsidR="009218FD">
        <w:t>.</w:t>
      </w:r>
    </w:p>
    <w:p w14:paraId="57E20B19" w14:textId="77777777" w:rsidR="00D65486" w:rsidRPr="00D65486" w:rsidRDefault="00D65486" w:rsidP="00D65486"/>
    <w:p w14:paraId="51805C39" w14:textId="7A98726F" w:rsidR="00E32163" w:rsidRPr="00E32163" w:rsidRDefault="00A527BC" w:rsidP="0042347B">
      <w:pPr>
        <w:pStyle w:val="Naslov1"/>
        <w:numPr>
          <w:ilvl w:val="2"/>
          <w:numId w:val="33"/>
        </w:numPr>
      </w:pPr>
      <w:r w:rsidRPr="00E32163">
        <w:t>NOVELACIJA INVESTICIJSKEGA DOKUMENTA ZA PROJEKT Spodbujanje mednarodne</w:t>
      </w:r>
      <w:r w:rsidR="00E32163">
        <w:t xml:space="preserve"> </w:t>
      </w:r>
      <w:r w:rsidR="00DA77F7" w:rsidRPr="00E32163">
        <w:t>m</w:t>
      </w:r>
      <w:r w:rsidRPr="00E32163">
        <w:t>obilnosti slovenskih raziskovalcev (</w:t>
      </w:r>
      <w:proofErr w:type="spellStart"/>
      <w:r w:rsidRPr="00E32163">
        <w:t>outgoing</w:t>
      </w:r>
      <w:proofErr w:type="spellEnd"/>
      <w:r w:rsidR="00E32163" w:rsidRPr="00E32163">
        <w:t xml:space="preserve">) </w:t>
      </w:r>
    </w:p>
    <w:p w14:paraId="71D002A0" w14:textId="77777777" w:rsidR="00A527BC" w:rsidRPr="00101C4E" w:rsidRDefault="00A527BC" w:rsidP="00D65486">
      <w:pPr>
        <w:ind w:left="17" w:right="11" w:hanging="3"/>
        <w:jc w:val="both"/>
        <w:rPr>
          <w:rFonts w:cs="Arial"/>
        </w:rPr>
      </w:pPr>
    </w:p>
    <w:p w14:paraId="508C6B0D" w14:textId="652C9081" w:rsidR="006E1648" w:rsidRPr="006E1648" w:rsidRDefault="006E1648" w:rsidP="006E1648">
      <w:pPr>
        <w:ind w:left="23" w:right="11"/>
        <w:jc w:val="both"/>
      </w:pPr>
      <w:r w:rsidRPr="006E1648">
        <w:t xml:space="preserve">Vlada Republike Slovenije je dne 16. </w:t>
      </w:r>
      <w:r>
        <w:t xml:space="preserve">3. </w:t>
      </w:r>
      <w:r w:rsidRPr="006E1648">
        <w:t>2023 sprejela Sklep št. 41000-1/2023/9, s katerim je potrdila Izhodišča za prilagoditev NOO ter naložila Uradu Republike Slovenije za okrevanje in odpornost, da na tej podlagi z Evropsko komisijo uskladi in pripravi predlog prilagoditve NOO.</w:t>
      </w:r>
    </w:p>
    <w:p w14:paraId="617C544D" w14:textId="77777777" w:rsidR="006E1648" w:rsidRPr="006E1648" w:rsidRDefault="006E1648" w:rsidP="006E1648">
      <w:pPr>
        <w:ind w:left="23" w:right="11"/>
        <w:jc w:val="both"/>
      </w:pPr>
      <w:r w:rsidRPr="006E1648">
        <w:t>V okviru navedenih Izhodišč je Vlada Republike Slovenije sprejela odločitev o znižanju obsega sredstev v razvojni osi C3 Pametna, trajnostna in vključujoča rast, v 8. komponenti RRI – raziskave, razvoj in inovacije, za izvajanje investicije C (kratica ukrepa: C3.K8.lC) Sofinanciranje projektov in programov za krepitev mednarodne mobilnosti slovenskih raziskovalcev in raziskovalnih organizacij ter za spodbujanje mednarodne vpetosti slovenskih prijaviteljev.</w:t>
      </w:r>
    </w:p>
    <w:p w14:paraId="79BAECD4" w14:textId="77777777" w:rsidR="006E1648" w:rsidRPr="006E1648" w:rsidRDefault="006E1648" w:rsidP="006E1648">
      <w:pPr>
        <w:ind w:left="23" w:right="11"/>
        <w:jc w:val="both"/>
      </w:pPr>
    </w:p>
    <w:p w14:paraId="131C7F93" w14:textId="09B1B3E1" w:rsidR="006E1648" w:rsidRPr="006E1648" w:rsidRDefault="006E1648" w:rsidP="006E1648">
      <w:pPr>
        <w:ind w:left="23" w:right="11"/>
        <w:jc w:val="both"/>
      </w:pPr>
      <w:r w:rsidRPr="006E1648">
        <w:t>V skladu s prilagoditvijo bo ARIS izvedel en odprti javni poziv za izbor in financiranje projektov spodbujanja mobilnosti in</w:t>
      </w:r>
      <w:r w:rsidR="00C65D39">
        <w:t xml:space="preserve"> </w:t>
      </w:r>
      <w:r w:rsidRPr="006E1648">
        <w:t>/</w:t>
      </w:r>
      <w:r w:rsidR="00C65D39">
        <w:t xml:space="preserve"> </w:t>
      </w:r>
      <w:r w:rsidRPr="006E1648">
        <w:t>ali reintegracije, in sicer z več odpiranji. V dokumentu je pojasnjeno, da izvedbeni del, kot ga določa ta investicijski dokument, odstopa od prvotnega Načrta za okrevanje in odpornost, v katerem je bilo predvideno financiranje projektov v obdobju 2021–2026 z objavo štirih ločenih javnih pozivov (v letih 2021, 2022, 2023 in 2024).</w:t>
      </w:r>
    </w:p>
    <w:p w14:paraId="4756D5F0" w14:textId="77777777" w:rsidR="006E1648" w:rsidRPr="006E1648" w:rsidRDefault="006E1648" w:rsidP="006E1648">
      <w:pPr>
        <w:ind w:left="23" w:right="11"/>
        <w:jc w:val="both"/>
      </w:pPr>
    </w:p>
    <w:p w14:paraId="695A201E" w14:textId="1C140CCC" w:rsidR="006E1648" w:rsidRPr="006E1648" w:rsidRDefault="006E1648" w:rsidP="006E1648">
      <w:pPr>
        <w:ind w:left="23" w:right="11"/>
        <w:jc w:val="both"/>
      </w:pPr>
      <w:r w:rsidRPr="006E1648">
        <w:t>Do odstopanja pri datumu začetka izvajanja je prišlo zaradi kadrovskih in prostorskih omejitev izvajalske agencije ARIS, ki jih je MVZI komplementarno naslovil v okviru NOO z reformo »Aktivnosti krepitve ARIS in sistema upravljanja R&amp;I«. S to reformo bodo zagotovljene dodatne zaposlitve, namenjene okrepitvi izvajalske agencije. Ocenjeno je bilo tudi, da bo zastavljeni cilj – vključitev 58 raziskovalcev in raziskovalk – učinkoviteje in optimalneje dosežen z izvedbo enega odprtega javnega poziva z več odpiranji.</w:t>
      </w:r>
    </w:p>
    <w:p w14:paraId="373BC268" w14:textId="77777777" w:rsidR="00710958" w:rsidRDefault="00710958" w:rsidP="00D65486">
      <w:pPr>
        <w:ind w:left="23" w:right="11"/>
        <w:jc w:val="both"/>
      </w:pPr>
    </w:p>
    <w:p w14:paraId="18AA5EAE" w14:textId="5C57823B" w:rsidR="00710958" w:rsidRDefault="00710958" w:rsidP="00710958">
      <w:pPr>
        <w:ind w:left="23" w:right="14"/>
      </w:pPr>
      <w:r>
        <w:t xml:space="preserve">Predmet financiranja </w:t>
      </w:r>
      <w:r w:rsidR="00930D33" w:rsidRPr="00930D33">
        <w:t>v okviru ukrepa bo obsegal naslednje aktivnosti:</w:t>
      </w:r>
    </w:p>
    <w:p w14:paraId="1AB114A9" w14:textId="77777777" w:rsidR="00DA77F7" w:rsidRDefault="00DA77F7" w:rsidP="00710958">
      <w:pPr>
        <w:ind w:left="23" w:right="14"/>
      </w:pPr>
    </w:p>
    <w:p w14:paraId="66CC36A6" w14:textId="577D1F42" w:rsidR="00930D33" w:rsidRDefault="00710958" w:rsidP="008A00AB">
      <w:pPr>
        <w:pStyle w:val="Odstavekseznama"/>
        <w:numPr>
          <w:ilvl w:val="0"/>
          <w:numId w:val="1"/>
        </w:numPr>
        <w:ind w:right="14"/>
        <w:jc w:val="both"/>
      </w:pPr>
      <w:r>
        <w:t xml:space="preserve">mobilnost in </w:t>
      </w:r>
      <w:proofErr w:type="spellStart"/>
      <w:r>
        <w:t>reintegracijske</w:t>
      </w:r>
      <w:proofErr w:type="spellEnd"/>
      <w:r>
        <w:t xml:space="preserve"> aktivnosti za raziskovalce, katerih projekti so bili sicer pozitivno ocenjeni, </w:t>
      </w:r>
      <w:r w:rsidR="00930D33" w:rsidRPr="00930D33">
        <w:t xml:space="preserve">vendar zaradi omejenih sredstev niso bili izbrani za financiranje v okviru </w:t>
      </w:r>
      <w:r>
        <w:t>javnih razpisov Obzorje Evropa (MSCA)</w:t>
      </w:r>
      <w:r w:rsidR="00930D33" w:rsidRPr="00930D33">
        <w:t>; predvidoma bo vključeno približno 42 raziskovalcev, z najdaljšim trajanjem do treh let;</w:t>
      </w:r>
    </w:p>
    <w:p w14:paraId="01AB2387" w14:textId="3A979261" w:rsidR="00710958" w:rsidRDefault="00710958" w:rsidP="008A00AB">
      <w:pPr>
        <w:pStyle w:val="Odstavekseznama"/>
        <w:numPr>
          <w:ilvl w:val="0"/>
          <w:numId w:val="1"/>
        </w:numPr>
        <w:ind w:right="14"/>
        <w:jc w:val="both"/>
      </w:pPr>
      <w:proofErr w:type="spellStart"/>
      <w:r>
        <w:t>reintegracijske</w:t>
      </w:r>
      <w:proofErr w:type="spellEnd"/>
      <w:r>
        <w:t xml:space="preserve"> aktivnosti za raziskovalce, </w:t>
      </w:r>
      <w:r w:rsidR="00930D33" w:rsidRPr="00930D33">
        <w:t>katerih projekti so bili izbrani in so prejeli sredstva za mobilnost v okviru razpisov programa Obzorje Evropa (MSCA); predvidoma bo vključenih približno 16 raziskovalcev, z najdaljšim trajanjem do dveh let.</w:t>
      </w:r>
    </w:p>
    <w:p w14:paraId="5DE43D8E" w14:textId="77777777" w:rsidR="00710958" w:rsidRDefault="00710958" w:rsidP="00710958">
      <w:pPr>
        <w:ind w:right="14"/>
        <w:jc w:val="both"/>
      </w:pPr>
    </w:p>
    <w:p w14:paraId="1B55C4C5" w14:textId="29EFCE2D" w:rsidR="00101C4E" w:rsidRPr="00930D33" w:rsidRDefault="00930D33" w:rsidP="00C1611E">
      <w:pPr>
        <w:ind w:left="6" w:hanging="6"/>
        <w:jc w:val="both"/>
      </w:pPr>
      <w:r w:rsidRPr="00930D33">
        <w:t>Skupna vrednost projekta po znižanju znaša 12.571.560,00 EUR. Sorazmerno z zmanjšanjem finančnih sredstev se je znižala tudi ciljna vrednost doseženih rezultatov – namesto prvotno načrtovanih 88 projektov mobilnosti in/ali reintegracije bo izvedenih 58 projektov, od tega 42 projektov mednarodne mobilnosti in 16 projektov reintegracije slovenskih raziskovalcev.</w:t>
      </w:r>
    </w:p>
    <w:p w14:paraId="1C0F049E" w14:textId="77777777" w:rsidR="00930D33" w:rsidRDefault="00930D33" w:rsidP="00C1611E">
      <w:pPr>
        <w:ind w:left="6" w:hanging="6"/>
        <w:jc w:val="both"/>
        <w:rPr>
          <w:rFonts w:cs="Arial"/>
        </w:rPr>
      </w:pPr>
    </w:p>
    <w:p w14:paraId="3CC4A29C" w14:textId="77777777" w:rsidR="0093619B" w:rsidRDefault="0093619B" w:rsidP="00C1611E">
      <w:pPr>
        <w:ind w:left="6" w:hanging="6"/>
        <w:jc w:val="both"/>
        <w:rPr>
          <w:rFonts w:cs="Arial"/>
        </w:rPr>
      </w:pPr>
    </w:p>
    <w:p w14:paraId="18177951" w14:textId="77777777" w:rsidR="00A33FD5" w:rsidRPr="00B91887" w:rsidRDefault="00A33FD5" w:rsidP="00C1611E">
      <w:pPr>
        <w:ind w:left="6" w:hanging="6"/>
        <w:jc w:val="both"/>
        <w:rPr>
          <w:rFonts w:cs="Arial"/>
        </w:rPr>
      </w:pPr>
    </w:p>
    <w:p w14:paraId="31966782" w14:textId="3FAE052C" w:rsidR="00930D33" w:rsidRDefault="00710958" w:rsidP="0042347B">
      <w:pPr>
        <w:pStyle w:val="Naslov1"/>
        <w:numPr>
          <w:ilvl w:val="2"/>
          <w:numId w:val="33"/>
        </w:numPr>
      </w:pPr>
      <w:r w:rsidRPr="00710958">
        <w:lastRenderedPageBreak/>
        <w:t xml:space="preserve">Sklep o potrditvi </w:t>
      </w:r>
      <w:proofErr w:type="spellStart"/>
      <w:r w:rsidRPr="00710958">
        <w:t>novelacije</w:t>
      </w:r>
      <w:proofErr w:type="spellEnd"/>
      <w:r w:rsidRPr="00710958">
        <w:t xml:space="preserve"> investicijskega dokumenta</w:t>
      </w:r>
    </w:p>
    <w:p w14:paraId="0CE085CE" w14:textId="77777777" w:rsidR="00C1611E" w:rsidRPr="00C1611E" w:rsidRDefault="00C1611E" w:rsidP="00C1611E">
      <w:pPr>
        <w:rPr>
          <w:lang w:eastAsia="sl-SI"/>
        </w:rPr>
      </w:pPr>
    </w:p>
    <w:p w14:paraId="664C544F" w14:textId="411BBD19" w:rsidR="00771AD0" w:rsidRPr="00771AD0" w:rsidRDefault="00771AD0" w:rsidP="00771AD0">
      <w:pPr>
        <w:ind w:left="4" w:right="9"/>
        <w:jc w:val="both"/>
        <w:rPr>
          <w:rFonts w:cs="Arial"/>
        </w:rPr>
      </w:pPr>
      <w:r w:rsidRPr="00771AD0">
        <w:rPr>
          <w:rFonts w:cs="Arial"/>
        </w:rPr>
        <w:t xml:space="preserve">Dne 7. 9. 2023 je bil izdan Sklep o potrditvi </w:t>
      </w:r>
      <w:proofErr w:type="spellStart"/>
      <w:r w:rsidRPr="00771AD0">
        <w:rPr>
          <w:rFonts w:cs="Arial"/>
        </w:rPr>
        <w:t>novelacije</w:t>
      </w:r>
      <w:proofErr w:type="spellEnd"/>
      <w:r w:rsidRPr="00771AD0">
        <w:rPr>
          <w:rFonts w:cs="Arial"/>
        </w:rPr>
        <w:t xml:space="preserve"> investicijskega dokumenta, št. 303-121/2022-20, s katerim je potrjeno, da znaša predvidena vrednost programa 12.571.560,00 EUR z DDV. Sredstva za izvedbo projekta se bodo zagotavljala znotraj proračunskega Sklada za okrevanje in odpornost, skladno s proračunskimi možnostmi oziroma razpoložljivostjo sredstev sklada. Trajanje projekta je določeno do 30. junija 2026.</w:t>
      </w:r>
    </w:p>
    <w:p w14:paraId="304B9606" w14:textId="77777777" w:rsidR="00755F54" w:rsidRDefault="00755F54" w:rsidP="00710958">
      <w:pPr>
        <w:ind w:left="4" w:right="9"/>
        <w:jc w:val="both"/>
      </w:pPr>
    </w:p>
    <w:p w14:paraId="241B27F2" w14:textId="605EAE8A" w:rsidR="0042347B" w:rsidRPr="0042347B" w:rsidRDefault="00C1611E" w:rsidP="0042347B">
      <w:pPr>
        <w:pStyle w:val="Naslov1"/>
        <w:numPr>
          <w:ilvl w:val="2"/>
          <w:numId w:val="33"/>
        </w:numPr>
      </w:pPr>
      <w:r w:rsidRPr="00C1611E">
        <w:t xml:space="preserve">DODATEK št. </w:t>
      </w:r>
      <w:r w:rsidR="00C87344">
        <w:t>1</w:t>
      </w:r>
      <w:r w:rsidRPr="00C1611E">
        <w:t xml:space="preserve"> h</w:t>
      </w:r>
      <w:r>
        <w:t xml:space="preserve"> </w:t>
      </w:r>
      <w:r w:rsidRPr="00C1611E">
        <w:t>KROVNEMU SPORAZUMU o prenosu dela nalog in izvajanja ukrepov iz Načrta za okrevanje in odpornost</w:t>
      </w:r>
      <w:r>
        <w:t xml:space="preserve">: </w:t>
      </w:r>
      <w:r w:rsidRPr="00C1611E">
        <w:t xml:space="preserve">Št. krovnega sporazuma 303-53/2021/16, z dne 29. 7. </w:t>
      </w:r>
      <w:r w:rsidRPr="008061C4">
        <w:t>2022</w:t>
      </w:r>
    </w:p>
    <w:p w14:paraId="2A731E5E" w14:textId="77777777" w:rsidR="008061C4" w:rsidRDefault="008061C4" w:rsidP="008061C4">
      <w:pPr>
        <w:rPr>
          <w:lang w:eastAsia="sl-SI"/>
        </w:rPr>
      </w:pPr>
    </w:p>
    <w:p w14:paraId="3D322C17" w14:textId="6FC551DC" w:rsidR="00771AD0" w:rsidRDefault="00771AD0" w:rsidP="00771AD0">
      <w:pPr>
        <w:jc w:val="both"/>
        <w:rPr>
          <w:lang w:eastAsia="sl-SI"/>
        </w:rPr>
      </w:pPr>
      <w:r w:rsidRPr="00771AD0">
        <w:rPr>
          <w:lang w:eastAsia="sl-SI"/>
        </w:rPr>
        <w:t xml:space="preserve">V dodatku je navedeno, da je MVZI za izvajanje reforme C3.K8.RA ter investicij C3.K8.IB in C3.K8.IC v okviru Načrta za okrevanje in odpornost z ARIS sklenil Krovni sporazum o prenosu dela nalog in izvajanju ukrepov (št. 303-53/2021/16) z dne 29. </w:t>
      </w:r>
      <w:r>
        <w:rPr>
          <w:lang w:eastAsia="sl-SI"/>
        </w:rPr>
        <w:t>7.</w:t>
      </w:r>
      <w:r w:rsidRPr="00771AD0">
        <w:rPr>
          <w:lang w:eastAsia="sl-SI"/>
        </w:rPr>
        <w:t xml:space="preserve"> 2022. Reforma in investiciji se financirata iz sredstev Evropske unije – </w:t>
      </w:r>
      <w:proofErr w:type="spellStart"/>
      <w:r w:rsidRPr="00771AD0">
        <w:rPr>
          <w:lang w:eastAsia="sl-SI"/>
        </w:rPr>
        <w:t>NextGenerationEU</w:t>
      </w:r>
      <w:proofErr w:type="spellEnd"/>
      <w:r w:rsidRPr="00771AD0">
        <w:rPr>
          <w:lang w:eastAsia="sl-SI"/>
        </w:rPr>
        <w:t xml:space="preserve"> in se izvajata v okviru razvojnega področja C3: Pametna, trajnostna in vključujoča rast, komponente RRI – raziskave, razvoj in inovacije (C3.K8).</w:t>
      </w:r>
    </w:p>
    <w:p w14:paraId="3736E466" w14:textId="77777777" w:rsidR="0042347B" w:rsidRDefault="0042347B" w:rsidP="00771AD0">
      <w:pPr>
        <w:jc w:val="both"/>
        <w:rPr>
          <w:lang w:eastAsia="sl-SI"/>
        </w:rPr>
      </w:pPr>
    </w:p>
    <w:p w14:paraId="33528CB8" w14:textId="77777777" w:rsidR="008061C4" w:rsidRDefault="008061C4" w:rsidP="00075E9F">
      <w:pPr>
        <w:jc w:val="both"/>
        <w:rPr>
          <w:lang w:eastAsia="sl-SI"/>
        </w:rPr>
      </w:pPr>
      <w:r w:rsidRPr="008061C4">
        <w:rPr>
          <w:lang w:eastAsia="sl-SI"/>
        </w:rPr>
        <w:t>Z vladnim sklepom št. 41000-1/2023/9 z dne 16. marca 2023 so bila določena izhodišča za prilagoditev NOO, v okviru katerih sta bili vrednosti investicij prilagojeni na:</w:t>
      </w:r>
    </w:p>
    <w:p w14:paraId="01F12080" w14:textId="77777777" w:rsidR="0042347B" w:rsidRPr="008061C4" w:rsidRDefault="0042347B" w:rsidP="00075E9F">
      <w:pPr>
        <w:jc w:val="both"/>
        <w:rPr>
          <w:lang w:eastAsia="sl-SI"/>
        </w:rPr>
      </w:pPr>
    </w:p>
    <w:p w14:paraId="00ED2B04" w14:textId="77777777" w:rsidR="008061C4" w:rsidRPr="008061C4" w:rsidRDefault="008061C4" w:rsidP="00075E9F">
      <w:pPr>
        <w:numPr>
          <w:ilvl w:val="0"/>
          <w:numId w:val="28"/>
        </w:numPr>
        <w:rPr>
          <w:lang w:eastAsia="sl-SI"/>
        </w:rPr>
      </w:pPr>
      <w:r w:rsidRPr="008061C4">
        <w:rPr>
          <w:lang w:eastAsia="sl-SI"/>
        </w:rPr>
        <w:t>15.000.000 EUR za C3.K8.IB in</w:t>
      </w:r>
    </w:p>
    <w:p w14:paraId="2597E676" w14:textId="77777777" w:rsidR="008061C4" w:rsidRPr="008061C4" w:rsidRDefault="008061C4" w:rsidP="00075E9F">
      <w:pPr>
        <w:numPr>
          <w:ilvl w:val="0"/>
          <w:numId w:val="28"/>
        </w:numPr>
        <w:rPr>
          <w:lang w:eastAsia="sl-SI"/>
        </w:rPr>
      </w:pPr>
      <w:r w:rsidRPr="008061C4">
        <w:rPr>
          <w:lang w:eastAsia="sl-SI"/>
        </w:rPr>
        <w:t>12.571.560 EUR za C3.K8.IC.</w:t>
      </w:r>
    </w:p>
    <w:p w14:paraId="4F710493" w14:textId="77777777" w:rsidR="008061C4" w:rsidRDefault="008061C4" w:rsidP="008061C4">
      <w:pPr>
        <w:rPr>
          <w:lang w:eastAsia="sl-SI"/>
        </w:rPr>
      </w:pPr>
    </w:p>
    <w:p w14:paraId="0B84B1C7" w14:textId="6D787E24" w:rsidR="002F16E0" w:rsidRDefault="0035068B" w:rsidP="0042347B">
      <w:pPr>
        <w:pStyle w:val="Naslov1"/>
        <w:numPr>
          <w:ilvl w:val="2"/>
          <w:numId w:val="33"/>
        </w:numPr>
      </w:pPr>
      <w:r w:rsidRPr="00843B43">
        <w:t>Aneks št. 1 k POGODBI št. 3330-23-952001 o (so)financiranju ukrepa »Sofinanciranje projektov in programov za krepitev mednarodne mobilnosti slovenskih raziskovalcev in raziskovalnih organizacij ter za spodbujanje mednarodne vpetosti slovenskih prijaviteljev«</w:t>
      </w:r>
    </w:p>
    <w:p w14:paraId="14090FC1" w14:textId="77777777" w:rsidR="0035068B" w:rsidRDefault="0035068B" w:rsidP="0035068B">
      <w:pPr>
        <w:spacing w:line="240" w:lineRule="atLeast"/>
        <w:jc w:val="both"/>
        <w:rPr>
          <w:sz w:val="24"/>
        </w:rPr>
      </w:pPr>
    </w:p>
    <w:p w14:paraId="44FCE56A" w14:textId="35CA4AD0" w:rsidR="00771AD0" w:rsidRDefault="00771AD0" w:rsidP="00771AD0">
      <w:pPr>
        <w:spacing w:line="240" w:lineRule="atLeast"/>
        <w:jc w:val="both"/>
        <w:rPr>
          <w:szCs w:val="18"/>
        </w:rPr>
      </w:pPr>
      <w:r w:rsidRPr="00771AD0">
        <w:rPr>
          <w:szCs w:val="18"/>
        </w:rPr>
        <w:t xml:space="preserve">MVZI in ARIS sta dne 23. </w:t>
      </w:r>
      <w:r>
        <w:rPr>
          <w:szCs w:val="18"/>
        </w:rPr>
        <w:t>1.</w:t>
      </w:r>
      <w:r w:rsidRPr="00771AD0">
        <w:rPr>
          <w:szCs w:val="18"/>
        </w:rPr>
        <w:t xml:space="preserve"> 2024 sklenila Aneks št. 1 k pogodbi št. 3330-23-952001, v katerem je določeno, da se je, skladno s prilagoditvijo Načrta za okrevanje in odpornost, vrednost cilja projekta zmanjšala z 88 na 58 projektov mobilnosti in/ali reintegracije slovenskih raziskovalcev. Pri tem se je število projektov mobilnosti zmanjšalo z okvirno 52 na 42, število projektov reintegracije pa z okvirno 36 na 16.</w:t>
      </w:r>
    </w:p>
    <w:p w14:paraId="333B5816" w14:textId="77777777" w:rsidR="00771AD0" w:rsidRPr="00771AD0" w:rsidRDefault="00771AD0" w:rsidP="00771AD0">
      <w:pPr>
        <w:spacing w:line="240" w:lineRule="atLeast"/>
        <w:jc w:val="both"/>
        <w:rPr>
          <w:szCs w:val="18"/>
        </w:rPr>
      </w:pPr>
    </w:p>
    <w:p w14:paraId="4442340A" w14:textId="4D486C59" w:rsidR="000C6226" w:rsidRDefault="000C6226" w:rsidP="000C6226">
      <w:pPr>
        <w:ind w:left="9" w:right="4"/>
        <w:jc w:val="both"/>
        <w:rPr>
          <w:lang w:eastAsia="sl-SI"/>
        </w:rPr>
      </w:pPr>
      <w:r w:rsidRPr="000C6226">
        <w:rPr>
          <w:lang w:eastAsia="sl-SI"/>
        </w:rPr>
        <w:t>V 2. členu Aneksa je določeno, da mora biti do Q2 2026 vključenih 58 projektov mobilnosti in/ali reintegracije slovenskih raziskovalcev, od tega okvirno 42 projektov mobilnosti in okvirno 16 projektov reintegracije.</w:t>
      </w:r>
    </w:p>
    <w:p w14:paraId="15F7BA86" w14:textId="77777777" w:rsidR="000C6226" w:rsidRPr="000C6226" w:rsidRDefault="000C6226" w:rsidP="000C6226">
      <w:pPr>
        <w:ind w:left="9" w:right="4"/>
        <w:jc w:val="both"/>
        <w:rPr>
          <w:lang w:eastAsia="sl-SI"/>
        </w:rPr>
      </w:pPr>
    </w:p>
    <w:p w14:paraId="5246A968" w14:textId="6A92F2F4" w:rsidR="000C6226" w:rsidRDefault="00C87344" w:rsidP="00DD0B22">
      <w:pPr>
        <w:ind w:right="4"/>
        <w:jc w:val="both"/>
        <w:rPr>
          <w:lang w:eastAsia="sl-SI"/>
        </w:rPr>
      </w:pPr>
      <w:r>
        <w:rPr>
          <w:lang w:eastAsia="sl-SI"/>
        </w:rPr>
        <w:t>3</w:t>
      </w:r>
      <w:r w:rsidR="00DD0B22">
        <w:rPr>
          <w:lang w:eastAsia="sl-SI"/>
        </w:rPr>
        <w:t xml:space="preserve">. </w:t>
      </w:r>
      <w:r w:rsidR="000C6226" w:rsidRPr="000C6226">
        <w:rPr>
          <w:lang w:eastAsia="sl-SI"/>
        </w:rPr>
        <w:t>člen Aneksa določa, da se v 5. členu pogodbe drugi, tretji in četrti odstavek spremenijo tako, da se glasijo:</w:t>
      </w:r>
      <w:r w:rsidR="000C6226">
        <w:rPr>
          <w:lang w:eastAsia="sl-SI"/>
        </w:rPr>
        <w:t xml:space="preserve"> </w:t>
      </w:r>
      <w:r w:rsidR="000C6226" w:rsidRPr="000C6226">
        <w:rPr>
          <w:lang w:eastAsia="sl-SI"/>
        </w:rPr>
        <w:t>»Razpisana vrednost izvedbe javnega poziva, ki je predmet te pogodbe, je, kot izhaja iz drugega odstavka 2. člena krovnega sporazuma z Dodatkom št. 1 z dne 11. januarja 2024, ocenjena na največ 12.571.560,00 EUR, pri čemer gre za namensko podporo za financiranje v javnem pozivu izbranih projektov končnih prejemnikov.«</w:t>
      </w:r>
    </w:p>
    <w:p w14:paraId="009073A3" w14:textId="77777777" w:rsidR="00DD0B22" w:rsidRDefault="00DD0B22" w:rsidP="00DD0B22">
      <w:pPr>
        <w:ind w:right="4"/>
        <w:jc w:val="both"/>
        <w:rPr>
          <w:lang w:eastAsia="sl-SI"/>
        </w:rPr>
      </w:pPr>
    </w:p>
    <w:p w14:paraId="24254250" w14:textId="07C78D53" w:rsidR="008743F2" w:rsidRDefault="008743F2" w:rsidP="008743F2">
      <w:pPr>
        <w:ind w:left="9" w:right="4"/>
        <w:rPr>
          <w:rFonts w:cs="Arial"/>
          <w:szCs w:val="20"/>
        </w:rPr>
      </w:pPr>
      <w:r w:rsidRPr="008743F2">
        <w:rPr>
          <w:rFonts w:cs="Arial"/>
          <w:szCs w:val="20"/>
        </w:rPr>
        <w:t>Predvidena finančna dinamika po posameznih proračunskih letih je</w:t>
      </w:r>
      <w:r w:rsidR="00C87344">
        <w:rPr>
          <w:rFonts w:cs="Arial"/>
          <w:szCs w:val="20"/>
        </w:rPr>
        <w:t xml:space="preserve"> naslednja</w:t>
      </w:r>
      <w:r w:rsidRPr="008743F2">
        <w:rPr>
          <w:rFonts w:cs="Arial"/>
          <w:szCs w:val="20"/>
        </w:rPr>
        <w:t>:</w:t>
      </w:r>
    </w:p>
    <w:p w14:paraId="62954D92" w14:textId="77777777" w:rsidR="008743F2" w:rsidRPr="008743F2" w:rsidRDefault="008743F2" w:rsidP="008743F2">
      <w:pPr>
        <w:ind w:left="9" w:right="4"/>
        <w:rPr>
          <w:rFonts w:cs="Arial"/>
          <w:szCs w:val="20"/>
        </w:rPr>
      </w:pPr>
    </w:p>
    <w:tbl>
      <w:tblPr>
        <w:tblStyle w:val="TableGrid"/>
        <w:tblW w:w="3529" w:type="dxa"/>
        <w:tblInd w:w="12" w:type="dxa"/>
        <w:tblCellMar>
          <w:top w:w="36" w:type="dxa"/>
          <w:left w:w="103" w:type="dxa"/>
          <w:right w:w="115" w:type="dxa"/>
        </w:tblCellMar>
        <w:tblLook w:val="04A0" w:firstRow="1" w:lastRow="0" w:firstColumn="1" w:lastColumn="0" w:noHBand="0" w:noVBand="1"/>
      </w:tblPr>
      <w:tblGrid>
        <w:gridCol w:w="1403"/>
        <w:gridCol w:w="2126"/>
      </w:tblGrid>
      <w:tr w:rsidR="008743F2" w:rsidRPr="008743F2" w14:paraId="22A3D8A9" w14:textId="77777777" w:rsidTr="008743F2">
        <w:trPr>
          <w:trHeight w:val="259"/>
        </w:trPr>
        <w:tc>
          <w:tcPr>
            <w:tcW w:w="1403" w:type="dxa"/>
            <w:tcBorders>
              <w:top w:val="single" w:sz="2" w:space="0" w:color="000000"/>
              <w:left w:val="single" w:sz="2" w:space="0" w:color="000000"/>
              <w:bottom w:val="single" w:sz="2" w:space="0" w:color="000000"/>
              <w:right w:val="single" w:sz="2" w:space="0" w:color="000000"/>
            </w:tcBorders>
            <w:vAlign w:val="center"/>
          </w:tcPr>
          <w:p w14:paraId="446DBCBF" w14:textId="0DCE2EC1" w:rsidR="008743F2" w:rsidRPr="008743F2" w:rsidRDefault="008743F2" w:rsidP="008743F2">
            <w:pPr>
              <w:rPr>
                <w:rFonts w:cs="Arial"/>
                <w:sz w:val="16"/>
                <w:szCs w:val="16"/>
              </w:rPr>
            </w:pPr>
            <w:r w:rsidRPr="008743F2">
              <w:rPr>
                <w:rFonts w:cs="Arial"/>
                <w:sz w:val="16"/>
                <w:szCs w:val="16"/>
              </w:rPr>
              <w:t>Leto</w:t>
            </w:r>
            <w:r w:rsidR="00AF3393">
              <w:rPr>
                <w:rFonts w:cs="Arial"/>
                <w:sz w:val="16"/>
                <w:szCs w:val="16"/>
              </w:rPr>
              <w:t xml:space="preserve"> </w:t>
            </w:r>
            <w:r w:rsidRPr="008743F2">
              <w:rPr>
                <w:rFonts w:cs="Arial"/>
                <w:sz w:val="16"/>
                <w:szCs w:val="16"/>
              </w:rPr>
              <w:t>/</w:t>
            </w:r>
            <w:r w:rsidR="00AF3393">
              <w:rPr>
                <w:rFonts w:cs="Arial"/>
                <w:sz w:val="16"/>
                <w:szCs w:val="16"/>
              </w:rPr>
              <w:t xml:space="preserve"> </w:t>
            </w:r>
            <w:r w:rsidRPr="008743F2">
              <w:rPr>
                <w:rFonts w:cs="Arial"/>
                <w:sz w:val="16"/>
                <w:szCs w:val="16"/>
              </w:rPr>
              <w:t>PP</w:t>
            </w:r>
          </w:p>
        </w:tc>
        <w:tc>
          <w:tcPr>
            <w:tcW w:w="2126" w:type="dxa"/>
            <w:tcBorders>
              <w:top w:val="single" w:sz="2" w:space="0" w:color="000000"/>
              <w:left w:val="single" w:sz="2" w:space="0" w:color="000000"/>
              <w:bottom w:val="single" w:sz="2" w:space="0" w:color="000000"/>
              <w:right w:val="single" w:sz="2" w:space="0" w:color="000000"/>
            </w:tcBorders>
            <w:vAlign w:val="center"/>
          </w:tcPr>
          <w:p w14:paraId="40EEC261" w14:textId="77777777" w:rsidR="008743F2" w:rsidRPr="008743F2" w:rsidRDefault="008743F2" w:rsidP="008743F2">
            <w:pPr>
              <w:ind w:left="17"/>
              <w:rPr>
                <w:rFonts w:cs="Arial"/>
                <w:sz w:val="16"/>
                <w:szCs w:val="16"/>
              </w:rPr>
            </w:pPr>
            <w:r w:rsidRPr="008743F2">
              <w:rPr>
                <w:rFonts w:cs="Arial"/>
                <w:sz w:val="16"/>
                <w:szCs w:val="16"/>
              </w:rPr>
              <w:t>PP 221166 (EUR)</w:t>
            </w:r>
          </w:p>
        </w:tc>
      </w:tr>
      <w:tr w:rsidR="008743F2" w:rsidRPr="008743F2" w14:paraId="6CFDB107" w14:textId="77777777" w:rsidTr="008743F2">
        <w:trPr>
          <w:trHeight w:val="266"/>
        </w:trPr>
        <w:tc>
          <w:tcPr>
            <w:tcW w:w="1403" w:type="dxa"/>
            <w:tcBorders>
              <w:top w:val="single" w:sz="2" w:space="0" w:color="000000"/>
              <w:left w:val="single" w:sz="2" w:space="0" w:color="000000"/>
              <w:bottom w:val="single" w:sz="2" w:space="0" w:color="000000"/>
              <w:right w:val="single" w:sz="2" w:space="0" w:color="000000"/>
            </w:tcBorders>
            <w:vAlign w:val="center"/>
          </w:tcPr>
          <w:p w14:paraId="02BB8192" w14:textId="77777777" w:rsidR="008743F2" w:rsidRPr="008743F2" w:rsidRDefault="008743F2" w:rsidP="008743F2">
            <w:pPr>
              <w:rPr>
                <w:rFonts w:cs="Arial"/>
                <w:sz w:val="16"/>
                <w:szCs w:val="16"/>
              </w:rPr>
            </w:pPr>
            <w:r w:rsidRPr="008743F2">
              <w:rPr>
                <w:rFonts w:eastAsia="Times New Roman" w:cs="Arial"/>
                <w:sz w:val="16"/>
                <w:szCs w:val="16"/>
              </w:rPr>
              <w:t>2023</w:t>
            </w:r>
          </w:p>
        </w:tc>
        <w:tc>
          <w:tcPr>
            <w:tcW w:w="2126" w:type="dxa"/>
            <w:tcBorders>
              <w:top w:val="single" w:sz="2" w:space="0" w:color="000000"/>
              <w:left w:val="single" w:sz="2" w:space="0" w:color="000000"/>
              <w:bottom w:val="single" w:sz="2" w:space="0" w:color="000000"/>
              <w:right w:val="single" w:sz="2" w:space="0" w:color="000000"/>
            </w:tcBorders>
            <w:vAlign w:val="center"/>
          </w:tcPr>
          <w:p w14:paraId="6E667E06" w14:textId="77777777" w:rsidR="008743F2" w:rsidRPr="008743F2" w:rsidRDefault="008743F2" w:rsidP="008743F2">
            <w:pPr>
              <w:ind w:left="17"/>
              <w:rPr>
                <w:rFonts w:cs="Arial"/>
                <w:sz w:val="16"/>
                <w:szCs w:val="16"/>
              </w:rPr>
            </w:pPr>
            <w:r w:rsidRPr="008743F2">
              <w:rPr>
                <w:rFonts w:eastAsia="Times New Roman" w:cs="Arial"/>
                <w:sz w:val="16"/>
                <w:szCs w:val="16"/>
              </w:rPr>
              <w:t>113.527,66</w:t>
            </w:r>
          </w:p>
        </w:tc>
      </w:tr>
      <w:tr w:rsidR="008743F2" w:rsidRPr="008743F2" w14:paraId="5D837263" w14:textId="77777777" w:rsidTr="008743F2">
        <w:trPr>
          <w:trHeight w:val="252"/>
        </w:trPr>
        <w:tc>
          <w:tcPr>
            <w:tcW w:w="1403" w:type="dxa"/>
            <w:tcBorders>
              <w:top w:val="single" w:sz="2" w:space="0" w:color="000000"/>
              <w:left w:val="single" w:sz="2" w:space="0" w:color="000000"/>
              <w:bottom w:val="single" w:sz="2" w:space="0" w:color="000000"/>
              <w:right w:val="single" w:sz="2" w:space="0" w:color="000000"/>
            </w:tcBorders>
            <w:vAlign w:val="center"/>
          </w:tcPr>
          <w:p w14:paraId="5B7D4C42" w14:textId="77777777" w:rsidR="008743F2" w:rsidRPr="008743F2" w:rsidRDefault="008743F2" w:rsidP="008743F2">
            <w:pPr>
              <w:ind w:left="5"/>
              <w:rPr>
                <w:rFonts w:cs="Arial"/>
                <w:sz w:val="16"/>
                <w:szCs w:val="16"/>
              </w:rPr>
            </w:pPr>
            <w:r w:rsidRPr="008743F2">
              <w:rPr>
                <w:rFonts w:eastAsia="Times New Roman" w:cs="Arial"/>
                <w:sz w:val="16"/>
                <w:szCs w:val="16"/>
              </w:rPr>
              <w:t>2024</w:t>
            </w:r>
          </w:p>
        </w:tc>
        <w:tc>
          <w:tcPr>
            <w:tcW w:w="2126" w:type="dxa"/>
            <w:tcBorders>
              <w:top w:val="single" w:sz="2" w:space="0" w:color="000000"/>
              <w:left w:val="single" w:sz="2" w:space="0" w:color="000000"/>
              <w:bottom w:val="single" w:sz="2" w:space="0" w:color="000000"/>
              <w:right w:val="single" w:sz="2" w:space="0" w:color="000000"/>
            </w:tcBorders>
            <w:vAlign w:val="center"/>
          </w:tcPr>
          <w:p w14:paraId="70E35D69" w14:textId="77777777" w:rsidR="008743F2" w:rsidRPr="008743F2" w:rsidRDefault="008743F2" w:rsidP="008743F2">
            <w:pPr>
              <w:ind w:left="2"/>
              <w:rPr>
                <w:rFonts w:cs="Arial"/>
                <w:sz w:val="16"/>
                <w:szCs w:val="16"/>
              </w:rPr>
            </w:pPr>
            <w:r w:rsidRPr="008743F2">
              <w:rPr>
                <w:rFonts w:eastAsia="Times New Roman" w:cs="Arial"/>
                <w:sz w:val="16"/>
                <w:szCs w:val="16"/>
              </w:rPr>
              <w:t>4.056.780,00</w:t>
            </w:r>
          </w:p>
        </w:tc>
      </w:tr>
      <w:tr w:rsidR="008743F2" w:rsidRPr="008743F2" w14:paraId="1868EED3" w14:textId="77777777" w:rsidTr="008743F2">
        <w:trPr>
          <w:trHeight w:val="259"/>
        </w:trPr>
        <w:tc>
          <w:tcPr>
            <w:tcW w:w="1403" w:type="dxa"/>
            <w:tcBorders>
              <w:top w:val="single" w:sz="2" w:space="0" w:color="000000"/>
              <w:left w:val="single" w:sz="2" w:space="0" w:color="000000"/>
              <w:bottom w:val="single" w:sz="2" w:space="0" w:color="000000"/>
              <w:right w:val="single" w:sz="2" w:space="0" w:color="000000"/>
            </w:tcBorders>
            <w:vAlign w:val="center"/>
          </w:tcPr>
          <w:p w14:paraId="16C839E0" w14:textId="77777777" w:rsidR="008743F2" w:rsidRPr="008743F2" w:rsidRDefault="008743F2" w:rsidP="008743F2">
            <w:pPr>
              <w:ind w:left="5"/>
              <w:rPr>
                <w:rFonts w:cs="Arial"/>
                <w:sz w:val="16"/>
                <w:szCs w:val="16"/>
              </w:rPr>
            </w:pPr>
            <w:r w:rsidRPr="008743F2">
              <w:rPr>
                <w:rFonts w:eastAsia="Times New Roman" w:cs="Arial"/>
                <w:sz w:val="16"/>
                <w:szCs w:val="16"/>
              </w:rPr>
              <w:t>2025</w:t>
            </w:r>
          </w:p>
        </w:tc>
        <w:tc>
          <w:tcPr>
            <w:tcW w:w="2126" w:type="dxa"/>
            <w:tcBorders>
              <w:top w:val="single" w:sz="2" w:space="0" w:color="000000"/>
              <w:left w:val="single" w:sz="2" w:space="0" w:color="000000"/>
              <w:bottom w:val="single" w:sz="2" w:space="0" w:color="000000"/>
              <w:right w:val="single" w:sz="2" w:space="0" w:color="000000"/>
            </w:tcBorders>
            <w:vAlign w:val="center"/>
          </w:tcPr>
          <w:p w14:paraId="1A610E29" w14:textId="77777777" w:rsidR="008743F2" w:rsidRPr="008743F2" w:rsidRDefault="008743F2" w:rsidP="008743F2">
            <w:pPr>
              <w:ind w:left="2"/>
              <w:rPr>
                <w:rFonts w:cs="Arial"/>
                <w:sz w:val="16"/>
                <w:szCs w:val="16"/>
              </w:rPr>
            </w:pPr>
            <w:r w:rsidRPr="008743F2">
              <w:rPr>
                <w:rFonts w:eastAsia="Times New Roman" w:cs="Arial"/>
                <w:sz w:val="16"/>
                <w:szCs w:val="16"/>
              </w:rPr>
              <w:t>4.636.320,00</w:t>
            </w:r>
          </w:p>
        </w:tc>
      </w:tr>
      <w:tr w:rsidR="008743F2" w:rsidRPr="008743F2" w14:paraId="4A8AFCAC" w14:textId="77777777" w:rsidTr="008743F2">
        <w:trPr>
          <w:trHeight w:val="266"/>
        </w:trPr>
        <w:tc>
          <w:tcPr>
            <w:tcW w:w="1403" w:type="dxa"/>
            <w:tcBorders>
              <w:top w:val="single" w:sz="2" w:space="0" w:color="000000"/>
              <w:left w:val="single" w:sz="2" w:space="0" w:color="000000"/>
              <w:bottom w:val="single" w:sz="2" w:space="0" w:color="000000"/>
              <w:right w:val="single" w:sz="2" w:space="0" w:color="000000"/>
            </w:tcBorders>
            <w:vAlign w:val="center"/>
          </w:tcPr>
          <w:p w14:paraId="0C9EC369" w14:textId="77777777" w:rsidR="008743F2" w:rsidRPr="008743F2" w:rsidRDefault="008743F2" w:rsidP="008743F2">
            <w:pPr>
              <w:rPr>
                <w:rFonts w:cs="Arial"/>
                <w:sz w:val="16"/>
                <w:szCs w:val="16"/>
              </w:rPr>
            </w:pPr>
            <w:r w:rsidRPr="008743F2">
              <w:rPr>
                <w:rFonts w:eastAsia="Times New Roman" w:cs="Arial"/>
                <w:sz w:val="16"/>
                <w:szCs w:val="16"/>
              </w:rPr>
              <w:t>2026</w:t>
            </w:r>
          </w:p>
        </w:tc>
        <w:tc>
          <w:tcPr>
            <w:tcW w:w="2126" w:type="dxa"/>
            <w:tcBorders>
              <w:top w:val="single" w:sz="2" w:space="0" w:color="000000"/>
              <w:left w:val="single" w:sz="2" w:space="0" w:color="000000"/>
              <w:bottom w:val="single" w:sz="2" w:space="0" w:color="000000"/>
              <w:right w:val="single" w:sz="2" w:space="0" w:color="000000"/>
            </w:tcBorders>
            <w:vAlign w:val="center"/>
          </w:tcPr>
          <w:p w14:paraId="41BB53CF" w14:textId="77777777" w:rsidR="008743F2" w:rsidRPr="008743F2" w:rsidRDefault="008743F2" w:rsidP="008743F2">
            <w:pPr>
              <w:ind w:left="7"/>
              <w:rPr>
                <w:rFonts w:cs="Arial"/>
                <w:sz w:val="16"/>
                <w:szCs w:val="16"/>
              </w:rPr>
            </w:pPr>
            <w:r w:rsidRPr="008743F2">
              <w:rPr>
                <w:rFonts w:eastAsia="Times New Roman" w:cs="Arial"/>
                <w:sz w:val="16"/>
                <w:szCs w:val="16"/>
              </w:rPr>
              <w:t>3.764.932,34</w:t>
            </w:r>
          </w:p>
        </w:tc>
      </w:tr>
      <w:tr w:rsidR="008743F2" w:rsidRPr="008743F2" w14:paraId="3D970073" w14:textId="77777777" w:rsidTr="008743F2">
        <w:trPr>
          <w:trHeight w:val="259"/>
        </w:trPr>
        <w:tc>
          <w:tcPr>
            <w:tcW w:w="1403" w:type="dxa"/>
            <w:tcBorders>
              <w:top w:val="single" w:sz="2" w:space="0" w:color="000000"/>
              <w:left w:val="single" w:sz="2" w:space="0" w:color="000000"/>
              <w:bottom w:val="single" w:sz="2" w:space="0" w:color="000000"/>
              <w:right w:val="single" w:sz="2" w:space="0" w:color="000000"/>
            </w:tcBorders>
            <w:vAlign w:val="center"/>
          </w:tcPr>
          <w:p w14:paraId="510C2F78" w14:textId="77777777" w:rsidR="008743F2" w:rsidRPr="008743F2" w:rsidRDefault="008743F2" w:rsidP="008743F2">
            <w:pPr>
              <w:ind w:left="5"/>
              <w:rPr>
                <w:rFonts w:cs="Arial"/>
                <w:sz w:val="16"/>
                <w:szCs w:val="16"/>
              </w:rPr>
            </w:pPr>
            <w:r w:rsidRPr="008743F2">
              <w:rPr>
                <w:rFonts w:cs="Arial"/>
                <w:sz w:val="16"/>
                <w:szCs w:val="16"/>
              </w:rPr>
              <w:t>Skupaj:</w:t>
            </w:r>
          </w:p>
        </w:tc>
        <w:tc>
          <w:tcPr>
            <w:tcW w:w="2126" w:type="dxa"/>
            <w:tcBorders>
              <w:top w:val="single" w:sz="2" w:space="0" w:color="000000"/>
              <w:left w:val="single" w:sz="2" w:space="0" w:color="000000"/>
              <w:bottom w:val="single" w:sz="2" w:space="0" w:color="000000"/>
              <w:right w:val="single" w:sz="2" w:space="0" w:color="000000"/>
            </w:tcBorders>
            <w:vAlign w:val="center"/>
          </w:tcPr>
          <w:p w14:paraId="5B85F864" w14:textId="77777777" w:rsidR="008743F2" w:rsidRPr="008743F2" w:rsidRDefault="008743F2" w:rsidP="008743F2">
            <w:pPr>
              <w:ind w:left="17"/>
              <w:rPr>
                <w:rFonts w:cs="Arial"/>
                <w:sz w:val="16"/>
                <w:szCs w:val="16"/>
              </w:rPr>
            </w:pPr>
            <w:r w:rsidRPr="008743F2">
              <w:rPr>
                <w:rFonts w:eastAsia="Times New Roman" w:cs="Arial"/>
                <w:sz w:val="16"/>
                <w:szCs w:val="16"/>
              </w:rPr>
              <w:t>12.571.560,00</w:t>
            </w:r>
          </w:p>
        </w:tc>
      </w:tr>
    </w:tbl>
    <w:p w14:paraId="64F919BC" w14:textId="7C2D3683" w:rsidR="008743F2" w:rsidRDefault="008743F2" w:rsidP="008743F2">
      <w:pPr>
        <w:ind w:left="9" w:right="4"/>
        <w:jc w:val="both"/>
        <w:rPr>
          <w:rFonts w:cs="Arial"/>
          <w:szCs w:val="20"/>
        </w:rPr>
      </w:pPr>
      <w:r w:rsidRPr="008743F2">
        <w:rPr>
          <w:rFonts w:cs="Arial"/>
          <w:szCs w:val="20"/>
        </w:rPr>
        <w:lastRenderedPageBreak/>
        <w:t>Skupna pogodbena vrednost za izvedbo javnega poziva, ki je predmet te pogodbe, znaša največ do 12.571.560,</w:t>
      </w:r>
      <w:r w:rsidR="00C87344">
        <w:rPr>
          <w:rFonts w:cs="Arial"/>
          <w:szCs w:val="20"/>
        </w:rPr>
        <w:t>00</w:t>
      </w:r>
      <w:r w:rsidRPr="008743F2">
        <w:rPr>
          <w:rFonts w:cs="Arial"/>
          <w:szCs w:val="20"/>
        </w:rPr>
        <w:t xml:space="preserve"> EUR.</w:t>
      </w:r>
    </w:p>
    <w:p w14:paraId="59AEDB70" w14:textId="77777777" w:rsidR="008743F2" w:rsidRDefault="008743F2" w:rsidP="008743F2">
      <w:pPr>
        <w:jc w:val="both"/>
      </w:pPr>
    </w:p>
    <w:p w14:paraId="7DB3FD50" w14:textId="06E0AE4E" w:rsidR="0042347B" w:rsidRPr="0042347B" w:rsidRDefault="00FC0FC8" w:rsidP="0042347B">
      <w:pPr>
        <w:pStyle w:val="Naslov1"/>
        <w:numPr>
          <w:ilvl w:val="2"/>
          <w:numId w:val="33"/>
        </w:numPr>
        <w:rPr>
          <w:rFonts w:eastAsia="Arial"/>
        </w:rPr>
      </w:pPr>
      <w:r w:rsidRPr="00843B43">
        <w:rPr>
          <w:rFonts w:eastAsia="Arial"/>
        </w:rPr>
        <w:t>Soglasje na dokumentacijo javnega poziva ukrepa C3.K8.IC</w:t>
      </w:r>
    </w:p>
    <w:p w14:paraId="1173C584" w14:textId="77777777" w:rsidR="00FC0FC8" w:rsidRDefault="00FC0FC8" w:rsidP="00FC0FC8">
      <w:pPr>
        <w:rPr>
          <w:lang w:eastAsia="sl-SI"/>
        </w:rPr>
      </w:pPr>
    </w:p>
    <w:p w14:paraId="63E2D873" w14:textId="18378EE9" w:rsidR="00FC0FC8" w:rsidRPr="001B612C" w:rsidRDefault="001B612C" w:rsidP="00FC0FC8">
      <w:pPr>
        <w:ind w:left="23"/>
        <w:jc w:val="both"/>
        <w:rPr>
          <w:lang w:eastAsia="sl-SI"/>
        </w:rPr>
      </w:pPr>
      <w:r w:rsidRPr="001B612C">
        <w:rPr>
          <w:lang w:eastAsia="sl-SI"/>
        </w:rPr>
        <w:t xml:space="preserve">Dne 30. </w:t>
      </w:r>
      <w:r>
        <w:rPr>
          <w:lang w:eastAsia="sl-SI"/>
        </w:rPr>
        <w:t>1.</w:t>
      </w:r>
      <w:r w:rsidRPr="001B612C">
        <w:rPr>
          <w:lang w:eastAsia="sl-SI"/>
        </w:rPr>
        <w:t xml:space="preserve"> 2023 (št. zadeve 303-121/2022/11) je </w:t>
      </w:r>
      <w:r>
        <w:rPr>
          <w:lang w:eastAsia="sl-SI"/>
        </w:rPr>
        <w:t>MVZI</w:t>
      </w:r>
      <w:r w:rsidRPr="001B612C">
        <w:rPr>
          <w:lang w:eastAsia="sl-SI"/>
        </w:rPr>
        <w:t xml:space="preserve"> s strani </w:t>
      </w:r>
      <w:r>
        <w:rPr>
          <w:lang w:eastAsia="sl-SI"/>
        </w:rPr>
        <w:t>ARIS</w:t>
      </w:r>
      <w:r w:rsidRPr="001B612C">
        <w:rPr>
          <w:lang w:eastAsia="sl-SI"/>
        </w:rPr>
        <w:t xml:space="preserve"> prejel dokumentacijo javnega poziva za sofinanciranje projektov za krepitev mednarodne mobilnosti slovenskih raziskovalcev in raziskovalnih organizacij ter za spodbujanje mednarodne vpetosti slovenskih prijaviteljev v okviru Načrta za okrevanje in odpornost, vključno z razpisno dokumentacijo in metodologijo (so)financiranja. Po pregledu besedila javnega poziva in pripadajoče dokumentacije je </w:t>
      </w:r>
      <w:r>
        <w:rPr>
          <w:lang w:eastAsia="sl-SI"/>
        </w:rPr>
        <w:t xml:space="preserve">MVZI </w:t>
      </w:r>
      <w:r w:rsidRPr="001B612C">
        <w:rPr>
          <w:lang w:eastAsia="sl-SI"/>
        </w:rPr>
        <w:t>potrdil, da je bila dokumentacija pripravljena v skladu z določili Načrta za okrevanje in odpornost, krovnim sporazumom št. 303-53/2021/16 ter pogodbo št. C3330-23-952001 o sofinanciranju ukrepa.</w:t>
      </w:r>
    </w:p>
    <w:p w14:paraId="117A9836" w14:textId="77777777" w:rsidR="00F9541E" w:rsidRDefault="00F9541E" w:rsidP="00FC0FC8">
      <w:pPr>
        <w:ind w:left="23"/>
        <w:jc w:val="both"/>
      </w:pPr>
    </w:p>
    <w:p w14:paraId="431C3523" w14:textId="51BE8BA8" w:rsidR="0042347B" w:rsidRPr="0042347B" w:rsidRDefault="00FC0FC8" w:rsidP="0042347B">
      <w:pPr>
        <w:pStyle w:val="Naslov1"/>
        <w:numPr>
          <w:ilvl w:val="2"/>
          <w:numId w:val="33"/>
        </w:numPr>
      </w:pPr>
      <w:r w:rsidRPr="00FC0FC8">
        <w:t>Soglasje na Spremembo javnega poziva za (so)financiranje projektov in programov za krepitev mednarodne mobilnosti slovenskih raziskovalcev in raziskovalnih organizacij ter za spodbujanje mednarodne vpetosti slovenskih prijaviteljev</w:t>
      </w:r>
    </w:p>
    <w:p w14:paraId="79B9D543" w14:textId="77777777" w:rsidR="00FC0FC8" w:rsidRDefault="00FC0FC8" w:rsidP="00FC0FC8">
      <w:pPr>
        <w:ind w:left="23"/>
        <w:jc w:val="both"/>
      </w:pPr>
    </w:p>
    <w:p w14:paraId="7B59856E" w14:textId="2672401C" w:rsidR="001B612C" w:rsidRPr="001B612C" w:rsidRDefault="001B612C" w:rsidP="00FC0FC8">
      <w:pPr>
        <w:ind w:left="23"/>
        <w:jc w:val="both"/>
      </w:pPr>
      <w:r w:rsidRPr="001B612C">
        <w:t xml:space="preserve">Dne 4. </w:t>
      </w:r>
      <w:r>
        <w:t>3.</w:t>
      </w:r>
      <w:r w:rsidRPr="001B612C">
        <w:t xml:space="preserve"> 2024 (št. zadeve 303-121/2022-56) je </w:t>
      </w:r>
      <w:r>
        <w:t>MVZI</w:t>
      </w:r>
      <w:r w:rsidRPr="001B612C">
        <w:t xml:space="preserve"> </w:t>
      </w:r>
      <w:r w:rsidR="007310F3">
        <w:t>od</w:t>
      </w:r>
      <w:r w:rsidRPr="001B612C">
        <w:t xml:space="preserve"> </w:t>
      </w:r>
      <w:r>
        <w:t>ARIS</w:t>
      </w:r>
      <w:r w:rsidR="007310F3">
        <w:t>-a</w:t>
      </w:r>
      <w:r w:rsidRPr="001B612C">
        <w:t xml:space="preserve"> prejel dokumentacijo o spremembi javnega poziva za (so)financiranje projektov in programov za krepitev mednarodne mobilnosti slovenskih raziskovalcev ter za spodbujanje mednarodne vpetosti slovenskih prijaviteljev. Po pregledu besedila javnega poziva, razpisne dokumentacije in metodologije (so)financiranja je </w:t>
      </w:r>
      <w:r>
        <w:t>MVZI</w:t>
      </w:r>
      <w:r w:rsidRPr="001B612C">
        <w:t xml:space="preserve"> potrdil, da je bila dokumentacija pripravljena v skladu s prilagoditvijo Načrta za okrevanje in odpornost, Dodatkom št. 1 h krovnemu sporazumu ter Aneksom št. 1 k pogodbi št. C3330-23-952001.</w:t>
      </w:r>
    </w:p>
    <w:p w14:paraId="4B9DC1A8" w14:textId="77777777" w:rsidR="004B47B8" w:rsidRPr="004B47B8" w:rsidRDefault="004B47B8" w:rsidP="004B47B8">
      <w:pPr>
        <w:rPr>
          <w:lang w:eastAsia="sl-SI"/>
        </w:rPr>
      </w:pPr>
    </w:p>
    <w:p w14:paraId="618F9DA9" w14:textId="1CBB96C4" w:rsidR="00DC28D1" w:rsidRDefault="00130F1E" w:rsidP="0042347B">
      <w:pPr>
        <w:pStyle w:val="Naslov1"/>
        <w:numPr>
          <w:ilvl w:val="1"/>
          <w:numId w:val="33"/>
        </w:numPr>
      </w:pPr>
      <w:r w:rsidRPr="0042347B">
        <w:t>Ponovno</w:t>
      </w:r>
      <w:r w:rsidR="00F36979" w:rsidRPr="0042347B">
        <w:t xml:space="preserve"> znižanj</w:t>
      </w:r>
      <w:r w:rsidRPr="0042347B">
        <w:t>e</w:t>
      </w:r>
      <w:r w:rsidR="00F36979" w:rsidRPr="0042347B">
        <w:t xml:space="preserve"> vrednosti projekta</w:t>
      </w:r>
    </w:p>
    <w:p w14:paraId="778EF604" w14:textId="77777777" w:rsidR="00C6524B" w:rsidRDefault="00C6524B" w:rsidP="00575A62">
      <w:pPr>
        <w:tabs>
          <w:tab w:val="left" w:pos="5114"/>
        </w:tabs>
        <w:spacing w:line="260" w:lineRule="exact"/>
        <w:jc w:val="both"/>
        <w:rPr>
          <w:rFonts w:cs="Arial"/>
          <w:szCs w:val="20"/>
        </w:rPr>
      </w:pPr>
    </w:p>
    <w:p w14:paraId="305C778D" w14:textId="1C27CE2C" w:rsidR="00F76C8B" w:rsidRDefault="009218FD" w:rsidP="00575A62">
      <w:pPr>
        <w:tabs>
          <w:tab w:val="left" w:pos="5114"/>
        </w:tabs>
        <w:spacing w:line="260" w:lineRule="exact"/>
        <w:jc w:val="both"/>
        <w:rPr>
          <w:rFonts w:cs="Arial"/>
          <w:szCs w:val="20"/>
        </w:rPr>
      </w:pPr>
      <w:r>
        <w:rPr>
          <w:rFonts w:cs="Arial"/>
          <w:szCs w:val="20"/>
        </w:rPr>
        <w:t>MVZI je inšpekcijskemu organu pojasnil</w:t>
      </w:r>
      <w:r w:rsidR="000630C5" w:rsidRPr="005C7B94">
        <w:rPr>
          <w:rFonts w:cs="Arial"/>
          <w:szCs w:val="20"/>
        </w:rPr>
        <w:t>,</w:t>
      </w:r>
      <w:r w:rsidR="00575A62" w:rsidRPr="005C7B94">
        <w:rPr>
          <w:rFonts w:cs="Arial"/>
          <w:szCs w:val="20"/>
        </w:rPr>
        <w:t xml:space="preserve"> da se pripravlja tudi tretja sprememba zadevnega javnega poziva z namenom dodatnega znižanja števila slovenskih podoktorskih raziskovalk ali raziskovalcev za katere se bo (so)financiralo mednarodno mobilnost in/ali reintegracijo, in sicer na skupaj 33 (iz prejšnjih 58). Ravno tako se predvideva tudi dodatno znižanje sredstev na skupaj 5.769.227,00 EUR (iz prejšnjih 12.571.560,00 EUR). </w:t>
      </w:r>
    </w:p>
    <w:p w14:paraId="0263ABEF" w14:textId="77777777" w:rsidR="00F76C8B" w:rsidRDefault="00F76C8B" w:rsidP="00575A62">
      <w:pPr>
        <w:tabs>
          <w:tab w:val="left" w:pos="5114"/>
        </w:tabs>
        <w:spacing w:line="260" w:lineRule="exact"/>
        <w:jc w:val="both"/>
        <w:rPr>
          <w:rFonts w:cs="Arial"/>
          <w:szCs w:val="20"/>
        </w:rPr>
      </w:pPr>
    </w:p>
    <w:p w14:paraId="05411530" w14:textId="305DC7E5" w:rsidR="00575A62" w:rsidRDefault="00575A62" w:rsidP="00575A62">
      <w:pPr>
        <w:tabs>
          <w:tab w:val="left" w:pos="5114"/>
        </w:tabs>
        <w:spacing w:line="260" w:lineRule="exact"/>
        <w:jc w:val="both"/>
        <w:rPr>
          <w:rFonts w:cs="Arial"/>
          <w:szCs w:val="20"/>
        </w:rPr>
      </w:pPr>
      <w:r w:rsidRPr="005C7B94">
        <w:rPr>
          <w:rFonts w:cs="Arial"/>
          <w:szCs w:val="20"/>
        </w:rPr>
        <w:t>Pojasnili so, da je do znižanja sredstev (tako z drugo spremembo kot tudi s prihajajočo tretjo spremembo javnega poziva) prišlo iz razloga, ker se je izkazalo, da je bil iz ciljne skupine slovenskih podoktorskih raziskovalk ali raziskovalcev, ki bi se upravičeno lahko prijavili za (so)financiranje njihove mednarodne mobilnosti in/ali reintegracijo, odziv manjši od pričakovanega, čeprav so bili aktivni pri obveščanju JRO in so jim na njihove elektronske naslove poslali vprašalnik in dopis za najavo prijav na javni poziv.</w:t>
      </w:r>
    </w:p>
    <w:p w14:paraId="7095C648" w14:textId="77777777" w:rsidR="00DC28D1" w:rsidRDefault="00DC28D1" w:rsidP="00575A62">
      <w:pPr>
        <w:tabs>
          <w:tab w:val="left" w:pos="5114"/>
        </w:tabs>
        <w:spacing w:line="260" w:lineRule="exact"/>
        <w:jc w:val="both"/>
        <w:rPr>
          <w:rFonts w:cs="Arial"/>
          <w:szCs w:val="20"/>
        </w:rPr>
      </w:pPr>
    </w:p>
    <w:p w14:paraId="285F0EC1" w14:textId="203FDF65" w:rsidR="00DC28D1" w:rsidRDefault="00DC28D1" w:rsidP="00DC28D1">
      <w:pPr>
        <w:tabs>
          <w:tab w:val="left" w:pos="5114"/>
        </w:tabs>
        <w:spacing w:line="260" w:lineRule="exact"/>
        <w:jc w:val="both"/>
        <w:rPr>
          <w:rFonts w:cs="Arial"/>
          <w:szCs w:val="20"/>
        </w:rPr>
      </w:pPr>
      <w:r w:rsidRPr="00DC28D1">
        <w:rPr>
          <w:rFonts w:cs="Arial"/>
          <w:szCs w:val="20"/>
        </w:rPr>
        <w:t xml:space="preserve">V elektronskem sporočilu z dne 27. </w:t>
      </w:r>
      <w:r w:rsidR="00F9541E">
        <w:rPr>
          <w:rFonts w:cs="Arial"/>
          <w:szCs w:val="20"/>
        </w:rPr>
        <w:t>10.</w:t>
      </w:r>
      <w:r w:rsidRPr="00DC28D1">
        <w:rPr>
          <w:rFonts w:cs="Arial"/>
          <w:szCs w:val="20"/>
        </w:rPr>
        <w:t xml:space="preserve"> 2025 je bilo </w:t>
      </w:r>
      <w:r w:rsidR="00F36979">
        <w:rPr>
          <w:rFonts w:cs="Arial"/>
          <w:szCs w:val="20"/>
        </w:rPr>
        <w:t xml:space="preserve">inšpekcijskemu organu tudi </w:t>
      </w:r>
      <w:r w:rsidR="009218FD">
        <w:rPr>
          <w:rFonts w:cs="Arial"/>
          <w:szCs w:val="20"/>
        </w:rPr>
        <w:t>obrazloženo</w:t>
      </w:r>
      <w:r w:rsidRPr="00DC28D1">
        <w:rPr>
          <w:rFonts w:cs="Arial"/>
          <w:szCs w:val="20"/>
        </w:rPr>
        <w:t xml:space="preserve">, da je izvajalec ukrepa ARIS dne 6. </w:t>
      </w:r>
      <w:r w:rsidR="00F9541E">
        <w:rPr>
          <w:rFonts w:cs="Arial"/>
          <w:szCs w:val="20"/>
        </w:rPr>
        <w:t>9.</w:t>
      </w:r>
      <w:r w:rsidRPr="00DC28D1">
        <w:rPr>
          <w:rFonts w:cs="Arial"/>
          <w:szCs w:val="20"/>
        </w:rPr>
        <w:t xml:space="preserve"> 2024 pripravil analizo razlogov za nizek odziv ter napoved števila prijav na Javni poziv za (so)financiranje projektov in programov za krepitev mednarodne mobilnosti slovenskih raziskovalcev in raziskovalnih organizacij ter za spodbujanje mednarodne vpetosti slovenskih prijaviteljev.</w:t>
      </w:r>
    </w:p>
    <w:p w14:paraId="778F0574" w14:textId="77777777" w:rsidR="00DC28D1" w:rsidRPr="00DC28D1" w:rsidRDefault="00DC28D1" w:rsidP="00DC28D1">
      <w:pPr>
        <w:tabs>
          <w:tab w:val="left" w:pos="5114"/>
        </w:tabs>
        <w:spacing w:line="260" w:lineRule="exact"/>
        <w:jc w:val="both"/>
        <w:rPr>
          <w:rFonts w:cs="Arial"/>
          <w:szCs w:val="20"/>
        </w:rPr>
      </w:pPr>
    </w:p>
    <w:p w14:paraId="61C5C360" w14:textId="6ED9D22E" w:rsidR="00DC28D1" w:rsidRDefault="00DC28D1" w:rsidP="00DC28D1">
      <w:pPr>
        <w:tabs>
          <w:tab w:val="left" w:pos="5114"/>
        </w:tabs>
        <w:spacing w:line="260" w:lineRule="exact"/>
        <w:jc w:val="both"/>
        <w:rPr>
          <w:rFonts w:cs="Arial"/>
          <w:szCs w:val="20"/>
        </w:rPr>
      </w:pPr>
      <w:r w:rsidRPr="00DC28D1">
        <w:rPr>
          <w:rFonts w:cs="Arial"/>
          <w:szCs w:val="20"/>
        </w:rPr>
        <w:t>Analiza je pokazala, da se kljub spremembam javnega poziva – med drugim možnosti (so)financiranja upravičenih stroškov dela na podlagi Pravilnika o določitvi posebnih projektov nacionalnega značaja in sistemskega okvirja za določitev plač raziskovalcev</w:t>
      </w:r>
      <w:r w:rsidR="00F9541E">
        <w:rPr>
          <w:rStyle w:val="Sprotnaopomba-sklic"/>
          <w:rFonts w:cs="Arial"/>
          <w:szCs w:val="20"/>
        </w:rPr>
        <w:footnoteReference w:id="7"/>
      </w:r>
      <w:r w:rsidRPr="00DC28D1">
        <w:rPr>
          <w:rFonts w:cs="Arial"/>
          <w:szCs w:val="20"/>
        </w:rPr>
        <w:t xml:space="preserve">, prilagoditvi notranjih aktov javnih raziskovalnih organizacij za določitev višjih bruto plač raziskovalkam in raziskovalcem, spremembi finančne metodologije, ki omogoča višje (so)financiranje stroškov </w:t>
      </w:r>
      <w:r w:rsidRPr="00DC28D1">
        <w:rPr>
          <w:rFonts w:cs="Arial"/>
          <w:szCs w:val="20"/>
        </w:rPr>
        <w:lastRenderedPageBreak/>
        <w:t>dela, raziskav, usposabljanj in mreženja, ter okrepljenim promocijskim aktivnostim, trend prijav ni izboljšal. Prav tako se ni povečala poraba razpoložljivih sredstev za (so)financiranje.</w:t>
      </w:r>
    </w:p>
    <w:p w14:paraId="27C2B345" w14:textId="77777777" w:rsidR="00DC28D1" w:rsidRPr="00DC28D1" w:rsidRDefault="00DC28D1" w:rsidP="00DC28D1">
      <w:pPr>
        <w:tabs>
          <w:tab w:val="left" w:pos="5114"/>
        </w:tabs>
        <w:spacing w:line="260" w:lineRule="exact"/>
        <w:jc w:val="both"/>
        <w:rPr>
          <w:rFonts w:cs="Arial"/>
          <w:szCs w:val="20"/>
        </w:rPr>
      </w:pPr>
    </w:p>
    <w:p w14:paraId="7AE532BB" w14:textId="238659A1" w:rsidR="00DC28D1" w:rsidRDefault="00DC28D1" w:rsidP="00DC28D1">
      <w:pPr>
        <w:tabs>
          <w:tab w:val="left" w:pos="5114"/>
        </w:tabs>
        <w:spacing w:line="260" w:lineRule="exact"/>
        <w:jc w:val="both"/>
        <w:rPr>
          <w:rFonts w:cs="Arial"/>
          <w:szCs w:val="20"/>
        </w:rPr>
      </w:pPr>
      <w:r w:rsidRPr="00DC28D1">
        <w:rPr>
          <w:rFonts w:cs="Arial"/>
          <w:szCs w:val="20"/>
        </w:rPr>
        <w:t xml:space="preserve">Na podlagi analize in stanja prijav je ARIS ocenil, da bo do 30. </w:t>
      </w:r>
      <w:r w:rsidR="00FF5273">
        <w:rPr>
          <w:rFonts w:cs="Arial"/>
          <w:szCs w:val="20"/>
        </w:rPr>
        <w:t>6.</w:t>
      </w:r>
      <w:r w:rsidRPr="00DC28D1">
        <w:rPr>
          <w:rFonts w:cs="Arial"/>
          <w:szCs w:val="20"/>
        </w:rPr>
        <w:t xml:space="preserve"> 2026 mogoče vključiti največ 33 projektov, zato je predlagal znižanje ciljne vrednosti ukrepa (števila vključenih projektov) ter ustrezno znižanje razpoložljivih sredstev in d</w:t>
      </w:r>
      <w:r>
        <w:rPr>
          <w:rFonts w:cs="Arial"/>
          <w:szCs w:val="20"/>
        </w:rPr>
        <w:t>i</w:t>
      </w:r>
      <w:r w:rsidRPr="00DC28D1">
        <w:rPr>
          <w:rFonts w:cs="Arial"/>
          <w:szCs w:val="20"/>
        </w:rPr>
        <w:t>namike črpanja iz Sklada Načrta za okrevanje in odpornost do leta 2026.</w:t>
      </w:r>
    </w:p>
    <w:p w14:paraId="614F6FAD" w14:textId="77777777" w:rsidR="00DC28D1" w:rsidRPr="00DC28D1" w:rsidRDefault="00DC28D1" w:rsidP="00DC28D1">
      <w:pPr>
        <w:tabs>
          <w:tab w:val="left" w:pos="5114"/>
        </w:tabs>
        <w:spacing w:line="260" w:lineRule="exact"/>
        <w:jc w:val="both"/>
        <w:rPr>
          <w:rFonts w:cs="Arial"/>
          <w:szCs w:val="20"/>
        </w:rPr>
      </w:pPr>
    </w:p>
    <w:p w14:paraId="45D82F9D" w14:textId="5E6E29A9" w:rsidR="00DC28D1" w:rsidRDefault="00DC28D1" w:rsidP="00DC28D1">
      <w:pPr>
        <w:tabs>
          <w:tab w:val="left" w:pos="5114"/>
        </w:tabs>
        <w:spacing w:line="260" w:lineRule="exact"/>
        <w:jc w:val="both"/>
        <w:rPr>
          <w:rFonts w:cs="Arial"/>
          <w:szCs w:val="20"/>
        </w:rPr>
      </w:pPr>
      <w:r w:rsidRPr="00DC28D1">
        <w:rPr>
          <w:rFonts w:cs="Arial"/>
          <w:szCs w:val="20"/>
        </w:rPr>
        <w:t xml:space="preserve">Na podlagi teh ugotovitev je bil pripravljen predlog za znižanje sredstev in ciljne vrednosti ukrepa. Vlada Republike Slovenije je dne 17. </w:t>
      </w:r>
      <w:r w:rsidR="00F36979">
        <w:rPr>
          <w:rFonts w:cs="Arial"/>
          <w:szCs w:val="20"/>
        </w:rPr>
        <w:t>4.</w:t>
      </w:r>
      <w:r w:rsidRPr="00DC28D1">
        <w:rPr>
          <w:rFonts w:cs="Arial"/>
          <w:szCs w:val="20"/>
        </w:rPr>
        <w:t xml:space="preserve"> 2025 potrdila predlog tretje spremembe NOO in ga posredovala Evropski komisiji, ki ga je pozitivno ocenila ter posredovala Svetu Evropske unije. Ta je 20. </w:t>
      </w:r>
      <w:r w:rsidR="00FF5273">
        <w:rPr>
          <w:rFonts w:cs="Arial"/>
          <w:szCs w:val="20"/>
        </w:rPr>
        <w:t>6.</w:t>
      </w:r>
      <w:r w:rsidRPr="00DC28D1">
        <w:rPr>
          <w:rFonts w:cs="Arial"/>
          <w:szCs w:val="20"/>
        </w:rPr>
        <w:t xml:space="preserve"> 2025 z Izvedbenim sklepom Sveta EU potrdil tretjo spremembo NOO.</w:t>
      </w:r>
    </w:p>
    <w:p w14:paraId="0B71A55E" w14:textId="77777777" w:rsidR="00DC28D1" w:rsidRPr="00DC28D1" w:rsidRDefault="00DC28D1" w:rsidP="00DC28D1">
      <w:pPr>
        <w:tabs>
          <w:tab w:val="left" w:pos="5114"/>
        </w:tabs>
        <w:spacing w:line="260" w:lineRule="exact"/>
        <w:jc w:val="both"/>
        <w:rPr>
          <w:rFonts w:cs="Arial"/>
          <w:szCs w:val="20"/>
        </w:rPr>
      </w:pPr>
    </w:p>
    <w:p w14:paraId="11A7614C" w14:textId="66FF1636" w:rsidR="00DC28D1" w:rsidRDefault="00DC28D1" w:rsidP="00DC28D1">
      <w:pPr>
        <w:tabs>
          <w:tab w:val="left" w:pos="5114"/>
        </w:tabs>
        <w:spacing w:line="260" w:lineRule="exact"/>
        <w:jc w:val="both"/>
        <w:rPr>
          <w:rFonts w:cs="Arial"/>
          <w:szCs w:val="20"/>
        </w:rPr>
      </w:pPr>
      <w:r w:rsidRPr="00DC28D1">
        <w:rPr>
          <w:rFonts w:cs="Arial"/>
          <w:szCs w:val="20"/>
        </w:rPr>
        <w:t xml:space="preserve">S sprejeto spremembo so bila sredstva znižana na 5.769.227,00 EUR, hkrati pa se je ciljna vrednost ukrepa znižala </w:t>
      </w:r>
      <w:r w:rsidR="00D056C8">
        <w:rPr>
          <w:rFonts w:cs="Arial"/>
          <w:szCs w:val="20"/>
        </w:rPr>
        <w:t>s</w:t>
      </w:r>
      <w:r w:rsidRPr="00DC28D1">
        <w:rPr>
          <w:rFonts w:cs="Arial"/>
          <w:szCs w:val="20"/>
        </w:rPr>
        <w:t xml:space="preserve"> 58 na 33 vključenih projektov (od tega okvirno 22 projektov mobilnosti in 11 projektov reintegracije).</w:t>
      </w:r>
    </w:p>
    <w:p w14:paraId="2CD6731C" w14:textId="77777777" w:rsidR="00575A62" w:rsidRDefault="00575A62" w:rsidP="00575A62">
      <w:pPr>
        <w:tabs>
          <w:tab w:val="left" w:pos="5114"/>
        </w:tabs>
        <w:spacing w:line="260" w:lineRule="exact"/>
        <w:jc w:val="both"/>
        <w:rPr>
          <w:rFonts w:cs="Arial"/>
          <w:szCs w:val="20"/>
        </w:rPr>
      </w:pPr>
    </w:p>
    <w:p w14:paraId="07B70E57" w14:textId="1DAB2DE1" w:rsidR="00DC28D1" w:rsidRPr="00DC28D1" w:rsidRDefault="00DC28D1" w:rsidP="00DC28D1">
      <w:pPr>
        <w:pStyle w:val="Odstavekseznama"/>
        <w:numPr>
          <w:ilvl w:val="2"/>
          <w:numId w:val="33"/>
        </w:numPr>
        <w:tabs>
          <w:tab w:val="left" w:pos="5114"/>
        </w:tabs>
        <w:spacing w:line="260" w:lineRule="exact"/>
        <w:jc w:val="both"/>
        <w:rPr>
          <w:rFonts w:cs="Arial"/>
          <w:szCs w:val="20"/>
        </w:rPr>
      </w:pPr>
      <w:r w:rsidRPr="00DC28D1">
        <w:rPr>
          <w:rFonts w:cs="Arial"/>
          <w:szCs w:val="20"/>
        </w:rPr>
        <w:t>NOVELACIJA INVESTICIJSKEGA DOKUMENTA ZA PROJEKT Spodbujanje mednarodne mobilnosti slovenskih raziskovalcev (</w:t>
      </w:r>
      <w:proofErr w:type="spellStart"/>
      <w:r w:rsidRPr="00DC28D1">
        <w:rPr>
          <w:rFonts w:cs="Arial"/>
          <w:szCs w:val="20"/>
        </w:rPr>
        <w:t>outgoing</w:t>
      </w:r>
      <w:proofErr w:type="spellEnd"/>
      <w:r w:rsidRPr="00DC28D1">
        <w:rPr>
          <w:rFonts w:cs="Arial"/>
          <w:szCs w:val="20"/>
        </w:rPr>
        <w:t>)</w:t>
      </w:r>
    </w:p>
    <w:p w14:paraId="26DB13B5" w14:textId="77777777" w:rsidR="00BF090B" w:rsidRDefault="00BF090B" w:rsidP="00BF090B">
      <w:pPr>
        <w:tabs>
          <w:tab w:val="left" w:pos="5114"/>
        </w:tabs>
        <w:spacing w:line="260" w:lineRule="exact"/>
        <w:jc w:val="both"/>
        <w:rPr>
          <w:rFonts w:cs="Arial"/>
          <w:szCs w:val="20"/>
        </w:rPr>
      </w:pPr>
    </w:p>
    <w:p w14:paraId="25DC53D3" w14:textId="645D7246" w:rsidR="00DC28D1" w:rsidRDefault="00130F1E" w:rsidP="00DC28D1">
      <w:pPr>
        <w:tabs>
          <w:tab w:val="left" w:pos="5114"/>
        </w:tabs>
        <w:spacing w:line="260" w:lineRule="exact"/>
        <w:jc w:val="both"/>
        <w:rPr>
          <w:rFonts w:cs="Arial"/>
          <w:szCs w:val="20"/>
        </w:rPr>
      </w:pPr>
      <w:r w:rsidRPr="00DC28D1">
        <w:rPr>
          <w:rFonts w:cs="Arial"/>
          <w:szCs w:val="20"/>
        </w:rPr>
        <w:t xml:space="preserve">Na podlagi navedenega je </w:t>
      </w:r>
      <w:r>
        <w:rPr>
          <w:rFonts w:cs="Arial"/>
          <w:szCs w:val="20"/>
        </w:rPr>
        <w:t>MVZI</w:t>
      </w:r>
      <w:r w:rsidRPr="00DC28D1">
        <w:rPr>
          <w:rFonts w:cs="Arial"/>
          <w:szCs w:val="20"/>
        </w:rPr>
        <w:t xml:space="preserve"> dne </w:t>
      </w:r>
      <w:r>
        <w:rPr>
          <w:rFonts w:cs="Arial"/>
          <w:szCs w:val="20"/>
        </w:rPr>
        <w:t>8</w:t>
      </w:r>
      <w:r w:rsidRPr="00DC28D1">
        <w:rPr>
          <w:rFonts w:cs="Arial"/>
          <w:szCs w:val="20"/>
        </w:rPr>
        <w:t xml:space="preserve">. </w:t>
      </w:r>
      <w:r>
        <w:rPr>
          <w:rFonts w:cs="Arial"/>
          <w:szCs w:val="20"/>
        </w:rPr>
        <w:t>8.</w:t>
      </w:r>
      <w:r w:rsidRPr="00DC28D1">
        <w:rPr>
          <w:rFonts w:cs="Arial"/>
          <w:szCs w:val="20"/>
        </w:rPr>
        <w:t xml:space="preserve"> 2025 sprejel </w:t>
      </w:r>
      <w:r w:rsidR="00DC28D1" w:rsidRPr="00DC28D1">
        <w:rPr>
          <w:rFonts w:cs="Arial"/>
          <w:szCs w:val="20"/>
        </w:rPr>
        <w:t xml:space="preserve">dokument št. 303-121/2022-MIZS-109 – </w:t>
      </w:r>
      <w:proofErr w:type="spellStart"/>
      <w:r w:rsidR="00DC28D1" w:rsidRPr="00DC28D1">
        <w:rPr>
          <w:rFonts w:cs="Arial"/>
          <w:szCs w:val="20"/>
        </w:rPr>
        <w:t>Novelacija</w:t>
      </w:r>
      <w:proofErr w:type="spellEnd"/>
      <w:r w:rsidR="00DC28D1" w:rsidRPr="00DC28D1">
        <w:rPr>
          <w:rFonts w:cs="Arial"/>
          <w:szCs w:val="20"/>
        </w:rPr>
        <w:t xml:space="preserve"> investicijskega dokumenta za projekt »Spodbujanje mednarodne mobilnosti slovenskih raziskovalcev (</w:t>
      </w:r>
      <w:proofErr w:type="spellStart"/>
      <w:r w:rsidR="00DC28D1" w:rsidRPr="00DC28D1">
        <w:rPr>
          <w:rFonts w:cs="Arial"/>
          <w:szCs w:val="20"/>
        </w:rPr>
        <w:t>outgoing</w:t>
      </w:r>
      <w:proofErr w:type="spellEnd"/>
      <w:r w:rsidR="00DC28D1" w:rsidRPr="00DC28D1">
        <w:rPr>
          <w:rFonts w:cs="Arial"/>
          <w:szCs w:val="20"/>
        </w:rPr>
        <w:t>)«. Z dokumentom je bilo določeno, da se projekt izvaja z namenom krepitve raziskovalnih in inovacijskih kompetenc, izboljšanja prenosa znanja, povečanja zaposljivosti raziskovalk in raziskovalcev ter spodbujanja njihove reintegracije v slovenski raziskovalni in gospodarski prostor.</w:t>
      </w:r>
    </w:p>
    <w:p w14:paraId="293A99E3" w14:textId="77777777" w:rsidR="00DC28D1" w:rsidRPr="00DC28D1" w:rsidRDefault="00DC28D1" w:rsidP="00DC28D1">
      <w:pPr>
        <w:tabs>
          <w:tab w:val="left" w:pos="5114"/>
        </w:tabs>
        <w:spacing w:line="260" w:lineRule="exact"/>
        <w:jc w:val="both"/>
        <w:rPr>
          <w:rFonts w:cs="Arial"/>
          <w:szCs w:val="20"/>
        </w:rPr>
      </w:pPr>
    </w:p>
    <w:p w14:paraId="10888BDD" w14:textId="77777777" w:rsidR="00DC28D1" w:rsidRDefault="00DC28D1" w:rsidP="00DC28D1">
      <w:pPr>
        <w:tabs>
          <w:tab w:val="left" w:pos="5114"/>
        </w:tabs>
        <w:spacing w:line="260" w:lineRule="exact"/>
        <w:jc w:val="both"/>
        <w:rPr>
          <w:rFonts w:cs="Arial"/>
          <w:szCs w:val="20"/>
        </w:rPr>
      </w:pPr>
      <w:r w:rsidRPr="00DC28D1">
        <w:rPr>
          <w:rFonts w:cs="Arial"/>
          <w:szCs w:val="20"/>
        </w:rPr>
        <w:t>V okviru projekta se z nepovratnimi sredstvi do največ treh let (so)financirajo stroški mobilnosti raziskovalcev, ki so na razpisih programa Obzorje Evropa prejeli pozitivno ali odlično oceno, vendar niso bili izbrani za financiranje (okvirno 22 raziskovalcev). Prav tako se z zagotavljanjem podpore do največ dveh let spodbuja reintegracija slovenskih raziskovalcev, ki so uspešno zaključili projekte v okviru navedenega programa (okvirno 11 raziskovalcev).</w:t>
      </w:r>
    </w:p>
    <w:p w14:paraId="1412D67E" w14:textId="77777777" w:rsidR="00DC28D1" w:rsidRPr="00DC28D1" w:rsidRDefault="00DC28D1" w:rsidP="00DC28D1">
      <w:pPr>
        <w:tabs>
          <w:tab w:val="left" w:pos="5114"/>
        </w:tabs>
        <w:spacing w:line="260" w:lineRule="exact"/>
        <w:jc w:val="both"/>
        <w:rPr>
          <w:rFonts w:cs="Arial"/>
          <w:szCs w:val="20"/>
        </w:rPr>
      </w:pPr>
    </w:p>
    <w:p w14:paraId="6232B3EF" w14:textId="77777777" w:rsidR="00DC28D1" w:rsidRDefault="00DC28D1" w:rsidP="00DC28D1">
      <w:pPr>
        <w:tabs>
          <w:tab w:val="left" w:pos="5114"/>
        </w:tabs>
        <w:spacing w:line="260" w:lineRule="exact"/>
        <w:jc w:val="both"/>
        <w:rPr>
          <w:rFonts w:cs="Arial"/>
          <w:szCs w:val="20"/>
        </w:rPr>
      </w:pPr>
      <w:r w:rsidRPr="00DC28D1">
        <w:rPr>
          <w:rFonts w:cs="Arial"/>
          <w:szCs w:val="20"/>
        </w:rPr>
        <w:t>V okviru projekta je predvideno doseganje naslednjega ključnega rezultata:</w:t>
      </w:r>
    </w:p>
    <w:p w14:paraId="4E2DCBE3" w14:textId="57ACFBF0" w:rsidR="00DC28D1" w:rsidRPr="00DC28D1" w:rsidRDefault="00DC28D1" w:rsidP="00DC28D1">
      <w:pPr>
        <w:pStyle w:val="Odstavekseznama"/>
        <w:numPr>
          <w:ilvl w:val="0"/>
          <w:numId w:val="28"/>
        </w:numPr>
        <w:tabs>
          <w:tab w:val="left" w:pos="5114"/>
        </w:tabs>
        <w:spacing w:line="260" w:lineRule="exact"/>
        <w:jc w:val="both"/>
        <w:rPr>
          <w:rFonts w:cs="Arial"/>
          <w:szCs w:val="20"/>
        </w:rPr>
      </w:pPr>
      <w:r w:rsidRPr="00DC28D1">
        <w:rPr>
          <w:rFonts w:cs="Arial"/>
          <w:szCs w:val="20"/>
        </w:rPr>
        <w:t>33 sofinanciranih projektov za krepitev mednarodne mobilnosti slovenskih raziskovalcev.</w:t>
      </w:r>
    </w:p>
    <w:p w14:paraId="75759BAD" w14:textId="5B494B58" w:rsidR="00BF090B" w:rsidRDefault="00BF090B" w:rsidP="00DC28D1">
      <w:pPr>
        <w:tabs>
          <w:tab w:val="left" w:pos="5114"/>
        </w:tabs>
        <w:spacing w:line="260" w:lineRule="exact"/>
        <w:jc w:val="both"/>
        <w:rPr>
          <w:rFonts w:cs="Arial"/>
          <w:szCs w:val="20"/>
        </w:rPr>
      </w:pPr>
    </w:p>
    <w:p w14:paraId="6E7A6F3F" w14:textId="56C306AE" w:rsidR="00BF090B" w:rsidRPr="00BE607A" w:rsidRDefault="00BE607A" w:rsidP="00BE607A">
      <w:pPr>
        <w:pStyle w:val="Odstavekseznama"/>
        <w:numPr>
          <w:ilvl w:val="2"/>
          <w:numId w:val="33"/>
        </w:numPr>
        <w:tabs>
          <w:tab w:val="left" w:pos="5114"/>
        </w:tabs>
        <w:spacing w:line="260" w:lineRule="exact"/>
        <w:jc w:val="both"/>
        <w:rPr>
          <w:rFonts w:cs="Arial"/>
          <w:szCs w:val="20"/>
        </w:rPr>
      </w:pPr>
      <w:r w:rsidRPr="00BE607A">
        <w:rPr>
          <w:rFonts w:cs="Arial"/>
          <w:szCs w:val="20"/>
        </w:rPr>
        <w:t>S</w:t>
      </w:r>
      <w:r>
        <w:rPr>
          <w:rFonts w:cs="Arial"/>
          <w:szCs w:val="20"/>
        </w:rPr>
        <w:t>klep</w:t>
      </w:r>
      <w:r w:rsidRPr="00BE607A">
        <w:rPr>
          <w:rFonts w:cs="Arial"/>
          <w:szCs w:val="20"/>
        </w:rPr>
        <w:t xml:space="preserve"> o potrditvi </w:t>
      </w:r>
      <w:proofErr w:type="spellStart"/>
      <w:r w:rsidRPr="00BE607A">
        <w:rPr>
          <w:rFonts w:cs="Arial"/>
          <w:szCs w:val="20"/>
        </w:rPr>
        <w:t>novelacije</w:t>
      </w:r>
      <w:proofErr w:type="spellEnd"/>
      <w:r w:rsidRPr="00BE607A">
        <w:rPr>
          <w:rFonts w:cs="Arial"/>
          <w:szCs w:val="20"/>
        </w:rPr>
        <w:t xml:space="preserve"> investicijskega programa</w:t>
      </w:r>
    </w:p>
    <w:p w14:paraId="4A3C6EEE" w14:textId="77777777" w:rsidR="00BE607A" w:rsidRPr="00BE607A" w:rsidRDefault="00BE607A" w:rsidP="00BE607A">
      <w:pPr>
        <w:tabs>
          <w:tab w:val="left" w:pos="5114"/>
        </w:tabs>
        <w:spacing w:line="260" w:lineRule="exact"/>
        <w:jc w:val="both"/>
        <w:rPr>
          <w:rFonts w:cs="Arial"/>
          <w:szCs w:val="20"/>
        </w:rPr>
      </w:pPr>
    </w:p>
    <w:p w14:paraId="388D697D" w14:textId="5EDB1FE4" w:rsidR="00BF090B" w:rsidRPr="00BE607A" w:rsidRDefault="00BE607A" w:rsidP="00BF090B">
      <w:pPr>
        <w:tabs>
          <w:tab w:val="left" w:pos="5114"/>
        </w:tabs>
        <w:spacing w:line="260" w:lineRule="exact"/>
        <w:jc w:val="both"/>
        <w:rPr>
          <w:rFonts w:cs="Arial"/>
          <w:szCs w:val="20"/>
        </w:rPr>
      </w:pPr>
      <w:r w:rsidRPr="00BE607A">
        <w:rPr>
          <w:rFonts w:cs="Arial"/>
          <w:szCs w:val="20"/>
        </w:rPr>
        <w:t xml:space="preserve">MVZI je dne 12. 8. 2025 sprejel dokument št. 303-121/2022-110, v katerem je navedeno, da je bila dne 8. 8. 2025 sprejeta </w:t>
      </w:r>
      <w:proofErr w:type="spellStart"/>
      <w:r w:rsidRPr="00BE607A">
        <w:rPr>
          <w:rFonts w:cs="Arial"/>
          <w:szCs w:val="20"/>
        </w:rPr>
        <w:t>Novelacija</w:t>
      </w:r>
      <w:proofErr w:type="spellEnd"/>
      <w:r w:rsidRPr="00BE607A">
        <w:rPr>
          <w:rFonts w:cs="Arial"/>
          <w:szCs w:val="20"/>
        </w:rPr>
        <w:t xml:space="preserve"> investicijskega programa za projekt </w:t>
      </w:r>
      <w:r w:rsidRPr="00BE607A">
        <w:rPr>
          <w:rFonts w:cs="Arial"/>
          <w:i/>
          <w:iCs/>
          <w:szCs w:val="20"/>
        </w:rPr>
        <w:t>»Spodbujanje mednarodne mobilnosti slovenskih raziskovalcev (</w:t>
      </w:r>
      <w:proofErr w:type="spellStart"/>
      <w:r w:rsidRPr="00BE607A">
        <w:rPr>
          <w:rFonts w:cs="Arial"/>
          <w:i/>
          <w:iCs/>
          <w:szCs w:val="20"/>
        </w:rPr>
        <w:t>outgoing</w:t>
      </w:r>
      <w:proofErr w:type="spellEnd"/>
      <w:r w:rsidRPr="00BE607A">
        <w:rPr>
          <w:rFonts w:cs="Arial"/>
          <w:i/>
          <w:iCs/>
          <w:szCs w:val="20"/>
        </w:rPr>
        <w:t>)«</w:t>
      </w:r>
      <w:r w:rsidRPr="00BE607A">
        <w:rPr>
          <w:rFonts w:cs="Arial"/>
          <w:szCs w:val="20"/>
        </w:rPr>
        <w:t xml:space="preserve"> v vrednosti 5.769.227,00 EUR</w:t>
      </w:r>
      <w:r>
        <w:rPr>
          <w:rFonts w:cs="Arial"/>
          <w:szCs w:val="20"/>
        </w:rPr>
        <w:t xml:space="preserve"> in je </w:t>
      </w:r>
      <w:r w:rsidRPr="00BE607A">
        <w:rPr>
          <w:rFonts w:cs="Arial"/>
          <w:szCs w:val="20"/>
        </w:rPr>
        <w:t xml:space="preserve">skladna z uredbo o pripravi investicijske dokumentacije. Projekt, ki ga izvaja ARIS, se financira iz sredstev NOO in traja do 30. 6. 2026. </w:t>
      </w:r>
      <w:proofErr w:type="spellStart"/>
      <w:r w:rsidRPr="00BE607A">
        <w:rPr>
          <w:rFonts w:cs="Arial"/>
          <w:szCs w:val="20"/>
        </w:rPr>
        <w:t>Novelacija</w:t>
      </w:r>
      <w:proofErr w:type="spellEnd"/>
      <w:r w:rsidRPr="00BE607A">
        <w:rPr>
          <w:rFonts w:cs="Arial"/>
          <w:szCs w:val="20"/>
        </w:rPr>
        <w:t xml:space="preserve"> je bila potrjena in odobrena.</w:t>
      </w:r>
    </w:p>
    <w:p w14:paraId="60FB6E22" w14:textId="2745C8A1" w:rsidR="00575A62" w:rsidRDefault="00575A62" w:rsidP="00575A62">
      <w:pPr>
        <w:jc w:val="both"/>
        <w:rPr>
          <w:rFonts w:cs="Arial"/>
          <w:szCs w:val="20"/>
        </w:rPr>
      </w:pPr>
    </w:p>
    <w:p w14:paraId="56FD9A13" w14:textId="7EE28AEA" w:rsidR="00BE607A" w:rsidRPr="00BE607A" w:rsidRDefault="00BE607A" w:rsidP="00BE607A">
      <w:pPr>
        <w:pStyle w:val="Odstavekseznama"/>
        <w:numPr>
          <w:ilvl w:val="2"/>
          <w:numId w:val="33"/>
        </w:numPr>
        <w:jc w:val="both"/>
        <w:rPr>
          <w:rFonts w:cs="Arial"/>
          <w:szCs w:val="20"/>
        </w:rPr>
      </w:pPr>
      <w:r w:rsidRPr="00BE607A">
        <w:rPr>
          <w:rFonts w:cs="Arial"/>
          <w:szCs w:val="20"/>
        </w:rPr>
        <w:t>DODATEK št. 2 h KROVNEMU SPORAZUMU o prenosu dela nalog in izvajanja ukrepov iz Načrta za okrevanje in odpornost Št. krovnega sporazuma 303-53/2021/16, z dne 29. 7. 2022</w:t>
      </w:r>
    </w:p>
    <w:p w14:paraId="0FF9D810" w14:textId="77777777" w:rsidR="00BE607A" w:rsidRDefault="00BE607A" w:rsidP="00BE607A">
      <w:pPr>
        <w:jc w:val="both"/>
        <w:rPr>
          <w:rFonts w:cs="Arial"/>
          <w:szCs w:val="20"/>
        </w:rPr>
      </w:pPr>
    </w:p>
    <w:p w14:paraId="423124C8" w14:textId="6FF5D6D8" w:rsidR="00EC0E58" w:rsidRDefault="00EC0E58" w:rsidP="00EC0E58">
      <w:pPr>
        <w:jc w:val="both"/>
        <w:rPr>
          <w:rFonts w:cs="Arial"/>
          <w:szCs w:val="20"/>
        </w:rPr>
      </w:pPr>
      <w:r w:rsidRPr="00EC0E58">
        <w:rPr>
          <w:rFonts w:cs="Arial"/>
          <w:szCs w:val="20"/>
        </w:rPr>
        <w:t xml:space="preserve">Dne 19. 9. 2025 je bil sprejet </w:t>
      </w:r>
      <w:r w:rsidR="00F96FD2">
        <w:rPr>
          <w:rFonts w:cs="Arial"/>
          <w:szCs w:val="20"/>
        </w:rPr>
        <w:t xml:space="preserve">dokument št. </w:t>
      </w:r>
      <w:r w:rsidR="00F96FD2" w:rsidRPr="00EC0E58">
        <w:rPr>
          <w:rFonts w:cs="Arial"/>
          <w:szCs w:val="20"/>
        </w:rPr>
        <w:t>630-268/2022-135</w:t>
      </w:r>
      <w:r w:rsidR="00F96FD2">
        <w:rPr>
          <w:rFonts w:cs="Arial"/>
          <w:szCs w:val="20"/>
        </w:rPr>
        <w:t xml:space="preserve">, in sicer </w:t>
      </w:r>
      <w:r w:rsidRPr="00EC0E58">
        <w:rPr>
          <w:rFonts w:cs="Arial"/>
          <w:szCs w:val="20"/>
        </w:rPr>
        <w:t xml:space="preserve">Dodatek št. 2 </w:t>
      </w:r>
      <w:r w:rsidR="00F96FD2">
        <w:rPr>
          <w:rFonts w:cs="Arial"/>
          <w:szCs w:val="20"/>
        </w:rPr>
        <w:t>h krovnemu sporazumu</w:t>
      </w:r>
      <w:r w:rsidRPr="00EC0E58">
        <w:rPr>
          <w:rFonts w:cs="Arial"/>
          <w:szCs w:val="20"/>
        </w:rPr>
        <w:t xml:space="preserve">, iz katerega je razvidno, da </w:t>
      </w:r>
      <w:r w:rsidR="00C75EB0">
        <w:rPr>
          <w:rFonts w:cs="Arial"/>
          <w:szCs w:val="20"/>
        </w:rPr>
        <w:t>sta</w:t>
      </w:r>
      <w:r w:rsidRPr="00EC0E58">
        <w:rPr>
          <w:rFonts w:cs="Arial"/>
          <w:szCs w:val="20"/>
        </w:rPr>
        <w:t xml:space="preserve"> MVZI in ARIS v okviru NOO dne 29. 7. 2022 sklenila Krovni sporazum št. 303-53/2021/16, ter dne 11. 1. 2024 še Dodatek št. 1 k sporazumu. </w:t>
      </w:r>
    </w:p>
    <w:p w14:paraId="24CC4A86" w14:textId="77777777" w:rsidR="00C75EB0" w:rsidRPr="00EC0E58" w:rsidRDefault="00C75EB0" w:rsidP="00EC0E58">
      <w:pPr>
        <w:jc w:val="both"/>
        <w:rPr>
          <w:rFonts w:cs="Arial"/>
          <w:szCs w:val="20"/>
        </w:rPr>
      </w:pPr>
    </w:p>
    <w:p w14:paraId="725CE5AB" w14:textId="77777777" w:rsidR="00EC0E58" w:rsidRPr="00EC0E58" w:rsidRDefault="00EC0E58" w:rsidP="00EC0E58">
      <w:pPr>
        <w:jc w:val="both"/>
        <w:rPr>
          <w:rFonts w:cs="Arial"/>
          <w:szCs w:val="20"/>
        </w:rPr>
      </w:pPr>
      <w:r w:rsidRPr="00EC0E58">
        <w:rPr>
          <w:rFonts w:cs="Arial"/>
          <w:szCs w:val="20"/>
        </w:rPr>
        <w:t>Z vladnim sklepom z dne 16. 3. 2023 sta bili vrednosti investicij znižani na 15.000.000,00 EUR (C3.K8.IB) in 12.571.560,00 EUR (C3.K8.IC), pri čemer je bila pozneje z izvedbenim sklepom Sveta EU z dne 20. 6. 2025 vrednost investicije C3.K8.IC dodatno znižana na 5.769.227,00 EUR.</w:t>
      </w:r>
    </w:p>
    <w:p w14:paraId="6DABBCDD" w14:textId="4046A828" w:rsidR="00EC0E58" w:rsidRDefault="00EC0E58" w:rsidP="00EC0E58">
      <w:pPr>
        <w:jc w:val="both"/>
        <w:rPr>
          <w:rFonts w:cs="Arial"/>
          <w:szCs w:val="20"/>
        </w:rPr>
      </w:pPr>
      <w:r w:rsidRPr="00EC0E58">
        <w:rPr>
          <w:rFonts w:cs="Arial"/>
          <w:szCs w:val="20"/>
        </w:rPr>
        <w:lastRenderedPageBreak/>
        <w:t>Dodatek k sporazumu se</w:t>
      </w:r>
      <w:r w:rsidR="00C75EB0">
        <w:rPr>
          <w:rFonts w:cs="Arial"/>
          <w:szCs w:val="20"/>
        </w:rPr>
        <w:t xml:space="preserve"> je sklenil </w:t>
      </w:r>
      <w:r w:rsidRPr="00EC0E58">
        <w:rPr>
          <w:rFonts w:cs="Arial"/>
          <w:szCs w:val="20"/>
        </w:rPr>
        <w:t>zaradi znižanja vrednosti investicije C3.K8.IC ter spremembe skrbnika krovnega sporazuma na strani ARIS.</w:t>
      </w:r>
    </w:p>
    <w:p w14:paraId="19719C75" w14:textId="77777777" w:rsidR="00187EFD" w:rsidRDefault="00187EFD" w:rsidP="00EC0E58">
      <w:pPr>
        <w:jc w:val="both"/>
        <w:rPr>
          <w:rFonts w:cs="Arial"/>
          <w:szCs w:val="20"/>
        </w:rPr>
      </w:pPr>
    </w:p>
    <w:p w14:paraId="19E28818" w14:textId="4474CA0A" w:rsidR="00187EFD" w:rsidRPr="00187EFD" w:rsidRDefault="00187EFD" w:rsidP="00AE3433">
      <w:pPr>
        <w:pStyle w:val="Odstavekseznama"/>
        <w:numPr>
          <w:ilvl w:val="1"/>
          <w:numId w:val="33"/>
        </w:numPr>
        <w:jc w:val="both"/>
        <w:rPr>
          <w:rFonts w:cs="Arial"/>
          <w:szCs w:val="20"/>
        </w:rPr>
      </w:pPr>
      <w:r w:rsidRPr="00187EFD">
        <w:rPr>
          <w:rFonts w:cs="Arial"/>
          <w:szCs w:val="20"/>
        </w:rPr>
        <w:t>Nadaljevanje projekta</w:t>
      </w:r>
    </w:p>
    <w:p w14:paraId="35E59AEA" w14:textId="77777777" w:rsidR="00187EFD" w:rsidRDefault="00187EFD" w:rsidP="00AE3433">
      <w:pPr>
        <w:pStyle w:val="Odstavekseznama"/>
        <w:ind w:left="360"/>
        <w:jc w:val="both"/>
        <w:rPr>
          <w:rFonts w:cs="Arial"/>
          <w:szCs w:val="20"/>
        </w:rPr>
      </w:pPr>
    </w:p>
    <w:p w14:paraId="01798787" w14:textId="01363D2D" w:rsidR="00111056" w:rsidRPr="00111056" w:rsidRDefault="00111056" w:rsidP="00111056">
      <w:pPr>
        <w:jc w:val="both"/>
        <w:rPr>
          <w:rFonts w:cs="Arial"/>
          <w:szCs w:val="20"/>
        </w:rPr>
      </w:pPr>
      <w:r w:rsidRPr="00111056">
        <w:rPr>
          <w:rFonts w:cs="Arial"/>
          <w:szCs w:val="20"/>
        </w:rPr>
        <w:t>MVZI je inšpekcijskemu organu pojasnil, da se po zaključku upravičenega obdobja (so)financiranja iz Sklada NOO načrtuje nadaljnje (so)financiranje javnega poziva iz integralnega proračuna Republike Slovenije za obdobje 2026–2027, skladno s proračunskimi možnostmi. Namen tega je predvsem ustvarjanje pogojev za zmanjšanje bega možganov, ki je v tej populaciji izjemno izrazit, ter spodbujanje mednarodne mobilnosti slovenskih raziskovalk in raziskovalcev.</w:t>
      </w:r>
    </w:p>
    <w:p w14:paraId="65EB9A26" w14:textId="77777777" w:rsidR="00111056" w:rsidRPr="00111056" w:rsidRDefault="00111056" w:rsidP="00111056">
      <w:pPr>
        <w:jc w:val="both"/>
        <w:rPr>
          <w:rFonts w:cs="Arial"/>
          <w:szCs w:val="20"/>
        </w:rPr>
      </w:pPr>
    </w:p>
    <w:p w14:paraId="2E50E9EF" w14:textId="5E3DBADB" w:rsidR="00111056" w:rsidRPr="00111056" w:rsidRDefault="00111056" w:rsidP="00111056">
      <w:pPr>
        <w:jc w:val="both"/>
        <w:rPr>
          <w:rFonts w:cs="Arial"/>
          <w:szCs w:val="20"/>
        </w:rPr>
      </w:pPr>
      <w:r w:rsidRPr="00111056">
        <w:rPr>
          <w:rFonts w:cs="Arial"/>
          <w:szCs w:val="20"/>
        </w:rPr>
        <w:t xml:space="preserve">V pojasnilu </w:t>
      </w:r>
      <w:r>
        <w:rPr>
          <w:rFonts w:cs="Arial"/>
          <w:szCs w:val="20"/>
        </w:rPr>
        <w:t>MVZI</w:t>
      </w:r>
      <w:r w:rsidRPr="00111056">
        <w:rPr>
          <w:rFonts w:cs="Arial"/>
          <w:szCs w:val="20"/>
        </w:rPr>
        <w:t xml:space="preserve"> med drugim izpostavlja, da je Slovenija v evropskem prostoru precej netipičen primer, saj je interes tujih raziskovalcev za prihod v Slovenijo večji od interesa slovenskih raziskovalk in raziskovalcev za odhod v tujino v okviru razpisov MSCA. To lahko dolgoročno negativno vpliva na slovenski raziskovalni in inovacijski sistem, saj se zmanjšuje raven kakovosti, ki je tesno povezana z mednarodnim sodelovanjem. Na ministrstvu pričakujejo, da se bo zanimanje za to shemo v prihodnjih letih bistveno povečalo tudi zaradi zmanjševanja uspešnosti prijav na razpisih MSCA </w:t>
      </w:r>
      <w:proofErr w:type="spellStart"/>
      <w:r w:rsidRPr="00111056">
        <w:rPr>
          <w:rFonts w:cs="Arial"/>
          <w:szCs w:val="20"/>
        </w:rPr>
        <w:t>Postdoctoral</w:t>
      </w:r>
      <w:proofErr w:type="spellEnd"/>
      <w:r w:rsidRPr="00111056">
        <w:rPr>
          <w:rFonts w:cs="Arial"/>
          <w:szCs w:val="20"/>
        </w:rPr>
        <w:t xml:space="preserve"> </w:t>
      </w:r>
      <w:proofErr w:type="spellStart"/>
      <w:r w:rsidRPr="00111056">
        <w:rPr>
          <w:rFonts w:cs="Arial"/>
          <w:szCs w:val="20"/>
        </w:rPr>
        <w:t>Fellowships</w:t>
      </w:r>
      <w:proofErr w:type="spellEnd"/>
      <w:r w:rsidRPr="00111056">
        <w:rPr>
          <w:rFonts w:cs="Arial"/>
          <w:szCs w:val="20"/>
        </w:rPr>
        <w:t xml:space="preserve"> – s 16 % na manj kot 10 %. To pomeni, da bo še več kakovostnih prijav ostalo </w:t>
      </w:r>
      <w:proofErr w:type="spellStart"/>
      <w:r w:rsidRPr="00111056">
        <w:rPr>
          <w:rFonts w:cs="Arial"/>
          <w:szCs w:val="20"/>
        </w:rPr>
        <w:t>nefinanciranih</w:t>
      </w:r>
      <w:proofErr w:type="spellEnd"/>
      <w:r w:rsidRPr="00111056">
        <w:rPr>
          <w:rFonts w:cs="Arial"/>
          <w:szCs w:val="20"/>
        </w:rPr>
        <w:t xml:space="preserve"> s strani Evropske komisije. Obenem se dviguje tudi prag odličnosti, saj se bo s prihodnjim letom meja zvišala iz 70 % na 80 %.</w:t>
      </w:r>
    </w:p>
    <w:p w14:paraId="10A7784B" w14:textId="77777777" w:rsidR="00111056" w:rsidRPr="00111056" w:rsidRDefault="00111056" w:rsidP="00111056">
      <w:pPr>
        <w:jc w:val="both"/>
        <w:rPr>
          <w:rFonts w:cs="Arial"/>
          <w:szCs w:val="20"/>
        </w:rPr>
      </w:pPr>
    </w:p>
    <w:p w14:paraId="712B4FE3" w14:textId="36FDE157" w:rsidR="00111056" w:rsidRPr="00111056" w:rsidRDefault="00111056" w:rsidP="00111056">
      <w:pPr>
        <w:jc w:val="both"/>
        <w:rPr>
          <w:rFonts w:cs="Arial"/>
          <w:szCs w:val="20"/>
        </w:rPr>
      </w:pPr>
      <w:r w:rsidRPr="00111056">
        <w:rPr>
          <w:rFonts w:cs="Arial"/>
          <w:szCs w:val="20"/>
        </w:rPr>
        <w:t>V nadaljevanju MVZI poudarja, da je ob upoštevanju vseh navedenih okoliščin ohranjanje komplementarne sheme izjemno pomembno in zelo vzpodbudno. Takšno stališče je bilo izpostavljeno tudi na zadnji seji Programskega odbora MSCA, kjer je bila Slovenija navedena med državami – skupaj z Estonijo, Italijo, Litvo, Romunijo in Slovaško – ki so s sredstvi NOO komplementarno financirale kakovostne in odlične MSCA projekte.</w:t>
      </w:r>
    </w:p>
    <w:p w14:paraId="62ED2979" w14:textId="77777777" w:rsidR="00A153AD" w:rsidRDefault="00A153AD" w:rsidP="002F1C07">
      <w:pPr>
        <w:jc w:val="both"/>
        <w:rPr>
          <w:rFonts w:cs="Arial"/>
          <w:szCs w:val="20"/>
        </w:rPr>
      </w:pPr>
    </w:p>
    <w:p w14:paraId="1B9996D1" w14:textId="43288D1B" w:rsidR="002F1C07" w:rsidRDefault="002F1C07" w:rsidP="002F1C07">
      <w:pPr>
        <w:pStyle w:val="Odstavekseznama"/>
        <w:numPr>
          <w:ilvl w:val="1"/>
          <w:numId w:val="33"/>
        </w:numPr>
        <w:jc w:val="both"/>
        <w:rPr>
          <w:rFonts w:cs="Arial"/>
          <w:szCs w:val="20"/>
        </w:rPr>
      </w:pPr>
      <w:r w:rsidRPr="002F1C07">
        <w:rPr>
          <w:rFonts w:cs="Arial"/>
          <w:szCs w:val="20"/>
        </w:rPr>
        <w:t xml:space="preserve">Nadzor MVZI nad izvajalcem </w:t>
      </w:r>
      <w:r w:rsidR="00DB740F">
        <w:rPr>
          <w:rFonts w:cs="Arial"/>
          <w:szCs w:val="20"/>
        </w:rPr>
        <w:t xml:space="preserve">projekta, agencijo </w:t>
      </w:r>
      <w:r w:rsidRPr="002F1C07">
        <w:rPr>
          <w:rFonts w:cs="Arial"/>
          <w:szCs w:val="20"/>
        </w:rPr>
        <w:t>ARIS</w:t>
      </w:r>
    </w:p>
    <w:p w14:paraId="146F66D3" w14:textId="77777777" w:rsidR="008034BC" w:rsidRPr="008034BC" w:rsidRDefault="008034BC" w:rsidP="008034BC">
      <w:pPr>
        <w:jc w:val="both"/>
        <w:rPr>
          <w:rFonts w:cs="Arial"/>
          <w:szCs w:val="20"/>
        </w:rPr>
      </w:pPr>
    </w:p>
    <w:p w14:paraId="65EB3AED" w14:textId="45BE8976" w:rsidR="002E14D9" w:rsidRDefault="002E14D9" w:rsidP="002E14D9">
      <w:pPr>
        <w:jc w:val="both"/>
        <w:rPr>
          <w:rFonts w:cs="Arial"/>
          <w:szCs w:val="20"/>
        </w:rPr>
      </w:pPr>
      <w:r w:rsidRPr="002E14D9">
        <w:rPr>
          <w:rFonts w:cs="Arial"/>
          <w:szCs w:val="20"/>
        </w:rPr>
        <w:t xml:space="preserve">Inšpekcijski organ je na MVZI naslovil vprašanje glede izvajanja nadzora nad izvajalcem ukrepa ARIS, in sicer ali </w:t>
      </w:r>
      <w:r w:rsidR="008B2D67">
        <w:rPr>
          <w:rFonts w:cs="Arial"/>
          <w:szCs w:val="20"/>
        </w:rPr>
        <w:t>MVZI</w:t>
      </w:r>
      <w:r w:rsidRPr="002E14D9">
        <w:rPr>
          <w:rFonts w:cs="Arial"/>
          <w:szCs w:val="20"/>
        </w:rPr>
        <w:t xml:space="preserve"> izvaja redne oziroma naključne kontrole ter ali so bile pri tem ugotovljene nepravilnosti.</w:t>
      </w:r>
    </w:p>
    <w:p w14:paraId="22E38206" w14:textId="77777777" w:rsidR="002E14D9" w:rsidRPr="002E14D9" w:rsidRDefault="002E14D9" w:rsidP="002E14D9">
      <w:pPr>
        <w:jc w:val="both"/>
        <w:rPr>
          <w:rFonts w:cs="Arial"/>
          <w:szCs w:val="20"/>
        </w:rPr>
      </w:pPr>
    </w:p>
    <w:p w14:paraId="0C408F2F" w14:textId="39AC3C8C" w:rsidR="002E14D9" w:rsidRDefault="002E14D9" w:rsidP="002E14D9">
      <w:pPr>
        <w:jc w:val="both"/>
        <w:rPr>
          <w:rFonts w:cs="Arial"/>
          <w:szCs w:val="20"/>
        </w:rPr>
      </w:pPr>
      <w:r w:rsidRPr="002E14D9">
        <w:rPr>
          <w:rFonts w:cs="Arial"/>
          <w:szCs w:val="20"/>
        </w:rPr>
        <w:t xml:space="preserve">MVZI je </w:t>
      </w:r>
      <w:r w:rsidR="000A2AA2">
        <w:rPr>
          <w:rFonts w:cs="Arial"/>
          <w:szCs w:val="20"/>
        </w:rPr>
        <w:t xml:space="preserve">inšpekcijskemu organu </w:t>
      </w:r>
      <w:r w:rsidR="009218FD">
        <w:rPr>
          <w:rFonts w:cs="Arial"/>
          <w:szCs w:val="20"/>
        </w:rPr>
        <w:t>pojasnil</w:t>
      </w:r>
      <w:r w:rsidRPr="002E14D9">
        <w:rPr>
          <w:rFonts w:cs="Arial"/>
          <w:szCs w:val="20"/>
        </w:rPr>
        <w:t xml:space="preserve">, da je pripravil dokument Navodila Ministrstva za visoko šolstvo, znanost in inovacije za izvajanje nalog izvajalca ukrepa – Javne agencije za raziskovalno dejavnost Republike Slovenije – v okviru Mehanizma za okrevanje in odpornost, s katerim so podrobneje opredeljene naloge izvajalca ukrepa. </w:t>
      </w:r>
      <w:r w:rsidR="000A2AA2" w:rsidRPr="000A2AA2">
        <w:rPr>
          <w:rFonts w:cs="Arial"/>
          <w:szCs w:val="20"/>
        </w:rPr>
        <w:t xml:space="preserve">Inšpekcijski organ je vsebino navodil </w:t>
      </w:r>
      <w:r w:rsidR="00854CA3">
        <w:rPr>
          <w:rFonts w:cs="Arial"/>
          <w:szCs w:val="20"/>
        </w:rPr>
        <w:t xml:space="preserve">že </w:t>
      </w:r>
      <w:r w:rsidR="000A2AA2" w:rsidRPr="000A2AA2">
        <w:rPr>
          <w:rFonts w:cs="Arial"/>
          <w:szCs w:val="20"/>
        </w:rPr>
        <w:t xml:space="preserve">na kratko povzel v </w:t>
      </w:r>
      <w:r w:rsidR="000A2AA2">
        <w:rPr>
          <w:rFonts w:cs="Arial"/>
          <w:szCs w:val="20"/>
        </w:rPr>
        <w:t>predhodnih</w:t>
      </w:r>
      <w:r w:rsidR="000A2AA2" w:rsidRPr="000A2AA2">
        <w:rPr>
          <w:rFonts w:cs="Arial"/>
          <w:szCs w:val="20"/>
        </w:rPr>
        <w:t xml:space="preserve"> poglavjih </w:t>
      </w:r>
      <w:r w:rsidR="000A2AA2">
        <w:rPr>
          <w:rFonts w:cs="Arial"/>
          <w:szCs w:val="20"/>
        </w:rPr>
        <w:t xml:space="preserve">tega </w:t>
      </w:r>
      <w:r w:rsidR="000A2AA2" w:rsidRPr="000A2AA2">
        <w:rPr>
          <w:rFonts w:cs="Arial"/>
          <w:szCs w:val="20"/>
        </w:rPr>
        <w:t>zapisnika.</w:t>
      </w:r>
    </w:p>
    <w:p w14:paraId="4E4DA92E" w14:textId="77777777" w:rsidR="002E14D9" w:rsidRPr="002E14D9" w:rsidRDefault="002E14D9" w:rsidP="002E14D9">
      <w:pPr>
        <w:jc w:val="both"/>
        <w:rPr>
          <w:rFonts w:cs="Arial"/>
          <w:szCs w:val="20"/>
        </w:rPr>
      </w:pPr>
    </w:p>
    <w:p w14:paraId="41C48C08" w14:textId="3B1C8770" w:rsidR="002E14D9" w:rsidRDefault="004C5E13" w:rsidP="002E14D9">
      <w:pPr>
        <w:jc w:val="both"/>
        <w:rPr>
          <w:rFonts w:cs="Arial"/>
          <w:szCs w:val="20"/>
        </w:rPr>
      </w:pPr>
      <w:r w:rsidRPr="004C5E13">
        <w:rPr>
          <w:rFonts w:cs="Arial"/>
          <w:szCs w:val="20"/>
        </w:rPr>
        <w:t xml:space="preserve">MVZI je dodatno </w:t>
      </w:r>
      <w:r w:rsidR="009218FD">
        <w:rPr>
          <w:rFonts w:cs="Arial"/>
          <w:szCs w:val="20"/>
        </w:rPr>
        <w:t>pojasnil</w:t>
      </w:r>
      <w:r w:rsidRPr="004C5E13">
        <w:rPr>
          <w:rFonts w:cs="Arial"/>
          <w:szCs w:val="20"/>
        </w:rPr>
        <w:t xml:space="preserve">, da izvaja tudi naključne kontrole nad izvajanjem ukrepa. Do sedaj je bilo izvedeno eno terensko preverjanje, </w:t>
      </w:r>
      <w:r w:rsidR="005A7749">
        <w:rPr>
          <w:rFonts w:cs="Arial"/>
          <w:szCs w:val="20"/>
        </w:rPr>
        <w:t xml:space="preserve">in sicer </w:t>
      </w:r>
      <w:r w:rsidRPr="004C5E13">
        <w:rPr>
          <w:rFonts w:cs="Arial"/>
          <w:szCs w:val="20"/>
        </w:rPr>
        <w:t xml:space="preserve">dne 21. </w:t>
      </w:r>
      <w:r>
        <w:rPr>
          <w:rFonts w:cs="Arial"/>
          <w:szCs w:val="20"/>
        </w:rPr>
        <w:t>10.</w:t>
      </w:r>
      <w:r w:rsidRPr="004C5E13">
        <w:rPr>
          <w:rFonts w:cs="Arial"/>
          <w:szCs w:val="20"/>
        </w:rPr>
        <w:t xml:space="preserve"> 2024, ki ga je opravil skrbnik pogodbe. Pri nadzoru niso bile ugotovljene nepravilnosti.</w:t>
      </w:r>
    </w:p>
    <w:p w14:paraId="0CDFFBCC" w14:textId="77777777" w:rsidR="004C5E13" w:rsidRPr="002E14D9" w:rsidRDefault="004C5E13" w:rsidP="002E14D9">
      <w:pPr>
        <w:jc w:val="both"/>
        <w:rPr>
          <w:rFonts w:cs="Arial"/>
          <w:szCs w:val="20"/>
        </w:rPr>
      </w:pPr>
    </w:p>
    <w:p w14:paraId="4D018FD7" w14:textId="77777777" w:rsidR="002E14D9" w:rsidRDefault="002E14D9" w:rsidP="002E14D9">
      <w:pPr>
        <w:jc w:val="both"/>
        <w:rPr>
          <w:rFonts w:cs="Arial"/>
          <w:szCs w:val="20"/>
        </w:rPr>
      </w:pPr>
      <w:r w:rsidRPr="002E14D9">
        <w:rPr>
          <w:rFonts w:cs="Arial"/>
          <w:szCs w:val="20"/>
        </w:rPr>
        <w:t>K pojasnilu so bili priloženi kontrolni list o izvedenem preverjanju na kraju samem, ugotovitve in mnenje nosilnega organa – končno poročilo o izvedenem preverjanju na kraju samem – ter spremljajoči dopis.</w:t>
      </w:r>
    </w:p>
    <w:p w14:paraId="37FBD616" w14:textId="77777777" w:rsidR="002E14D9" w:rsidRPr="002E14D9" w:rsidRDefault="002E14D9" w:rsidP="002E14D9">
      <w:pPr>
        <w:jc w:val="both"/>
        <w:rPr>
          <w:rFonts w:cs="Arial"/>
          <w:szCs w:val="20"/>
        </w:rPr>
      </w:pPr>
    </w:p>
    <w:p w14:paraId="4FF81282" w14:textId="528EC3DC" w:rsidR="002E14D9" w:rsidRPr="002E14D9" w:rsidRDefault="005A7749" w:rsidP="002E14D9">
      <w:pPr>
        <w:jc w:val="both"/>
        <w:rPr>
          <w:rFonts w:cs="Arial"/>
          <w:szCs w:val="20"/>
        </w:rPr>
      </w:pPr>
      <w:r>
        <w:rPr>
          <w:rFonts w:cs="Arial"/>
          <w:szCs w:val="20"/>
        </w:rPr>
        <w:t>Iz</w:t>
      </w:r>
      <w:r w:rsidR="002E14D9" w:rsidRPr="002E14D9">
        <w:rPr>
          <w:rFonts w:cs="Arial"/>
          <w:szCs w:val="20"/>
        </w:rPr>
        <w:t xml:space="preserve"> končnega poročila </w:t>
      </w:r>
      <w:r w:rsidR="004C5E13">
        <w:rPr>
          <w:rFonts w:cs="Arial"/>
          <w:szCs w:val="20"/>
        </w:rPr>
        <w:t>izhaja</w:t>
      </w:r>
      <w:r w:rsidR="002E14D9" w:rsidRPr="002E14D9">
        <w:rPr>
          <w:rFonts w:cs="Arial"/>
          <w:szCs w:val="20"/>
        </w:rPr>
        <w:t>, da je bil namen preverjanja na kraju samem potrditi, da so prijavljeni stroški za blago in storitve dejansko nastali ter bili uporabljeni za namene, za katere so bila dodeljena sredstva iz Mehanizma za okrevanje in odpornost. V okviru pregleda so bili preverjeni štirje upravičenci, zajeti v vzorcu upravičenih stroškov v skupni višini 122.131,33 EUR</w:t>
      </w:r>
      <w:r w:rsidR="004C5E13">
        <w:rPr>
          <w:rFonts w:cs="Arial"/>
          <w:szCs w:val="20"/>
        </w:rPr>
        <w:t xml:space="preserve">. </w:t>
      </w:r>
      <w:r w:rsidR="004C5E13" w:rsidRPr="004C5E13">
        <w:rPr>
          <w:rFonts w:cs="Arial"/>
          <w:szCs w:val="20"/>
        </w:rPr>
        <w:t>Nepravilnosti pri pregledu niso bile ugotovljene.</w:t>
      </w:r>
    </w:p>
    <w:bookmarkEnd w:id="4"/>
    <w:p w14:paraId="074048E4" w14:textId="77777777" w:rsidR="000A2AA2" w:rsidRPr="002E14D9" w:rsidRDefault="000A2AA2" w:rsidP="000A2AA2">
      <w:pPr>
        <w:jc w:val="both"/>
        <w:rPr>
          <w:rFonts w:cs="Arial"/>
          <w:szCs w:val="20"/>
        </w:rPr>
      </w:pPr>
    </w:p>
    <w:p w14:paraId="4838F598" w14:textId="1F9BA80B" w:rsidR="000A2AA2" w:rsidRDefault="000A2AA2" w:rsidP="000A2AA2">
      <w:pPr>
        <w:jc w:val="both"/>
        <w:rPr>
          <w:rFonts w:cs="Arial"/>
          <w:szCs w:val="20"/>
        </w:rPr>
      </w:pPr>
      <w:r>
        <w:rPr>
          <w:rFonts w:cs="Arial"/>
          <w:szCs w:val="20"/>
        </w:rPr>
        <w:lastRenderedPageBreak/>
        <w:t>MVZI</w:t>
      </w:r>
      <w:r w:rsidRPr="002E14D9">
        <w:rPr>
          <w:rFonts w:cs="Arial"/>
          <w:szCs w:val="20"/>
        </w:rPr>
        <w:t xml:space="preserve"> je dodatno poudaril, da z izvajalcem ukrepa</w:t>
      </w:r>
      <w:r w:rsidR="005A7749">
        <w:rPr>
          <w:rFonts w:cs="Arial"/>
          <w:szCs w:val="20"/>
        </w:rPr>
        <w:t>,</w:t>
      </w:r>
      <w:r w:rsidRPr="002E14D9">
        <w:rPr>
          <w:rFonts w:cs="Arial"/>
          <w:szCs w:val="20"/>
        </w:rPr>
        <w:t xml:space="preserve"> agencijo ARIS</w:t>
      </w:r>
      <w:r w:rsidR="005A7749">
        <w:rPr>
          <w:rFonts w:cs="Arial"/>
          <w:szCs w:val="20"/>
        </w:rPr>
        <w:t>,</w:t>
      </w:r>
      <w:r w:rsidRPr="002E14D9">
        <w:rPr>
          <w:rFonts w:cs="Arial"/>
          <w:szCs w:val="20"/>
        </w:rPr>
        <w:t xml:space="preserve"> poteka stalna in konstruktivna komunikacija, v okviru katere se sproti rešujejo morebitne odprte dileme in vprašanja, povezana z izvajanjem ukrepa.</w:t>
      </w:r>
    </w:p>
    <w:p w14:paraId="518C9904" w14:textId="13F38B2F" w:rsidR="00213547" w:rsidRDefault="00213547" w:rsidP="002F1C07">
      <w:pPr>
        <w:jc w:val="both"/>
        <w:rPr>
          <w:rFonts w:cs="Arial"/>
          <w:szCs w:val="20"/>
        </w:rPr>
      </w:pPr>
    </w:p>
    <w:p w14:paraId="69333526" w14:textId="5B66D198" w:rsidR="00213547" w:rsidRDefault="00F0740F" w:rsidP="00213547">
      <w:pPr>
        <w:jc w:val="both"/>
        <w:rPr>
          <w:szCs w:val="20"/>
          <w:lang w:eastAsia="sl-SI"/>
        </w:rPr>
      </w:pPr>
      <w:r w:rsidRPr="00F0740F">
        <w:rPr>
          <w:szCs w:val="20"/>
          <w:lang w:eastAsia="sl-SI"/>
        </w:rPr>
        <w:t xml:space="preserve">Glede na dejstvo, da je bilo doslej izvedeno le eno preverjanje, </w:t>
      </w:r>
      <w:r w:rsidR="00FE23D6">
        <w:rPr>
          <w:szCs w:val="20"/>
          <w:lang w:eastAsia="sl-SI"/>
        </w:rPr>
        <w:t>ter</w:t>
      </w:r>
      <w:r w:rsidRPr="00F0740F">
        <w:rPr>
          <w:szCs w:val="20"/>
          <w:lang w:eastAsia="sl-SI"/>
        </w:rPr>
        <w:t xml:space="preserve"> z namenom povečanja preglednosti </w:t>
      </w:r>
      <w:r w:rsidR="00FE23D6">
        <w:rPr>
          <w:szCs w:val="20"/>
          <w:lang w:eastAsia="sl-SI"/>
        </w:rPr>
        <w:t>in</w:t>
      </w:r>
      <w:r w:rsidRPr="00F0740F">
        <w:rPr>
          <w:szCs w:val="20"/>
          <w:lang w:eastAsia="sl-SI"/>
        </w:rPr>
        <w:t xml:space="preserve"> učinkovitejšega spremljanja izvajanja projekta, proračunska inšpekcija Ministrstvu za visoko šolstvo, znanost in inovacije </w:t>
      </w:r>
      <w:r w:rsidR="00D056C8">
        <w:rPr>
          <w:szCs w:val="20"/>
          <w:lang w:eastAsia="sl-SI"/>
        </w:rPr>
        <w:t>daje</w:t>
      </w:r>
      <w:r w:rsidRPr="00F0740F">
        <w:rPr>
          <w:szCs w:val="20"/>
          <w:lang w:eastAsia="sl-SI"/>
        </w:rPr>
        <w:t xml:space="preserve"> naslednje priporočilo:</w:t>
      </w:r>
    </w:p>
    <w:p w14:paraId="03A53EA2" w14:textId="77777777" w:rsidR="00F0740F" w:rsidRDefault="00F0740F" w:rsidP="00213547">
      <w:pPr>
        <w:jc w:val="both"/>
        <w:rPr>
          <w:szCs w:val="20"/>
          <w:lang w:eastAsia="sl-SI"/>
        </w:rPr>
      </w:pPr>
    </w:p>
    <w:p w14:paraId="6C8AEA03" w14:textId="3790C461" w:rsidR="00213547" w:rsidRDefault="00213547" w:rsidP="0021354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PRIPOROČILO št. 1</w:t>
      </w:r>
    </w:p>
    <w:p w14:paraId="6C50D689" w14:textId="77777777" w:rsidR="00D47D76" w:rsidRDefault="00D47D76" w:rsidP="0021354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74DF703F" w14:textId="58ACE2EC" w:rsidR="00D47D76" w:rsidRDefault="00D47D76" w:rsidP="00D47D7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D47D76">
        <w:rPr>
          <w:rFonts w:eastAsia="Times New Roman" w:cs="Times New Roman"/>
          <w:b/>
          <w:bCs/>
          <w:szCs w:val="24"/>
        </w:rPr>
        <w:t xml:space="preserve">Proračunska inšpekcija na podlagi drugega odstavka 104. člena ZJF predlaga, da MVZI v prihodnje </w:t>
      </w:r>
      <w:r w:rsidR="00FE4613" w:rsidRPr="00D47D76">
        <w:rPr>
          <w:rFonts w:eastAsia="Times New Roman" w:cs="Times New Roman"/>
          <w:b/>
          <w:bCs/>
          <w:szCs w:val="24"/>
        </w:rPr>
        <w:t>zagot</w:t>
      </w:r>
      <w:r w:rsidR="00FE4613">
        <w:rPr>
          <w:rFonts w:eastAsia="Times New Roman" w:cs="Times New Roman"/>
          <w:b/>
          <w:bCs/>
          <w:szCs w:val="24"/>
        </w:rPr>
        <w:t>o</w:t>
      </w:r>
      <w:r w:rsidR="00FE4613" w:rsidRPr="00D47D76">
        <w:rPr>
          <w:rFonts w:eastAsia="Times New Roman" w:cs="Times New Roman"/>
          <w:b/>
          <w:bCs/>
          <w:szCs w:val="24"/>
        </w:rPr>
        <w:t>v</w:t>
      </w:r>
      <w:r w:rsidR="00FE4613">
        <w:rPr>
          <w:rFonts w:eastAsia="Times New Roman" w:cs="Times New Roman"/>
          <w:b/>
          <w:bCs/>
          <w:szCs w:val="24"/>
        </w:rPr>
        <w:t>i</w:t>
      </w:r>
      <w:r w:rsidR="00FE4613" w:rsidRPr="00D47D76">
        <w:rPr>
          <w:rFonts w:eastAsia="Times New Roman" w:cs="Times New Roman"/>
          <w:b/>
          <w:bCs/>
          <w:szCs w:val="24"/>
        </w:rPr>
        <w:t xml:space="preserve"> rednejš</w:t>
      </w:r>
      <w:r w:rsidR="00FE4613">
        <w:rPr>
          <w:rFonts w:eastAsia="Times New Roman" w:cs="Times New Roman"/>
          <w:b/>
          <w:bCs/>
          <w:szCs w:val="24"/>
        </w:rPr>
        <w:t>e</w:t>
      </w:r>
      <w:r w:rsidR="00FE4613" w:rsidRPr="00D47D76">
        <w:rPr>
          <w:rFonts w:eastAsia="Times New Roman" w:cs="Times New Roman"/>
          <w:b/>
          <w:bCs/>
          <w:szCs w:val="24"/>
        </w:rPr>
        <w:t xml:space="preserve"> </w:t>
      </w:r>
      <w:r w:rsidRPr="00D47D76">
        <w:rPr>
          <w:rFonts w:eastAsia="Times New Roman" w:cs="Times New Roman"/>
          <w:b/>
          <w:bCs/>
          <w:szCs w:val="24"/>
        </w:rPr>
        <w:t xml:space="preserve">oziroma </w:t>
      </w:r>
      <w:r w:rsidR="00FE4613" w:rsidRPr="00D47D76">
        <w:rPr>
          <w:rFonts w:eastAsia="Times New Roman" w:cs="Times New Roman"/>
          <w:b/>
          <w:bCs/>
          <w:szCs w:val="24"/>
        </w:rPr>
        <w:t>pogostejš</w:t>
      </w:r>
      <w:r w:rsidR="00FE4613">
        <w:rPr>
          <w:rFonts w:eastAsia="Times New Roman" w:cs="Times New Roman"/>
          <w:b/>
          <w:bCs/>
          <w:szCs w:val="24"/>
        </w:rPr>
        <w:t>e</w:t>
      </w:r>
      <w:r w:rsidR="00FE4613" w:rsidRPr="00D47D76">
        <w:rPr>
          <w:rFonts w:eastAsia="Times New Roman" w:cs="Times New Roman"/>
          <w:b/>
          <w:bCs/>
          <w:szCs w:val="24"/>
        </w:rPr>
        <w:t xml:space="preserve"> izvajanj</w:t>
      </w:r>
      <w:r w:rsidR="00FE4613">
        <w:rPr>
          <w:rFonts w:eastAsia="Times New Roman" w:cs="Times New Roman"/>
          <w:b/>
          <w:bCs/>
          <w:szCs w:val="24"/>
        </w:rPr>
        <w:t>e</w:t>
      </w:r>
      <w:r w:rsidR="00FE4613" w:rsidRPr="00D47D76">
        <w:rPr>
          <w:rFonts w:eastAsia="Times New Roman" w:cs="Times New Roman"/>
          <w:b/>
          <w:bCs/>
          <w:szCs w:val="24"/>
        </w:rPr>
        <w:t xml:space="preserve"> </w:t>
      </w:r>
      <w:r w:rsidR="00FE4613">
        <w:rPr>
          <w:rFonts w:eastAsia="Times New Roman" w:cs="Times New Roman"/>
          <w:b/>
          <w:bCs/>
          <w:szCs w:val="24"/>
        </w:rPr>
        <w:t>nadzora</w:t>
      </w:r>
      <w:r w:rsidR="00FE4613" w:rsidRPr="00D47D76">
        <w:rPr>
          <w:rFonts w:eastAsia="Times New Roman" w:cs="Times New Roman"/>
          <w:b/>
          <w:bCs/>
          <w:szCs w:val="24"/>
        </w:rPr>
        <w:t xml:space="preserve"> </w:t>
      </w:r>
      <w:r w:rsidRPr="00D47D76">
        <w:rPr>
          <w:rFonts w:eastAsia="Times New Roman" w:cs="Times New Roman"/>
          <w:b/>
          <w:bCs/>
          <w:szCs w:val="24"/>
        </w:rPr>
        <w:t>nad delom izvajalca ukrepa –</w:t>
      </w:r>
      <w:r w:rsidR="00FE4613">
        <w:rPr>
          <w:rFonts w:eastAsia="Times New Roman" w:cs="Times New Roman"/>
          <w:b/>
          <w:bCs/>
          <w:szCs w:val="24"/>
        </w:rPr>
        <w:t xml:space="preserve"> </w:t>
      </w:r>
      <w:r w:rsidRPr="00D47D76">
        <w:rPr>
          <w:rFonts w:eastAsia="Times New Roman" w:cs="Times New Roman"/>
          <w:b/>
          <w:bCs/>
          <w:szCs w:val="24"/>
        </w:rPr>
        <w:t xml:space="preserve">agencije ARIS, </w:t>
      </w:r>
      <w:r w:rsidR="00FE4613">
        <w:rPr>
          <w:rFonts w:eastAsia="Times New Roman" w:cs="Times New Roman"/>
          <w:b/>
          <w:bCs/>
          <w:szCs w:val="24"/>
        </w:rPr>
        <w:t xml:space="preserve">in sicer </w:t>
      </w:r>
      <w:r w:rsidRPr="00D47D76">
        <w:rPr>
          <w:rFonts w:eastAsia="Times New Roman" w:cs="Times New Roman"/>
          <w:b/>
          <w:bCs/>
          <w:szCs w:val="24"/>
        </w:rPr>
        <w:t>v skladu</w:t>
      </w:r>
      <w:r w:rsidR="00FE4613">
        <w:rPr>
          <w:rFonts w:eastAsia="Times New Roman" w:cs="Times New Roman"/>
          <w:b/>
          <w:bCs/>
          <w:szCs w:val="24"/>
        </w:rPr>
        <w:t xml:space="preserve"> s 3. točko 71. člena ZJF ter</w:t>
      </w:r>
      <w:r w:rsidRPr="00D47D76">
        <w:rPr>
          <w:rFonts w:eastAsia="Times New Roman" w:cs="Times New Roman"/>
          <w:b/>
          <w:bCs/>
          <w:szCs w:val="24"/>
        </w:rPr>
        <w:t xml:space="preserve"> </w:t>
      </w:r>
      <w:r w:rsidRPr="00D056C8">
        <w:rPr>
          <w:rFonts w:eastAsia="Times New Roman" w:cs="Times New Roman"/>
          <w:b/>
          <w:bCs/>
          <w:i/>
          <w:iCs/>
          <w:szCs w:val="24"/>
        </w:rPr>
        <w:t>»Navodilo</w:t>
      </w:r>
      <w:r w:rsidR="00FE4613">
        <w:rPr>
          <w:rFonts w:eastAsia="Times New Roman" w:cs="Times New Roman"/>
          <w:b/>
          <w:bCs/>
          <w:i/>
          <w:iCs/>
          <w:szCs w:val="24"/>
        </w:rPr>
        <w:t>m</w:t>
      </w:r>
      <w:r w:rsidRPr="00D056C8">
        <w:rPr>
          <w:rFonts w:eastAsia="Times New Roman" w:cs="Times New Roman"/>
          <w:b/>
          <w:bCs/>
          <w:i/>
          <w:iCs/>
          <w:szCs w:val="24"/>
        </w:rPr>
        <w:t xml:space="preserve"> Ministrstva za visoko šolstvo, znanost in inovacije za izvajanje nalog izvajalca ukrepa, Javne agencije za raziskovalno dejavnost Republike Slovenije, v okviru Mehanizma za okrevanje in odpornost«</w:t>
      </w:r>
      <w:r w:rsidRPr="00D056C8">
        <w:rPr>
          <w:rFonts w:eastAsia="Times New Roman" w:cs="Times New Roman"/>
          <w:b/>
          <w:bCs/>
          <w:szCs w:val="24"/>
        </w:rPr>
        <w:t xml:space="preserve"> (št. 303-28/2023/1 z dne 27. 2. 2023).</w:t>
      </w:r>
    </w:p>
    <w:p w14:paraId="60E3FA39" w14:textId="77777777" w:rsidR="00D47D76" w:rsidRPr="00D47D76" w:rsidRDefault="00D47D76" w:rsidP="00D47D7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3AE22656" w14:textId="77777777" w:rsidR="00D47D76" w:rsidRPr="00D47D76" w:rsidRDefault="00D47D76" w:rsidP="00D47D7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D47D76">
        <w:rPr>
          <w:rFonts w:eastAsia="Times New Roman" w:cs="Times New Roman"/>
          <w:b/>
          <w:bCs/>
          <w:szCs w:val="24"/>
        </w:rPr>
        <w:t>Kontrole naj se izvajajo z namenom zagotavljanja pravilne, zakonite in učinkovite uporabe sredstev Mehanizma za okrevanje in odpornost ter skladnosti postopkov, ki jih izvaja ARIS, z določili navodil MVZI in veljavno zakonodajo. Rednejše kontrole bi prispevale k pravočasnemu odkrivanju in odpravljanju morebitnih nepravilnosti, preprečevanju tveganj goljufij in dvojnega financiranja ter krepitvi notranjih kontrolnih mehanizmov pri ARIS-u.</w:t>
      </w:r>
    </w:p>
    <w:p w14:paraId="4BD230B7" w14:textId="77777777" w:rsidR="00213547" w:rsidRPr="0049726C" w:rsidRDefault="00213547" w:rsidP="0021354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59A3B20C" w14:textId="604CB53E" w:rsidR="00213547" w:rsidRPr="0049726C" w:rsidRDefault="00213547" w:rsidP="0021354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49726C">
        <w:rPr>
          <w:rFonts w:eastAsia="Times New Roman" w:cs="Times New Roman"/>
          <w:b/>
          <w:bCs/>
          <w:szCs w:val="24"/>
        </w:rPr>
        <w:t>MVZI naj o navede</w:t>
      </w:r>
      <w:r>
        <w:rPr>
          <w:rFonts w:eastAsia="Times New Roman" w:cs="Times New Roman"/>
          <w:b/>
          <w:bCs/>
          <w:szCs w:val="24"/>
        </w:rPr>
        <w:t>nem</w:t>
      </w:r>
      <w:r w:rsidRPr="0049726C">
        <w:rPr>
          <w:rFonts w:eastAsia="Times New Roman" w:cs="Times New Roman"/>
          <w:b/>
          <w:bCs/>
          <w:szCs w:val="24"/>
        </w:rPr>
        <w:t xml:space="preserve"> priporočil</w:t>
      </w:r>
      <w:r>
        <w:rPr>
          <w:rFonts w:eastAsia="Times New Roman" w:cs="Times New Roman"/>
          <w:b/>
          <w:bCs/>
          <w:szCs w:val="24"/>
        </w:rPr>
        <w:t>u</w:t>
      </w:r>
      <w:r w:rsidRPr="0049726C">
        <w:rPr>
          <w:rFonts w:eastAsia="Times New Roman" w:cs="Times New Roman"/>
          <w:b/>
          <w:bCs/>
          <w:szCs w:val="24"/>
        </w:rPr>
        <w:t xml:space="preserve"> obvesti vse zaposlene, ki delajo na tem področju, ter v roku </w:t>
      </w:r>
      <w:r w:rsidR="00DC1F14">
        <w:rPr>
          <w:rFonts w:eastAsia="Times New Roman" w:cs="Times New Roman"/>
          <w:b/>
          <w:bCs/>
          <w:szCs w:val="24"/>
        </w:rPr>
        <w:t xml:space="preserve">30 </w:t>
      </w:r>
      <w:r w:rsidRPr="0049726C">
        <w:rPr>
          <w:rFonts w:eastAsia="Times New Roman" w:cs="Times New Roman"/>
          <w:b/>
          <w:bCs/>
          <w:szCs w:val="24"/>
        </w:rPr>
        <w:t xml:space="preserve">dni od prejema tega zapisnika </w:t>
      </w:r>
      <w:r w:rsidR="00D056C8">
        <w:rPr>
          <w:rFonts w:eastAsia="Times New Roman" w:cs="Times New Roman"/>
          <w:b/>
          <w:bCs/>
          <w:szCs w:val="24"/>
        </w:rPr>
        <w:t xml:space="preserve">o tem </w:t>
      </w:r>
      <w:r w:rsidRPr="0049726C">
        <w:rPr>
          <w:rFonts w:eastAsia="Times New Roman" w:cs="Times New Roman"/>
          <w:b/>
          <w:bCs/>
          <w:szCs w:val="24"/>
        </w:rPr>
        <w:t>obvesti inšpekcijski organ.</w:t>
      </w:r>
    </w:p>
    <w:p w14:paraId="4C727F88" w14:textId="70D16F8C" w:rsidR="001C2EC7" w:rsidRDefault="001C2EC7" w:rsidP="002F1C07">
      <w:pPr>
        <w:jc w:val="both"/>
        <w:rPr>
          <w:szCs w:val="20"/>
        </w:rPr>
      </w:pPr>
    </w:p>
    <w:p w14:paraId="13DC4CCB" w14:textId="77777777" w:rsidR="00E11A61" w:rsidRDefault="00E11A61" w:rsidP="002F1C07">
      <w:pPr>
        <w:jc w:val="both"/>
        <w:rPr>
          <w:szCs w:val="20"/>
        </w:rPr>
      </w:pPr>
    </w:p>
    <w:p w14:paraId="12D4B8AB" w14:textId="77777777" w:rsidR="008D3E5D" w:rsidRDefault="008D3E5D" w:rsidP="00843B43">
      <w:pPr>
        <w:pStyle w:val="Odstavekseznama"/>
        <w:numPr>
          <w:ilvl w:val="0"/>
          <w:numId w:val="33"/>
        </w:numPr>
        <w:jc w:val="both"/>
        <w:rPr>
          <w:b/>
          <w:bCs/>
          <w:szCs w:val="20"/>
        </w:rPr>
      </w:pPr>
      <w:r w:rsidRPr="000050A8">
        <w:rPr>
          <w:b/>
          <w:bCs/>
          <w:szCs w:val="20"/>
        </w:rPr>
        <w:t>Evro-sredozemska univerza – EMUNI</w:t>
      </w:r>
    </w:p>
    <w:p w14:paraId="13E78C8D" w14:textId="77777777" w:rsidR="00FB141D" w:rsidRDefault="00FB141D" w:rsidP="00FB141D">
      <w:pPr>
        <w:jc w:val="both"/>
        <w:rPr>
          <w:b/>
          <w:bCs/>
          <w:szCs w:val="20"/>
        </w:rPr>
      </w:pPr>
    </w:p>
    <w:p w14:paraId="39283749" w14:textId="0329DA46" w:rsidR="00FB141D" w:rsidRPr="00E82B94" w:rsidRDefault="00FB141D" w:rsidP="00843B43">
      <w:pPr>
        <w:pStyle w:val="Odstavekseznama"/>
        <w:numPr>
          <w:ilvl w:val="1"/>
          <w:numId w:val="33"/>
        </w:numPr>
        <w:jc w:val="both"/>
        <w:rPr>
          <w:szCs w:val="20"/>
        </w:rPr>
      </w:pPr>
      <w:r w:rsidRPr="00E82B94">
        <w:rPr>
          <w:szCs w:val="20"/>
        </w:rPr>
        <w:t>Splošni podatki</w:t>
      </w:r>
    </w:p>
    <w:p w14:paraId="05BD2229" w14:textId="77777777" w:rsidR="008D3E5D" w:rsidRDefault="008D3E5D" w:rsidP="008D3E5D">
      <w:pPr>
        <w:jc w:val="both"/>
        <w:rPr>
          <w:szCs w:val="20"/>
        </w:rPr>
      </w:pPr>
    </w:p>
    <w:p w14:paraId="43D42E8D" w14:textId="77777777" w:rsidR="008D3E5D" w:rsidRDefault="008D3E5D" w:rsidP="008D3E5D">
      <w:pPr>
        <w:jc w:val="both"/>
        <w:rPr>
          <w:rFonts w:cs="Arial"/>
          <w:szCs w:val="20"/>
        </w:rPr>
      </w:pPr>
      <w:r w:rsidRPr="003948A8">
        <w:rPr>
          <w:rFonts w:cs="Arial"/>
          <w:szCs w:val="20"/>
        </w:rPr>
        <w:t>Evro-sredozemska univerza (</w:t>
      </w:r>
      <w:r>
        <w:rPr>
          <w:rFonts w:cs="Arial"/>
          <w:szCs w:val="20"/>
        </w:rPr>
        <w:t xml:space="preserve">v nadaljevanju </w:t>
      </w:r>
      <w:r w:rsidRPr="003948A8">
        <w:rPr>
          <w:rFonts w:cs="Arial"/>
          <w:szCs w:val="20"/>
        </w:rPr>
        <w:t>EMUNI) je mednarodna zveza univerz s sedežem v</w:t>
      </w:r>
      <w:r>
        <w:rPr>
          <w:rFonts w:cs="Arial"/>
          <w:szCs w:val="20"/>
        </w:rPr>
        <w:t xml:space="preserve"> </w:t>
      </w:r>
      <w:r w:rsidRPr="003948A8">
        <w:rPr>
          <w:rFonts w:cs="Arial"/>
          <w:szCs w:val="20"/>
        </w:rPr>
        <w:t>Sloveniji (Piran)</w:t>
      </w:r>
      <w:r>
        <w:rPr>
          <w:rFonts w:cs="Arial"/>
          <w:szCs w:val="20"/>
        </w:rPr>
        <w:t xml:space="preserve"> in je</w:t>
      </w:r>
      <w:r w:rsidRPr="003948A8">
        <w:rPr>
          <w:rFonts w:cs="Arial"/>
          <w:szCs w:val="20"/>
        </w:rPr>
        <w:t xml:space="preserve"> registriran</w:t>
      </w:r>
      <w:r>
        <w:rPr>
          <w:rFonts w:cs="Arial"/>
          <w:szCs w:val="20"/>
        </w:rPr>
        <w:t>a</w:t>
      </w:r>
      <w:r w:rsidRPr="003948A8">
        <w:rPr>
          <w:rFonts w:cs="Arial"/>
          <w:szCs w:val="20"/>
        </w:rPr>
        <w:t xml:space="preserve"> kot zasebni visokošolski zavod. </w:t>
      </w:r>
      <w:r>
        <w:rPr>
          <w:rFonts w:cs="Arial"/>
          <w:szCs w:val="20"/>
        </w:rPr>
        <w:t>U</w:t>
      </w:r>
      <w:r w:rsidRPr="00DD4058">
        <w:rPr>
          <w:rFonts w:cs="Arial"/>
          <w:szCs w:val="20"/>
        </w:rPr>
        <w:t xml:space="preserve">stanovljena </w:t>
      </w:r>
      <w:r>
        <w:rPr>
          <w:rFonts w:cs="Arial"/>
          <w:szCs w:val="20"/>
        </w:rPr>
        <w:t xml:space="preserve">je bila </w:t>
      </w:r>
      <w:r w:rsidRPr="00DD4058">
        <w:rPr>
          <w:rFonts w:cs="Arial"/>
          <w:szCs w:val="20"/>
        </w:rPr>
        <w:t>leta 2008 kot mednarodna univerza in mreža sredozemskih univerz pod okriljem Vlade Republike Slovenije, Evropske unije in Unije za Sredozemlje. Njeno ustanovitev je podprlo 32 ustanovnih članic in 228 podpisnic sporazuma o sodelovanju z EMUNI.</w:t>
      </w:r>
    </w:p>
    <w:p w14:paraId="3E0A9EC8" w14:textId="77777777" w:rsidR="008D3E5D" w:rsidRPr="003948A8" w:rsidRDefault="008D3E5D" w:rsidP="008D3E5D">
      <w:pPr>
        <w:jc w:val="both"/>
        <w:rPr>
          <w:rFonts w:cs="Arial"/>
          <w:szCs w:val="20"/>
        </w:rPr>
      </w:pPr>
    </w:p>
    <w:p w14:paraId="387A240A" w14:textId="1F05C59B" w:rsidR="008D3E5D" w:rsidRDefault="008D3E5D" w:rsidP="008D3E5D">
      <w:pPr>
        <w:spacing w:line="259" w:lineRule="auto"/>
        <w:jc w:val="both"/>
        <w:rPr>
          <w:rFonts w:cs="Arial"/>
          <w:i/>
          <w:iCs/>
          <w:szCs w:val="20"/>
        </w:rPr>
      </w:pPr>
      <w:r w:rsidRPr="00DD4058">
        <w:rPr>
          <w:rFonts w:cs="Arial"/>
          <w:szCs w:val="20"/>
        </w:rPr>
        <w:t xml:space="preserve">EMUNI </w:t>
      </w:r>
      <w:r>
        <w:rPr>
          <w:rFonts w:cs="Arial"/>
          <w:szCs w:val="20"/>
        </w:rPr>
        <w:t>je</w:t>
      </w:r>
      <w:r w:rsidRPr="00DD4058">
        <w:rPr>
          <w:rFonts w:cs="Arial"/>
          <w:szCs w:val="20"/>
        </w:rPr>
        <w:t xml:space="preserve"> </w:t>
      </w:r>
      <w:r w:rsidR="00FB141D">
        <w:rPr>
          <w:rFonts w:cs="Arial"/>
          <w:szCs w:val="20"/>
        </w:rPr>
        <w:t xml:space="preserve">bila </w:t>
      </w:r>
      <w:r w:rsidRPr="00DD4058">
        <w:rPr>
          <w:rFonts w:cs="Arial"/>
          <w:szCs w:val="20"/>
        </w:rPr>
        <w:t>ustanovljen</w:t>
      </w:r>
      <w:r>
        <w:rPr>
          <w:rFonts w:cs="Arial"/>
          <w:szCs w:val="20"/>
        </w:rPr>
        <w:t>a</w:t>
      </w:r>
      <w:r w:rsidRPr="00DD4058">
        <w:rPr>
          <w:rFonts w:cs="Arial"/>
          <w:szCs w:val="20"/>
        </w:rPr>
        <w:t xml:space="preserve"> z ustanovnim aktom EMUNI v skladu z Ustanovno listino univerze EMUNI in na podlagi Zakona o spremembah in dopolnitvah Zakona o visokem šolstvu</w:t>
      </w:r>
      <w:r>
        <w:rPr>
          <w:rStyle w:val="Sprotnaopomba-sklic"/>
          <w:rFonts w:cs="Arial"/>
          <w:szCs w:val="20"/>
        </w:rPr>
        <w:footnoteReference w:id="8"/>
      </w:r>
      <w:r w:rsidRPr="003948A8">
        <w:rPr>
          <w:rFonts w:cs="Arial"/>
          <w:szCs w:val="20"/>
        </w:rPr>
        <w:t xml:space="preserve">. Po </w:t>
      </w:r>
      <w:r>
        <w:rPr>
          <w:rFonts w:cs="Arial"/>
          <w:szCs w:val="20"/>
        </w:rPr>
        <w:t>tem z</w:t>
      </w:r>
      <w:r w:rsidRPr="003948A8">
        <w:rPr>
          <w:rFonts w:cs="Arial"/>
          <w:szCs w:val="20"/>
        </w:rPr>
        <w:t xml:space="preserve">akonu ima EMUNI univerza poseben status in je financirana iz proračuna RS iz posebne postavke. </w:t>
      </w:r>
    </w:p>
    <w:p w14:paraId="40C5751D" w14:textId="77777777" w:rsidR="008D3E5D" w:rsidRPr="003948A8" w:rsidRDefault="008D3E5D" w:rsidP="008D3E5D">
      <w:pPr>
        <w:spacing w:line="259" w:lineRule="auto"/>
        <w:jc w:val="both"/>
        <w:rPr>
          <w:rFonts w:cs="Arial"/>
          <w:szCs w:val="20"/>
        </w:rPr>
      </w:pPr>
    </w:p>
    <w:p w14:paraId="722ABF6F" w14:textId="28C04DED" w:rsidR="008D3E5D" w:rsidRDefault="008D3E5D" w:rsidP="008D3E5D">
      <w:pPr>
        <w:spacing w:line="259" w:lineRule="auto"/>
        <w:jc w:val="both"/>
        <w:rPr>
          <w:rFonts w:cs="Arial"/>
          <w:szCs w:val="20"/>
        </w:rPr>
      </w:pPr>
      <w:r w:rsidRPr="00DD4058">
        <w:rPr>
          <w:rFonts w:cs="Arial"/>
          <w:szCs w:val="20"/>
        </w:rPr>
        <w:t xml:space="preserve">Organizirana je kot slovenski pravni subjekt in </w:t>
      </w:r>
      <w:r w:rsidR="00FB141D">
        <w:rPr>
          <w:rFonts w:cs="Arial"/>
          <w:szCs w:val="20"/>
        </w:rPr>
        <w:t xml:space="preserve">ker </w:t>
      </w:r>
      <w:r w:rsidRPr="00DD4058">
        <w:rPr>
          <w:rFonts w:cs="Arial"/>
          <w:szCs w:val="20"/>
        </w:rPr>
        <w:t>je registrirana kot zasebni visokošolski zavod v Sloveniji, je v svojem delovanju vezana na slovensko zakonodajo. Ustanoviteljske pravice v univerzi lahko uresničujejo podpisniki sporazuma in drugi partnerji Skupščine v skladu s Statutom univerze. EMUNI univerza tako nima statusa mednarodne organizacije, saj so te ustanovljene na podlagi soglasne volje držav z mednarodnimi pogodbami.</w:t>
      </w:r>
    </w:p>
    <w:p w14:paraId="6CFF06B9" w14:textId="77777777" w:rsidR="008D3E5D" w:rsidRPr="00DD4058" w:rsidRDefault="008D3E5D" w:rsidP="008D3E5D">
      <w:pPr>
        <w:spacing w:line="259" w:lineRule="auto"/>
        <w:jc w:val="both"/>
        <w:rPr>
          <w:szCs w:val="20"/>
        </w:rPr>
      </w:pPr>
    </w:p>
    <w:p w14:paraId="0EB1DBB9" w14:textId="6F0E00D7" w:rsidR="008D3E5D" w:rsidRDefault="008D3E5D" w:rsidP="008D3E5D">
      <w:pPr>
        <w:spacing w:line="276" w:lineRule="auto"/>
        <w:jc w:val="both"/>
        <w:rPr>
          <w:rFonts w:cs="Arial"/>
          <w:szCs w:val="20"/>
        </w:rPr>
      </w:pPr>
      <w:r w:rsidRPr="00DD4058">
        <w:rPr>
          <w:rFonts w:cs="Arial"/>
          <w:szCs w:val="20"/>
        </w:rPr>
        <w:t>EMUNI univerz</w:t>
      </w:r>
      <w:r>
        <w:rPr>
          <w:rFonts w:cs="Arial"/>
          <w:szCs w:val="20"/>
        </w:rPr>
        <w:t>a naj bi po</w:t>
      </w:r>
      <w:r w:rsidRPr="00DD4058">
        <w:rPr>
          <w:rFonts w:cs="Arial"/>
          <w:szCs w:val="20"/>
        </w:rPr>
        <w:t xml:space="preserve"> eni strani delovala kot mednarodna univerza, po drugi pa kot središče </w:t>
      </w:r>
      <w:r>
        <w:rPr>
          <w:rFonts w:cs="Arial"/>
          <w:szCs w:val="20"/>
        </w:rPr>
        <w:t>m</w:t>
      </w:r>
      <w:r w:rsidRPr="00DD4058">
        <w:rPr>
          <w:rFonts w:cs="Arial"/>
          <w:szCs w:val="20"/>
        </w:rPr>
        <w:t xml:space="preserve">reže Evro-sredozemskih univerz in raziskovalnih institucij. </w:t>
      </w:r>
      <w:r>
        <w:rPr>
          <w:rFonts w:cs="Arial"/>
          <w:szCs w:val="20"/>
        </w:rPr>
        <w:t>Njeno t</w:t>
      </w:r>
      <w:r w:rsidRPr="00DD4058">
        <w:rPr>
          <w:rFonts w:cs="Arial"/>
          <w:szCs w:val="20"/>
        </w:rPr>
        <w:t xml:space="preserve">emeljno poslanstvo je s svojimi dejavnostmi na področju visokega šolstva in raziskovanja prispevati </w:t>
      </w:r>
      <w:r w:rsidR="005234A2">
        <w:rPr>
          <w:rFonts w:cs="Arial"/>
          <w:szCs w:val="20"/>
        </w:rPr>
        <w:t>h</w:t>
      </w:r>
      <w:r w:rsidRPr="00DD4058">
        <w:rPr>
          <w:rFonts w:cs="Arial"/>
          <w:szCs w:val="20"/>
        </w:rPr>
        <w:t xml:space="preserve"> krepitvi medkulturnega dialoga v evro-sredozemski regiji. </w:t>
      </w:r>
    </w:p>
    <w:p w14:paraId="58470D11" w14:textId="77777777" w:rsidR="008D3E5D" w:rsidRPr="00DD4058" w:rsidRDefault="008D3E5D" w:rsidP="008D3E5D">
      <w:pPr>
        <w:spacing w:line="276" w:lineRule="auto"/>
        <w:jc w:val="both"/>
        <w:rPr>
          <w:rFonts w:cs="Arial"/>
          <w:szCs w:val="20"/>
        </w:rPr>
      </w:pPr>
    </w:p>
    <w:p w14:paraId="38CD1C3E" w14:textId="2C2BA289" w:rsidR="008D3E5D" w:rsidRPr="00DD4058" w:rsidRDefault="00EF70A7" w:rsidP="008D3E5D">
      <w:pPr>
        <w:spacing w:line="259" w:lineRule="auto"/>
        <w:jc w:val="both"/>
        <w:rPr>
          <w:rFonts w:cs="Arial"/>
          <w:szCs w:val="20"/>
        </w:rPr>
      </w:pPr>
      <w:r>
        <w:rPr>
          <w:rFonts w:cs="Arial"/>
          <w:szCs w:val="20"/>
        </w:rPr>
        <w:lastRenderedPageBreak/>
        <w:t>I</w:t>
      </w:r>
      <w:r w:rsidR="008D3E5D" w:rsidRPr="00DD4058">
        <w:rPr>
          <w:rFonts w:cs="Arial"/>
          <w:szCs w:val="20"/>
        </w:rPr>
        <w:t xml:space="preserve">ma 136 članic, ki so visokošolske in raziskovalne institucije iz Evro-Sredozemlja. Organi upravljanja EMUNI univerze so Skupščina, Upravni odbor, Senat, Predsednik univerze, Podpredsednika za študijske zadeve in za upravne in finančne zadeve ter Študentski Svet. </w:t>
      </w:r>
      <w:r w:rsidR="00FB141D" w:rsidRPr="00FB141D">
        <w:rPr>
          <w:rFonts w:cs="Arial"/>
          <w:szCs w:val="20"/>
        </w:rPr>
        <w:t xml:space="preserve">V trenutnem mandatu ima Univerza EMUNI za predsednika slovenskega predstavnika, in sicer </w:t>
      </w:r>
      <w:r w:rsidR="00AB2ED7" w:rsidRPr="00AB2ED7">
        <w:rPr>
          <w:rFonts w:cs="Arial"/>
          <w:szCs w:val="20"/>
          <w:lang w:eastAsia="sl-SI"/>
        </w:rPr>
        <w:t>█</w:t>
      </w:r>
      <w:r w:rsidR="00FB141D" w:rsidRPr="00FB141D">
        <w:rPr>
          <w:rFonts w:cs="Arial"/>
          <w:szCs w:val="20"/>
        </w:rPr>
        <w:t>.</w:t>
      </w:r>
    </w:p>
    <w:p w14:paraId="2FC152E9" w14:textId="77777777" w:rsidR="008D3E5D" w:rsidRDefault="008D3E5D" w:rsidP="008D3E5D">
      <w:pPr>
        <w:rPr>
          <w:rFonts w:cs="Arial"/>
        </w:rPr>
      </w:pPr>
    </w:p>
    <w:p w14:paraId="26968D10" w14:textId="77777777" w:rsidR="008D3E5D" w:rsidRPr="00470A45" w:rsidRDefault="008D3E5D" w:rsidP="008D3E5D">
      <w:pPr>
        <w:spacing w:line="276" w:lineRule="auto"/>
        <w:jc w:val="both"/>
        <w:rPr>
          <w:rFonts w:cs="Arial"/>
          <w:bCs/>
        </w:rPr>
      </w:pPr>
      <w:r w:rsidRPr="00470A45">
        <w:rPr>
          <w:rFonts w:cs="Arial"/>
          <w:bCs/>
        </w:rPr>
        <w:t>Vlada oz. MVZI pri podpori delovanja EMUNI univerze sledi Resoluciji o Nacionalnem programu visokega šolstva</w:t>
      </w:r>
      <w:r>
        <w:rPr>
          <w:rFonts w:cs="Arial"/>
          <w:bCs/>
        </w:rPr>
        <w:t xml:space="preserve"> – v nadaljevanju RENPVŠ30</w:t>
      </w:r>
      <w:r>
        <w:rPr>
          <w:rStyle w:val="Sprotnaopomba-sklic"/>
          <w:rFonts w:cs="Arial"/>
          <w:bCs/>
        </w:rPr>
        <w:footnoteReference w:id="9"/>
      </w:r>
      <w:r w:rsidRPr="00470A45">
        <w:rPr>
          <w:rFonts w:cs="Arial"/>
          <w:bCs/>
        </w:rPr>
        <w:t>. V verziji 2011–2020 je bila EMUNI univerza prepoznana kot eno od »</w:t>
      </w:r>
      <w:r w:rsidRPr="00470A45">
        <w:rPr>
          <w:rFonts w:cs="Arial"/>
          <w:bCs/>
          <w:i/>
          <w:iCs/>
        </w:rPr>
        <w:t>prioritet Unije za Sredozemlje, ki odpira možnosti za mreženje slovenskih univerz z univerzami iz 42 drugih v obsežen proces vključenih držav</w:t>
      </w:r>
      <w:r w:rsidRPr="00470A45">
        <w:rPr>
          <w:rFonts w:cs="Arial"/>
          <w:bCs/>
        </w:rPr>
        <w:t xml:space="preserve">«. V obdobju do 2030 je v Strategiji internacionalizacije visokega šolstva in znanosti v RS 2030, ki je izvedbeni dokument </w:t>
      </w:r>
      <w:proofErr w:type="spellStart"/>
      <w:r w:rsidRPr="00470A45">
        <w:rPr>
          <w:rFonts w:cs="Arial"/>
          <w:bCs/>
        </w:rPr>
        <w:t>ReNPVŠ</w:t>
      </w:r>
      <w:proofErr w:type="spellEnd"/>
      <w:r w:rsidRPr="00470A45">
        <w:rPr>
          <w:rFonts w:cs="Arial"/>
          <w:bCs/>
        </w:rPr>
        <w:t xml:space="preserve"> 2030</w:t>
      </w:r>
      <w:r>
        <w:rPr>
          <w:rFonts w:cs="Arial"/>
          <w:bCs/>
        </w:rPr>
        <w:t>,</w:t>
      </w:r>
      <w:r w:rsidRPr="00470A45">
        <w:rPr>
          <w:rFonts w:cs="Arial"/>
          <w:bCs/>
        </w:rPr>
        <w:t xml:space="preserve"> poudarjeno: »</w:t>
      </w:r>
      <w:r w:rsidRPr="00470A45">
        <w:rPr>
          <w:rFonts w:cs="Arial"/>
          <w:bCs/>
          <w:i/>
          <w:iCs/>
        </w:rPr>
        <w:t>da se moramo (glede na zavezanost Slovenije širšemu sodelovanju na področju Sredozemlja) intenzivneje vključevati v izvajanje obstoječih iniciativ kot je Agenda za raziskave in inovacije Unije za Sredozemlje</w:t>
      </w:r>
      <w:r w:rsidRPr="00470A45">
        <w:rPr>
          <w:rFonts w:cs="Arial"/>
          <w:bCs/>
        </w:rPr>
        <w:t>«.</w:t>
      </w:r>
    </w:p>
    <w:p w14:paraId="78AE5F2C" w14:textId="77777777" w:rsidR="008D3E5D" w:rsidRDefault="008D3E5D" w:rsidP="008D3E5D">
      <w:pPr>
        <w:rPr>
          <w:rFonts w:cs="Arial"/>
          <w:b/>
        </w:rPr>
      </w:pPr>
    </w:p>
    <w:p w14:paraId="54861C4F" w14:textId="72BFFC20" w:rsidR="008D3E5D" w:rsidRPr="00E82B94" w:rsidRDefault="008D3E5D" w:rsidP="00843B43">
      <w:pPr>
        <w:pStyle w:val="Odstavekseznama"/>
        <w:numPr>
          <w:ilvl w:val="1"/>
          <w:numId w:val="33"/>
        </w:numPr>
        <w:rPr>
          <w:rFonts w:cs="Arial"/>
          <w:bCs/>
        </w:rPr>
      </w:pPr>
      <w:r w:rsidRPr="00E82B94">
        <w:rPr>
          <w:rFonts w:cs="Arial"/>
          <w:bCs/>
        </w:rPr>
        <w:t>Financiranje EMUNI univerze</w:t>
      </w:r>
    </w:p>
    <w:p w14:paraId="37F8F052" w14:textId="77777777" w:rsidR="008D3E5D" w:rsidRDefault="008D3E5D" w:rsidP="008D3E5D">
      <w:pPr>
        <w:rPr>
          <w:rFonts w:cs="Arial"/>
        </w:rPr>
      </w:pPr>
    </w:p>
    <w:p w14:paraId="642849A9" w14:textId="679D5E57" w:rsidR="008D3E5D" w:rsidRDefault="008D3E5D" w:rsidP="008D3E5D">
      <w:pPr>
        <w:spacing w:line="276" w:lineRule="auto"/>
        <w:jc w:val="both"/>
        <w:rPr>
          <w:rFonts w:cs="Arial"/>
        </w:rPr>
      </w:pPr>
      <w:r w:rsidRPr="00DD0FB1">
        <w:rPr>
          <w:rFonts w:cs="Arial"/>
        </w:rPr>
        <w:t xml:space="preserve">Evro-sredozemska univerza se financira v skladu z 10.a členom </w:t>
      </w:r>
      <w:r w:rsidR="00C47D23">
        <w:rPr>
          <w:rFonts w:cs="Arial"/>
        </w:rPr>
        <w:t>ZViS</w:t>
      </w:r>
      <w:r w:rsidRPr="00DD0FB1">
        <w:rPr>
          <w:rFonts w:cs="Arial"/>
        </w:rPr>
        <w:t xml:space="preserve"> in 49. in 50. členom Uredbe o javnem financiranju visokošolskih zavodov in drugih zavodov</w:t>
      </w:r>
      <w:r>
        <w:rPr>
          <w:rStyle w:val="Sprotnaopomba-sklic"/>
          <w:rFonts w:cs="Arial"/>
        </w:rPr>
        <w:footnoteReference w:id="10"/>
      </w:r>
      <w:r>
        <w:rPr>
          <w:rFonts w:cs="Arial"/>
        </w:rPr>
        <w:t>, in sicer:</w:t>
      </w:r>
    </w:p>
    <w:p w14:paraId="789ECA5B" w14:textId="77777777" w:rsidR="008D3E5D" w:rsidRDefault="008D3E5D" w:rsidP="008D3E5D">
      <w:pPr>
        <w:spacing w:line="276" w:lineRule="auto"/>
        <w:jc w:val="both"/>
        <w:rPr>
          <w:rFonts w:cs="Arial"/>
        </w:rPr>
      </w:pPr>
    </w:p>
    <w:p w14:paraId="7EC60FD3" w14:textId="77777777" w:rsidR="008D3E5D" w:rsidRPr="00702950" w:rsidRDefault="008D3E5D" w:rsidP="00356195">
      <w:pPr>
        <w:pStyle w:val="Odstavekseznama"/>
        <w:numPr>
          <w:ilvl w:val="0"/>
          <w:numId w:val="8"/>
        </w:numPr>
        <w:spacing w:line="276" w:lineRule="auto"/>
        <w:jc w:val="both"/>
        <w:rPr>
          <w:rFonts w:cs="Arial"/>
        </w:rPr>
      </w:pPr>
      <w:r w:rsidRPr="00702950">
        <w:rPr>
          <w:rFonts w:cs="Arial"/>
        </w:rPr>
        <w:t xml:space="preserve">Sredstva za delovanje Evro-sredozemske univerze se določijo s pogodbo na podlagi letnega programa dela in v skladu s sredstvi na proračunski postavki. </w:t>
      </w:r>
    </w:p>
    <w:p w14:paraId="0F59FAC8" w14:textId="77777777" w:rsidR="008D3E5D" w:rsidRPr="00702950" w:rsidRDefault="008D3E5D" w:rsidP="00356195">
      <w:pPr>
        <w:pStyle w:val="Odstavekseznama"/>
        <w:numPr>
          <w:ilvl w:val="0"/>
          <w:numId w:val="8"/>
        </w:numPr>
        <w:spacing w:line="276" w:lineRule="auto"/>
        <w:jc w:val="both"/>
        <w:rPr>
          <w:rFonts w:cs="Arial"/>
        </w:rPr>
      </w:pPr>
      <w:r w:rsidRPr="00702950">
        <w:rPr>
          <w:rFonts w:cs="Arial"/>
        </w:rPr>
        <w:t xml:space="preserve">Sredstva se ob upoštevanju letne dinamike stroškov preračunajo na mesečne obroke in nakazujejo mesečno. </w:t>
      </w:r>
    </w:p>
    <w:p w14:paraId="09F67824" w14:textId="77777777" w:rsidR="008D3E5D" w:rsidRPr="00702950" w:rsidRDefault="008D3E5D" w:rsidP="00356195">
      <w:pPr>
        <w:pStyle w:val="Odstavekseznama"/>
        <w:numPr>
          <w:ilvl w:val="0"/>
          <w:numId w:val="8"/>
        </w:numPr>
        <w:spacing w:line="276" w:lineRule="auto"/>
        <w:jc w:val="both"/>
        <w:rPr>
          <w:rFonts w:cs="Arial"/>
        </w:rPr>
      </w:pPr>
      <w:r w:rsidRPr="00702950">
        <w:rPr>
          <w:rFonts w:cs="Arial"/>
        </w:rPr>
        <w:t xml:space="preserve">Sredstva se lahko namenijo za stroške dela in izdatke za blago in storitve in sicer se z njimi lahko financira stroške delovanja vodstva in strokovnih služb Evro-sredozemske univerze, dejavnosti, povezane s pripravo in izvedbo študijskih programov, ter stroški prostorov in najem prostorov. </w:t>
      </w:r>
    </w:p>
    <w:p w14:paraId="4F6BBA5E" w14:textId="77777777" w:rsidR="008D3E5D" w:rsidRDefault="008D3E5D" w:rsidP="00356195">
      <w:pPr>
        <w:pStyle w:val="Odstavekseznama"/>
        <w:numPr>
          <w:ilvl w:val="0"/>
          <w:numId w:val="8"/>
        </w:numPr>
        <w:spacing w:line="276" w:lineRule="auto"/>
        <w:jc w:val="both"/>
        <w:rPr>
          <w:rFonts w:cs="Arial"/>
        </w:rPr>
      </w:pPr>
      <w:bookmarkStart w:id="5" w:name="_Hlk215142548"/>
      <w:r w:rsidRPr="00702950">
        <w:rPr>
          <w:rFonts w:cs="Arial"/>
        </w:rPr>
        <w:t xml:space="preserve">Proračunski vir je osnovni vir financiranja stroškov delovanja Evro-sredozemske univerze, za izvedbo projektov pa univerza pridobiva sredstva tudi iz drugih virov. </w:t>
      </w:r>
    </w:p>
    <w:p w14:paraId="770FE472" w14:textId="77777777" w:rsidR="008C7C3E" w:rsidRDefault="008C7C3E" w:rsidP="008C7C3E">
      <w:pPr>
        <w:jc w:val="both"/>
        <w:rPr>
          <w:rFonts w:cs="Arial"/>
        </w:rPr>
      </w:pPr>
    </w:p>
    <w:p w14:paraId="75EB60FB" w14:textId="468B2C20" w:rsidR="008C7C3E" w:rsidRDefault="008C7C3E" w:rsidP="008C7C3E">
      <w:pPr>
        <w:jc w:val="both"/>
      </w:pPr>
      <w:r>
        <w:t xml:space="preserve">Prihodke je EMUNI univerza v letu 2024 pridobila od opravljanja dejavnosti negospodarskih javnih služb v skupni višini 1.173.828,39 EUR, in sicer iz naslednjih virov: </w:t>
      </w:r>
    </w:p>
    <w:p w14:paraId="125480D1" w14:textId="77777777" w:rsidR="008C7C3E" w:rsidRDefault="008C7C3E" w:rsidP="008C7C3E">
      <w:pPr>
        <w:jc w:val="both"/>
      </w:pPr>
    </w:p>
    <w:p w14:paraId="61F46794" w14:textId="2A1CD5F0" w:rsidR="008C7C3E" w:rsidRPr="008A364F" w:rsidRDefault="008C7C3E" w:rsidP="008C7C3E">
      <w:pPr>
        <w:pStyle w:val="Odstavekseznama"/>
        <w:numPr>
          <w:ilvl w:val="0"/>
          <w:numId w:val="45"/>
        </w:numPr>
        <w:ind w:left="357" w:hanging="357"/>
        <w:contextualSpacing w:val="0"/>
        <w:jc w:val="both"/>
        <w:rPr>
          <w:rFonts w:eastAsia="Times New Roman"/>
        </w:rPr>
      </w:pPr>
      <w:r>
        <w:t xml:space="preserve">sredstva iz proračuna RS (MVZI) v višini 733.333,33 EUR oziroma 62,4 7% vseh prihodkov; </w:t>
      </w:r>
    </w:p>
    <w:p w14:paraId="78369644" w14:textId="0756DB04" w:rsidR="008C7C3E" w:rsidRPr="008A364F" w:rsidRDefault="008C7C3E" w:rsidP="008C7C3E">
      <w:pPr>
        <w:pStyle w:val="Odstavekseznama"/>
        <w:numPr>
          <w:ilvl w:val="0"/>
          <w:numId w:val="45"/>
        </w:numPr>
        <w:ind w:left="357" w:hanging="357"/>
        <w:contextualSpacing w:val="0"/>
        <w:jc w:val="both"/>
        <w:rPr>
          <w:rFonts w:eastAsia="Times New Roman"/>
        </w:rPr>
      </w:pPr>
      <w:r>
        <w:t xml:space="preserve">prihodki iz različnih projektov v višini 365.287,01 EUR oziroma 31,12 % vseh prihodkov; </w:t>
      </w:r>
    </w:p>
    <w:p w14:paraId="612FB86B" w14:textId="2F48157B" w:rsidR="008C7C3E" w:rsidRPr="008A364F" w:rsidRDefault="008C7C3E" w:rsidP="008C7C3E">
      <w:pPr>
        <w:pStyle w:val="Odstavekseznama"/>
        <w:numPr>
          <w:ilvl w:val="0"/>
          <w:numId w:val="45"/>
        </w:numPr>
        <w:ind w:left="357" w:hanging="357"/>
        <w:contextualSpacing w:val="0"/>
        <w:jc w:val="both"/>
        <w:rPr>
          <w:rFonts w:eastAsia="Times New Roman"/>
        </w:rPr>
      </w:pPr>
      <w:r>
        <w:t xml:space="preserve">prejete članarine v višini 37.500,00 EUR oziroma 3,19 % vseh prihodkov; </w:t>
      </w:r>
    </w:p>
    <w:p w14:paraId="7EC2DBAD" w14:textId="7B6CD97C" w:rsidR="008C7C3E" w:rsidRPr="008A364F" w:rsidRDefault="008C7C3E" w:rsidP="008C7C3E">
      <w:pPr>
        <w:pStyle w:val="Odstavekseznama"/>
        <w:numPr>
          <w:ilvl w:val="0"/>
          <w:numId w:val="45"/>
        </w:numPr>
        <w:ind w:left="357" w:hanging="357"/>
        <w:contextualSpacing w:val="0"/>
        <w:jc w:val="both"/>
        <w:rPr>
          <w:rFonts w:eastAsia="Times New Roman"/>
        </w:rPr>
      </w:pPr>
      <w:r>
        <w:t xml:space="preserve">prihodki od šolnin, vpisnin,.. v višini 24.052,63 EUR oziroma 2,05 % vseh prihodkov in </w:t>
      </w:r>
    </w:p>
    <w:p w14:paraId="147270E3" w14:textId="2DB739D6" w:rsidR="008C7C3E" w:rsidRPr="008A364F" w:rsidRDefault="008C7C3E" w:rsidP="008C7C3E">
      <w:pPr>
        <w:pStyle w:val="Odstavekseznama"/>
        <w:numPr>
          <w:ilvl w:val="0"/>
          <w:numId w:val="45"/>
        </w:numPr>
        <w:ind w:left="357" w:hanging="357"/>
        <w:contextualSpacing w:val="0"/>
        <w:jc w:val="both"/>
        <w:rPr>
          <w:rFonts w:eastAsia="Times New Roman"/>
        </w:rPr>
      </w:pPr>
      <w:r>
        <w:t>prihodkov od subvencij ZRSZ</w:t>
      </w:r>
      <w:r w:rsidR="00040AB3">
        <w:rPr>
          <w:rStyle w:val="Sprotnaopomba-sklic"/>
        </w:rPr>
        <w:footnoteReference w:id="11"/>
      </w:r>
      <w:r>
        <w:t>, refundacij plač in drugih prihodkov v višini 13.655,42 EUR oziroma 1,17 %.</w:t>
      </w:r>
    </w:p>
    <w:bookmarkEnd w:id="5"/>
    <w:p w14:paraId="72D99850" w14:textId="77777777" w:rsidR="008D3E5D" w:rsidRDefault="008D3E5D" w:rsidP="008D3E5D">
      <w:pPr>
        <w:spacing w:line="276" w:lineRule="auto"/>
        <w:jc w:val="both"/>
        <w:rPr>
          <w:rFonts w:cs="Arial"/>
        </w:rPr>
      </w:pPr>
    </w:p>
    <w:p w14:paraId="0746F7FC" w14:textId="4D4A745B" w:rsidR="008D3E5D" w:rsidRDefault="00596FB3" w:rsidP="008D3E5D">
      <w:pPr>
        <w:spacing w:line="276" w:lineRule="auto"/>
        <w:jc w:val="both"/>
        <w:rPr>
          <w:rFonts w:cs="Arial"/>
          <w:bCs/>
        </w:rPr>
      </w:pPr>
      <w:r w:rsidRPr="00596FB3">
        <w:rPr>
          <w:rFonts w:cs="Arial"/>
        </w:rPr>
        <w:t>Porabo proračunskih sredstev, namenjenih Evro-sredozemski univerzi, ministrstvo, pristojno za visoko šolstvo, nadzira na podlagi delovnega programa in finančnega načrta univerzitetnih aktivnosti.</w:t>
      </w:r>
      <w:r w:rsidR="00C47D23">
        <w:rPr>
          <w:rFonts w:cs="Arial"/>
        </w:rPr>
        <w:t xml:space="preserve"> </w:t>
      </w:r>
      <w:r w:rsidRPr="00596FB3">
        <w:rPr>
          <w:rFonts w:cs="Arial"/>
          <w:bCs/>
        </w:rPr>
        <w:t xml:space="preserve">V </w:t>
      </w:r>
      <w:r w:rsidR="0090687A">
        <w:rPr>
          <w:rFonts w:cs="Arial"/>
          <w:bCs/>
        </w:rPr>
        <w:t xml:space="preserve">spodnji </w:t>
      </w:r>
      <w:r w:rsidRPr="00596FB3">
        <w:rPr>
          <w:rFonts w:cs="Arial"/>
          <w:bCs/>
        </w:rPr>
        <w:t xml:space="preserve">tabeli so prikazana sredstva, ki jih je </w:t>
      </w:r>
      <w:r>
        <w:rPr>
          <w:rFonts w:cs="Arial"/>
          <w:bCs/>
        </w:rPr>
        <w:t>MVZI</w:t>
      </w:r>
      <w:r w:rsidRPr="00596FB3">
        <w:rPr>
          <w:rFonts w:cs="Arial"/>
          <w:bCs/>
        </w:rPr>
        <w:t xml:space="preserve"> namenilo Univerzi EMUNI v lanskem in letošnjem letu, ter število vpisanih študentov:</w:t>
      </w:r>
    </w:p>
    <w:p w14:paraId="7EB28990" w14:textId="77777777" w:rsidR="00596FB3" w:rsidRPr="00ED345D" w:rsidRDefault="00596FB3" w:rsidP="008D3E5D">
      <w:pPr>
        <w:spacing w:line="276" w:lineRule="auto"/>
        <w:jc w:val="both"/>
        <w:rPr>
          <w:rFonts w:cs="Arial"/>
        </w:rPr>
      </w:pPr>
    </w:p>
    <w:tbl>
      <w:tblPr>
        <w:tblStyle w:val="Tabelamrea"/>
        <w:tblW w:w="6091" w:type="dxa"/>
        <w:jc w:val="center"/>
        <w:tblLayout w:type="fixed"/>
        <w:tblLook w:val="04A0" w:firstRow="1" w:lastRow="0" w:firstColumn="1" w:lastColumn="0" w:noHBand="0" w:noVBand="1"/>
      </w:tblPr>
      <w:tblGrid>
        <w:gridCol w:w="2122"/>
        <w:gridCol w:w="2126"/>
        <w:gridCol w:w="1843"/>
      </w:tblGrid>
      <w:tr w:rsidR="008D3E5D" w:rsidRPr="00ED345D" w14:paraId="193A5E70" w14:textId="77777777" w:rsidTr="00596FB3">
        <w:trPr>
          <w:trHeight w:val="326"/>
          <w:jc w:val="center"/>
        </w:trPr>
        <w:tc>
          <w:tcPr>
            <w:tcW w:w="2122" w:type="dxa"/>
            <w:tcBorders>
              <w:top w:val="single" w:sz="4" w:space="0" w:color="auto"/>
              <w:left w:val="single" w:sz="4" w:space="0" w:color="auto"/>
              <w:bottom w:val="single" w:sz="4" w:space="0" w:color="auto"/>
              <w:right w:val="single" w:sz="4" w:space="0" w:color="auto"/>
            </w:tcBorders>
            <w:vAlign w:val="center"/>
          </w:tcPr>
          <w:p w14:paraId="48A4353F" w14:textId="48049825" w:rsidR="008D3E5D" w:rsidRPr="00596FB3" w:rsidRDefault="00596FB3" w:rsidP="002E2751">
            <w:pPr>
              <w:spacing w:line="276" w:lineRule="auto"/>
              <w:rPr>
                <w:rFonts w:cs="Arial"/>
                <w:sz w:val="16"/>
                <w:szCs w:val="16"/>
              </w:rPr>
            </w:pPr>
            <w:r>
              <w:rPr>
                <w:rFonts w:cs="Arial"/>
                <w:sz w:val="16"/>
                <w:szCs w:val="16"/>
              </w:rPr>
              <w:t xml:space="preserve">Leto </w:t>
            </w:r>
          </w:p>
        </w:tc>
        <w:tc>
          <w:tcPr>
            <w:tcW w:w="2126" w:type="dxa"/>
            <w:tcBorders>
              <w:top w:val="single" w:sz="4" w:space="0" w:color="auto"/>
              <w:left w:val="single" w:sz="4" w:space="0" w:color="auto"/>
              <w:bottom w:val="single" w:sz="4" w:space="0" w:color="auto"/>
              <w:right w:val="single" w:sz="4" w:space="0" w:color="auto"/>
            </w:tcBorders>
            <w:vAlign w:val="center"/>
          </w:tcPr>
          <w:p w14:paraId="5E9B7C4A" w14:textId="77777777" w:rsidR="008D3E5D" w:rsidRPr="00596FB3" w:rsidRDefault="008D3E5D" w:rsidP="002E2751">
            <w:pPr>
              <w:spacing w:line="276" w:lineRule="auto"/>
              <w:jc w:val="center"/>
              <w:rPr>
                <w:rFonts w:cs="Arial"/>
                <w:b/>
                <w:sz w:val="16"/>
                <w:szCs w:val="16"/>
              </w:rPr>
            </w:pPr>
            <w:r w:rsidRPr="00596FB3">
              <w:rPr>
                <w:rFonts w:cs="Arial"/>
                <w:b/>
                <w:sz w:val="16"/>
                <w:szCs w:val="16"/>
              </w:rPr>
              <w:t>2024</w:t>
            </w:r>
          </w:p>
        </w:tc>
        <w:tc>
          <w:tcPr>
            <w:tcW w:w="1843" w:type="dxa"/>
            <w:tcBorders>
              <w:top w:val="single" w:sz="4" w:space="0" w:color="auto"/>
              <w:left w:val="single" w:sz="4" w:space="0" w:color="auto"/>
              <w:bottom w:val="single" w:sz="4" w:space="0" w:color="auto"/>
              <w:right w:val="single" w:sz="4" w:space="0" w:color="auto"/>
            </w:tcBorders>
            <w:vAlign w:val="center"/>
          </w:tcPr>
          <w:p w14:paraId="0DFC0AE3" w14:textId="77777777" w:rsidR="008D3E5D" w:rsidRPr="00596FB3" w:rsidRDefault="008D3E5D" w:rsidP="002E2751">
            <w:pPr>
              <w:spacing w:line="276" w:lineRule="auto"/>
              <w:jc w:val="center"/>
              <w:rPr>
                <w:rFonts w:cs="Arial"/>
                <w:b/>
                <w:sz w:val="16"/>
                <w:szCs w:val="16"/>
              </w:rPr>
            </w:pPr>
            <w:r w:rsidRPr="00596FB3">
              <w:rPr>
                <w:rFonts w:cs="Arial"/>
                <w:b/>
                <w:sz w:val="16"/>
                <w:szCs w:val="16"/>
              </w:rPr>
              <w:t>2025</w:t>
            </w:r>
          </w:p>
        </w:tc>
      </w:tr>
      <w:tr w:rsidR="008D3E5D" w:rsidRPr="00ED345D" w14:paraId="0F7D0D77" w14:textId="77777777" w:rsidTr="00596FB3">
        <w:trPr>
          <w:trHeight w:val="326"/>
          <w:jc w:val="center"/>
        </w:trPr>
        <w:tc>
          <w:tcPr>
            <w:tcW w:w="2122" w:type="dxa"/>
            <w:tcBorders>
              <w:top w:val="single" w:sz="4" w:space="0" w:color="auto"/>
              <w:left w:val="single" w:sz="4" w:space="0" w:color="auto"/>
              <w:bottom w:val="single" w:sz="4" w:space="0" w:color="auto"/>
              <w:right w:val="single" w:sz="4" w:space="0" w:color="auto"/>
            </w:tcBorders>
            <w:vAlign w:val="center"/>
          </w:tcPr>
          <w:p w14:paraId="6F45BC76" w14:textId="3EA592A7" w:rsidR="008D3E5D" w:rsidRPr="00596FB3" w:rsidRDefault="008D3E5D" w:rsidP="002E2751">
            <w:pPr>
              <w:spacing w:line="276" w:lineRule="auto"/>
              <w:rPr>
                <w:rFonts w:cs="Arial"/>
                <w:bCs/>
                <w:sz w:val="16"/>
                <w:szCs w:val="16"/>
              </w:rPr>
            </w:pPr>
            <w:r w:rsidRPr="00596FB3">
              <w:rPr>
                <w:rFonts w:cs="Arial"/>
                <w:bCs/>
                <w:sz w:val="16"/>
                <w:szCs w:val="16"/>
              </w:rPr>
              <w:t>EUR</w:t>
            </w:r>
            <w:r w:rsidR="00596FB3" w:rsidRPr="00596FB3">
              <w:rPr>
                <w:rFonts w:cs="Arial"/>
                <w:bCs/>
                <w:sz w:val="16"/>
                <w:szCs w:val="16"/>
              </w:rPr>
              <w:t xml:space="preserve"> </w:t>
            </w:r>
            <w:r w:rsidRPr="00596FB3">
              <w:rPr>
                <w:rFonts w:cs="Arial"/>
                <w:bCs/>
                <w:sz w:val="16"/>
                <w:szCs w:val="16"/>
              </w:rPr>
              <w:t>/ leto</w:t>
            </w:r>
          </w:p>
        </w:tc>
        <w:tc>
          <w:tcPr>
            <w:tcW w:w="2126" w:type="dxa"/>
            <w:tcBorders>
              <w:top w:val="single" w:sz="4" w:space="0" w:color="auto"/>
              <w:left w:val="single" w:sz="4" w:space="0" w:color="auto"/>
              <w:bottom w:val="single" w:sz="4" w:space="0" w:color="auto"/>
              <w:right w:val="single" w:sz="4" w:space="0" w:color="auto"/>
            </w:tcBorders>
            <w:vAlign w:val="center"/>
          </w:tcPr>
          <w:p w14:paraId="615BE989" w14:textId="676B15DF" w:rsidR="008D3E5D" w:rsidRPr="00596FB3" w:rsidRDefault="008D3E5D" w:rsidP="002E2751">
            <w:pPr>
              <w:tabs>
                <w:tab w:val="left" w:pos="1451"/>
              </w:tabs>
              <w:spacing w:line="276" w:lineRule="auto"/>
              <w:ind w:left="34" w:right="35"/>
              <w:jc w:val="center"/>
              <w:rPr>
                <w:rFonts w:cs="Arial"/>
                <w:sz w:val="16"/>
                <w:szCs w:val="16"/>
              </w:rPr>
            </w:pPr>
            <w:r w:rsidRPr="00596FB3">
              <w:rPr>
                <w:rFonts w:cs="Arial"/>
                <w:sz w:val="16"/>
                <w:szCs w:val="16"/>
              </w:rPr>
              <w:t>700.000</w:t>
            </w:r>
            <w:r w:rsidR="00596FB3">
              <w:rPr>
                <w:rFonts w:cs="Arial"/>
                <w:sz w:val="16"/>
                <w:szCs w:val="16"/>
              </w:rPr>
              <w:t>,00</w:t>
            </w:r>
          </w:p>
        </w:tc>
        <w:tc>
          <w:tcPr>
            <w:tcW w:w="1843" w:type="dxa"/>
            <w:tcBorders>
              <w:top w:val="single" w:sz="4" w:space="0" w:color="auto"/>
              <w:left w:val="single" w:sz="4" w:space="0" w:color="auto"/>
              <w:bottom w:val="single" w:sz="4" w:space="0" w:color="auto"/>
              <w:right w:val="single" w:sz="4" w:space="0" w:color="auto"/>
            </w:tcBorders>
            <w:vAlign w:val="center"/>
          </w:tcPr>
          <w:p w14:paraId="1E1B118D" w14:textId="1638CBF0" w:rsidR="008D3E5D" w:rsidRPr="00596FB3" w:rsidRDefault="008D3E5D" w:rsidP="002E2751">
            <w:pPr>
              <w:tabs>
                <w:tab w:val="left" w:pos="1451"/>
              </w:tabs>
              <w:spacing w:line="276" w:lineRule="auto"/>
              <w:ind w:left="34" w:right="35"/>
              <w:jc w:val="center"/>
              <w:rPr>
                <w:rFonts w:cs="Arial"/>
                <w:sz w:val="16"/>
                <w:szCs w:val="16"/>
              </w:rPr>
            </w:pPr>
            <w:r w:rsidRPr="00596FB3">
              <w:rPr>
                <w:rFonts w:cs="Arial"/>
                <w:sz w:val="16"/>
                <w:szCs w:val="16"/>
              </w:rPr>
              <w:t>950.000</w:t>
            </w:r>
            <w:r w:rsidR="00596FB3">
              <w:rPr>
                <w:rFonts w:cs="Arial"/>
                <w:sz w:val="16"/>
                <w:szCs w:val="16"/>
              </w:rPr>
              <w:t>,00</w:t>
            </w:r>
          </w:p>
        </w:tc>
      </w:tr>
      <w:tr w:rsidR="008D3E5D" w:rsidRPr="00ED345D" w14:paraId="02B70409" w14:textId="77777777" w:rsidTr="00596FB3">
        <w:trPr>
          <w:trHeight w:val="661"/>
          <w:jc w:val="center"/>
        </w:trPr>
        <w:tc>
          <w:tcPr>
            <w:tcW w:w="2122" w:type="dxa"/>
            <w:tcBorders>
              <w:top w:val="single" w:sz="4" w:space="0" w:color="auto"/>
              <w:left w:val="single" w:sz="4" w:space="0" w:color="auto"/>
              <w:bottom w:val="single" w:sz="4" w:space="0" w:color="auto"/>
              <w:right w:val="single" w:sz="4" w:space="0" w:color="auto"/>
            </w:tcBorders>
            <w:vAlign w:val="center"/>
          </w:tcPr>
          <w:p w14:paraId="4B7A4D65" w14:textId="0E19B0EB" w:rsidR="008D3E5D" w:rsidRPr="00596FB3" w:rsidRDefault="008D3E5D" w:rsidP="002E2751">
            <w:pPr>
              <w:spacing w:line="276" w:lineRule="auto"/>
              <w:rPr>
                <w:rFonts w:cs="Arial"/>
                <w:bCs/>
                <w:sz w:val="16"/>
                <w:szCs w:val="16"/>
              </w:rPr>
            </w:pPr>
            <w:r w:rsidRPr="00596FB3">
              <w:rPr>
                <w:rFonts w:cs="Arial"/>
                <w:bCs/>
                <w:sz w:val="16"/>
                <w:szCs w:val="16"/>
              </w:rPr>
              <w:t>Število vpisanih študentov</w:t>
            </w:r>
            <w:r w:rsidR="00596FB3" w:rsidRPr="00596FB3">
              <w:rPr>
                <w:rFonts w:cs="Arial"/>
                <w:bCs/>
                <w:sz w:val="16"/>
                <w:szCs w:val="16"/>
              </w:rPr>
              <w:t xml:space="preserve"> v študijskem letu</w:t>
            </w:r>
          </w:p>
        </w:tc>
        <w:tc>
          <w:tcPr>
            <w:tcW w:w="2126" w:type="dxa"/>
            <w:tcBorders>
              <w:top w:val="single" w:sz="4" w:space="0" w:color="auto"/>
              <w:left w:val="single" w:sz="4" w:space="0" w:color="auto"/>
              <w:bottom w:val="single" w:sz="4" w:space="0" w:color="auto"/>
              <w:right w:val="single" w:sz="4" w:space="0" w:color="auto"/>
            </w:tcBorders>
            <w:vAlign w:val="center"/>
          </w:tcPr>
          <w:p w14:paraId="2DF7FA41" w14:textId="77777777" w:rsidR="008D3E5D" w:rsidRPr="00596FB3" w:rsidRDefault="008D3E5D" w:rsidP="002E2751">
            <w:pPr>
              <w:spacing w:line="276" w:lineRule="auto"/>
              <w:jc w:val="center"/>
              <w:rPr>
                <w:rFonts w:cs="Arial"/>
                <w:sz w:val="16"/>
                <w:szCs w:val="16"/>
              </w:rPr>
            </w:pPr>
            <w:r w:rsidRPr="00596FB3">
              <w:rPr>
                <w:rFonts w:cs="Arial"/>
                <w:sz w:val="16"/>
                <w:szCs w:val="16"/>
              </w:rPr>
              <w:t>2024/25</w:t>
            </w:r>
          </w:p>
          <w:p w14:paraId="1D484BEF" w14:textId="77777777" w:rsidR="008D3E5D" w:rsidRPr="00596FB3" w:rsidRDefault="008D3E5D" w:rsidP="002E2751">
            <w:pPr>
              <w:spacing w:line="276" w:lineRule="auto"/>
              <w:jc w:val="center"/>
              <w:rPr>
                <w:rFonts w:cs="Arial"/>
                <w:sz w:val="16"/>
                <w:szCs w:val="16"/>
              </w:rPr>
            </w:pPr>
            <w:r w:rsidRPr="00596FB3">
              <w:rPr>
                <w:rFonts w:cs="Arial"/>
                <w:sz w:val="16"/>
                <w:szCs w:val="16"/>
              </w:rPr>
              <w:t>11</w:t>
            </w:r>
          </w:p>
        </w:tc>
        <w:tc>
          <w:tcPr>
            <w:tcW w:w="1843" w:type="dxa"/>
            <w:tcBorders>
              <w:top w:val="single" w:sz="4" w:space="0" w:color="auto"/>
              <w:left w:val="single" w:sz="4" w:space="0" w:color="auto"/>
              <w:bottom w:val="single" w:sz="4" w:space="0" w:color="auto"/>
              <w:right w:val="single" w:sz="4" w:space="0" w:color="auto"/>
            </w:tcBorders>
            <w:vAlign w:val="center"/>
          </w:tcPr>
          <w:p w14:paraId="3365C9D7" w14:textId="77777777" w:rsidR="00E75A9C" w:rsidRDefault="00E75A9C" w:rsidP="002E2751">
            <w:pPr>
              <w:spacing w:line="276" w:lineRule="auto"/>
              <w:jc w:val="center"/>
              <w:rPr>
                <w:rFonts w:cs="Arial"/>
                <w:sz w:val="16"/>
                <w:szCs w:val="16"/>
              </w:rPr>
            </w:pPr>
            <w:r>
              <w:rPr>
                <w:rFonts w:cs="Arial"/>
                <w:sz w:val="16"/>
                <w:szCs w:val="16"/>
              </w:rPr>
              <w:t>2025/26</w:t>
            </w:r>
          </w:p>
          <w:p w14:paraId="7995CBC3" w14:textId="192ECC71" w:rsidR="008D3E5D" w:rsidRPr="00596FB3" w:rsidRDefault="00EF70A7" w:rsidP="002E2751">
            <w:pPr>
              <w:spacing w:line="276" w:lineRule="auto"/>
              <w:jc w:val="center"/>
              <w:rPr>
                <w:rFonts w:cs="Arial"/>
                <w:sz w:val="16"/>
                <w:szCs w:val="16"/>
              </w:rPr>
            </w:pPr>
            <w:r>
              <w:rPr>
                <w:rFonts w:cs="Arial"/>
                <w:sz w:val="16"/>
                <w:szCs w:val="16"/>
              </w:rPr>
              <w:t>/</w:t>
            </w:r>
          </w:p>
        </w:tc>
      </w:tr>
    </w:tbl>
    <w:p w14:paraId="1B9BFA10" w14:textId="0812463F" w:rsidR="00310B1D" w:rsidRPr="00A32F9E" w:rsidRDefault="00310B1D" w:rsidP="00310B1D">
      <w:pPr>
        <w:jc w:val="both"/>
        <w:rPr>
          <w:rFonts w:cs="Arial"/>
          <w:szCs w:val="20"/>
        </w:rPr>
      </w:pPr>
      <w:r>
        <w:rPr>
          <w:rFonts w:cs="Arial"/>
          <w:szCs w:val="20"/>
        </w:rPr>
        <w:lastRenderedPageBreak/>
        <w:t>MVZI je inšpekcijskemu organu pojasnil, da n</w:t>
      </w:r>
      <w:r w:rsidRPr="00A32F9E">
        <w:rPr>
          <w:rFonts w:cs="Arial"/>
          <w:szCs w:val="20"/>
        </w:rPr>
        <w:t>ov Zakon o visokem šolstvu</w:t>
      </w:r>
      <w:r>
        <w:rPr>
          <w:rStyle w:val="Sprotnaopomba-sklic"/>
          <w:rFonts w:cs="Arial"/>
          <w:szCs w:val="20"/>
        </w:rPr>
        <w:footnoteReference w:id="12"/>
      </w:r>
      <w:r w:rsidRPr="00A32F9E">
        <w:rPr>
          <w:rFonts w:cs="Arial"/>
          <w:szCs w:val="20"/>
        </w:rPr>
        <w:t xml:space="preserve"> ohranja poseben status, ki ga uživa mednarodna zveza univerz v slovenskem visokošolskem prostoru, s tem, da v primerjavi s prej veljavnim ZViS</w:t>
      </w:r>
      <w:r>
        <w:rPr>
          <w:rFonts w:cs="Arial"/>
          <w:szCs w:val="20"/>
        </w:rPr>
        <w:t xml:space="preserve">, ta </w:t>
      </w:r>
      <w:r w:rsidRPr="00A32F9E">
        <w:rPr>
          <w:rFonts w:cs="Arial"/>
          <w:szCs w:val="20"/>
        </w:rPr>
        <w:t xml:space="preserve">natančneje pojasni njen status, akreditiranje oziroma sprejemanje njenih študijskih programov ter nenazadnje tudi njeno financiranje. EMUNI kot mednarodna zveza univerz ni mednarodna organizacija, pač pa je po izrecni določbi četrtega odstavka 17. člena ZViS-1 zasebna univerza (torej visokošolski zavod v statusni obliki zasebne univerze). Skladno s prej veljavnim </w:t>
      </w:r>
      <w:r w:rsidR="008C7C3E">
        <w:rPr>
          <w:rFonts w:cs="Arial"/>
          <w:szCs w:val="20"/>
        </w:rPr>
        <w:t>ZViS</w:t>
      </w:r>
      <w:r w:rsidRPr="00A32F9E">
        <w:rPr>
          <w:rFonts w:cs="Arial"/>
          <w:szCs w:val="20"/>
        </w:rPr>
        <w:t xml:space="preserve"> je EMUNI prejemala sredstva za svoje delovanje iz posebne proračunske postavke, z uveljavitvijo ZViS-1 pa financiranje mednarodne zveze univerz ne poteka več po avtomatizmu posebne proračunske postavke, pač pa skladno z določbami 134. člena ZViS-1 oziroma preko dodelitve sredstev za nacionalno pomembne naloge; upoštevajoč določbe </w:t>
      </w:r>
      <w:r w:rsidR="008C7C3E">
        <w:rPr>
          <w:rFonts w:cs="Arial"/>
          <w:szCs w:val="20"/>
        </w:rPr>
        <w:t>8. odstavka tega</w:t>
      </w:r>
      <w:r w:rsidRPr="00A32F9E">
        <w:rPr>
          <w:rFonts w:cs="Arial"/>
          <w:szCs w:val="20"/>
        </w:rPr>
        <w:t xml:space="preserve"> člena se namreč sredstva za nacionalno pomembne naloge lahko dodelijo tudi mednarodni zvezi univerz, če ima ta sprejet finančno ovrednoten program dela, s katerimi se uresničuje javni interes na področju visokega šolstva, in h kateremu je podala soglasje vlada. </w:t>
      </w:r>
      <w:r w:rsidR="008C7C3E">
        <w:rPr>
          <w:rFonts w:cs="Arial"/>
          <w:szCs w:val="20"/>
        </w:rPr>
        <w:t>Hkrati lahko</w:t>
      </w:r>
      <w:r w:rsidRPr="00A32F9E">
        <w:rPr>
          <w:rFonts w:cs="Arial"/>
          <w:szCs w:val="20"/>
        </w:rPr>
        <w:t xml:space="preserve"> EMUNI oziroma mednarodna zveza univerz kot zasebna univerza, ob izpolnjevanju pogojev, pridobi tudi koncesijo za izvajanje javne službe (138. člen ZViS-1).</w:t>
      </w:r>
    </w:p>
    <w:p w14:paraId="7EA85A45" w14:textId="77777777" w:rsidR="00310B1D" w:rsidRDefault="00310B1D" w:rsidP="008D3E5D"/>
    <w:p w14:paraId="48924D27" w14:textId="2E5E5215" w:rsidR="008D3E5D" w:rsidRPr="00E82B94" w:rsidRDefault="008D3E5D" w:rsidP="00843B43">
      <w:pPr>
        <w:pStyle w:val="Odstavekseznama"/>
        <w:numPr>
          <w:ilvl w:val="1"/>
          <w:numId w:val="33"/>
        </w:numPr>
      </w:pPr>
      <w:r w:rsidRPr="00E82B94">
        <w:t>Stališče Vlade RS o EMUNI univerzi</w:t>
      </w:r>
    </w:p>
    <w:p w14:paraId="339320CE" w14:textId="77777777" w:rsidR="00596FB3" w:rsidRPr="00596FB3" w:rsidRDefault="00596FB3" w:rsidP="00596FB3">
      <w:pPr>
        <w:rPr>
          <w:b/>
          <w:bCs/>
        </w:rPr>
      </w:pPr>
    </w:p>
    <w:p w14:paraId="265D5006" w14:textId="401D8AB8" w:rsidR="008D3E5D" w:rsidRPr="00443248" w:rsidRDefault="00443248" w:rsidP="008D3E5D">
      <w:pPr>
        <w:spacing w:line="276" w:lineRule="auto"/>
        <w:jc w:val="both"/>
        <w:rPr>
          <w:szCs w:val="20"/>
        </w:rPr>
      </w:pPr>
      <w:r>
        <w:rPr>
          <w:rFonts w:cs="Arial"/>
        </w:rPr>
        <w:t xml:space="preserve">MVZI je v postopku nadzora inšpekcijskemu organu predložil tudi dokument št. </w:t>
      </w:r>
      <w:r w:rsidRPr="00933C54">
        <w:rPr>
          <w:szCs w:val="20"/>
        </w:rPr>
        <w:t>60300-6/2023/3</w:t>
      </w:r>
      <w:r>
        <w:rPr>
          <w:szCs w:val="20"/>
        </w:rPr>
        <w:t xml:space="preserve"> z dne 25. 10. 2023, in sicer gre za </w:t>
      </w:r>
      <w:r w:rsidRPr="00933C54">
        <w:rPr>
          <w:szCs w:val="20"/>
        </w:rPr>
        <w:t>Stališče Vlade Republike Slovenije o Evro-sredozemski univerzi (EMUNI univerzi) za obdobje 2024–2029</w:t>
      </w:r>
      <w:r>
        <w:rPr>
          <w:szCs w:val="20"/>
        </w:rPr>
        <w:t xml:space="preserve"> in </w:t>
      </w:r>
      <w:r w:rsidR="008D3E5D" w:rsidRPr="00702950">
        <w:rPr>
          <w:rFonts w:cs="Arial"/>
          <w:bCs/>
          <w:szCs w:val="20"/>
        </w:rPr>
        <w:t>je bilo</w:t>
      </w:r>
      <w:r w:rsidR="008D3E5D" w:rsidRPr="00702950">
        <w:rPr>
          <w:rFonts w:eastAsia="Times New Roman" w:cs="Arial"/>
          <w:bCs/>
          <w:szCs w:val="20"/>
          <w:lang w:eastAsia="sl-SI"/>
        </w:rPr>
        <w:t xml:space="preserve"> sprejeto oktobra 2023 </w:t>
      </w:r>
      <w:r>
        <w:rPr>
          <w:rFonts w:eastAsia="Times New Roman" w:cs="Arial"/>
          <w:bCs/>
          <w:szCs w:val="20"/>
          <w:lang w:eastAsia="sl-SI"/>
        </w:rPr>
        <w:t>ter</w:t>
      </w:r>
      <w:r w:rsidR="008D3E5D" w:rsidRPr="00702950">
        <w:rPr>
          <w:rFonts w:eastAsia="Times New Roman" w:cs="Arial"/>
          <w:bCs/>
          <w:szCs w:val="20"/>
          <w:lang w:eastAsia="sl-SI"/>
        </w:rPr>
        <w:t xml:space="preserve"> predstavlja uradno stališče Vlade</w:t>
      </w:r>
      <w:r>
        <w:rPr>
          <w:rFonts w:eastAsia="Times New Roman" w:cs="Arial"/>
          <w:bCs/>
          <w:szCs w:val="20"/>
          <w:lang w:eastAsia="sl-SI"/>
        </w:rPr>
        <w:t xml:space="preserve"> RS.</w:t>
      </w:r>
      <w:r w:rsidR="008D3E5D" w:rsidRPr="00702950">
        <w:rPr>
          <w:rFonts w:eastAsia="Times New Roman" w:cs="Arial"/>
          <w:bCs/>
          <w:szCs w:val="20"/>
          <w:lang w:eastAsia="sl-SI"/>
        </w:rPr>
        <w:t xml:space="preserve"> </w:t>
      </w:r>
    </w:p>
    <w:p w14:paraId="64D3BB30" w14:textId="77777777" w:rsidR="008D3E5D" w:rsidRPr="00377674" w:rsidRDefault="008D3E5D" w:rsidP="008D3E5D">
      <w:pPr>
        <w:jc w:val="both"/>
        <w:rPr>
          <w:rFonts w:cs="Arial"/>
          <w:b/>
          <w:bCs/>
        </w:rPr>
      </w:pPr>
    </w:p>
    <w:p w14:paraId="0E95E8D9" w14:textId="77777777" w:rsidR="00443248" w:rsidRDefault="008D3E5D" w:rsidP="008D3E5D">
      <w:pPr>
        <w:jc w:val="both"/>
        <w:rPr>
          <w:rFonts w:cs="Arial"/>
          <w:szCs w:val="20"/>
        </w:rPr>
      </w:pPr>
      <w:r>
        <w:rPr>
          <w:szCs w:val="20"/>
        </w:rPr>
        <w:t xml:space="preserve">V njem je med drugim navedeno, da je </w:t>
      </w:r>
      <w:r w:rsidRPr="00933C54">
        <w:rPr>
          <w:rFonts w:cs="Arial"/>
          <w:szCs w:val="20"/>
        </w:rPr>
        <w:t xml:space="preserve">EMUNI </w:t>
      </w:r>
      <w:r>
        <w:rPr>
          <w:rFonts w:cs="Arial"/>
          <w:szCs w:val="20"/>
        </w:rPr>
        <w:t xml:space="preserve">univerza </w:t>
      </w:r>
      <w:r w:rsidRPr="00933C54">
        <w:rPr>
          <w:rFonts w:cs="Arial"/>
          <w:szCs w:val="20"/>
        </w:rPr>
        <w:t>eden od ustanovnih projektov in prednostnih nalog Unije za Sredozemlje</w:t>
      </w:r>
      <w:r>
        <w:rPr>
          <w:rFonts w:cs="Arial"/>
          <w:szCs w:val="20"/>
        </w:rPr>
        <w:t>.</w:t>
      </w:r>
      <w:r w:rsidRPr="00933C54">
        <w:rPr>
          <w:rFonts w:cs="Arial"/>
          <w:szCs w:val="20"/>
        </w:rPr>
        <w:t xml:space="preserve"> </w:t>
      </w:r>
      <w:r w:rsidR="00443248">
        <w:rPr>
          <w:rFonts w:cs="Arial"/>
          <w:szCs w:val="20"/>
        </w:rPr>
        <w:t xml:space="preserve">Vlada </w:t>
      </w:r>
      <w:r w:rsidRPr="00933C54">
        <w:rPr>
          <w:rFonts w:cs="Arial"/>
          <w:szCs w:val="20"/>
        </w:rPr>
        <w:t>Univerz</w:t>
      </w:r>
      <w:r w:rsidR="00443248">
        <w:rPr>
          <w:rFonts w:cs="Arial"/>
          <w:szCs w:val="20"/>
        </w:rPr>
        <w:t>o</w:t>
      </w:r>
      <w:r w:rsidRPr="00933C54">
        <w:rPr>
          <w:rFonts w:cs="Arial"/>
          <w:szCs w:val="20"/>
        </w:rPr>
        <w:t xml:space="preserve"> EMUNI </w:t>
      </w:r>
      <w:r w:rsidR="00443248">
        <w:rPr>
          <w:rFonts w:cs="Arial"/>
          <w:szCs w:val="20"/>
        </w:rPr>
        <w:t>smatra za</w:t>
      </w:r>
      <w:r w:rsidRPr="00933C54">
        <w:rPr>
          <w:rFonts w:cs="Arial"/>
          <w:szCs w:val="20"/>
        </w:rPr>
        <w:t xml:space="preserve"> </w:t>
      </w:r>
      <w:r w:rsidR="00443248">
        <w:rPr>
          <w:rFonts w:cs="Arial"/>
          <w:szCs w:val="20"/>
        </w:rPr>
        <w:t xml:space="preserve">enega </w:t>
      </w:r>
      <w:r w:rsidRPr="00933C54">
        <w:rPr>
          <w:rFonts w:cs="Arial"/>
          <w:szCs w:val="20"/>
        </w:rPr>
        <w:t xml:space="preserve">najpomembnejših regionalnih dejavnikov za </w:t>
      </w:r>
      <w:proofErr w:type="spellStart"/>
      <w:r w:rsidRPr="00933C54">
        <w:rPr>
          <w:rFonts w:cs="Arial"/>
          <w:szCs w:val="20"/>
        </w:rPr>
        <w:t>opolnomočenje</w:t>
      </w:r>
      <w:proofErr w:type="spellEnd"/>
      <w:r w:rsidRPr="00933C54">
        <w:rPr>
          <w:rFonts w:cs="Arial"/>
          <w:szCs w:val="20"/>
        </w:rPr>
        <w:t xml:space="preserve"> mladih, krepitev zmogljivosti in napreden medkulturni dialog. </w:t>
      </w:r>
      <w:r w:rsidR="00443248">
        <w:rPr>
          <w:rFonts w:cs="Arial"/>
          <w:szCs w:val="20"/>
        </w:rPr>
        <w:t>EMUNI namreč s</w:t>
      </w:r>
      <w:r w:rsidRPr="00933C54">
        <w:rPr>
          <w:rFonts w:cs="Arial"/>
          <w:szCs w:val="20"/>
        </w:rPr>
        <w:t xml:space="preserve">podbuja namensko mrežo </w:t>
      </w:r>
      <w:proofErr w:type="spellStart"/>
      <w:r w:rsidRPr="00933C54">
        <w:rPr>
          <w:rFonts w:cs="Arial"/>
          <w:szCs w:val="20"/>
        </w:rPr>
        <w:t>evrosredozemskih</w:t>
      </w:r>
      <w:proofErr w:type="spellEnd"/>
      <w:r w:rsidRPr="00933C54">
        <w:rPr>
          <w:rFonts w:cs="Arial"/>
          <w:szCs w:val="20"/>
        </w:rPr>
        <w:t xml:space="preserve"> visokošolskih ustanov in zagotavlja vključujočo platformo za izmenjavo znanja, sodelovanje in krepitev zaupanja. Tako </w:t>
      </w:r>
      <w:r w:rsidR="00443248">
        <w:rPr>
          <w:rFonts w:cs="Arial"/>
          <w:szCs w:val="20"/>
        </w:rPr>
        <w:t xml:space="preserve">lahko </w:t>
      </w:r>
      <w:r w:rsidRPr="00933C54">
        <w:rPr>
          <w:rFonts w:cs="Arial"/>
          <w:szCs w:val="20"/>
        </w:rPr>
        <w:t xml:space="preserve">prispeva k stabilnosti, koheziji in razvoju regije. </w:t>
      </w:r>
    </w:p>
    <w:p w14:paraId="2217CD40" w14:textId="77777777" w:rsidR="0090687A" w:rsidRDefault="0090687A" w:rsidP="008D3E5D">
      <w:pPr>
        <w:jc w:val="both"/>
        <w:rPr>
          <w:rFonts w:cs="Arial"/>
          <w:szCs w:val="20"/>
        </w:rPr>
      </w:pPr>
    </w:p>
    <w:p w14:paraId="29C10571" w14:textId="79399E6D" w:rsidR="008D3E5D" w:rsidRDefault="00443248" w:rsidP="008D3E5D">
      <w:pPr>
        <w:jc w:val="both"/>
        <w:rPr>
          <w:rFonts w:cs="Arial"/>
          <w:szCs w:val="20"/>
        </w:rPr>
      </w:pPr>
      <w:r>
        <w:rPr>
          <w:rFonts w:cs="Arial"/>
          <w:szCs w:val="20"/>
        </w:rPr>
        <w:t>Vlada p</w:t>
      </w:r>
      <w:r w:rsidR="008D3E5D" w:rsidRPr="00933C54">
        <w:rPr>
          <w:rFonts w:cs="Arial"/>
          <w:szCs w:val="20"/>
        </w:rPr>
        <w:t xml:space="preserve">omen univerze EMUNI </w:t>
      </w:r>
      <w:r>
        <w:rPr>
          <w:rFonts w:cs="Arial"/>
          <w:szCs w:val="20"/>
        </w:rPr>
        <w:t>obravnava</w:t>
      </w:r>
      <w:r w:rsidR="008D3E5D" w:rsidRPr="00933C54">
        <w:rPr>
          <w:rFonts w:cs="Arial"/>
          <w:szCs w:val="20"/>
        </w:rPr>
        <w:t xml:space="preserve"> v kontekstu slovenske zunanje politike kot geopolitično prednostno razsežnost, pa tudi z vidika EU in regije. Kot mednarodna institucija, ki spodbuja evro-sredozemsko visokošolsko izobraževanje in raziskave, </w:t>
      </w:r>
      <w:r>
        <w:rPr>
          <w:rFonts w:cs="Arial"/>
          <w:szCs w:val="20"/>
        </w:rPr>
        <w:t>deluje</w:t>
      </w:r>
      <w:r w:rsidR="008D3E5D" w:rsidRPr="00933C54">
        <w:rPr>
          <w:rFonts w:cs="Arial"/>
          <w:szCs w:val="20"/>
        </w:rPr>
        <w:t xml:space="preserve"> kot izobraževalni most med obema sredozemskima obalama, spodbuja evro-sredozemski dialog in sodelovanje ter s programi obravnava skupne interese in izzive. Ker ima velik potencial za ambiciozno regionalno delovanje s svojim poslanstvom sodelovanja na področju izobraževanja, bi lahko</w:t>
      </w:r>
      <w:r>
        <w:rPr>
          <w:rFonts w:cs="Arial"/>
          <w:szCs w:val="20"/>
        </w:rPr>
        <w:t xml:space="preserve"> tudi</w:t>
      </w:r>
      <w:r w:rsidR="008D3E5D" w:rsidRPr="00933C54">
        <w:rPr>
          <w:rFonts w:cs="Arial"/>
          <w:szCs w:val="20"/>
        </w:rPr>
        <w:t xml:space="preserve"> bolje prispevala k zagotavljanju stabilnosti, človekovega razvoja in povezovanja v regiji. </w:t>
      </w:r>
    </w:p>
    <w:p w14:paraId="6CFA9431" w14:textId="77777777" w:rsidR="008D3E5D" w:rsidRDefault="008D3E5D" w:rsidP="008D3E5D">
      <w:pPr>
        <w:jc w:val="both"/>
        <w:rPr>
          <w:rFonts w:cs="Arial"/>
          <w:szCs w:val="20"/>
        </w:rPr>
      </w:pPr>
    </w:p>
    <w:p w14:paraId="64141B54" w14:textId="76A6FF7F" w:rsidR="008D3E5D" w:rsidRDefault="008D3E5D" w:rsidP="008D3E5D">
      <w:pPr>
        <w:jc w:val="both"/>
        <w:rPr>
          <w:rFonts w:cs="Arial"/>
          <w:szCs w:val="20"/>
        </w:rPr>
      </w:pPr>
      <w:r w:rsidRPr="00933C54">
        <w:rPr>
          <w:rFonts w:cs="Arial"/>
          <w:szCs w:val="20"/>
        </w:rPr>
        <w:t xml:space="preserve">Slovenija še posebej podpira </w:t>
      </w:r>
      <w:proofErr w:type="spellStart"/>
      <w:r w:rsidRPr="00933C54">
        <w:rPr>
          <w:rFonts w:cs="Arial"/>
          <w:szCs w:val="20"/>
        </w:rPr>
        <w:t>okoljske</w:t>
      </w:r>
      <w:proofErr w:type="spellEnd"/>
      <w:r w:rsidRPr="00933C54">
        <w:rPr>
          <w:rFonts w:cs="Arial"/>
          <w:szCs w:val="20"/>
        </w:rPr>
        <w:t xml:space="preserve"> projekte Unije za Sredozemlje s poudarkom na energiji in vodi ter projekte za </w:t>
      </w:r>
      <w:proofErr w:type="spellStart"/>
      <w:r w:rsidRPr="00933C54">
        <w:rPr>
          <w:rFonts w:cs="Arial"/>
          <w:szCs w:val="20"/>
        </w:rPr>
        <w:t>opolnomočenje</w:t>
      </w:r>
      <w:proofErr w:type="spellEnd"/>
      <w:r w:rsidRPr="00933C54">
        <w:rPr>
          <w:rFonts w:cs="Arial"/>
          <w:szCs w:val="20"/>
        </w:rPr>
        <w:t xml:space="preserve"> žensk in mladih. V okviru Unije za Sredozemlje se je zvrstilo že več dogodkov, ki dodatno krepijo vlogo Slovenije v Sredozemlju, tudi zaradi aktivnosti na področju Pozitivne agende za mlade, medkulturnega dialoga in ustvarjalnih industrij. Slovenija vidi pomembno povezavo med evro-sredozemskimi prednostnimi področji Unije za Sredozemlje in prednostnimi nalogami nestalnega članstva Slovenije v Varnostnem svetu OZN,</w:t>
      </w:r>
      <w:r w:rsidRPr="00933C54">
        <w:t xml:space="preserve"> </w:t>
      </w:r>
      <w:r w:rsidRPr="00933C54">
        <w:rPr>
          <w:rFonts w:cs="Arial"/>
          <w:szCs w:val="20"/>
        </w:rPr>
        <w:t>kot so: podnebje, mir in varnost</w:t>
      </w:r>
      <w:r w:rsidR="00443248">
        <w:rPr>
          <w:rFonts w:cs="Arial"/>
          <w:szCs w:val="20"/>
        </w:rPr>
        <w:t>,</w:t>
      </w:r>
      <w:r w:rsidRPr="00933C54">
        <w:rPr>
          <w:rFonts w:cs="Arial"/>
          <w:szCs w:val="20"/>
        </w:rPr>
        <w:t xml:space="preserve"> preprečevanje konfliktov, krepitev vloge žensk pri zagotavljanju miru in varnosti ter zaščita civilistov v oboroženih spopadih. Drug s tem povezan vidik v okviru OZN bi lahko bilo spodbujanje regionalnega vključujočega trajnostnega razvoja (v povezavi s cilji trajnostnega razvoja v okviru Agende OZN 2030).</w:t>
      </w:r>
    </w:p>
    <w:p w14:paraId="72694559" w14:textId="77777777" w:rsidR="008D3E5D" w:rsidRDefault="008D3E5D" w:rsidP="008D3E5D">
      <w:pPr>
        <w:jc w:val="both"/>
        <w:rPr>
          <w:rFonts w:cs="Arial"/>
          <w:szCs w:val="20"/>
        </w:rPr>
      </w:pPr>
    </w:p>
    <w:p w14:paraId="4B964D62" w14:textId="77777777" w:rsidR="008D3E5D" w:rsidRDefault="008D3E5D" w:rsidP="008D3E5D">
      <w:pPr>
        <w:jc w:val="both"/>
        <w:rPr>
          <w:rFonts w:cs="Arial"/>
          <w:szCs w:val="20"/>
        </w:rPr>
      </w:pPr>
      <w:r>
        <w:rPr>
          <w:rFonts w:cs="Arial"/>
          <w:szCs w:val="20"/>
        </w:rPr>
        <w:t>Vlada med m</w:t>
      </w:r>
      <w:r w:rsidRPr="008856AB">
        <w:rPr>
          <w:rFonts w:cs="Arial"/>
          <w:szCs w:val="20"/>
        </w:rPr>
        <w:t>ožne prednostne naloge za EMUNI univerzo v obdobju 2024–2029</w:t>
      </w:r>
      <w:r>
        <w:rPr>
          <w:rFonts w:cs="Arial"/>
          <w:szCs w:val="20"/>
        </w:rPr>
        <w:t xml:space="preserve"> vidi v k</w:t>
      </w:r>
      <w:r w:rsidRPr="00A80784">
        <w:rPr>
          <w:rFonts w:cs="Arial"/>
          <w:szCs w:val="20"/>
        </w:rPr>
        <w:t>repitv</w:t>
      </w:r>
      <w:r>
        <w:rPr>
          <w:rFonts w:cs="Arial"/>
          <w:szCs w:val="20"/>
        </w:rPr>
        <w:t>i</w:t>
      </w:r>
      <w:r w:rsidRPr="00A80784">
        <w:rPr>
          <w:rFonts w:cs="Arial"/>
          <w:szCs w:val="20"/>
        </w:rPr>
        <w:t xml:space="preserve"> mreže EMUNI univerze</w:t>
      </w:r>
      <w:r>
        <w:rPr>
          <w:rFonts w:cs="Arial"/>
          <w:szCs w:val="20"/>
        </w:rPr>
        <w:t xml:space="preserve"> ter v širitvi študijskih programov. Stališče Vlade je, da </w:t>
      </w:r>
      <w:r w:rsidRPr="00A80784">
        <w:rPr>
          <w:rFonts w:cs="Arial"/>
          <w:szCs w:val="20"/>
        </w:rPr>
        <w:t xml:space="preserve">bi morala Univerza EMUNI okrepiti partnerstva med institucijami v okviru mreže, zlasti med najožjimi članicami. Izvajanje skupnih študijskih programov, izmenjava študentov ter akademskega in drugega </w:t>
      </w:r>
      <w:r w:rsidRPr="00A80784">
        <w:rPr>
          <w:rFonts w:cs="Arial"/>
          <w:szCs w:val="20"/>
        </w:rPr>
        <w:lastRenderedPageBreak/>
        <w:t xml:space="preserve">osebja, skupne prijave za raziskovalne in druge projekte morajo postati vsakdanja praksa. Pričakuje se tudi, da bodo partnerstva, kot je mreža EMUNI, prispevala k obnovljenemu </w:t>
      </w:r>
      <w:proofErr w:type="spellStart"/>
      <w:r w:rsidRPr="00A80784">
        <w:rPr>
          <w:rFonts w:cs="Arial"/>
          <w:szCs w:val="20"/>
        </w:rPr>
        <w:t>evrosredozemskemu</w:t>
      </w:r>
      <w:proofErr w:type="spellEnd"/>
      <w:r w:rsidRPr="00A80784">
        <w:rPr>
          <w:rFonts w:cs="Arial"/>
          <w:szCs w:val="20"/>
        </w:rPr>
        <w:t xml:space="preserve"> sodelovanju na področju visokošolskega izobraževanja z obravnavo šestih izzivov, opredeljenih v poročilu o javnem posvetovanju ob 1. ministrski konferenci Unije za Sredozemlje o visokem šolstvu: internacionalizacija, digitalno izobraževanje, upravljanje, vključevanje, trajnostni razvoj, temeljne akademske vrednote, zaposljivost itd. Če bodo te teme v ministrski deklaraciji potrjene kot prednostne naloge regionalnega sodelovanja na področju visokošolskega izobraževanja, bo mreža EMUNI kot platforma za sodelovanje lahko pripravila skupne ukrepe na teh področjih, vključno s študijskimi programi in raziskovalnimi projekti. </w:t>
      </w:r>
    </w:p>
    <w:p w14:paraId="6E45F7E6" w14:textId="77777777" w:rsidR="00A90F96" w:rsidRDefault="00A90F96" w:rsidP="008D3E5D">
      <w:pPr>
        <w:jc w:val="both"/>
        <w:rPr>
          <w:rFonts w:cs="Arial"/>
          <w:szCs w:val="20"/>
        </w:rPr>
      </w:pPr>
    </w:p>
    <w:p w14:paraId="4F9A6057" w14:textId="3382077F" w:rsidR="008D3E5D" w:rsidRDefault="008D3E5D" w:rsidP="008D3E5D">
      <w:pPr>
        <w:jc w:val="both"/>
        <w:rPr>
          <w:rFonts w:cs="Arial"/>
          <w:szCs w:val="20"/>
        </w:rPr>
      </w:pPr>
      <w:r w:rsidRPr="00A80784">
        <w:rPr>
          <w:rFonts w:cs="Arial"/>
          <w:szCs w:val="20"/>
        </w:rPr>
        <w:t xml:space="preserve">Slovenska vlada </w:t>
      </w:r>
      <w:r w:rsidR="00443248">
        <w:rPr>
          <w:rFonts w:cs="Arial"/>
          <w:szCs w:val="20"/>
        </w:rPr>
        <w:t xml:space="preserve">tako </w:t>
      </w:r>
      <w:r w:rsidRPr="00A80784">
        <w:rPr>
          <w:rFonts w:cs="Arial"/>
          <w:szCs w:val="20"/>
        </w:rPr>
        <w:t>odločno podpira nadaljnji razvoj EMUNI, ki mora temeljiti na povečanju števila študijskih programov, zlasti skupnih programov z drugimi sredozemskimi univerzami, ter na rasti njene kakovosti in odličnosti. Za doseganje teh ciljev bo slovenska vlada dodeljevala in povečevala podporo, ki bo omogočala uresničevanje potrebe po zagotavljanju kakovosti in povečanja števila študijskih programov univerze EMUNI. Vlada pričakuje, da bo univerza EMUNI prispevala k vzpostavljanju pogojev za vpis večjega števila študentov iz celotne regije in olajšanju njihovega položaja pri izpolnjevanju zahtev, povezanih z vpisnimi postopki pri vpisu na evropske univerze.</w:t>
      </w:r>
    </w:p>
    <w:p w14:paraId="706EC64A" w14:textId="77777777" w:rsidR="008D3E5D" w:rsidRDefault="008D3E5D" w:rsidP="008D3E5D">
      <w:pPr>
        <w:jc w:val="both"/>
        <w:rPr>
          <w:rFonts w:cs="Arial"/>
          <w:szCs w:val="20"/>
        </w:rPr>
      </w:pPr>
    </w:p>
    <w:p w14:paraId="64B9F92B" w14:textId="224C889A" w:rsidR="008D3E5D" w:rsidRDefault="008D3E5D" w:rsidP="008D3E5D">
      <w:pPr>
        <w:jc w:val="both"/>
        <w:rPr>
          <w:rFonts w:cs="Arial"/>
          <w:szCs w:val="20"/>
        </w:rPr>
      </w:pPr>
      <w:r w:rsidRPr="00D07F4E">
        <w:rPr>
          <w:rFonts w:cs="Arial"/>
          <w:szCs w:val="20"/>
        </w:rPr>
        <w:t xml:space="preserve">Da bi privabila večje število študentov, </w:t>
      </w:r>
      <w:r>
        <w:rPr>
          <w:rFonts w:cs="Arial"/>
          <w:szCs w:val="20"/>
        </w:rPr>
        <w:t xml:space="preserve">Vlada meni, da </w:t>
      </w:r>
      <w:r w:rsidRPr="00D07F4E">
        <w:rPr>
          <w:rFonts w:cs="Arial"/>
          <w:szCs w:val="20"/>
        </w:rPr>
        <w:t xml:space="preserve">bi morala univerza EMUNI razmisliti o možnosti uvedbe specializiranih spletnih študijskih programov, programov na daljavo in e-izobraževanja. Takšni prilagojeni programi bi bili še posebej zanimivi za študente z afriškega kontinenta in študente z območij, kjer potekajo spopadi. Poleg tega bi morala univerza razmisliti o uvedbi krajših modulov v okviru evro-sredozemskih študij, ki bi obravnavali prednostna področja Unije za Sredozemlje, kot so civilna zaščita, energija, migracije, itd. Primer takšnega modula se načrtuje v partnerstvu z Evro-sredozemsko univerzo v Fesu v Maroku in bo vključeval strateške predmete, kot so kibernetska varnost, umetna inteligenca, trajnostni razvoj, podnebne spremembe in druge predmete, ki so za regijo zelo pomembni. Razmisleki o možnih dodatnih študijskih ponudbah vključujejo različne načine povezovanja južnega Sredozemlja in Zahodnega Balkana, na primer z </w:t>
      </w:r>
      <w:proofErr w:type="spellStart"/>
      <w:r w:rsidRPr="00D07F4E">
        <w:rPr>
          <w:rFonts w:cs="Arial"/>
          <w:szCs w:val="20"/>
        </w:rPr>
        <w:t>opolnomočenjem</w:t>
      </w:r>
      <w:proofErr w:type="spellEnd"/>
      <w:r w:rsidRPr="00D07F4E">
        <w:rPr>
          <w:rFonts w:cs="Arial"/>
          <w:szCs w:val="20"/>
        </w:rPr>
        <w:t xml:space="preserve"> mladih in žensk na območju Zahodnega Balkana z inovativnimi in dinamičnimi učnimi načrti o naložbah, okolju, podjetništvu in razvoju spretnosti, zaposlovanju mladih pri upravljanju vodnega sektorja, </w:t>
      </w:r>
      <w:proofErr w:type="spellStart"/>
      <w:r w:rsidRPr="00D07F4E">
        <w:rPr>
          <w:rFonts w:cs="Arial"/>
          <w:szCs w:val="20"/>
        </w:rPr>
        <w:t>opolnomočenju</w:t>
      </w:r>
      <w:proofErr w:type="spellEnd"/>
      <w:r w:rsidRPr="00D07F4E">
        <w:rPr>
          <w:rFonts w:cs="Arial"/>
          <w:szCs w:val="20"/>
        </w:rPr>
        <w:t xml:space="preserve"> žensk v zelenem gospodarstvu in drugo. Možna je tudi krepitev področja znanstvene diplomacije v evro-sredozemski regiji (v sodelovanju z Ministrstvom za zunanje in evropske zadeve), da bi se opredelile zahteve in modeli na posebnih področjih znanstvene diplomacije (v povezavi s programom za evropsko znanstveno diplomacijo - ESDA).</w:t>
      </w:r>
    </w:p>
    <w:p w14:paraId="4D98E33A" w14:textId="77777777" w:rsidR="008D3E5D" w:rsidRDefault="008D3E5D" w:rsidP="008D3E5D">
      <w:pPr>
        <w:jc w:val="both"/>
        <w:rPr>
          <w:rFonts w:cs="Arial"/>
          <w:szCs w:val="20"/>
        </w:rPr>
      </w:pPr>
    </w:p>
    <w:p w14:paraId="7D520487" w14:textId="3C078988" w:rsidR="008D3E5D" w:rsidRPr="00933C54" w:rsidRDefault="008D3E5D" w:rsidP="008D3E5D">
      <w:pPr>
        <w:jc w:val="both"/>
        <w:rPr>
          <w:rFonts w:cs="Arial"/>
          <w:szCs w:val="20"/>
        </w:rPr>
      </w:pPr>
      <w:r w:rsidRPr="00A80784">
        <w:rPr>
          <w:rFonts w:cs="Arial"/>
          <w:szCs w:val="20"/>
        </w:rPr>
        <w:t xml:space="preserve">Vlada Republike Slovenije </w:t>
      </w:r>
      <w:r>
        <w:rPr>
          <w:rFonts w:cs="Arial"/>
          <w:szCs w:val="20"/>
        </w:rPr>
        <w:t>v svojem stališču</w:t>
      </w:r>
      <w:r w:rsidR="00AD2CB7">
        <w:rPr>
          <w:rFonts w:cs="Arial"/>
          <w:szCs w:val="20"/>
        </w:rPr>
        <w:t xml:space="preserve"> še</w:t>
      </w:r>
      <w:r>
        <w:rPr>
          <w:rFonts w:cs="Arial"/>
          <w:szCs w:val="20"/>
        </w:rPr>
        <w:t xml:space="preserve"> navaja, da </w:t>
      </w:r>
      <w:r w:rsidRPr="00A80784">
        <w:rPr>
          <w:rFonts w:cs="Arial"/>
          <w:szCs w:val="20"/>
        </w:rPr>
        <w:t>bo v skladu s svojo zavezo okrepila finančno podporo za nadaljnji razvoj univerze EMUNI, ki bo temeljil na kakovostnem in ambicioznem programu za uresničevanje njenega potenciala. Univerza EMUNI bi morala še naprej krepiti odnose in partnerstva s slovensko vlado, mednarodnimi in večnacionalnimi organizacijami ter drugimi</w:t>
      </w:r>
      <w:r>
        <w:rPr>
          <w:rFonts w:cs="Arial"/>
          <w:szCs w:val="20"/>
        </w:rPr>
        <w:t xml:space="preserve"> </w:t>
      </w:r>
      <w:r w:rsidRPr="00A80784">
        <w:rPr>
          <w:rFonts w:cs="Arial"/>
          <w:szCs w:val="20"/>
        </w:rPr>
        <w:t>zainteresiranimi deležniki, da bi si zagotovila trajnostne in raznolike vire financiranja ter tako povečala zmogljivost za razvoj in izvajanje večjega števila visokošolskih in raziskovalnih programov in projektov. Univerza EMUNI bi lahko preučila tudi možnosti uporabe sredstev EU, kot so razvojna pomoč, kohezijski skladi, migracije (sredstva, dodeljena za izobraževanje in usposabljanje iz programov EU za migracije, npr. »partnerstva za nadarjene«) in finančna sredstva Evropske komisije na področju »znanj in spretnosti« (Evropska akademija znanj in spretnosti). Bistveno bo še naprej krepiti zmogljivosti univerze, da bo lahko pridobila več raziskovalnih in izobraževalnih projektov. Vključitev projektov v instrument Obzorje Evropa in druge finančne mehanizme EU za raziskave bi omogočila nadaljnje sodelovanje z evropskimi in sredozemskimi partnerji. Z vidika cilja privabiti več študentov iz celotne regije in promovirati univerzo EMUNI bi lahko razmislili o štipendijskem skladu za njene študente.</w:t>
      </w:r>
    </w:p>
    <w:p w14:paraId="11647B8C" w14:textId="77777777" w:rsidR="00E11A61" w:rsidRDefault="00E11A61" w:rsidP="008D3E5D">
      <w:pPr>
        <w:jc w:val="both"/>
        <w:rPr>
          <w:rFonts w:cs="Arial"/>
          <w:b/>
          <w:bCs/>
          <w:szCs w:val="20"/>
        </w:rPr>
      </w:pPr>
    </w:p>
    <w:p w14:paraId="16521D97" w14:textId="77777777" w:rsidR="00C47D23" w:rsidRDefault="00C47D23" w:rsidP="008D3E5D">
      <w:pPr>
        <w:jc w:val="both"/>
        <w:rPr>
          <w:rFonts w:cs="Arial"/>
          <w:b/>
          <w:bCs/>
          <w:szCs w:val="20"/>
        </w:rPr>
      </w:pPr>
    </w:p>
    <w:p w14:paraId="00204258" w14:textId="77777777" w:rsidR="00C47D23" w:rsidRDefault="00C47D23" w:rsidP="008D3E5D">
      <w:pPr>
        <w:jc w:val="both"/>
        <w:rPr>
          <w:rFonts w:cs="Arial"/>
          <w:b/>
          <w:bCs/>
          <w:szCs w:val="20"/>
        </w:rPr>
      </w:pPr>
    </w:p>
    <w:p w14:paraId="437E61EB" w14:textId="69B81307" w:rsidR="00AD2CB7" w:rsidRPr="00E82B94" w:rsidRDefault="008D3E5D" w:rsidP="00843B43">
      <w:pPr>
        <w:pStyle w:val="Odstavekseznama"/>
        <w:numPr>
          <w:ilvl w:val="1"/>
          <w:numId w:val="33"/>
        </w:numPr>
        <w:jc w:val="both"/>
        <w:rPr>
          <w:rFonts w:cs="Arial"/>
          <w:szCs w:val="20"/>
        </w:rPr>
      </w:pPr>
      <w:r w:rsidRPr="00E82B94">
        <w:rPr>
          <w:rFonts w:cs="Arial"/>
          <w:szCs w:val="20"/>
        </w:rPr>
        <w:lastRenderedPageBreak/>
        <w:t>Pogodba o financiranju</w:t>
      </w:r>
      <w:r w:rsidR="00AD2CB7" w:rsidRPr="00E82B94">
        <w:rPr>
          <w:rFonts w:cs="Arial"/>
          <w:szCs w:val="20"/>
        </w:rPr>
        <w:t xml:space="preserve"> Univerze EMUNI </w:t>
      </w:r>
    </w:p>
    <w:p w14:paraId="4EF078BA" w14:textId="77777777" w:rsidR="008D3E5D" w:rsidRDefault="008D3E5D" w:rsidP="008D3E5D">
      <w:pPr>
        <w:jc w:val="both"/>
        <w:rPr>
          <w:rFonts w:cs="Arial"/>
          <w:b/>
          <w:bCs/>
          <w:szCs w:val="20"/>
        </w:rPr>
      </w:pPr>
    </w:p>
    <w:p w14:paraId="7A544BA3" w14:textId="5B022D39" w:rsidR="008D3E5D" w:rsidRDefault="008D3E5D" w:rsidP="008D3E5D">
      <w:pPr>
        <w:jc w:val="both"/>
        <w:rPr>
          <w:rFonts w:eastAsia="Courier New" w:cs="Arial"/>
          <w:szCs w:val="20"/>
        </w:rPr>
      </w:pPr>
      <w:r>
        <w:rPr>
          <w:szCs w:val="18"/>
        </w:rPr>
        <w:t xml:space="preserve">MVZI in </w:t>
      </w:r>
      <w:r w:rsidR="0008304F">
        <w:rPr>
          <w:szCs w:val="18"/>
        </w:rPr>
        <w:t>EMUNI</w:t>
      </w:r>
      <w:r>
        <w:rPr>
          <w:szCs w:val="18"/>
        </w:rPr>
        <w:t xml:space="preserve"> sta dne 4. 12. 2023 sklenil</w:t>
      </w:r>
      <w:r w:rsidR="0008304F">
        <w:rPr>
          <w:szCs w:val="18"/>
        </w:rPr>
        <w:t>a</w:t>
      </w:r>
      <w:r>
        <w:rPr>
          <w:szCs w:val="18"/>
        </w:rPr>
        <w:t xml:space="preserve"> </w:t>
      </w:r>
      <w:r w:rsidRPr="00500A74">
        <w:rPr>
          <w:szCs w:val="18"/>
        </w:rPr>
        <w:t>Pogodbo št. C3360-24-453004 o financiranju dejavnosti v obdobju od 1.</w:t>
      </w:r>
      <w:r>
        <w:rPr>
          <w:szCs w:val="18"/>
        </w:rPr>
        <w:t xml:space="preserve"> </w:t>
      </w:r>
      <w:r w:rsidRPr="00500A74">
        <w:rPr>
          <w:szCs w:val="18"/>
        </w:rPr>
        <w:t>1. 2024 do 31. 12.</w:t>
      </w:r>
      <w:r>
        <w:rPr>
          <w:szCs w:val="18"/>
        </w:rPr>
        <w:t xml:space="preserve"> </w:t>
      </w:r>
      <w:r w:rsidRPr="00500A74">
        <w:rPr>
          <w:szCs w:val="18"/>
        </w:rPr>
        <w:t>2024</w:t>
      </w:r>
      <w:r>
        <w:rPr>
          <w:szCs w:val="18"/>
        </w:rPr>
        <w:t xml:space="preserve">. </w:t>
      </w:r>
      <w:r w:rsidRPr="00500A74">
        <w:rPr>
          <w:rFonts w:cs="Arial"/>
          <w:szCs w:val="20"/>
        </w:rPr>
        <w:t>1. člen pogodbe določa, da pogodbeni stranki na podlagi 10.a člena Zakona o visokem šolstvu, Uredbe o javnem financiranju visokošolskih zavodov in drugih zavodov</w:t>
      </w:r>
      <w:r>
        <w:rPr>
          <w:rStyle w:val="Sprotnaopomba-sklic"/>
          <w:rFonts w:cs="Arial"/>
          <w:szCs w:val="20"/>
        </w:rPr>
        <w:footnoteReference w:id="13"/>
      </w:r>
      <w:r w:rsidRPr="00500A74">
        <w:rPr>
          <w:rFonts w:cs="Arial"/>
          <w:szCs w:val="20"/>
        </w:rPr>
        <w:t xml:space="preserve">, 50. člena in 51. člena Zakona o javnih financah, Zakona o izvrševanju proračunov Republike Slovenije za </w:t>
      </w:r>
      <w:r>
        <w:rPr>
          <w:rFonts w:cs="Arial"/>
          <w:szCs w:val="20"/>
        </w:rPr>
        <w:t>l</w:t>
      </w:r>
      <w:r w:rsidRPr="00500A74">
        <w:rPr>
          <w:rFonts w:cs="Arial"/>
          <w:szCs w:val="20"/>
        </w:rPr>
        <w:t>eti 2023 in 2024</w:t>
      </w:r>
      <w:r>
        <w:rPr>
          <w:rStyle w:val="Sprotnaopomba-sklic"/>
          <w:rFonts w:cs="Arial"/>
          <w:szCs w:val="20"/>
        </w:rPr>
        <w:footnoteReference w:id="14"/>
      </w:r>
      <w:r w:rsidRPr="00500A74">
        <w:rPr>
          <w:rFonts w:cs="Arial"/>
          <w:szCs w:val="20"/>
        </w:rPr>
        <w:t xml:space="preserve"> ter Proračuna Republike Slovenije za leto 2024</w:t>
      </w:r>
      <w:r>
        <w:rPr>
          <w:rStyle w:val="Sprotnaopomba-sklic"/>
          <w:rFonts w:cs="Arial"/>
          <w:szCs w:val="20"/>
        </w:rPr>
        <w:footnoteReference w:id="15"/>
      </w:r>
      <w:r w:rsidRPr="00500A74">
        <w:rPr>
          <w:rFonts w:cs="Arial"/>
          <w:szCs w:val="20"/>
        </w:rPr>
        <w:t xml:space="preserve"> s to pogodbo opredel</w:t>
      </w:r>
      <w:r>
        <w:rPr>
          <w:rFonts w:cs="Arial"/>
          <w:szCs w:val="20"/>
        </w:rPr>
        <w:t>jujeta</w:t>
      </w:r>
      <w:r w:rsidRPr="00500A74">
        <w:rPr>
          <w:rFonts w:cs="Arial"/>
          <w:szCs w:val="20"/>
        </w:rPr>
        <w:t xml:space="preserve"> medsebojne pravice in obveznosti, to je financiranje EMUNI univerze v obdobju</w:t>
      </w:r>
      <w:r>
        <w:rPr>
          <w:rFonts w:cs="Arial"/>
          <w:szCs w:val="20"/>
        </w:rPr>
        <w:t xml:space="preserve"> o</w:t>
      </w:r>
      <w:r w:rsidRPr="00500A74">
        <w:rPr>
          <w:rFonts w:eastAsia="Courier New" w:cs="Arial"/>
          <w:szCs w:val="20"/>
        </w:rPr>
        <w:t>d 1. 1. 2024 do 31. 12.</w:t>
      </w:r>
      <w:r>
        <w:rPr>
          <w:rFonts w:eastAsia="Courier New" w:cs="Arial"/>
          <w:szCs w:val="20"/>
        </w:rPr>
        <w:t xml:space="preserve"> </w:t>
      </w:r>
      <w:r w:rsidRPr="00500A74">
        <w:rPr>
          <w:rFonts w:eastAsia="Courier New" w:cs="Arial"/>
          <w:szCs w:val="20"/>
        </w:rPr>
        <w:t>2024.</w:t>
      </w:r>
    </w:p>
    <w:p w14:paraId="75675783" w14:textId="77777777" w:rsidR="00C47D23" w:rsidRPr="00500A74" w:rsidRDefault="00C47D23" w:rsidP="008D3E5D">
      <w:pPr>
        <w:jc w:val="both"/>
        <w:rPr>
          <w:rFonts w:cs="Arial"/>
          <w:szCs w:val="20"/>
        </w:rPr>
      </w:pPr>
    </w:p>
    <w:p w14:paraId="414C23CF" w14:textId="14632431" w:rsidR="008D3E5D" w:rsidRDefault="008D3E5D" w:rsidP="008D3E5D">
      <w:pPr>
        <w:jc w:val="both"/>
        <w:rPr>
          <w:szCs w:val="20"/>
        </w:rPr>
      </w:pPr>
      <w:r w:rsidRPr="004F4364">
        <w:rPr>
          <w:szCs w:val="20"/>
        </w:rPr>
        <w:t>3.</w:t>
      </w:r>
      <w:r>
        <w:rPr>
          <w:szCs w:val="20"/>
        </w:rPr>
        <w:t xml:space="preserve"> </w:t>
      </w:r>
      <w:r w:rsidRPr="004F4364">
        <w:rPr>
          <w:szCs w:val="20"/>
        </w:rPr>
        <w:t xml:space="preserve">člen pogodbe določa, da bo MVZI EMUNI univerzi za stroške dela in izdatke za blago in storitve </w:t>
      </w:r>
      <w:r w:rsidR="00AD2CB7">
        <w:rPr>
          <w:szCs w:val="20"/>
        </w:rPr>
        <w:t>o</w:t>
      </w:r>
      <w:r w:rsidRPr="004F4364">
        <w:rPr>
          <w:szCs w:val="20"/>
        </w:rPr>
        <w:t>d 1</w:t>
      </w:r>
      <w:r>
        <w:rPr>
          <w:szCs w:val="20"/>
        </w:rPr>
        <w:t xml:space="preserve">. </w:t>
      </w:r>
      <w:r w:rsidRPr="004F4364">
        <w:rPr>
          <w:szCs w:val="20"/>
        </w:rPr>
        <w:t>1. 2024 do 31. 12. 2024 nakaza</w:t>
      </w:r>
      <w:r>
        <w:rPr>
          <w:szCs w:val="20"/>
        </w:rPr>
        <w:t>l</w:t>
      </w:r>
      <w:r w:rsidRPr="004F4364">
        <w:rPr>
          <w:szCs w:val="20"/>
        </w:rPr>
        <w:t>o 300.000,00 EUR iz PP231843</w:t>
      </w:r>
      <w:r w:rsidR="00961C07">
        <w:rPr>
          <w:szCs w:val="20"/>
        </w:rPr>
        <w:t xml:space="preserve"> </w:t>
      </w:r>
      <w:r w:rsidRPr="004F4364">
        <w:rPr>
          <w:szCs w:val="20"/>
        </w:rPr>
        <w:t>- Evro-sredozemska univerza, konto 4135 - tekoča plačila drugim izvajalcem javnih služb, ki niso posredni proračunski uporabniki; ukrep št. 3330-18-0009 Delovanje Evro-sredozemske univerze.</w:t>
      </w:r>
      <w:r>
        <w:rPr>
          <w:szCs w:val="20"/>
        </w:rPr>
        <w:t xml:space="preserve"> </w:t>
      </w:r>
    </w:p>
    <w:p w14:paraId="21069AE9" w14:textId="77777777" w:rsidR="008D3E5D" w:rsidRDefault="008D3E5D" w:rsidP="008D3E5D">
      <w:pPr>
        <w:jc w:val="both"/>
        <w:rPr>
          <w:szCs w:val="20"/>
        </w:rPr>
      </w:pPr>
    </w:p>
    <w:p w14:paraId="1571A6E7" w14:textId="77777777" w:rsidR="008D3E5D" w:rsidRDefault="008D3E5D" w:rsidP="008D3E5D">
      <w:pPr>
        <w:ind w:left="28" w:firstLine="4"/>
        <w:jc w:val="both"/>
      </w:pPr>
      <w:r>
        <w:t>V breme proračunske postavke iz tega člena se za leto 2024 izvajanje pogodbenih obveznosti odloži, dokler za ta namen ministrstvo nima zagotovljenih pravic porabe v posebnem delu proračuna.</w:t>
      </w:r>
    </w:p>
    <w:p w14:paraId="441C9F9E" w14:textId="77777777" w:rsidR="008D3E5D" w:rsidRDefault="008D3E5D" w:rsidP="008D3E5D">
      <w:pPr>
        <w:jc w:val="both"/>
      </w:pPr>
    </w:p>
    <w:p w14:paraId="192456FA" w14:textId="77DEC676" w:rsidR="008D3E5D" w:rsidRDefault="008D3E5D" w:rsidP="008D3E5D">
      <w:pPr>
        <w:jc w:val="both"/>
      </w:pPr>
      <w:r>
        <w:t xml:space="preserve">5. člen pogodbe med drugim določa, da mora EMUNI s sredstvi za stroške dela in izdatke za blago in storitve sofinancirati stroške delovanja vodstva in strokovnih služb EMUNI univerze, dejavnosti povezane s pripravo in izvedbo študijskih programov, ter stroške prostorov in najem prostorov v vrednostih in na način, kot so opredeljeni v letnem programu dela za leto 2024; </w:t>
      </w:r>
      <w:bookmarkStart w:id="6" w:name="_Hlk208307421"/>
      <w:r>
        <w:t xml:space="preserve">v skladu z določbami Zakona o visokem šolstvu mora posredovati podatke v Evidenčni in analitski </w:t>
      </w:r>
      <w:r>
        <w:rPr>
          <w:noProof/>
        </w:rPr>
        <w:t xml:space="preserve">informacijski </w:t>
      </w:r>
      <w:r>
        <w:t xml:space="preserve">sistem visokega šolstva v Republiki Sloveniji; spremljati porabo proračunskih sredstev na ločenih stroškovnih mestih tako, da je mogoče preveriti izvajanje sklenjene pogodbe; poslovati racionalno ter izvesti naloge, ki so sofinancirane iz proračuna Republike Slovenije, s </w:t>
      </w:r>
      <w:r>
        <w:rPr>
          <w:noProof/>
        </w:rPr>
        <w:t xml:space="preserve">skrbnostjo </w:t>
      </w:r>
      <w:r>
        <w:t xml:space="preserve">dobrega gospodarja; nakazana sredstva porabiti za namene, določene s sklenjeno pogodbo; </w:t>
      </w:r>
      <w:r>
        <w:rPr>
          <w:noProof/>
        </w:rPr>
        <w:drawing>
          <wp:inline distT="0" distB="0" distL="0" distR="0" wp14:anchorId="0BB062D4" wp14:editId="08CC1199">
            <wp:extent cx="9155" cy="9144"/>
            <wp:effectExtent l="0" t="0" r="0" b="0"/>
            <wp:docPr id="5530" name="Picture 5530"/>
            <wp:cNvGraphicFramePr/>
            <a:graphic xmlns:a="http://schemas.openxmlformats.org/drawingml/2006/main">
              <a:graphicData uri="http://schemas.openxmlformats.org/drawingml/2006/picture">
                <pic:pic xmlns:pic="http://schemas.openxmlformats.org/drawingml/2006/picture">
                  <pic:nvPicPr>
                    <pic:cNvPr id="5530" name="Picture 5530"/>
                    <pic:cNvPicPr/>
                  </pic:nvPicPr>
                  <pic:blipFill>
                    <a:blip r:embed="rId20"/>
                    <a:stretch>
                      <a:fillRect/>
                    </a:stretch>
                  </pic:blipFill>
                  <pic:spPr>
                    <a:xfrm>
                      <a:off x="0" y="0"/>
                      <a:ext cx="9155" cy="9144"/>
                    </a:xfrm>
                    <a:prstGeom prst="rect">
                      <a:avLst/>
                    </a:prstGeom>
                  </pic:spPr>
                </pic:pic>
              </a:graphicData>
            </a:graphic>
          </wp:inline>
        </w:drawing>
      </w:r>
      <w:r>
        <w:t xml:space="preserve">ministrstvu omogočiti nadzor nad uresničevanjem te pogodbe; </w:t>
      </w:r>
      <w:bookmarkEnd w:id="6"/>
      <w:r>
        <w:t>na zahtevo ministrstva omogočiti vpogled v poslovanje in dokumentacijo v zvezi z izpolnjevanjem te pogodbe ter ministrstvu predložiti vse informacije in podatke v zvezi z izvajanjem te pogodbe, za katere bo zaprošena.</w:t>
      </w:r>
    </w:p>
    <w:p w14:paraId="222981D9" w14:textId="77777777" w:rsidR="008D3E5D" w:rsidRPr="00122A6B" w:rsidRDefault="008D3E5D" w:rsidP="008D3E5D">
      <w:pPr>
        <w:jc w:val="both"/>
        <w:rPr>
          <w:rFonts w:cs="Arial"/>
          <w:szCs w:val="20"/>
        </w:rPr>
      </w:pPr>
    </w:p>
    <w:p w14:paraId="7FA259DC" w14:textId="77777777" w:rsidR="00EF70A7" w:rsidRDefault="00EF70A7" w:rsidP="00EF70A7">
      <w:pPr>
        <w:jc w:val="both"/>
        <w:rPr>
          <w:rFonts w:cs="Arial"/>
          <w:szCs w:val="20"/>
        </w:rPr>
      </w:pPr>
      <w:r w:rsidRPr="00EF70A7">
        <w:rPr>
          <w:rFonts w:cs="Arial"/>
          <w:szCs w:val="20"/>
        </w:rPr>
        <w:t>V 6. členu pogodbe je določeno, da ima MVZI pravico opravljati nadzor nad poslovanjem EMUNI univerze, in sicer:</w:t>
      </w:r>
    </w:p>
    <w:p w14:paraId="4457921A" w14:textId="77777777" w:rsidR="00EF70A7" w:rsidRDefault="00EF70A7" w:rsidP="00EF70A7">
      <w:pPr>
        <w:jc w:val="both"/>
        <w:rPr>
          <w:rFonts w:cs="Arial"/>
          <w:szCs w:val="20"/>
        </w:rPr>
      </w:pPr>
    </w:p>
    <w:p w14:paraId="45C27A3A" w14:textId="33444591" w:rsidR="008D3E5D" w:rsidRPr="00EF70A7" w:rsidRDefault="008D3E5D" w:rsidP="00356195">
      <w:pPr>
        <w:pStyle w:val="Odstavekseznama"/>
        <w:numPr>
          <w:ilvl w:val="0"/>
          <w:numId w:val="2"/>
        </w:numPr>
        <w:ind w:left="357" w:hanging="357"/>
        <w:jc w:val="both"/>
        <w:rPr>
          <w:rFonts w:cs="Arial"/>
        </w:rPr>
      </w:pPr>
      <w:r w:rsidRPr="00EF70A7">
        <w:rPr>
          <w:rFonts w:eastAsia="Calibri" w:cs="Arial"/>
        </w:rPr>
        <w:t>z nadzorom nad porabo sredstev, nakazanih po tej pogodbi;</w:t>
      </w:r>
    </w:p>
    <w:p w14:paraId="50D7E9A5" w14:textId="77777777" w:rsidR="008D3E5D" w:rsidRPr="00122A6B" w:rsidRDefault="008D3E5D" w:rsidP="00356195">
      <w:pPr>
        <w:pStyle w:val="Odstavekseznama"/>
        <w:numPr>
          <w:ilvl w:val="0"/>
          <w:numId w:val="9"/>
        </w:numPr>
        <w:jc w:val="both"/>
        <w:rPr>
          <w:rFonts w:cs="Arial"/>
        </w:rPr>
      </w:pPr>
      <w:r w:rsidRPr="00122A6B">
        <w:rPr>
          <w:rFonts w:eastAsia="Calibri" w:cs="Arial"/>
        </w:rPr>
        <w:t xml:space="preserve">s pregledom letnega poročila, v delu, ki se financira </w:t>
      </w:r>
      <w:r>
        <w:rPr>
          <w:rFonts w:eastAsia="Calibri" w:cs="Arial"/>
        </w:rPr>
        <w:t>i</w:t>
      </w:r>
      <w:r w:rsidRPr="00122A6B">
        <w:rPr>
          <w:rFonts w:eastAsia="Calibri" w:cs="Arial"/>
        </w:rPr>
        <w:t>z proračuna RS;</w:t>
      </w:r>
    </w:p>
    <w:p w14:paraId="062B5256" w14:textId="77777777" w:rsidR="008D3E5D" w:rsidRPr="00122A6B" w:rsidRDefault="008D3E5D" w:rsidP="00356195">
      <w:pPr>
        <w:pStyle w:val="Odstavekseznama"/>
        <w:numPr>
          <w:ilvl w:val="0"/>
          <w:numId w:val="9"/>
        </w:numPr>
        <w:jc w:val="both"/>
        <w:rPr>
          <w:rFonts w:cs="Arial"/>
        </w:rPr>
      </w:pPr>
      <w:r w:rsidRPr="00122A6B">
        <w:rPr>
          <w:rFonts w:eastAsia="Calibri" w:cs="Arial"/>
        </w:rPr>
        <w:t>s pregledom izvajan</w:t>
      </w:r>
      <w:r>
        <w:rPr>
          <w:rFonts w:eastAsia="Calibri" w:cs="Arial"/>
        </w:rPr>
        <w:t>j</w:t>
      </w:r>
      <w:r w:rsidRPr="00122A6B">
        <w:rPr>
          <w:rFonts w:eastAsia="Calibri" w:cs="Arial"/>
        </w:rPr>
        <w:t>a nalog, določenih v tej pogodbi;</w:t>
      </w:r>
    </w:p>
    <w:p w14:paraId="4702563A" w14:textId="77777777" w:rsidR="008D3E5D" w:rsidRPr="00122A6B" w:rsidRDefault="008D3E5D" w:rsidP="00356195">
      <w:pPr>
        <w:pStyle w:val="Odstavekseznama"/>
        <w:numPr>
          <w:ilvl w:val="0"/>
          <w:numId w:val="9"/>
        </w:numPr>
        <w:jc w:val="both"/>
        <w:rPr>
          <w:rFonts w:cs="Arial"/>
        </w:rPr>
      </w:pPr>
      <w:r w:rsidRPr="00122A6B">
        <w:rPr>
          <w:rFonts w:eastAsia="Calibri" w:cs="Arial"/>
        </w:rPr>
        <w:t>z drugimi predpisanimi načini preverjanja namenske porabe sredstev, nakazanih iz proračuna RS.</w:t>
      </w:r>
    </w:p>
    <w:p w14:paraId="4AE06CA6" w14:textId="77777777" w:rsidR="008D3E5D" w:rsidRPr="004F4364" w:rsidRDefault="008D3E5D" w:rsidP="008D3E5D">
      <w:pPr>
        <w:jc w:val="both"/>
        <w:rPr>
          <w:szCs w:val="20"/>
        </w:rPr>
      </w:pPr>
    </w:p>
    <w:p w14:paraId="1EB502CF" w14:textId="77777777" w:rsidR="008D3E5D" w:rsidRPr="004176A6" w:rsidRDefault="008D3E5D" w:rsidP="008D3E5D">
      <w:pPr>
        <w:jc w:val="both"/>
        <w:rPr>
          <w:rFonts w:cs="Arial"/>
          <w:b/>
          <w:bCs/>
          <w:szCs w:val="20"/>
        </w:rPr>
      </w:pPr>
      <w:r w:rsidRPr="004176A6">
        <w:rPr>
          <w:rFonts w:cs="Arial"/>
          <w:b/>
          <w:bCs/>
          <w:szCs w:val="20"/>
        </w:rPr>
        <w:t>Aneks k pogodbi</w:t>
      </w:r>
    </w:p>
    <w:p w14:paraId="21398542" w14:textId="77777777" w:rsidR="008D3E5D" w:rsidRDefault="008D3E5D" w:rsidP="008D3E5D">
      <w:pPr>
        <w:jc w:val="both"/>
        <w:rPr>
          <w:rFonts w:cs="Arial"/>
          <w:szCs w:val="20"/>
        </w:rPr>
      </w:pPr>
    </w:p>
    <w:p w14:paraId="180580E6" w14:textId="66F6E87E" w:rsidR="00D95DCE" w:rsidRDefault="008D3E5D" w:rsidP="00D95DCE">
      <w:pPr>
        <w:jc w:val="both"/>
        <w:rPr>
          <w:rFonts w:cs="Arial"/>
          <w:szCs w:val="20"/>
        </w:rPr>
      </w:pPr>
      <w:r>
        <w:rPr>
          <w:rFonts w:cs="Arial"/>
          <w:szCs w:val="20"/>
        </w:rPr>
        <w:t xml:space="preserve">MVZI in EMUNI sta </w:t>
      </w:r>
      <w:r w:rsidR="0037762C">
        <w:rPr>
          <w:rFonts w:cs="Arial"/>
          <w:szCs w:val="20"/>
        </w:rPr>
        <w:t xml:space="preserve">nato </w:t>
      </w:r>
      <w:r>
        <w:rPr>
          <w:rFonts w:cs="Arial"/>
          <w:szCs w:val="20"/>
        </w:rPr>
        <w:t>sklenil</w:t>
      </w:r>
      <w:r w:rsidR="005A7749">
        <w:rPr>
          <w:rFonts w:cs="Arial"/>
          <w:szCs w:val="20"/>
        </w:rPr>
        <w:t>a</w:t>
      </w:r>
      <w:r>
        <w:rPr>
          <w:rFonts w:cs="Arial"/>
          <w:szCs w:val="20"/>
        </w:rPr>
        <w:t xml:space="preserve"> </w:t>
      </w:r>
      <w:r w:rsidR="0037762C">
        <w:rPr>
          <w:rFonts w:cs="Arial"/>
          <w:szCs w:val="20"/>
        </w:rPr>
        <w:t xml:space="preserve">še </w:t>
      </w:r>
      <w:r>
        <w:rPr>
          <w:rFonts w:cs="Arial"/>
          <w:szCs w:val="20"/>
        </w:rPr>
        <w:t xml:space="preserve">ANEKS </w:t>
      </w:r>
      <w:r w:rsidRPr="00122A6B">
        <w:rPr>
          <w:rFonts w:cs="Arial"/>
          <w:szCs w:val="20"/>
        </w:rPr>
        <w:t>ŠT. 1 k Pogodbi št. C3360-24-453004 o financiranju dejavnosti v obdobju od 1. 1. 2024 do 31. 12. 2024</w:t>
      </w:r>
      <w:r>
        <w:rPr>
          <w:rFonts w:cs="Arial"/>
          <w:szCs w:val="20"/>
        </w:rPr>
        <w:t xml:space="preserve">, in sicer je v 1. členu določeno, da </w:t>
      </w:r>
      <w:r w:rsidRPr="00122A6B">
        <w:rPr>
          <w:rFonts w:cs="Arial"/>
          <w:szCs w:val="20"/>
        </w:rPr>
        <w:t>Pogodbeni stranki uvodoma</w:t>
      </w:r>
      <w:r>
        <w:rPr>
          <w:rFonts w:cs="Arial"/>
          <w:szCs w:val="20"/>
        </w:rPr>
        <w:t xml:space="preserve"> </w:t>
      </w:r>
      <w:r w:rsidRPr="00122A6B">
        <w:rPr>
          <w:rFonts w:cs="Arial"/>
          <w:szCs w:val="20"/>
        </w:rPr>
        <w:t>ugotavljata, da sta dne 4. 12. 2023 sklenili Pogodbo št. C3360-24-453004 o financiranju dejavnosti v obdobju od 1. 1. 2024 do 31. 12. 2024</w:t>
      </w:r>
      <w:r>
        <w:rPr>
          <w:rFonts w:cs="Arial"/>
          <w:szCs w:val="20"/>
        </w:rPr>
        <w:t xml:space="preserve">; </w:t>
      </w:r>
      <w:r w:rsidRPr="00122A6B">
        <w:rPr>
          <w:rFonts w:cs="Arial"/>
          <w:szCs w:val="20"/>
        </w:rPr>
        <w:t xml:space="preserve">da je Upravni odbor EMUNI univerze na 66. seji, ki je potekala virtualno dne 6. 3. 2024 sprejel Revidiran letni načrt dela za leto 2024; da je Vlada Republike Slovenije s sklepom št. 41012-22/2024/2 z dne 17. 4. 2024 na proračunsko postavko 231843 – Evro-sredozemska univerza prerazporedila </w:t>
      </w:r>
      <w:bookmarkStart w:id="7" w:name="_Hlk215142712"/>
      <w:r w:rsidRPr="00122A6B">
        <w:rPr>
          <w:rFonts w:cs="Arial"/>
          <w:szCs w:val="20"/>
        </w:rPr>
        <w:t>dodatne pravice porabe v znesku 400.000 EUR,</w:t>
      </w:r>
      <w:bookmarkEnd w:id="7"/>
      <w:r w:rsidRPr="00122A6B">
        <w:rPr>
          <w:rFonts w:cs="Arial"/>
          <w:szCs w:val="20"/>
        </w:rPr>
        <w:t xml:space="preserve"> tako, da je za leto 2024 veljavni proračun 700.000 EUR</w:t>
      </w:r>
      <w:r>
        <w:rPr>
          <w:rFonts w:cs="Arial"/>
          <w:szCs w:val="20"/>
        </w:rPr>
        <w:t>;</w:t>
      </w:r>
      <w:r w:rsidRPr="00122A6B">
        <w:rPr>
          <w:rFonts w:cs="Arial"/>
          <w:szCs w:val="20"/>
        </w:rPr>
        <w:t xml:space="preserve"> da je pri </w:t>
      </w:r>
      <w:r w:rsidRPr="00122A6B">
        <w:rPr>
          <w:rFonts w:cs="Arial"/>
          <w:szCs w:val="20"/>
        </w:rPr>
        <w:lastRenderedPageBreak/>
        <w:t>ministrstvu prišlo do spremembe skrbnika pogodbe; da se iz razlogov iz prejšnjih alinej sklene ta aneks k pogodbi.</w:t>
      </w:r>
      <w:r w:rsidR="00D95DCE" w:rsidRPr="00D95DCE">
        <w:rPr>
          <w:rFonts w:eastAsia="Times New Roman"/>
          <w:szCs w:val="20"/>
          <w:lang w:eastAsia="sl-SI"/>
        </w:rPr>
        <w:t xml:space="preserve"> </w:t>
      </w:r>
      <w:r w:rsidR="00D95DCE">
        <w:rPr>
          <w:rFonts w:cs="Arial"/>
          <w:szCs w:val="20"/>
        </w:rPr>
        <w:t>V 2. členu aneksa je navedeno, da se v</w:t>
      </w:r>
      <w:r w:rsidR="00D95DCE" w:rsidRPr="00122A6B">
        <w:rPr>
          <w:rFonts w:cs="Arial"/>
          <w:szCs w:val="20"/>
        </w:rPr>
        <w:t xml:space="preserve"> prvem odstavku 3. člena pogodbe znesek »300.000,00 EUR« nadomesti z zneskom »700.000,00 EUR«.</w:t>
      </w:r>
      <w:r w:rsidR="00D95DCE">
        <w:rPr>
          <w:rFonts w:cs="Arial"/>
          <w:szCs w:val="20"/>
        </w:rPr>
        <w:t xml:space="preserve"> </w:t>
      </w:r>
    </w:p>
    <w:p w14:paraId="483A2C5F" w14:textId="77777777" w:rsidR="00D95DCE" w:rsidRDefault="00D95DCE" w:rsidP="00D95DCE">
      <w:pPr>
        <w:autoSpaceDE w:val="0"/>
        <w:autoSpaceDN w:val="0"/>
        <w:adjustRightInd w:val="0"/>
        <w:jc w:val="both"/>
        <w:rPr>
          <w:rFonts w:eastAsia="Times New Roman"/>
          <w:szCs w:val="20"/>
          <w:lang w:eastAsia="sl-SI"/>
        </w:rPr>
      </w:pPr>
    </w:p>
    <w:p w14:paraId="635A960C" w14:textId="091E69F2" w:rsidR="00D95DCE" w:rsidRPr="00A90F96" w:rsidRDefault="00D95DCE" w:rsidP="00D95DCE">
      <w:pPr>
        <w:autoSpaceDE w:val="0"/>
        <w:autoSpaceDN w:val="0"/>
        <w:adjustRightInd w:val="0"/>
        <w:jc w:val="both"/>
        <w:rPr>
          <w:rFonts w:eastAsia="Times New Roman"/>
          <w:szCs w:val="20"/>
          <w:lang w:eastAsia="sl-SI"/>
        </w:rPr>
      </w:pPr>
      <w:r w:rsidRPr="00A90F96">
        <w:rPr>
          <w:rFonts w:eastAsia="Times New Roman"/>
          <w:szCs w:val="20"/>
          <w:lang w:eastAsia="sl-SI"/>
        </w:rPr>
        <w:t xml:space="preserve">Vlada RS je </w:t>
      </w:r>
      <w:r>
        <w:rPr>
          <w:rFonts w:eastAsia="Times New Roman"/>
          <w:szCs w:val="20"/>
          <w:lang w:eastAsia="sl-SI"/>
        </w:rPr>
        <w:t xml:space="preserve">tako </w:t>
      </w:r>
      <w:r w:rsidRPr="00A90F96">
        <w:rPr>
          <w:rFonts w:eastAsia="Times New Roman"/>
          <w:szCs w:val="20"/>
          <w:lang w:eastAsia="sl-SI"/>
        </w:rPr>
        <w:t xml:space="preserve">s sklepom št. 60300-6/2023/3 z dne 25. 10. 2023 sprejela </w:t>
      </w:r>
      <w:r w:rsidR="00C47D23">
        <w:rPr>
          <w:rFonts w:eastAsia="Times New Roman"/>
          <w:szCs w:val="20"/>
          <w:lang w:eastAsia="sl-SI"/>
        </w:rPr>
        <w:t xml:space="preserve">dokument </w:t>
      </w:r>
      <w:r w:rsidRPr="00A90F96">
        <w:rPr>
          <w:rFonts w:eastAsia="Times New Roman"/>
          <w:szCs w:val="20"/>
          <w:lang w:eastAsia="sl-SI"/>
        </w:rPr>
        <w:t>Stališče o Evro-sredozemski univerzi (EMUNI univerzi) za obdobje 2024</w:t>
      </w:r>
      <w:r>
        <w:rPr>
          <w:rFonts w:eastAsia="Times New Roman"/>
          <w:szCs w:val="20"/>
          <w:lang w:eastAsia="sl-SI"/>
        </w:rPr>
        <w:t>–</w:t>
      </w:r>
      <w:r w:rsidRPr="00A90F96">
        <w:rPr>
          <w:rFonts w:eastAsia="Times New Roman"/>
          <w:szCs w:val="20"/>
          <w:lang w:eastAsia="sl-SI"/>
        </w:rPr>
        <w:t>2029</w:t>
      </w:r>
      <w:r>
        <w:rPr>
          <w:rFonts w:eastAsia="Times New Roman"/>
          <w:szCs w:val="20"/>
          <w:lang w:eastAsia="sl-SI"/>
        </w:rPr>
        <w:t>.</w:t>
      </w:r>
      <w:r w:rsidRPr="00A90F96">
        <w:rPr>
          <w:rFonts w:eastAsia="Times New Roman"/>
          <w:szCs w:val="20"/>
          <w:lang w:eastAsia="sl-SI"/>
        </w:rPr>
        <w:t xml:space="preserve"> </w:t>
      </w:r>
      <w:r w:rsidRPr="00D95DCE">
        <w:rPr>
          <w:rFonts w:eastAsia="Times New Roman"/>
          <w:szCs w:val="20"/>
          <w:lang w:eastAsia="sl-SI"/>
        </w:rPr>
        <w:t xml:space="preserve">V poglavju o financiranju je Vlada RS izrazila zavezo, da bo okrepila finančno podporo za nadaljnji razvoj univerze EMUNI ter ji </w:t>
      </w:r>
      <w:r>
        <w:rPr>
          <w:rFonts w:eastAsia="Times New Roman"/>
          <w:szCs w:val="20"/>
          <w:lang w:eastAsia="sl-SI"/>
        </w:rPr>
        <w:t xml:space="preserve">s tem </w:t>
      </w:r>
      <w:r w:rsidRPr="00D95DCE">
        <w:rPr>
          <w:rFonts w:eastAsia="Times New Roman"/>
          <w:szCs w:val="20"/>
          <w:lang w:eastAsia="sl-SI"/>
        </w:rPr>
        <w:t>zagotovila dodatne pravice porabe.</w:t>
      </w:r>
    </w:p>
    <w:p w14:paraId="5708B3BD" w14:textId="77777777" w:rsidR="008C7C3E" w:rsidRDefault="008C7C3E" w:rsidP="008D3E5D">
      <w:pPr>
        <w:jc w:val="both"/>
        <w:rPr>
          <w:rFonts w:cs="Arial"/>
          <w:szCs w:val="20"/>
        </w:rPr>
      </w:pPr>
    </w:p>
    <w:p w14:paraId="14C6B446" w14:textId="13662EC0" w:rsidR="00EF70A7" w:rsidRPr="00E82B94" w:rsidRDefault="00E11A61" w:rsidP="00843B43">
      <w:pPr>
        <w:pStyle w:val="Odstavekseznama"/>
        <w:numPr>
          <w:ilvl w:val="1"/>
          <w:numId w:val="33"/>
        </w:numPr>
        <w:jc w:val="both"/>
        <w:rPr>
          <w:rFonts w:cs="Arial"/>
          <w:szCs w:val="20"/>
        </w:rPr>
      </w:pPr>
      <w:r w:rsidRPr="00E82B94">
        <w:rPr>
          <w:rFonts w:cs="Arial"/>
          <w:szCs w:val="20"/>
        </w:rPr>
        <w:t xml:space="preserve">Revidiran načrt dela za leto 2024 in Letno poročilo za leto 2024 </w:t>
      </w:r>
    </w:p>
    <w:p w14:paraId="50723307" w14:textId="77777777" w:rsidR="00EF70A7" w:rsidRDefault="00EF70A7" w:rsidP="00EF70A7">
      <w:pPr>
        <w:jc w:val="both"/>
        <w:rPr>
          <w:rFonts w:cs="Arial"/>
          <w:b/>
          <w:bCs/>
          <w:szCs w:val="20"/>
        </w:rPr>
      </w:pPr>
    </w:p>
    <w:p w14:paraId="1950DE4B" w14:textId="68629413" w:rsidR="009B1038" w:rsidRDefault="00E11A61" w:rsidP="00EF70A7">
      <w:pPr>
        <w:jc w:val="both"/>
        <w:rPr>
          <w:rFonts w:cs="Arial"/>
          <w:szCs w:val="20"/>
        </w:rPr>
      </w:pPr>
      <w:r w:rsidRPr="00E11A61">
        <w:rPr>
          <w:rFonts w:cs="Arial"/>
          <w:szCs w:val="20"/>
        </w:rPr>
        <w:t xml:space="preserve">Na podlagi pristojnosti MVZI za nadzor nad porabo proračunskih sredstev EMUNI Univerze je inšpekcijski organ izvedel pregled in analizo Revidiranega načrta dela ter Letnega poročila za leto 2024, pri čemer je podrobno preveril </w:t>
      </w:r>
      <w:r>
        <w:rPr>
          <w:rFonts w:cs="Arial"/>
          <w:szCs w:val="20"/>
        </w:rPr>
        <w:t xml:space="preserve">tudi </w:t>
      </w:r>
      <w:r w:rsidRPr="00E11A61">
        <w:rPr>
          <w:rFonts w:cs="Arial"/>
          <w:szCs w:val="20"/>
        </w:rPr>
        <w:t>stroške, prikazane v finančnem poročilu</w:t>
      </w:r>
      <w:r>
        <w:rPr>
          <w:rFonts w:cs="Arial"/>
          <w:szCs w:val="20"/>
        </w:rPr>
        <w:t>.</w:t>
      </w:r>
    </w:p>
    <w:p w14:paraId="0EB340CD" w14:textId="77777777" w:rsidR="0090687A" w:rsidRPr="00EF70A7" w:rsidRDefault="0090687A" w:rsidP="00EF70A7">
      <w:pPr>
        <w:jc w:val="both"/>
        <w:rPr>
          <w:rFonts w:cs="Arial"/>
          <w:b/>
          <w:bCs/>
          <w:szCs w:val="20"/>
        </w:rPr>
      </w:pPr>
    </w:p>
    <w:p w14:paraId="0C5D22BE" w14:textId="3BF1B53D" w:rsidR="004B1466" w:rsidRPr="00E11A61" w:rsidRDefault="008D3E5D" w:rsidP="00843B43">
      <w:pPr>
        <w:pStyle w:val="Odstavekseznama"/>
        <w:numPr>
          <w:ilvl w:val="2"/>
          <w:numId w:val="33"/>
        </w:numPr>
        <w:jc w:val="both"/>
        <w:rPr>
          <w:rFonts w:cs="Arial"/>
          <w:szCs w:val="20"/>
        </w:rPr>
      </w:pPr>
      <w:r w:rsidRPr="00E11A61">
        <w:rPr>
          <w:rFonts w:cs="Arial"/>
          <w:szCs w:val="20"/>
        </w:rPr>
        <w:t xml:space="preserve">Revidiran načrt dela za leto 2024 – </w:t>
      </w:r>
      <w:proofErr w:type="spellStart"/>
      <w:r w:rsidRPr="00E11A61">
        <w:rPr>
          <w:rFonts w:cs="Arial"/>
          <w:szCs w:val="20"/>
        </w:rPr>
        <w:t>Emuni</w:t>
      </w:r>
      <w:proofErr w:type="spellEnd"/>
      <w:r w:rsidRPr="00E11A61">
        <w:rPr>
          <w:rFonts w:cs="Arial"/>
          <w:szCs w:val="20"/>
        </w:rPr>
        <w:t xml:space="preserve"> univerza</w:t>
      </w:r>
    </w:p>
    <w:p w14:paraId="04DA5E64" w14:textId="77777777" w:rsidR="00B0188C" w:rsidRDefault="00B0188C" w:rsidP="00D864FB">
      <w:pPr>
        <w:jc w:val="both"/>
      </w:pPr>
    </w:p>
    <w:p w14:paraId="539D6C50" w14:textId="77777777" w:rsidR="00643604" w:rsidRDefault="009B73B6" w:rsidP="009B73B6">
      <w:pPr>
        <w:jc w:val="both"/>
      </w:pPr>
      <w:r w:rsidRPr="009B73B6">
        <w:t xml:space="preserve">Letni načrt dela EMUNI za leto 2024 določa cilje, ukrepe in pričakovane učinke delovanja univerze v okviru razvojne strategije 2019–2024. Osrednji namen načrta je zagotoviti nadaljnjo konsolidacijo univerze na organizacijski, kadrovski in finančni ravni ter utrditi njeno vlogo v evro-sredozemskem visokošolskem prostoru. </w:t>
      </w:r>
    </w:p>
    <w:p w14:paraId="197F54DD" w14:textId="77777777" w:rsidR="00643604" w:rsidRDefault="00643604" w:rsidP="009B73B6">
      <w:pPr>
        <w:jc w:val="both"/>
      </w:pPr>
    </w:p>
    <w:p w14:paraId="7C950BB2" w14:textId="081093B3" w:rsidR="00643604" w:rsidRDefault="009B73B6" w:rsidP="009B73B6">
      <w:pPr>
        <w:jc w:val="both"/>
      </w:pPr>
      <w:r w:rsidRPr="009B73B6">
        <w:t xml:space="preserve">V letu 2024 </w:t>
      </w:r>
      <w:r w:rsidR="00492B80">
        <w:t xml:space="preserve">je </w:t>
      </w:r>
      <w:r w:rsidRPr="009B73B6">
        <w:t>EMUNI načrt</w:t>
      </w:r>
      <w:r w:rsidR="00492B80">
        <w:t>ovala</w:t>
      </w:r>
      <w:r w:rsidRPr="009B73B6">
        <w:t xml:space="preserve"> izvajanje akreditiranih in priglašenih podiplomskih študijskih programov ter pripravo novih programov v sodelovanju z univerzami iz mreže. Predvidena je</w:t>
      </w:r>
      <w:r w:rsidR="00492B80">
        <w:t xml:space="preserve"> </w:t>
      </w:r>
      <w:r w:rsidRPr="009B73B6">
        <w:t xml:space="preserve">izvedba poletne šole o modri rasti, Evro-sredozemskega inovacijskega tabora (EMIC) in aktivnosti v okviru programa </w:t>
      </w:r>
      <w:proofErr w:type="spellStart"/>
      <w:r w:rsidRPr="009B73B6">
        <w:t>Erasmus</w:t>
      </w:r>
      <w:proofErr w:type="spellEnd"/>
      <w:r w:rsidRPr="009B73B6">
        <w:t xml:space="preserve">+ z namenom povečanja mobilnosti študentov in zaposlenih. Univerza </w:t>
      </w:r>
      <w:r w:rsidR="00492B80">
        <w:t xml:space="preserve">naj </w:t>
      </w:r>
      <w:r w:rsidRPr="009B73B6">
        <w:t>b</w:t>
      </w:r>
      <w:r w:rsidR="00492B80">
        <w:t>i</w:t>
      </w:r>
      <w:r w:rsidRPr="009B73B6">
        <w:t xml:space="preserve"> nadaljevala z izvajanjem in koordinacijo mednarodnih projektov, kot so CHESS, </w:t>
      </w:r>
      <w:proofErr w:type="spellStart"/>
      <w:r w:rsidRPr="009B73B6">
        <w:t>CoESUBE</w:t>
      </w:r>
      <w:proofErr w:type="spellEnd"/>
      <w:r w:rsidRPr="009B73B6">
        <w:t xml:space="preserve">, Med2IaH in </w:t>
      </w:r>
      <w:proofErr w:type="spellStart"/>
      <w:r w:rsidRPr="009B73B6">
        <w:t>OERCodex</w:t>
      </w:r>
      <w:proofErr w:type="spellEnd"/>
      <w:r w:rsidRPr="009B73B6">
        <w:t xml:space="preserve">, ter z vključevanjem v nove raziskovalne pobude v okviru evropskih programov. Na področju mreženja je načrtovana krepitev sodelovanja z obstoječimi in novimi članicami mreže EMUNI ter priprava na vzpostavitev petih centrov znanja in inovacij v državah južnega Sredozemlja. </w:t>
      </w:r>
    </w:p>
    <w:p w14:paraId="68C0525D" w14:textId="77777777" w:rsidR="00643604" w:rsidRDefault="00643604" w:rsidP="009B73B6">
      <w:pPr>
        <w:jc w:val="both"/>
      </w:pPr>
    </w:p>
    <w:p w14:paraId="58992347" w14:textId="386FFFBD" w:rsidR="00643604" w:rsidRDefault="009B73B6" w:rsidP="009B73B6">
      <w:pPr>
        <w:jc w:val="both"/>
      </w:pPr>
      <w:r w:rsidRPr="009B73B6">
        <w:t xml:space="preserve">Nadalje je predvidena priprava in ustanovitev Evro-sredozemskega sklada za </w:t>
      </w:r>
      <w:proofErr w:type="spellStart"/>
      <w:r w:rsidRPr="009B73B6">
        <w:t>opolnomočenje</w:t>
      </w:r>
      <w:proofErr w:type="spellEnd"/>
      <w:r w:rsidRPr="009B73B6">
        <w:t xml:space="preserve"> študentov, namenjenega finančni podpori mladim iz partnerskih držav. </w:t>
      </w:r>
      <w:r w:rsidR="00492B80">
        <w:t>EMUNI</w:t>
      </w:r>
      <w:r w:rsidRPr="009B73B6">
        <w:t xml:space="preserve"> načrtuje tudi izvedbo mednarodnih dogodkov, konferenc in delavnic za krepitev medkulturnega dialoga ter utrjevanje znanstvene diplomacije. Revija </w:t>
      </w:r>
      <w:proofErr w:type="spellStart"/>
      <w:r w:rsidRPr="00492B80">
        <w:t>International</w:t>
      </w:r>
      <w:proofErr w:type="spellEnd"/>
      <w:r w:rsidRPr="00492B80">
        <w:t xml:space="preserve"> </w:t>
      </w:r>
      <w:proofErr w:type="spellStart"/>
      <w:r w:rsidRPr="00492B80">
        <w:t>Journal</w:t>
      </w:r>
      <w:proofErr w:type="spellEnd"/>
      <w:r w:rsidRPr="00492B80">
        <w:t xml:space="preserve"> </w:t>
      </w:r>
      <w:proofErr w:type="spellStart"/>
      <w:r w:rsidRPr="00492B80">
        <w:t>of</w:t>
      </w:r>
      <w:proofErr w:type="spellEnd"/>
      <w:r w:rsidRPr="00492B80">
        <w:t xml:space="preserve"> Euro-</w:t>
      </w:r>
      <w:proofErr w:type="spellStart"/>
      <w:r w:rsidRPr="00492B80">
        <w:t>Mediterranean</w:t>
      </w:r>
      <w:proofErr w:type="spellEnd"/>
      <w:r w:rsidRPr="00492B80">
        <w:t xml:space="preserve"> </w:t>
      </w:r>
      <w:proofErr w:type="spellStart"/>
      <w:r w:rsidRPr="00492B80">
        <w:t>Studies</w:t>
      </w:r>
      <w:proofErr w:type="spellEnd"/>
      <w:r w:rsidRPr="00492B80">
        <w:t xml:space="preserve"> (</w:t>
      </w:r>
      <w:r w:rsidR="00492B80">
        <w:t xml:space="preserve">v nadaljevanju: </w:t>
      </w:r>
      <w:r w:rsidRPr="00492B80">
        <w:t>IJEMS)</w:t>
      </w:r>
      <w:r w:rsidRPr="009B73B6">
        <w:t xml:space="preserve"> bo nadaljevala z rednim izhajanjem, ob hkratnem prizadevanju za povečanje njene znanstvene prepoznavnosti. Na področju digitalne podpore in komunikacij univerza načrtuje izboljšanje IT infrastrukture, tehnične podpore in spletne prisotnosti. </w:t>
      </w:r>
    </w:p>
    <w:p w14:paraId="2BDEB60F" w14:textId="77777777" w:rsidR="00643604" w:rsidRDefault="00643604" w:rsidP="009B73B6">
      <w:pPr>
        <w:jc w:val="both"/>
      </w:pPr>
    </w:p>
    <w:p w14:paraId="53517CE7" w14:textId="77777777" w:rsidR="00643604" w:rsidRDefault="009B73B6" w:rsidP="009B73B6">
      <w:pPr>
        <w:jc w:val="both"/>
      </w:pPr>
      <w:r w:rsidRPr="009B73B6">
        <w:t xml:space="preserve">Finančni načrt za leto 2024 predvideva stabilno poslovanje, financirano iz sredstev MVZI, EU projektov in lastnih virov. </w:t>
      </w:r>
    </w:p>
    <w:p w14:paraId="1ED7B84E" w14:textId="77777777" w:rsidR="00643604" w:rsidRDefault="00643604" w:rsidP="009B73B6">
      <w:pPr>
        <w:jc w:val="both"/>
      </w:pPr>
    </w:p>
    <w:p w14:paraId="591DE5AF" w14:textId="78318567" w:rsidR="009B73B6" w:rsidRPr="009B73B6" w:rsidRDefault="009B73B6" w:rsidP="009B73B6">
      <w:pPr>
        <w:jc w:val="both"/>
      </w:pPr>
      <w:r w:rsidRPr="009B73B6">
        <w:t>Nameravani učinki načrta so: utrditev organizacijske in finančne stabilnosti univerze, širitev mreže partnerstev, povečanje projektne dejavnosti, okrepitev akademske ponudbe in mednarodne vpetosti ter uveljavitev EMUNI kot osrednje institucije znanja, inovacij in sodelovanja v evro-sredozemskem prostoru.</w:t>
      </w:r>
    </w:p>
    <w:p w14:paraId="4F697595" w14:textId="77777777" w:rsidR="00D864FB" w:rsidRDefault="00D864FB" w:rsidP="00026F01">
      <w:pPr>
        <w:jc w:val="both"/>
        <w:rPr>
          <w:rFonts w:eastAsia="Calibri" w:cs="Arial"/>
        </w:rPr>
      </w:pPr>
    </w:p>
    <w:p w14:paraId="676910BC" w14:textId="39F867E9" w:rsidR="006B7672" w:rsidRPr="00E11A61" w:rsidRDefault="008D3E5D" w:rsidP="00843B43">
      <w:pPr>
        <w:pStyle w:val="Odstavekseznama"/>
        <w:numPr>
          <w:ilvl w:val="2"/>
          <w:numId w:val="33"/>
        </w:numPr>
        <w:rPr>
          <w:szCs w:val="20"/>
          <w:lang w:eastAsia="sl-SI"/>
        </w:rPr>
      </w:pPr>
      <w:r w:rsidRPr="00E11A61">
        <w:rPr>
          <w:szCs w:val="20"/>
          <w:lang w:eastAsia="sl-SI"/>
        </w:rPr>
        <w:t>Letno poročilo 2024 EMUNI</w:t>
      </w:r>
    </w:p>
    <w:p w14:paraId="23FA5EF6" w14:textId="77777777" w:rsidR="008D3E5D" w:rsidRDefault="008D3E5D" w:rsidP="008D3E5D">
      <w:pPr>
        <w:rPr>
          <w:szCs w:val="20"/>
          <w:lang w:eastAsia="sl-SI"/>
        </w:rPr>
      </w:pPr>
    </w:p>
    <w:p w14:paraId="0B016790" w14:textId="780F8987" w:rsidR="00B0188C" w:rsidRPr="00B0188C" w:rsidRDefault="00492B80" w:rsidP="00B0188C">
      <w:pPr>
        <w:jc w:val="both"/>
        <w:rPr>
          <w:szCs w:val="20"/>
          <w:lang w:eastAsia="sl-SI"/>
        </w:rPr>
      </w:pPr>
      <w:r>
        <w:rPr>
          <w:szCs w:val="20"/>
          <w:lang w:eastAsia="sl-SI"/>
        </w:rPr>
        <w:t>Iz Letn</w:t>
      </w:r>
      <w:r w:rsidR="0008304F">
        <w:rPr>
          <w:szCs w:val="20"/>
          <w:lang w:eastAsia="sl-SI"/>
        </w:rPr>
        <w:t>eg</w:t>
      </w:r>
      <w:r>
        <w:rPr>
          <w:szCs w:val="20"/>
          <w:lang w:eastAsia="sl-SI"/>
        </w:rPr>
        <w:t>a poročila je razvidno, da je EMUNI</w:t>
      </w:r>
      <w:r w:rsidRPr="00B0188C">
        <w:rPr>
          <w:szCs w:val="20"/>
          <w:lang w:eastAsia="sl-SI"/>
        </w:rPr>
        <w:t xml:space="preserve"> </w:t>
      </w:r>
      <w:r>
        <w:rPr>
          <w:szCs w:val="20"/>
          <w:lang w:eastAsia="sl-SI"/>
        </w:rPr>
        <w:t>v</w:t>
      </w:r>
      <w:r w:rsidR="00B0188C" w:rsidRPr="00B0188C">
        <w:rPr>
          <w:szCs w:val="20"/>
          <w:lang w:eastAsia="sl-SI"/>
        </w:rPr>
        <w:t xml:space="preserve"> letu 2024 izved</w:t>
      </w:r>
      <w:r w:rsidR="00B0188C">
        <w:rPr>
          <w:szCs w:val="20"/>
          <w:lang w:eastAsia="sl-SI"/>
        </w:rPr>
        <w:t>el</w:t>
      </w:r>
      <w:r w:rsidR="00B0188C" w:rsidRPr="00B0188C">
        <w:rPr>
          <w:szCs w:val="20"/>
          <w:lang w:eastAsia="sl-SI"/>
        </w:rPr>
        <w:t xml:space="preserve"> notranjo prenovo z vzpostavitvijo štirih temeljnih oddelkov (sekretariat, oddelek za visoko šolstvo, oddelek za raziskave, razvojne projekte in inovacije ter oddelek za mrežo EMUNI) in dveh specializiranih enot (uredništvo revije IJEMS in štipendijski sklad). Število zaposlenih se je povečalo na 16, s čimer je bila zagotovljena kadrovska osnova za izvajanje novih programov in projektov.</w:t>
      </w:r>
    </w:p>
    <w:p w14:paraId="4FEEC4B2" w14:textId="4B194673" w:rsidR="00B0188C" w:rsidRDefault="00B0188C" w:rsidP="00B0188C">
      <w:pPr>
        <w:jc w:val="both"/>
        <w:rPr>
          <w:szCs w:val="20"/>
          <w:lang w:eastAsia="sl-SI"/>
        </w:rPr>
      </w:pPr>
      <w:r w:rsidRPr="00B0188C">
        <w:rPr>
          <w:szCs w:val="20"/>
          <w:lang w:eastAsia="sl-SI"/>
        </w:rPr>
        <w:lastRenderedPageBreak/>
        <w:t xml:space="preserve">Na področju izobraževanja so se nadaljevali magistrski programi Medkulturno poslovno komuniciranje in </w:t>
      </w:r>
      <w:proofErr w:type="spellStart"/>
      <w:r w:rsidRPr="00B0188C">
        <w:rPr>
          <w:szCs w:val="20"/>
          <w:lang w:eastAsia="sl-SI"/>
        </w:rPr>
        <w:t>Kineziologija</w:t>
      </w:r>
      <w:proofErr w:type="spellEnd"/>
      <w:r w:rsidRPr="00B0188C">
        <w:rPr>
          <w:szCs w:val="20"/>
          <w:lang w:eastAsia="sl-SI"/>
        </w:rPr>
        <w:t xml:space="preserve"> človekovega delovanja, pripravljeni pa so bili akreditacijski postopki za tri nove magistrske in dva doktorska programa (Digitalizacija in človekove pravice, Management v športu, Primerjalno poslovno pravo, Doktorski programi iz korporativnega upravljanja in </w:t>
      </w:r>
      <w:proofErr w:type="spellStart"/>
      <w:r w:rsidRPr="00B0188C">
        <w:rPr>
          <w:szCs w:val="20"/>
          <w:lang w:eastAsia="sl-SI"/>
        </w:rPr>
        <w:t>kineziologije</w:t>
      </w:r>
      <w:proofErr w:type="spellEnd"/>
      <w:r w:rsidRPr="00B0188C">
        <w:rPr>
          <w:szCs w:val="20"/>
          <w:lang w:eastAsia="sl-SI"/>
        </w:rPr>
        <w:t xml:space="preserve"> za kakovost življenja). </w:t>
      </w:r>
      <w:r w:rsidR="00D93E58">
        <w:rPr>
          <w:szCs w:val="20"/>
          <w:lang w:eastAsia="sl-SI"/>
        </w:rPr>
        <w:t>EMUNI</w:t>
      </w:r>
      <w:r w:rsidRPr="00B0188C">
        <w:rPr>
          <w:szCs w:val="20"/>
          <w:lang w:eastAsia="sl-SI"/>
        </w:rPr>
        <w:t xml:space="preserve"> je načrtovala dodatnih devet novih programov za akreditacijo do leta 2026. Izvedeni sta bili dve poletni šoli – o trajnostnem modrem gospodarstvu v sodelovanju z italijanskim inštitutom OGS ter o zdravem in aktivnem življenjskem slogu v sodelovanju z </w:t>
      </w:r>
      <w:r w:rsidR="00D93E58" w:rsidRPr="00D93E58">
        <w:rPr>
          <w:szCs w:val="20"/>
          <w:lang w:eastAsia="sl-SI"/>
        </w:rPr>
        <w:t>Znanstveno-raziskovaln</w:t>
      </w:r>
      <w:r w:rsidR="00D93E58">
        <w:rPr>
          <w:szCs w:val="20"/>
          <w:lang w:eastAsia="sl-SI"/>
        </w:rPr>
        <w:t>im</w:t>
      </w:r>
      <w:r w:rsidR="00D93E58" w:rsidRPr="00D93E58">
        <w:rPr>
          <w:szCs w:val="20"/>
          <w:lang w:eastAsia="sl-SI"/>
        </w:rPr>
        <w:t xml:space="preserve"> sredi</w:t>
      </w:r>
      <w:r w:rsidR="00D93E58" w:rsidRPr="00D93E58">
        <w:rPr>
          <w:rFonts w:hint="eastAsia"/>
          <w:szCs w:val="20"/>
          <w:lang w:eastAsia="sl-SI"/>
        </w:rPr>
        <w:t>šč</w:t>
      </w:r>
      <w:r w:rsidR="00D93E58" w:rsidRPr="00D93E58">
        <w:rPr>
          <w:szCs w:val="20"/>
          <w:lang w:eastAsia="sl-SI"/>
        </w:rPr>
        <w:t>e</w:t>
      </w:r>
      <w:r w:rsidR="00D93E58">
        <w:rPr>
          <w:szCs w:val="20"/>
          <w:lang w:eastAsia="sl-SI"/>
        </w:rPr>
        <w:t>m</w:t>
      </w:r>
      <w:r w:rsidRPr="00B0188C">
        <w:rPr>
          <w:szCs w:val="20"/>
          <w:lang w:eastAsia="sl-SI"/>
        </w:rPr>
        <w:t xml:space="preserve"> Koper.</w:t>
      </w:r>
    </w:p>
    <w:p w14:paraId="50341F60" w14:textId="77777777" w:rsidR="00DE2620" w:rsidRPr="00B0188C" w:rsidRDefault="00DE2620" w:rsidP="00B0188C">
      <w:pPr>
        <w:jc w:val="both"/>
        <w:rPr>
          <w:szCs w:val="20"/>
          <w:lang w:eastAsia="sl-SI"/>
        </w:rPr>
      </w:pPr>
    </w:p>
    <w:p w14:paraId="15FCC226" w14:textId="53BF6486" w:rsidR="00B0188C" w:rsidRPr="00B0188C" w:rsidRDefault="00B0188C" w:rsidP="00D93E58">
      <w:pPr>
        <w:jc w:val="both"/>
        <w:rPr>
          <w:szCs w:val="20"/>
          <w:lang w:eastAsia="sl-SI"/>
        </w:rPr>
      </w:pPr>
      <w:r w:rsidRPr="00B0188C">
        <w:rPr>
          <w:szCs w:val="20"/>
          <w:lang w:eastAsia="sl-SI"/>
        </w:rPr>
        <w:t xml:space="preserve">V okviru raziskovalne dejavnosti je bilo izvedenih sedem mednarodnih projektov (CHESS, MORHEL, OER-CODEX, </w:t>
      </w:r>
      <w:proofErr w:type="spellStart"/>
      <w:r w:rsidRPr="00B0188C">
        <w:rPr>
          <w:szCs w:val="20"/>
          <w:lang w:eastAsia="sl-SI"/>
        </w:rPr>
        <w:t>EUNICoast</w:t>
      </w:r>
      <w:proofErr w:type="spellEnd"/>
      <w:r w:rsidRPr="00B0188C">
        <w:rPr>
          <w:szCs w:val="20"/>
          <w:lang w:eastAsia="sl-SI"/>
        </w:rPr>
        <w:t xml:space="preserve">, </w:t>
      </w:r>
      <w:proofErr w:type="spellStart"/>
      <w:r w:rsidRPr="00B0188C">
        <w:rPr>
          <w:szCs w:val="20"/>
          <w:lang w:eastAsia="sl-SI"/>
        </w:rPr>
        <w:t>CoE</w:t>
      </w:r>
      <w:proofErr w:type="spellEnd"/>
      <w:r w:rsidRPr="00B0188C">
        <w:rPr>
          <w:szCs w:val="20"/>
          <w:lang w:eastAsia="sl-SI"/>
        </w:rPr>
        <w:t xml:space="preserve">-SUBE, </w:t>
      </w:r>
      <w:proofErr w:type="spellStart"/>
      <w:r w:rsidRPr="00B0188C">
        <w:rPr>
          <w:szCs w:val="20"/>
          <w:lang w:eastAsia="sl-SI"/>
        </w:rPr>
        <w:t>TrueBlue</w:t>
      </w:r>
      <w:proofErr w:type="spellEnd"/>
      <w:r w:rsidRPr="00B0188C">
        <w:rPr>
          <w:szCs w:val="20"/>
          <w:lang w:eastAsia="sl-SI"/>
        </w:rPr>
        <w:t xml:space="preserve"> in </w:t>
      </w:r>
      <w:proofErr w:type="spellStart"/>
      <w:r w:rsidRPr="00B0188C">
        <w:rPr>
          <w:szCs w:val="20"/>
          <w:lang w:eastAsia="sl-SI"/>
        </w:rPr>
        <w:t>Skillbridge</w:t>
      </w:r>
      <w:proofErr w:type="spellEnd"/>
      <w:r w:rsidRPr="00B0188C">
        <w:rPr>
          <w:szCs w:val="20"/>
          <w:lang w:eastAsia="sl-SI"/>
        </w:rPr>
        <w:t>), sprejet pa je bil tudi Pravilnik o raziskovalni in razvojni dejavnosti</w:t>
      </w:r>
      <w:r w:rsidR="00D93E58">
        <w:rPr>
          <w:szCs w:val="20"/>
          <w:lang w:eastAsia="sl-SI"/>
        </w:rPr>
        <w:t xml:space="preserve"> </w:t>
      </w:r>
      <w:r w:rsidR="00D93E58" w:rsidRPr="00D93E58">
        <w:rPr>
          <w:szCs w:val="20"/>
          <w:lang w:eastAsia="sl-SI"/>
        </w:rPr>
        <w:t>na Evro</w:t>
      </w:r>
      <w:r w:rsidR="00D93E58">
        <w:rPr>
          <w:szCs w:val="20"/>
          <w:lang w:eastAsia="sl-SI"/>
        </w:rPr>
        <w:t>-</w:t>
      </w:r>
      <w:r w:rsidR="00D93E58" w:rsidRPr="00D93E58">
        <w:rPr>
          <w:szCs w:val="20"/>
          <w:lang w:eastAsia="sl-SI"/>
        </w:rPr>
        <w:t>sredozemski</w:t>
      </w:r>
      <w:r w:rsidR="00D93E58">
        <w:rPr>
          <w:szCs w:val="20"/>
          <w:lang w:eastAsia="sl-SI"/>
        </w:rPr>
        <w:t xml:space="preserve"> </w:t>
      </w:r>
      <w:r w:rsidR="00D93E58" w:rsidRPr="00D93E58">
        <w:rPr>
          <w:szCs w:val="20"/>
          <w:lang w:eastAsia="sl-SI"/>
        </w:rPr>
        <w:t>univerzi</w:t>
      </w:r>
      <w:r w:rsidR="00D93E58">
        <w:rPr>
          <w:szCs w:val="20"/>
          <w:lang w:eastAsia="sl-SI"/>
        </w:rPr>
        <w:t>,</w:t>
      </w:r>
      <w:r w:rsidRPr="00B0188C">
        <w:rPr>
          <w:szCs w:val="20"/>
          <w:lang w:eastAsia="sl-SI"/>
        </w:rPr>
        <w:t xml:space="preserve"> ki </w:t>
      </w:r>
      <w:r w:rsidR="00D93E58" w:rsidRPr="00D93E58">
        <w:rPr>
          <w:szCs w:val="20"/>
          <w:lang w:eastAsia="sl-SI"/>
        </w:rPr>
        <w:t>dolo</w:t>
      </w:r>
      <w:r w:rsidR="00D93E58" w:rsidRPr="00D93E58">
        <w:rPr>
          <w:rFonts w:hint="eastAsia"/>
          <w:szCs w:val="20"/>
          <w:lang w:eastAsia="sl-SI"/>
        </w:rPr>
        <w:t>č</w:t>
      </w:r>
      <w:r w:rsidR="00D93E58" w:rsidRPr="00D93E58">
        <w:rPr>
          <w:szCs w:val="20"/>
          <w:lang w:eastAsia="sl-SI"/>
        </w:rPr>
        <w:t>a jasne postopke in odgovornosti za predlaganje,</w:t>
      </w:r>
      <w:r w:rsidR="00D93E58">
        <w:rPr>
          <w:szCs w:val="20"/>
          <w:lang w:eastAsia="sl-SI"/>
        </w:rPr>
        <w:t xml:space="preserve"> </w:t>
      </w:r>
      <w:r w:rsidR="00D93E58" w:rsidRPr="00D93E58">
        <w:rPr>
          <w:szCs w:val="20"/>
          <w:lang w:eastAsia="sl-SI"/>
        </w:rPr>
        <w:t>odobritev, upravljanje in dokon</w:t>
      </w:r>
      <w:r w:rsidR="00D93E58" w:rsidRPr="00D93E58">
        <w:rPr>
          <w:rFonts w:hint="eastAsia"/>
          <w:szCs w:val="20"/>
          <w:lang w:eastAsia="sl-SI"/>
        </w:rPr>
        <w:t>č</w:t>
      </w:r>
      <w:r w:rsidR="00D93E58" w:rsidRPr="00D93E58">
        <w:rPr>
          <w:szCs w:val="20"/>
          <w:lang w:eastAsia="sl-SI"/>
        </w:rPr>
        <w:t>anje raziskovalnih projektov</w:t>
      </w:r>
      <w:r w:rsidRPr="00B0188C">
        <w:rPr>
          <w:szCs w:val="20"/>
          <w:lang w:eastAsia="sl-SI"/>
        </w:rPr>
        <w:t xml:space="preserve">. </w:t>
      </w:r>
      <w:r w:rsidR="006B18FA" w:rsidRPr="006B18FA">
        <w:rPr>
          <w:szCs w:val="20"/>
          <w:lang w:eastAsia="sl-SI"/>
        </w:rPr>
        <w:t xml:space="preserve">EMUNI </w:t>
      </w:r>
      <w:r w:rsidR="006B18FA">
        <w:rPr>
          <w:szCs w:val="20"/>
          <w:lang w:eastAsia="sl-SI"/>
        </w:rPr>
        <w:t xml:space="preserve">je </w:t>
      </w:r>
      <w:r w:rsidR="006B18FA" w:rsidRPr="006B18FA">
        <w:rPr>
          <w:szCs w:val="20"/>
          <w:lang w:eastAsia="sl-SI"/>
        </w:rPr>
        <w:t>podpisal sporazume</w:t>
      </w:r>
      <w:r w:rsidR="006B18FA">
        <w:rPr>
          <w:szCs w:val="20"/>
          <w:lang w:eastAsia="sl-SI"/>
        </w:rPr>
        <w:t xml:space="preserve"> </w:t>
      </w:r>
      <w:r w:rsidR="006B18FA" w:rsidRPr="006B18FA">
        <w:rPr>
          <w:szCs w:val="20"/>
          <w:lang w:eastAsia="sl-SI"/>
        </w:rPr>
        <w:t>o ustanovitvi treh novih centrov znanja in inovacij EMUNI (EKIC) v Al</w:t>
      </w:r>
      <w:r w:rsidR="006B18FA" w:rsidRPr="006B18FA">
        <w:rPr>
          <w:rFonts w:hint="eastAsia"/>
          <w:szCs w:val="20"/>
          <w:lang w:eastAsia="sl-SI"/>
        </w:rPr>
        <w:t>ž</w:t>
      </w:r>
      <w:r w:rsidR="006B18FA" w:rsidRPr="006B18FA">
        <w:rPr>
          <w:szCs w:val="20"/>
          <w:lang w:eastAsia="sl-SI"/>
        </w:rPr>
        <w:t>iriji, Egiptu in Tuniziji</w:t>
      </w:r>
      <w:r w:rsidRPr="00B0188C">
        <w:rPr>
          <w:szCs w:val="20"/>
          <w:lang w:eastAsia="sl-SI"/>
        </w:rPr>
        <w:t>. Organizirana je bila 16. letna konferenca EMUNI in več dogodkov v okviru znanstvene diplomacije ter medkulturnega dialoga.</w:t>
      </w:r>
      <w:r w:rsidR="006B18FA" w:rsidRPr="006B18FA">
        <w:t xml:space="preserve"> </w:t>
      </w:r>
      <w:r w:rsidR="006B18FA" w:rsidRPr="00D864FB">
        <w:t>Prav tako je</w:t>
      </w:r>
      <w:r w:rsidR="006B18FA">
        <w:t xml:space="preserve"> bilo</w:t>
      </w:r>
      <w:r w:rsidR="006B18FA" w:rsidRPr="00D864FB">
        <w:t xml:space="preserve"> v letu 2024 </w:t>
      </w:r>
      <w:r w:rsidR="006B18FA">
        <w:t>predlagano, da se ustanovi</w:t>
      </w:r>
      <w:r w:rsidR="006B18FA" w:rsidRPr="00D864FB">
        <w:t xml:space="preserve"> štipendijski</w:t>
      </w:r>
      <w:r w:rsidR="006B18FA">
        <w:t xml:space="preserve"> </w:t>
      </w:r>
      <w:r w:rsidR="006B18FA" w:rsidRPr="00D864FB">
        <w:t>/</w:t>
      </w:r>
      <w:r w:rsidR="006B18FA">
        <w:t xml:space="preserve"> </w:t>
      </w:r>
      <w:proofErr w:type="spellStart"/>
      <w:r w:rsidR="006B18FA" w:rsidRPr="00D864FB">
        <w:t>op</w:t>
      </w:r>
      <w:r w:rsidR="006B18FA">
        <w:t>o</w:t>
      </w:r>
      <w:r w:rsidR="006B18FA" w:rsidRPr="00D864FB">
        <w:t>lnomočevalni</w:t>
      </w:r>
      <w:proofErr w:type="spellEnd"/>
      <w:r w:rsidR="006B18FA" w:rsidRPr="00D864FB">
        <w:t xml:space="preserve"> sklad (EMSEF)</w:t>
      </w:r>
      <w:r w:rsidR="006B18FA">
        <w:t>,</w:t>
      </w:r>
      <w:r w:rsidR="006B18FA" w:rsidRPr="005E6773">
        <w:rPr>
          <w:rFonts w:ascii="TT5E6t00" w:eastAsia="TT5E6t00" w:hAnsiTheme="minorHAnsi" w:cs="TT5E6t00"/>
          <w:sz w:val="24"/>
          <w:szCs w:val="24"/>
        </w:rPr>
        <w:t xml:space="preserve"> </w:t>
      </w:r>
      <w:r w:rsidR="006B18FA" w:rsidRPr="005E6773">
        <w:t xml:space="preserve">katerega namen je zagotoviti </w:t>
      </w:r>
      <w:r w:rsidR="006B18FA" w:rsidRPr="005E6773">
        <w:rPr>
          <w:rFonts w:hint="eastAsia"/>
        </w:rPr>
        <w:t>š</w:t>
      </w:r>
      <w:r w:rsidR="006B18FA" w:rsidRPr="005E6773">
        <w:t>tipendije</w:t>
      </w:r>
      <w:r w:rsidR="006B18FA">
        <w:t xml:space="preserve"> </w:t>
      </w:r>
      <w:r w:rsidR="006B18FA" w:rsidRPr="005E6773">
        <w:t>za magistrske in doktorske kandidate iz skupnosti z omejenimi mo</w:t>
      </w:r>
      <w:r w:rsidR="006B18FA" w:rsidRPr="005E6773">
        <w:rPr>
          <w:rFonts w:hint="eastAsia"/>
        </w:rPr>
        <w:t>ž</w:t>
      </w:r>
      <w:r w:rsidR="006B18FA" w:rsidRPr="005E6773">
        <w:t>nostm</w:t>
      </w:r>
      <w:r w:rsidR="006B18FA">
        <w:t>i.</w:t>
      </w:r>
    </w:p>
    <w:p w14:paraId="449C95B6" w14:textId="77777777" w:rsidR="00B0188C" w:rsidRPr="00B0188C" w:rsidRDefault="00B0188C" w:rsidP="00B0188C">
      <w:pPr>
        <w:jc w:val="both"/>
        <w:rPr>
          <w:szCs w:val="20"/>
          <w:lang w:eastAsia="sl-SI"/>
        </w:rPr>
      </w:pPr>
    </w:p>
    <w:p w14:paraId="1CB0EB59" w14:textId="7CA4143D" w:rsidR="00B0188C" w:rsidRPr="00B0188C" w:rsidRDefault="0008304F" w:rsidP="00B0188C">
      <w:pPr>
        <w:jc w:val="both"/>
        <w:rPr>
          <w:szCs w:val="20"/>
          <w:lang w:eastAsia="sl-SI"/>
        </w:rPr>
      </w:pPr>
      <w:r>
        <w:rPr>
          <w:szCs w:val="20"/>
          <w:lang w:eastAsia="sl-SI"/>
        </w:rPr>
        <w:t xml:space="preserve">EMUNI </w:t>
      </w:r>
      <w:r>
        <w:rPr>
          <w:szCs w:val="20"/>
          <w:lang w:eastAsia="sl-SI"/>
        </w:rPr>
        <w:tab/>
      </w:r>
      <w:r w:rsidR="00B0188C" w:rsidRPr="00B0188C">
        <w:rPr>
          <w:szCs w:val="20"/>
          <w:lang w:eastAsia="sl-SI"/>
        </w:rPr>
        <w:t>je okrepil</w:t>
      </w:r>
      <w:r>
        <w:rPr>
          <w:szCs w:val="20"/>
          <w:lang w:eastAsia="sl-SI"/>
        </w:rPr>
        <w:t>a</w:t>
      </w:r>
      <w:r w:rsidR="00B0188C" w:rsidRPr="00B0188C">
        <w:rPr>
          <w:szCs w:val="20"/>
          <w:lang w:eastAsia="sl-SI"/>
        </w:rPr>
        <w:t xml:space="preserve"> trženje in komunikacijo – povečala je prisotnost na družbenih medijih, izvedla ciljno usmerjene kampanje za vpis in posodobila spletno stran. Izdan je bil nov pravilnik o štipendijskem skladu EMUNI, namenjen finančni podpori študentov iz partnerskih držav. Revija IJEMS je nadaljevala z rednim izhajanjem in krepitvijo mednarodne prepoznavnosti.</w:t>
      </w:r>
    </w:p>
    <w:p w14:paraId="10F1ECF2" w14:textId="77777777" w:rsidR="00B0188C" w:rsidRPr="00B0188C" w:rsidRDefault="00B0188C" w:rsidP="00B0188C">
      <w:pPr>
        <w:jc w:val="both"/>
        <w:rPr>
          <w:szCs w:val="20"/>
          <w:lang w:eastAsia="sl-SI"/>
        </w:rPr>
      </w:pPr>
    </w:p>
    <w:p w14:paraId="4A416A02" w14:textId="48C71193" w:rsidR="00B0188C" w:rsidRPr="00B0188C" w:rsidRDefault="00B0188C" w:rsidP="00B0188C">
      <w:pPr>
        <w:jc w:val="both"/>
        <w:rPr>
          <w:szCs w:val="20"/>
          <w:lang w:eastAsia="sl-SI"/>
        </w:rPr>
      </w:pPr>
      <w:r w:rsidRPr="00B0188C">
        <w:rPr>
          <w:szCs w:val="20"/>
          <w:lang w:eastAsia="sl-SI"/>
        </w:rPr>
        <w:t>Finančno poslovanje za leto 2024 je bilo stabilno, s presežkom prihodkov nad odhodki.</w:t>
      </w:r>
    </w:p>
    <w:p w14:paraId="694202BF" w14:textId="77777777" w:rsidR="00B0188C" w:rsidRPr="00D864FB" w:rsidRDefault="00B0188C" w:rsidP="00D864FB">
      <w:pPr>
        <w:jc w:val="both"/>
      </w:pPr>
    </w:p>
    <w:p w14:paraId="7E46C672" w14:textId="6867E6F2" w:rsidR="00D14DAD" w:rsidRPr="00026F01" w:rsidRDefault="00D14DAD" w:rsidP="00582575">
      <w:pPr>
        <w:rPr>
          <w:szCs w:val="20"/>
          <w:u w:val="single"/>
          <w:lang w:eastAsia="sl-SI"/>
        </w:rPr>
      </w:pPr>
      <w:r w:rsidRPr="00026F01">
        <w:rPr>
          <w:szCs w:val="20"/>
          <w:u w:val="single"/>
          <w:lang w:eastAsia="sl-SI"/>
        </w:rPr>
        <w:t>Ugotovitve inšpekcijskega organa</w:t>
      </w:r>
    </w:p>
    <w:p w14:paraId="2B674B3C" w14:textId="77777777" w:rsidR="00D656CC" w:rsidRDefault="00D656CC" w:rsidP="00D656CC">
      <w:pPr>
        <w:rPr>
          <w:szCs w:val="20"/>
          <w:lang w:eastAsia="sl-SI"/>
        </w:rPr>
      </w:pPr>
    </w:p>
    <w:p w14:paraId="7EC5D123" w14:textId="5CCC1D55" w:rsidR="00D656CC" w:rsidRPr="00D656CC" w:rsidRDefault="00DC1F14" w:rsidP="00D656CC">
      <w:pPr>
        <w:jc w:val="both"/>
        <w:rPr>
          <w:szCs w:val="20"/>
          <w:lang w:eastAsia="sl-SI"/>
        </w:rPr>
      </w:pPr>
      <w:r w:rsidRPr="00DC1F14">
        <w:rPr>
          <w:szCs w:val="20"/>
          <w:lang w:eastAsia="sl-SI"/>
        </w:rPr>
        <w:t>Iz primerjave letnega načrta in letnega poročila za leto 2024 je razvidno, da je EMUNI večino svojih organizacijskih in razvojnih ciljev uspešno dosegla.</w:t>
      </w:r>
      <w:r w:rsidR="00D656CC" w:rsidRPr="00D656CC">
        <w:rPr>
          <w:szCs w:val="20"/>
          <w:lang w:eastAsia="sl-SI"/>
        </w:rPr>
        <w:t xml:space="preserve"> Vzpostavljena je bila nova notranja organizacija s štirimi oddelki in dvema dodatnima enotama, povečano je bilo število zaposlenih na 16 oseb, kar presega načrtovane kadrovske cilje. Na področju raziskovalne dejavnosti je </w:t>
      </w:r>
      <w:r w:rsidR="00D656CC">
        <w:rPr>
          <w:szCs w:val="20"/>
          <w:lang w:eastAsia="sl-SI"/>
        </w:rPr>
        <w:t>EMUNI</w:t>
      </w:r>
      <w:r w:rsidR="00D656CC" w:rsidRPr="00D656CC">
        <w:rPr>
          <w:szCs w:val="20"/>
          <w:lang w:eastAsia="sl-SI"/>
        </w:rPr>
        <w:t xml:space="preserve"> sodelovala v sedmih mednarodnih projektih (CHESS, MORHEL, OER-CODEX, </w:t>
      </w:r>
      <w:proofErr w:type="spellStart"/>
      <w:r w:rsidR="00D656CC" w:rsidRPr="00D656CC">
        <w:rPr>
          <w:szCs w:val="20"/>
          <w:lang w:eastAsia="sl-SI"/>
        </w:rPr>
        <w:t>EUNICoast</w:t>
      </w:r>
      <w:proofErr w:type="spellEnd"/>
      <w:r w:rsidR="00D656CC" w:rsidRPr="00D656CC">
        <w:rPr>
          <w:szCs w:val="20"/>
          <w:lang w:eastAsia="sl-SI"/>
        </w:rPr>
        <w:t xml:space="preserve">, </w:t>
      </w:r>
      <w:proofErr w:type="spellStart"/>
      <w:r w:rsidR="00D656CC" w:rsidRPr="00D656CC">
        <w:rPr>
          <w:szCs w:val="20"/>
          <w:lang w:eastAsia="sl-SI"/>
        </w:rPr>
        <w:t>CoE</w:t>
      </w:r>
      <w:proofErr w:type="spellEnd"/>
      <w:r w:rsidR="00D656CC" w:rsidRPr="00D656CC">
        <w:rPr>
          <w:szCs w:val="20"/>
          <w:lang w:eastAsia="sl-SI"/>
        </w:rPr>
        <w:t xml:space="preserve">-SUBE, </w:t>
      </w:r>
      <w:proofErr w:type="spellStart"/>
      <w:r w:rsidR="00D656CC" w:rsidRPr="00D656CC">
        <w:rPr>
          <w:szCs w:val="20"/>
          <w:lang w:eastAsia="sl-SI"/>
        </w:rPr>
        <w:t>TrueBlue</w:t>
      </w:r>
      <w:proofErr w:type="spellEnd"/>
      <w:r w:rsidR="00D656CC" w:rsidRPr="00D656CC">
        <w:rPr>
          <w:szCs w:val="20"/>
          <w:lang w:eastAsia="sl-SI"/>
        </w:rPr>
        <w:t xml:space="preserve"> in </w:t>
      </w:r>
      <w:proofErr w:type="spellStart"/>
      <w:r w:rsidR="00D656CC" w:rsidRPr="00D656CC">
        <w:rPr>
          <w:szCs w:val="20"/>
          <w:lang w:eastAsia="sl-SI"/>
        </w:rPr>
        <w:t>Skillbridge</w:t>
      </w:r>
      <w:proofErr w:type="spellEnd"/>
      <w:r w:rsidR="00D656CC" w:rsidRPr="00D656CC">
        <w:rPr>
          <w:szCs w:val="20"/>
          <w:lang w:eastAsia="sl-SI"/>
        </w:rPr>
        <w:t>) ter sprejela Pravilnik o raziskovalnih in razvojnih dejavnostih na Evro-sredozemski univerzi</w:t>
      </w:r>
      <w:r w:rsidR="00D656CC">
        <w:rPr>
          <w:szCs w:val="20"/>
          <w:lang w:eastAsia="sl-SI"/>
        </w:rPr>
        <w:t xml:space="preserve">, ki </w:t>
      </w:r>
      <w:r w:rsidR="00D656CC" w:rsidRPr="00D656CC">
        <w:rPr>
          <w:szCs w:val="20"/>
          <w:lang w:eastAsia="sl-SI"/>
        </w:rPr>
        <w:t>dolo</w:t>
      </w:r>
      <w:r w:rsidR="00D656CC" w:rsidRPr="00D656CC">
        <w:rPr>
          <w:rFonts w:hint="eastAsia"/>
          <w:szCs w:val="20"/>
          <w:lang w:eastAsia="sl-SI"/>
        </w:rPr>
        <w:t>č</w:t>
      </w:r>
      <w:r w:rsidR="00D656CC" w:rsidRPr="00D656CC">
        <w:rPr>
          <w:szCs w:val="20"/>
          <w:lang w:eastAsia="sl-SI"/>
        </w:rPr>
        <w:t>a jasne postopke in odgovornosti za predlaganje,</w:t>
      </w:r>
      <w:r w:rsidR="00D656CC">
        <w:rPr>
          <w:szCs w:val="20"/>
          <w:lang w:eastAsia="sl-SI"/>
        </w:rPr>
        <w:t xml:space="preserve"> </w:t>
      </w:r>
      <w:r w:rsidR="00D656CC" w:rsidRPr="00D656CC">
        <w:rPr>
          <w:szCs w:val="20"/>
          <w:lang w:eastAsia="sl-SI"/>
        </w:rPr>
        <w:t>odobritev, upravljanje in dokon</w:t>
      </w:r>
      <w:r w:rsidR="00D656CC" w:rsidRPr="00D656CC">
        <w:rPr>
          <w:rFonts w:hint="eastAsia"/>
          <w:szCs w:val="20"/>
          <w:lang w:eastAsia="sl-SI"/>
        </w:rPr>
        <w:t>č</w:t>
      </w:r>
      <w:r w:rsidR="00D656CC" w:rsidRPr="00D656CC">
        <w:rPr>
          <w:szCs w:val="20"/>
          <w:lang w:eastAsia="sl-SI"/>
        </w:rPr>
        <w:t xml:space="preserve">anje raziskovalnih projektov. Revija </w:t>
      </w:r>
      <w:r w:rsidR="00D656CC" w:rsidRPr="00BA66FC">
        <w:rPr>
          <w:szCs w:val="20"/>
          <w:lang w:eastAsia="sl-SI"/>
        </w:rPr>
        <w:t xml:space="preserve">IJEMS </w:t>
      </w:r>
      <w:r w:rsidR="00D656CC" w:rsidRPr="00D656CC">
        <w:rPr>
          <w:szCs w:val="20"/>
          <w:lang w:eastAsia="sl-SI"/>
        </w:rPr>
        <w:t xml:space="preserve">je redno izhajala in povečala prepoznavnost. Finančno je </w:t>
      </w:r>
      <w:r w:rsidR="00D656CC">
        <w:rPr>
          <w:szCs w:val="20"/>
          <w:lang w:eastAsia="sl-SI"/>
        </w:rPr>
        <w:t>EMUNI</w:t>
      </w:r>
      <w:r w:rsidR="00D656CC" w:rsidRPr="00D656CC">
        <w:rPr>
          <w:szCs w:val="20"/>
          <w:lang w:eastAsia="sl-SI"/>
        </w:rPr>
        <w:t xml:space="preserve"> poslovala stabilno, z ustvarjenim presežkom prihodkov nad odhodki.</w:t>
      </w:r>
    </w:p>
    <w:p w14:paraId="1C232D55" w14:textId="77777777" w:rsidR="00D656CC" w:rsidRPr="00D656CC" w:rsidRDefault="00D656CC" w:rsidP="00D656CC">
      <w:pPr>
        <w:jc w:val="both"/>
        <w:rPr>
          <w:szCs w:val="20"/>
          <w:lang w:eastAsia="sl-SI"/>
        </w:rPr>
      </w:pPr>
    </w:p>
    <w:p w14:paraId="05F534EA" w14:textId="7F92D255" w:rsidR="00D656CC" w:rsidRDefault="00D656CC" w:rsidP="00D656CC">
      <w:pPr>
        <w:jc w:val="both"/>
        <w:rPr>
          <w:szCs w:val="20"/>
          <w:lang w:eastAsia="sl-SI"/>
        </w:rPr>
      </w:pPr>
      <w:r w:rsidRPr="00D656CC">
        <w:rPr>
          <w:szCs w:val="20"/>
          <w:lang w:eastAsia="sl-SI"/>
        </w:rPr>
        <w:t xml:space="preserve">Na področju izobraževanja sta bila izvedena le dva obstoječa magistrska programa, medtem ko novi magistrski in doktorski programi še niso bili akreditirani in zato v letu 2024 niso bili izvedeni. </w:t>
      </w:r>
      <w:proofErr w:type="spellStart"/>
      <w:r w:rsidRPr="00D656CC">
        <w:rPr>
          <w:szCs w:val="20"/>
          <w:lang w:eastAsia="sl-SI"/>
        </w:rPr>
        <w:t>Erasmus</w:t>
      </w:r>
      <w:proofErr w:type="spellEnd"/>
      <w:r w:rsidRPr="00D656CC">
        <w:rPr>
          <w:szCs w:val="20"/>
          <w:lang w:eastAsia="sl-SI"/>
        </w:rPr>
        <w:t>+ mobilnosti so bile realizirane le delno</w:t>
      </w:r>
      <w:r w:rsidR="001A7F4E">
        <w:rPr>
          <w:szCs w:val="20"/>
          <w:lang w:eastAsia="sl-SI"/>
        </w:rPr>
        <w:t xml:space="preserve"> (</w:t>
      </w:r>
      <w:r w:rsidR="00BA66FC">
        <w:rPr>
          <w:szCs w:val="20"/>
          <w:lang w:eastAsia="sl-SI"/>
        </w:rPr>
        <w:t xml:space="preserve">predviden je </w:t>
      </w:r>
      <w:r w:rsidR="001A7F4E">
        <w:rPr>
          <w:szCs w:val="20"/>
          <w:lang w:eastAsia="sl-SI"/>
        </w:rPr>
        <w:t xml:space="preserve">prenos aktivnosti v leto 2025). </w:t>
      </w:r>
      <w:r w:rsidRPr="00D656CC">
        <w:rPr>
          <w:szCs w:val="20"/>
          <w:lang w:eastAsia="sl-SI"/>
        </w:rPr>
        <w:t>Pomemben napredek je bil dosežen z ustanovitvijo štipendijskega sklada EMUNI, ki je bil formalno vzpostavljen in pripravljen za izvajanje, ter z delno uresničitvijo cilja o vzpostavitvi centrov znanja in inovacij (EKIC). Od petih načrtovanih centrov so bili do konca leta 2024 dejansko vzpostavljeni trije</w:t>
      </w:r>
      <w:r w:rsidR="0008304F">
        <w:rPr>
          <w:szCs w:val="20"/>
          <w:lang w:eastAsia="sl-SI"/>
        </w:rPr>
        <w:t>;</w:t>
      </w:r>
      <w:r w:rsidRPr="00D656CC">
        <w:rPr>
          <w:szCs w:val="20"/>
          <w:lang w:eastAsia="sl-SI"/>
        </w:rPr>
        <w:t xml:space="preserve"> preostala dva sta ostala v pripravljalni fazi</w:t>
      </w:r>
      <w:r>
        <w:rPr>
          <w:szCs w:val="20"/>
          <w:lang w:eastAsia="sl-SI"/>
        </w:rPr>
        <w:t>.</w:t>
      </w:r>
    </w:p>
    <w:p w14:paraId="5EA404A6" w14:textId="77777777" w:rsidR="00D656CC" w:rsidRPr="00D656CC" w:rsidRDefault="00D656CC" w:rsidP="00D656CC">
      <w:pPr>
        <w:jc w:val="both"/>
        <w:rPr>
          <w:szCs w:val="20"/>
          <w:lang w:eastAsia="sl-SI"/>
        </w:rPr>
      </w:pPr>
    </w:p>
    <w:p w14:paraId="2AFB989A" w14:textId="37E72EDB" w:rsidR="00D656CC" w:rsidRPr="00D656CC" w:rsidRDefault="00D656CC" w:rsidP="00D656CC">
      <w:pPr>
        <w:jc w:val="both"/>
        <w:rPr>
          <w:szCs w:val="20"/>
          <w:lang w:eastAsia="sl-SI"/>
        </w:rPr>
      </w:pPr>
      <w:r w:rsidRPr="00D656CC">
        <w:rPr>
          <w:szCs w:val="20"/>
          <w:lang w:eastAsia="sl-SI"/>
        </w:rPr>
        <w:t>Skupno gledano je EMUNI v letu 2024 v celoti uresničila cilje organizacijske prenove, kadrovske krepitve, raziskovalne in finančne stabilnosti, delno uresničila cilje glede mednarodnih mobilnosti, štipendijskega sklada in centrov EKIC, medtem ko cilji glede akreditacije in izvedbe novih študijskih programov niso bili doseženi</w:t>
      </w:r>
      <w:r w:rsidR="0008304F">
        <w:rPr>
          <w:szCs w:val="20"/>
          <w:lang w:eastAsia="sl-SI"/>
        </w:rPr>
        <w:t xml:space="preserve"> in so preloženi na leto 2025</w:t>
      </w:r>
      <w:r w:rsidRPr="00D656CC">
        <w:rPr>
          <w:szCs w:val="20"/>
          <w:lang w:eastAsia="sl-SI"/>
        </w:rPr>
        <w:t>.</w:t>
      </w:r>
    </w:p>
    <w:p w14:paraId="07815721" w14:textId="77777777" w:rsidR="00D656CC" w:rsidRDefault="00D656CC" w:rsidP="00582575">
      <w:pPr>
        <w:rPr>
          <w:szCs w:val="20"/>
          <w:lang w:eastAsia="sl-SI"/>
        </w:rPr>
      </w:pPr>
    </w:p>
    <w:p w14:paraId="640E2E26" w14:textId="3761DBBD" w:rsidR="00A26530" w:rsidRDefault="006B2C57" w:rsidP="00A26530">
      <w:pPr>
        <w:jc w:val="both"/>
        <w:rPr>
          <w:szCs w:val="20"/>
          <w:lang w:eastAsia="sl-SI"/>
        </w:rPr>
      </w:pPr>
      <w:r w:rsidRPr="006B2C57">
        <w:rPr>
          <w:szCs w:val="20"/>
          <w:lang w:eastAsia="sl-SI"/>
        </w:rPr>
        <w:t xml:space="preserve">Proračunska inšpekcija </w:t>
      </w:r>
      <w:r w:rsidR="00A26E13">
        <w:rPr>
          <w:szCs w:val="20"/>
          <w:lang w:eastAsia="sl-SI"/>
        </w:rPr>
        <w:t>ugotavlja</w:t>
      </w:r>
      <w:r w:rsidRPr="006B2C57">
        <w:rPr>
          <w:szCs w:val="20"/>
          <w:lang w:eastAsia="sl-SI"/>
        </w:rPr>
        <w:t xml:space="preserve">, da bi za zagotovitev večje preglednosti </w:t>
      </w:r>
      <w:r w:rsidR="008F0FC0">
        <w:rPr>
          <w:szCs w:val="20"/>
          <w:lang w:eastAsia="sl-SI"/>
        </w:rPr>
        <w:t>ter</w:t>
      </w:r>
      <w:r w:rsidRPr="006B2C57">
        <w:rPr>
          <w:szCs w:val="20"/>
          <w:lang w:eastAsia="sl-SI"/>
        </w:rPr>
        <w:t xml:space="preserve"> učinkovitejšega spremljanja izvajanja financiranja EMUNI </w:t>
      </w:r>
      <w:r w:rsidR="00175DCB">
        <w:rPr>
          <w:szCs w:val="20"/>
          <w:lang w:eastAsia="sl-SI"/>
        </w:rPr>
        <w:t>u</w:t>
      </w:r>
      <w:r w:rsidR="00175DCB" w:rsidRPr="006B2C57">
        <w:rPr>
          <w:szCs w:val="20"/>
          <w:lang w:eastAsia="sl-SI"/>
        </w:rPr>
        <w:t xml:space="preserve">niverze </w:t>
      </w:r>
      <w:r w:rsidRPr="006B2C57">
        <w:rPr>
          <w:szCs w:val="20"/>
          <w:lang w:eastAsia="sl-SI"/>
        </w:rPr>
        <w:t>bilo smiselno</w:t>
      </w:r>
      <w:r w:rsidR="00A26E13">
        <w:rPr>
          <w:szCs w:val="20"/>
          <w:lang w:eastAsia="sl-SI"/>
        </w:rPr>
        <w:t xml:space="preserve"> in potrebno</w:t>
      </w:r>
      <w:r w:rsidRPr="006B2C57">
        <w:rPr>
          <w:szCs w:val="20"/>
          <w:lang w:eastAsia="sl-SI"/>
        </w:rPr>
        <w:t xml:space="preserve">, da </w:t>
      </w:r>
      <w:r w:rsidR="00175DCB">
        <w:rPr>
          <w:szCs w:val="20"/>
          <w:lang w:eastAsia="sl-SI"/>
        </w:rPr>
        <w:t>EMUNI</w:t>
      </w:r>
      <w:r w:rsidRPr="006B2C57">
        <w:rPr>
          <w:szCs w:val="20"/>
          <w:lang w:eastAsia="sl-SI"/>
        </w:rPr>
        <w:t xml:space="preserve"> v letnem poročilu pripravi kratko, pregledno in sistematično primerjalno analizo načrtovanih </w:t>
      </w:r>
      <w:r w:rsidR="008F0FC0">
        <w:rPr>
          <w:szCs w:val="20"/>
          <w:lang w:eastAsia="sl-SI"/>
        </w:rPr>
        <w:t>ter</w:t>
      </w:r>
      <w:r w:rsidRPr="006B2C57">
        <w:rPr>
          <w:szCs w:val="20"/>
          <w:lang w:eastAsia="sl-SI"/>
        </w:rPr>
        <w:t xml:space="preserve"> dejansko </w:t>
      </w:r>
      <w:r w:rsidRPr="006B2C57">
        <w:rPr>
          <w:szCs w:val="20"/>
          <w:lang w:eastAsia="sl-SI"/>
        </w:rPr>
        <w:lastRenderedPageBreak/>
        <w:t>doseženih ciljev po posameznih dejavnostih in projektih.</w:t>
      </w:r>
      <w:r>
        <w:rPr>
          <w:szCs w:val="20"/>
          <w:lang w:eastAsia="sl-SI"/>
        </w:rPr>
        <w:t xml:space="preserve"> </w:t>
      </w:r>
      <w:r w:rsidRPr="006B2C57">
        <w:rPr>
          <w:szCs w:val="20"/>
          <w:lang w:eastAsia="sl-SI"/>
        </w:rPr>
        <w:t xml:space="preserve">Zato </w:t>
      </w:r>
      <w:r w:rsidR="00C37258">
        <w:rPr>
          <w:szCs w:val="20"/>
          <w:lang w:eastAsia="sl-SI"/>
        </w:rPr>
        <w:t>p</w:t>
      </w:r>
      <w:r w:rsidRPr="006B2C57">
        <w:rPr>
          <w:szCs w:val="20"/>
          <w:lang w:eastAsia="sl-SI"/>
        </w:rPr>
        <w:t>roračunska inšpekcija Ministrstvu za visoko šolstvo, znanost in inovacije predlaga naslednj</w:t>
      </w:r>
      <w:r w:rsidR="003A4DE6">
        <w:rPr>
          <w:szCs w:val="20"/>
          <w:lang w:eastAsia="sl-SI"/>
        </w:rPr>
        <w:t>e priporočilo:</w:t>
      </w:r>
    </w:p>
    <w:p w14:paraId="398AC4EB" w14:textId="77777777" w:rsidR="008C7C3E" w:rsidRDefault="008C7C3E" w:rsidP="00A26530">
      <w:pPr>
        <w:jc w:val="both"/>
        <w:rPr>
          <w:szCs w:val="20"/>
          <w:lang w:eastAsia="sl-SI"/>
        </w:rPr>
      </w:pPr>
    </w:p>
    <w:p w14:paraId="0F0D42FF" w14:textId="6706C44F" w:rsidR="00A26530" w:rsidRDefault="002305A4" w:rsidP="00A26530">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PRIPOROČILO</w:t>
      </w:r>
      <w:r w:rsidR="006E5B75">
        <w:rPr>
          <w:rFonts w:eastAsia="Times New Roman" w:cs="Times New Roman"/>
          <w:b/>
          <w:bCs/>
          <w:szCs w:val="24"/>
        </w:rPr>
        <w:t xml:space="preserve"> št. </w:t>
      </w:r>
      <w:r>
        <w:rPr>
          <w:rFonts w:eastAsia="Times New Roman" w:cs="Times New Roman"/>
          <w:b/>
          <w:bCs/>
          <w:szCs w:val="24"/>
        </w:rPr>
        <w:t>2</w:t>
      </w:r>
    </w:p>
    <w:p w14:paraId="5AB3C76D" w14:textId="77777777" w:rsidR="0066170F" w:rsidRDefault="0066170F" w:rsidP="00A26530">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64C25A74" w14:textId="01064440" w:rsidR="00A26530" w:rsidRDefault="006E5B75" w:rsidP="00A26530">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6E5B75">
        <w:rPr>
          <w:rFonts w:eastAsia="Times New Roman" w:cs="Times New Roman"/>
          <w:b/>
          <w:bCs/>
          <w:szCs w:val="24"/>
        </w:rPr>
        <w:t xml:space="preserve">Proračunska inšpekcija na podlagi drugega odstavka 104. člena </w:t>
      </w:r>
      <w:r w:rsidR="008B2D67">
        <w:rPr>
          <w:rFonts w:eastAsia="Times New Roman" w:cs="Times New Roman"/>
          <w:b/>
          <w:bCs/>
          <w:szCs w:val="24"/>
        </w:rPr>
        <w:t>ZJF</w:t>
      </w:r>
      <w:r w:rsidRPr="006E5B75">
        <w:rPr>
          <w:rFonts w:eastAsia="Times New Roman" w:cs="Times New Roman"/>
          <w:b/>
          <w:bCs/>
          <w:szCs w:val="24"/>
        </w:rPr>
        <w:t xml:space="preserve"> pr</w:t>
      </w:r>
      <w:r w:rsidR="002305A4">
        <w:rPr>
          <w:rFonts w:eastAsia="Times New Roman" w:cs="Times New Roman"/>
          <w:b/>
          <w:bCs/>
          <w:szCs w:val="24"/>
        </w:rPr>
        <w:t>edlaga</w:t>
      </w:r>
      <w:r w:rsidRPr="006E5B75">
        <w:rPr>
          <w:rFonts w:eastAsia="Times New Roman" w:cs="Times New Roman"/>
          <w:b/>
          <w:bCs/>
          <w:szCs w:val="24"/>
        </w:rPr>
        <w:t xml:space="preserve">, da MVZI </w:t>
      </w:r>
      <w:r>
        <w:rPr>
          <w:rFonts w:eastAsia="Times New Roman" w:cs="Times New Roman"/>
          <w:b/>
          <w:bCs/>
          <w:szCs w:val="24"/>
        </w:rPr>
        <w:t>zagotovi</w:t>
      </w:r>
      <w:r w:rsidRPr="006E5B75">
        <w:rPr>
          <w:rFonts w:eastAsia="Times New Roman" w:cs="Times New Roman"/>
          <w:b/>
          <w:bCs/>
          <w:szCs w:val="24"/>
        </w:rPr>
        <w:t xml:space="preserve">, da EMUNI Univerza </w:t>
      </w:r>
      <w:r w:rsidR="002305A4">
        <w:rPr>
          <w:rFonts w:eastAsia="Times New Roman" w:cs="Times New Roman"/>
          <w:b/>
          <w:bCs/>
          <w:szCs w:val="24"/>
        </w:rPr>
        <w:t xml:space="preserve">v prihodnje </w:t>
      </w:r>
      <w:r w:rsidRPr="006E5B75">
        <w:rPr>
          <w:rFonts w:eastAsia="Times New Roman" w:cs="Times New Roman"/>
          <w:b/>
          <w:bCs/>
          <w:szCs w:val="24"/>
        </w:rPr>
        <w:t>vsako leto kot obvezno prilogo k Letnemu poročilu pripravi kratko, pregledno in sistematično primerjalno analizo načrtovanih ter dejansko doseženih ciljev za posamezne dejavnosti in projekte.</w:t>
      </w:r>
      <w:r>
        <w:rPr>
          <w:rFonts w:eastAsia="Times New Roman" w:cs="Times New Roman"/>
          <w:b/>
          <w:bCs/>
          <w:szCs w:val="24"/>
        </w:rPr>
        <w:t xml:space="preserve"> </w:t>
      </w:r>
      <w:r w:rsidR="0066170F" w:rsidRPr="0066170F">
        <w:rPr>
          <w:rFonts w:eastAsia="Times New Roman" w:cs="Times New Roman"/>
          <w:b/>
          <w:bCs/>
          <w:szCs w:val="24"/>
        </w:rPr>
        <w:t>Analiza naj vključuje tako finančne kazalnike kot tudi izvedbene in operativne rezultate, vključno z obsegom izvedenih študijskih programov, številom vpisanih in diplomiranih študentov, obsegom mednarodnih izmenjav</w:t>
      </w:r>
      <w:r w:rsidR="00B8266A">
        <w:rPr>
          <w:rFonts w:eastAsia="Times New Roman" w:cs="Times New Roman"/>
          <w:b/>
          <w:bCs/>
          <w:szCs w:val="24"/>
        </w:rPr>
        <w:t>,</w:t>
      </w:r>
      <w:r w:rsidR="0066170F" w:rsidRPr="0066170F">
        <w:rPr>
          <w:rFonts w:eastAsia="Times New Roman" w:cs="Times New Roman"/>
          <w:b/>
          <w:bCs/>
          <w:szCs w:val="24"/>
        </w:rPr>
        <w:t xml:space="preserve"> izvedenimi raziskovalnimi </w:t>
      </w:r>
      <w:r w:rsidR="00B8266A">
        <w:rPr>
          <w:rFonts w:eastAsia="Times New Roman" w:cs="Times New Roman"/>
          <w:b/>
          <w:bCs/>
          <w:szCs w:val="24"/>
        </w:rPr>
        <w:t xml:space="preserve">in razvojnimi </w:t>
      </w:r>
      <w:r w:rsidR="0066170F" w:rsidRPr="0066170F">
        <w:rPr>
          <w:rFonts w:eastAsia="Times New Roman" w:cs="Times New Roman"/>
          <w:b/>
          <w:bCs/>
          <w:szCs w:val="24"/>
        </w:rPr>
        <w:t>dejavnostmi</w:t>
      </w:r>
      <w:r w:rsidR="00B8266A">
        <w:rPr>
          <w:rFonts w:eastAsia="Times New Roman" w:cs="Times New Roman"/>
          <w:b/>
          <w:bCs/>
          <w:szCs w:val="24"/>
        </w:rPr>
        <w:t xml:space="preserve"> itd.</w:t>
      </w:r>
      <w:r w:rsidR="0066170F" w:rsidRPr="0066170F">
        <w:rPr>
          <w:rFonts w:eastAsia="Times New Roman" w:cs="Times New Roman"/>
          <w:b/>
          <w:bCs/>
          <w:szCs w:val="24"/>
        </w:rPr>
        <w:t xml:space="preserve">. </w:t>
      </w:r>
      <w:r w:rsidR="0071082B" w:rsidRPr="0071082B">
        <w:rPr>
          <w:rFonts w:eastAsia="Times New Roman" w:cs="Times New Roman"/>
          <w:b/>
          <w:bCs/>
          <w:szCs w:val="24"/>
        </w:rPr>
        <w:t>Tak pristop bo omogočil celovitejše spremljanje delovanja univerze glede na strateške in operativne cilje ter zagotavljal pregledno in učinkovito ocenjevanje učinka dodeljenih proračunskih sredstev na letni ravni, s tem pa prispeval k namenski, upravičeni, transparentni in učinkoviti porabi proračunskih sredstev v skladu z določbami ZJF.</w:t>
      </w:r>
    </w:p>
    <w:p w14:paraId="3A22DA00" w14:textId="77777777" w:rsidR="0066170F" w:rsidRPr="0049726C" w:rsidRDefault="0066170F" w:rsidP="00A26530">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0F150F7A" w14:textId="2B459083" w:rsidR="00A26530" w:rsidRPr="0049726C" w:rsidRDefault="00A26530" w:rsidP="00A26530">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49726C">
        <w:rPr>
          <w:rFonts w:eastAsia="Times New Roman" w:cs="Times New Roman"/>
          <w:b/>
          <w:bCs/>
          <w:szCs w:val="24"/>
        </w:rPr>
        <w:t xml:space="preserve">MVZI naj o </w:t>
      </w:r>
      <w:r w:rsidR="002305A4">
        <w:rPr>
          <w:rFonts w:eastAsia="Times New Roman" w:cs="Times New Roman"/>
          <w:b/>
          <w:bCs/>
          <w:szCs w:val="24"/>
        </w:rPr>
        <w:t xml:space="preserve">načinu izvedbe </w:t>
      </w:r>
      <w:r w:rsidRPr="0049726C">
        <w:rPr>
          <w:rFonts w:eastAsia="Times New Roman" w:cs="Times New Roman"/>
          <w:b/>
          <w:bCs/>
          <w:szCs w:val="24"/>
        </w:rPr>
        <w:t>naveden</w:t>
      </w:r>
      <w:r w:rsidR="00F62994">
        <w:rPr>
          <w:rFonts w:eastAsia="Times New Roman" w:cs="Times New Roman"/>
          <w:b/>
          <w:bCs/>
          <w:szCs w:val="24"/>
        </w:rPr>
        <w:t>e</w:t>
      </w:r>
      <w:r w:rsidR="002305A4">
        <w:rPr>
          <w:rFonts w:eastAsia="Times New Roman" w:cs="Times New Roman"/>
          <w:b/>
          <w:bCs/>
          <w:szCs w:val="24"/>
        </w:rPr>
        <w:t>ga</w:t>
      </w:r>
      <w:r w:rsidRPr="0049726C">
        <w:rPr>
          <w:rFonts w:eastAsia="Times New Roman" w:cs="Times New Roman"/>
          <w:b/>
          <w:bCs/>
          <w:szCs w:val="24"/>
        </w:rPr>
        <w:t xml:space="preserve"> </w:t>
      </w:r>
      <w:r w:rsidR="008B2D67">
        <w:rPr>
          <w:rFonts w:eastAsia="Times New Roman" w:cs="Times New Roman"/>
          <w:b/>
          <w:bCs/>
          <w:szCs w:val="24"/>
        </w:rPr>
        <w:t>ukrep</w:t>
      </w:r>
      <w:r w:rsidR="002305A4">
        <w:rPr>
          <w:rFonts w:eastAsia="Times New Roman" w:cs="Times New Roman"/>
          <w:b/>
          <w:bCs/>
          <w:szCs w:val="24"/>
        </w:rPr>
        <w:t>a ter seznanitvi EMUNI Univerze</w:t>
      </w:r>
      <w:r w:rsidRPr="0049726C">
        <w:rPr>
          <w:rFonts w:eastAsia="Times New Roman" w:cs="Times New Roman"/>
          <w:b/>
          <w:bCs/>
          <w:szCs w:val="24"/>
        </w:rPr>
        <w:t xml:space="preserve"> obvesti </w:t>
      </w:r>
      <w:r w:rsidR="002305A4">
        <w:rPr>
          <w:rFonts w:eastAsia="Times New Roman" w:cs="Times New Roman"/>
          <w:b/>
          <w:bCs/>
          <w:szCs w:val="24"/>
        </w:rPr>
        <w:t xml:space="preserve">proračunsko inšpekcijo </w:t>
      </w:r>
      <w:r w:rsidRPr="0049726C">
        <w:rPr>
          <w:rFonts w:eastAsia="Times New Roman" w:cs="Times New Roman"/>
          <w:b/>
          <w:bCs/>
          <w:szCs w:val="24"/>
        </w:rPr>
        <w:t xml:space="preserve">v roku </w:t>
      </w:r>
      <w:r w:rsidR="00A26E13">
        <w:rPr>
          <w:rFonts w:eastAsia="Times New Roman" w:cs="Times New Roman"/>
          <w:b/>
          <w:bCs/>
          <w:szCs w:val="24"/>
        </w:rPr>
        <w:t>3</w:t>
      </w:r>
      <w:r w:rsidR="002305A4">
        <w:rPr>
          <w:rFonts w:eastAsia="Times New Roman" w:cs="Times New Roman"/>
          <w:b/>
          <w:bCs/>
          <w:szCs w:val="24"/>
        </w:rPr>
        <w:t>0</w:t>
      </w:r>
      <w:r w:rsidRPr="0049726C">
        <w:rPr>
          <w:rFonts w:eastAsia="Times New Roman" w:cs="Times New Roman"/>
          <w:b/>
          <w:bCs/>
          <w:szCs w:val="24"/>
        </w:rPr>
        <w:t xml:space="preserve"> dni od prejema tega zapisnika</w:t>
      </w:r>
      <w:r w:rsidR="002305A4">
        <w:rPr>
          <w:rFonts w:eastAsia="Times New Roman" w:cs="Times New Roman"/>
          <w:b/>
          <w:bCs/>
          <w:szCs w:val="24"/>
        </w:rPr>
        <w:t>.</w:t>
      </w:r>
    </w:p>
    <w:p w14:paraId="57101944" w14:textId="77777777" w:rsidR="002305A4" w:rsidRPr="00DA6DCE" w:rsidRDefault="002305A4" w:rsidP="00DA6DCE">
      <w:pPr>
        <w:jc w:val="both"/>
        <w:rPr>
          <w:b/>
          <w:bCs/>
          <w:szCs w:val="20"/>
          <w:lang w:eastAsia="sl-SI"/>
        </w:rPr>
      </w:pPr>
    </w:p>
    <w:p w14:paraId="1241BE9C" w14:textId="0B79E46B" w:rsidR="001F5308" w:rsidRPr="001F5308" w:rsidRDefault="001F5308" w:rsidP="00843B43">
      <w:pPr>
        <w:pStyle w:val="Odstavekseznama"/>
        <w:numPr>
          <w:ilvl w:val="2"/>
          <w:numId w:val="33"/>
        </w:numPr>
        <w:rPr>
          <w:szCs w:val="20"/>
          <w:lang w:eastAsia="sl-SI"/>
        </w:rPr>
      </w:pPr>
      <w:r w:rsidRPr="001F5308">
        <w:rPr>
          <w:szCs w:val="20"/>
          <w:lang w:eastAsia="sl-SI"/>
        </w:rPr>
        <w:t>Poročilo o prihodkih in odhodkih za leto 2024</w:t>
      </w:r>
      <w:r w:rsidR="003F0164">
        <w:rPr>
          <w:szCs w:val="20"/>
          <w:lang w:eastAsia="sl-SI"/>
        </w:rPr>
        <w:t xml:space="preserve"> </w:t>
      </w:r>
    </w:p>
    <w:p w14:paraId="1F76225F" w14:textId="77777777" w:rsidR="001F5308" w:rsidRPr="001F5308" w:rsidRDefault="001F5308" w:rsidP="001F5308">
      <w:pPr>
        <w:rPr>
          <w:szCs w:val="20"/>
          <w:lang w:eastAsia="sl-SI"/>
        </w:rPr>
      </w:pPr>
    </w:p>
    <w:p w14:paraId="4387B438" w14:textId="2201D297" w:rsidR="008D3E5D" w:rsidRPr="00015CD3" w:rsidRDefault="001F5308" w:rsidP="00015CD3">
      <w:pPr>
        <w:jc w:val="both"/>
        <w:rPr>
          <w:szCs w:val="20"/>
          <w:lang w:eastAsia="sl-SI"/>
        </w:rPr>
      </w:pPr>
      <w:r>
        <w:rPr>
          <w:szCs w:val="20"/>
          <w:lang w:eastAsia="sl-SI"/>
        </w:rPr>
        <w:t xml:space="preserve">Inšpekcijski organ je v Letnem poročilu </w:t>
      </w:r>
      <w:r w:rsidR="00355A22">
        <w:rPr>
          <w:szCs w:val="20"/>
          <w:lang w:eastAsia="sl-SI"/>
        </w:rPr>
        <w:t xml:space="preserve">preučil </w:t>
      </w:r>
      <w:r w:rsidR="00015CD3">
        <w:rPr>
          <w:szCs w:val="20"/>
          <w:lang w:eastAsia="sl-SI"/>
        </w:rPr>
        <w:t xml:space="preserve">finančno poročilo univerze EMUNI, še posebej v delu, ki se nanaša na Poročilo </w:t>
      </w:r>
      <w:r w:rsidR="0008304F">
        <w:rPr>
          <w:szCs w:val="20"/>
          <w:lang w:eastAsia="sl-SI"/>
        </w:rPr>
        <w:t>o</w:t>
      </w:r>
      <w:r w:rsidR="00015CD3">
        <w:rPr>
          <w:szCs w:val="20"/>
          <w:lang w:eastAsia="sl-SI"/>
        </w:rPr>
        <w:t xml:space="preserve"> prihodkih in odhodkih po načelu denarnega toka za leto 2024. V spodnji tabeli je razvidno poročilo </w:t>
      </w:r>
      <w:r w:rsidR="008D3E5D" w:rsidRPr="00FB3DB2">
        <w:rPr>
          <w:rFonts w:eastAsia="Calibri" w:cs="Arial"/>
          <w:szCs w:val="20"/>
        </w:rPr>
        <w:t xml:space="preserve">po stroškovnih kategorijah in virih financiranja </w:t>
      </w:r>
      <w:r w:rsidR="00015CD3">
        <w:rPr>
          <w:rFonts w:eastAsia="Calibri" w:cs="Arial"/>
          <w:szCs w:val="20"/>
        </w:rPr>
        <w:t xml:space="preserve">(zneski so v </w:t>
      </w:r>
      <w:r w:rsidR="008D3E5D" w:rsidRPr="00FB3DB2">
        <w:rPr>
          <w:rFonts w:eastAsia="Calibri" w:cs="Arial"/>
          <w:szCs w:val="20"/>
        </w:rPr>
        <w:t xml:space="preserve"> EUR)</w:t>
      </w:r>
      <w:r w:rsidR="00015CD3">
        <w:rPr>
          <w:rFonts w:eastAsia="Calibri" w:cs="Arial"/>
          <w:szCs w:val="20"/>
        </w:rPr>
        <w:t xml:space="preserve">. </w:t>
      </w:r>
    </w:p>
    <w:p w14:paraId="4819A1BC" w14:textId="77777777" w:rsidR="008D3E5D" w:rsidRPr="00612F82" w:rsidRDefault="008D3E5D" w:rsidP="008D3E5D">
      <w:pPr>
        <w:tabs>
          <w:tab w:val="right" w:pos="13957"/>
        </w:tabs>
        <w:spacing w:after="12"/>
        <w:jc w:val="both"/>
        <w:rPr>
          <w:rFonts w:cs="Arial"/>
          <w:sz w:val="16"/>
          <w:szCs w:val="16"/>
        </w:rPr>
      </w:pPr>
    </w:p>
    <w:tbl>
      <w:tblPr>
        <w:tblStyle w:val="TableGrid"/>
        <w:tblW w:w="9212" w:type="dxa"/>
        <w:tblInd w:w="0" w:type="dxa"/>
        <w:tblLayout w:type="fixed"/>
        <w:tblCellMar>
          <w:top w:w="43" w:type="dxa"/>
          <w:left w:w="106" w:type="dxa"/>
          <w:right w:w="62" w:type="dxa"/>
        </w:tblCellMar>
        <w:tblLook w:val="04A0" w:firstRow="1" w:lastRow="0" w:firstColumn="1" w:lastColumn="0" w:noHBand="0" w:noVBand="1"/>
      </w:tblPr>
      <w:tblGrid>
        <w:gridCol w:w="846"/>
        <w:gridCol w:w="2775"/>
        <w:gridCol w:w="60"/>
        <w:gridCol w:w="1091"/>
        <w:gridCol w:w="41"/>
        <w:gridCol w:w="1017"/>
        <w:gridCol w:w="62"/>
        <w:gridCol w:w="1333"/>
        <w:gridCol w:w="71"/>
        <w:gridCol w:w="921"/>
        <w:gridCol w:w="67"/>
        <w:gridCol w:w="928"/>
      </w:tblGrid>
      <w:tr w:rsidR="008D3E5D" w:rsidRPr="00612F82" w14:paraId="560CA2C6" w14:textId="77777777" w:rsidTr="002E2751">
        <w:trPr>
          <w:trHeight w:val="312"/>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1A5E7786" w14:textId="77777777" w:rsidR="008D3E5D" w:rsidRPr="00612F82" w:rsidRDefault="008D3E5D" w:rsidP="002E2751">
            <w:pPr>
              <w:spacing w:line="259" w:lineRule="auto"/>
              <w:ind w:right="44"/>
              <w:jc w:val="center"/>
              <w:rPr>
                <w:rFonts w:cs="Arial"/>
                <w:sz w:val="16"/>
                <w:szCs w:val="16"/>
              </w:rPr>
            </w:pPr>
            <w:r w:rsidRPr="00612F82">
              <w:rPr>
                <w:rFonts w:eastAsia="Calibri" w:cs="Arial"/>
                <w:sz w:val="16"/>
                <w:szCs w:val="16"/>
              </w:rPr>
              <w:t xml:space="preserve">Oznaka </w:t>
            </w:r>
          </w:p>
          <w:p w14:paraId="351C1B6F" w14:textId="77777777" w:rsidR="008D3E5D" w:rsidRPr="00612F82" w:rsidRDefault="008D3E5D" w:rsidP="002E2751">
            <w:pPr>
              <w:spacing w:line="259" w:lineRule="auto"/>
              <w:jc w:val="center"/>
              <w:rPr>
                <w:rFonts w:cs="Arial"/>
                <w:sz w:val="16"/>
                <w:szCs w:val="16"/>
              </w:rPr>
            </w:pPr>
            <w:r w:rsidRPr="00612F82">
              <w:rPr>
                <w:rFonts w:eastAsia="Calibri" w:cs="Arial"/>
                <w:sz w:val="16"/>
                <w:szCs w:val="16"/>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12553D4E" w14:textId="77777777" w:rsidR="008D3E5D" w:rsidRPr="00612F82" w:rsidRDefault="008D3E5D" w:rsidP="002E2751">
            <w:pPr>
              <w:spacing w:line="259" w:lineRule="auto"/>
              <w:ind w:right="46"/>
              <w:jc w:val="center"/>
              <w:rPr>
                <w:rFonts w:cs="Arial"/>
                <w:sz w:val="16"/>
                <w:szCs w:val="16"/>
              </w:rPr>
            </w:pPr>
            <w:r w:rsidRPr="00612F82">
              <w:rPr>
                <w:rFonts w:eastAsia="Calibri" w:cs="Arial"/>
                <w:sz w:val="16"/>
                <w:szCs w:val="16"/>
              </w:rPr>
              <w:t xml:space="preserve">Vrsta stroška </w:t>
            </w:r>
          </w:p>
        </w:tc>
        <w:tc>
          <w:tcPr>
            <w:tcW w:w="1151" w:type="dxa"/>
            <w:gridSpan w:val="2"/>
            <w:tcBorders>
              <w:top w:val="single" w:sz="4" w:space="0" w:color="000000"/>
              <w:left w:val="single" w:sz="4" w:space="0" w:color="000000"/>
              <w:bottom w:val="single" w:sz="4" w:space="0" w:color="000000"/>
              <w:right w:val="single" w:sz="4" w:space="0" w:color="000000"/>
            </w:tcBorders>
          </w:tcPr>
          <w:p w14:paraId="6B1D93DA" w14:textId="77777777" w:rsidR="008D3E5D" w:rsidRPr="00612F82" w:rsidRDefault="008D3E5D" w:rsidP="002E2751">
            <w:pPr>
              <w:spacing w:line="259" w:lineRule="auto"/>
              <w:ind w:right="43"/>
              <w:jc w:val="center"/>
              <w:rPr>
                <w:rFonts w:cs="Arial"/>
                <w:sz w:val="16"/>
                <w:szCs w:val="16"/>
              </w:rPr>
            </w:pPr>
            <w:r w:rsidRPr="00612F82">
              <w:rPr>
                <w:rFonts w:eastAsia="Calibri" w:cs="Arial"/>
                <w:sz w:val="16"/>
                <w:szCs w:val="16"/>
              </w:rPr>
              <w:t xml:space="preserve">Skupaj  </w:t>
            </w:r>
          </w:p>
        </w:tc>
        <w:tc>
          <w:tcPr>
            <w:tcW w:w="1120" w:type="dxa"/>
            <w:gridSpan w:val="3"/>
            <w:tcBorders>
              <w:top w:val="single" w:sz="4" w:space="0" w:color="000000"/>
              <w:left w:val="single" w:sz="4" w:space="0" w:color="000000"/>
              <w:bottom w:val="single" w:sz="4" w:space="0" w:color="000000"/>
              <w:right w:val="single" w:sz="4" w:space="0" w:color="000000"/>
            </w:tcBorders>
          </w:tcPr>
          <w:p w14:paraId="68BE0D13" w14:textId="77777777" w:rsidR="008D3E5D" w:rsidRPr="00612F82" w:rsidRDefault="008D3E5D" w:rsidP="002E2751">
            <w:pPr>
              <w:spacing w:line="259" w:lineRule="auto"/>
              <w:ind w:right="46"/>
              <w:jc w:val="center"/>
              <w:rPr>
                <w:rFonts w:cs="Arial"/>
                <w:sz w:val="16"/>
                <w:szCs w:val="16"/>
              </w:rPr>
            </w:pPr>
            <w:r w:rsidRPr="00612F82">
              <w:rPr>
                <w:rFonts w:eastAsia="Calibri" w:cs="Arial"/>
                <w:sz w:val="16"/>
                <w:szCs w:val="16"/>
              </w:rPr>
              <w:t xml:space="preserve">MVZI  </w:t>
            </w:r>
          </w:p>
        </w:tc>
        <w:tc>
          <w:tcPr>
            <w:tcW w:w="1404" w:type="dxa"/>
            <w:gridSpan w:val="2"/>
            <w:tcBorders>
              <w:top w:val="single" w:sz="4" w:space="0" w:color="000000"/>
              <w:left w:val="single" w:sz="4" w:space="0" w:color="000000"/>
              <w:bottom w:val="single" w:sz="4" w:space="0" w:color="000000"/>
              <w:right w:val="single" w:sz="4" w:space="0" w:color="000000"/>
            </w:tcBorders>
          </w:tcPr>
          <w:p w14:paraId="5E088DE8" w14:textId="77777777" w:rsidR="008D3E5D" w:rsidRPr="00612F82" w:rsidRDefault="008D3E5D" w:rsidP="002E2751">
            <w:pPr>
              <w:spacing w:line="259" w:lineRule="auto"/>
              <w:ind w:right="48"/>
              <w:jc w:val="center"/>
              <w:rPr>
                <w:rFonts w:cs="Arial"/>
                <w:sz w:val="16"/>
                <w:szCs w:val="16"/>
              </w:rPr>
            </w:pPr>
            <w:r w:rsidRPr="00612F82">
              <w:rPr>
                <w:rFonts w:eastAsia="Calibri" w:cs="Arial"/>
                <w:sz w:val="16"/>
                <w:szCs w:val="16"/>
              </w:rPr>
              <w:t xml:space="preserve">Sredstva EU  </w:t>
            </w:r>
          </w:p>
        </w:tc>
        <w:tc>
          <w:tcPr>
            <w:tcW w:w="988" w:type="dxa"/>
            <w:gridSpan w:val="2"/>
            <w:tcBorders>
              <w:top w:val="single" w:sz="4" w:space="0" w:color="000000"/>
              <w:left w:val="single" w:sz="4" w:space="0" w:color="000000"/>
              <w:bottom w:val="single" w:sz="4" w:space="0" w:color="000000"/>
              <w:right w:val="single" w:sz="4" w:space="0" w:color="000000"/>
            </w:tcBorders>
          </w:tcPr>
          <w:p w14:paraId="0938EEBA" w14:textId="77777777" w:rsidR="008D3E5D" w:rsidRPr="00612F82" w:rsidRDefault="008D3E5D" w:rsidP="002E2751">
            <w:pPr>
              <w:spacing w:line="259" w:lineRule="auto"/>
              <w:ind w:right="46"/>
              <w:jc w:val="center"/>
              <w:rPr>
                <w:rFonts w:cs="Arial"/>
                <w:sz w:val="16"/>
                <w:szCs w:val="16"/>
              </w:rPr>
            </w:pPr>
            <w:r w:rsidRPr="00612F82">
              <w:rPr>
                <w:rFonts w:eastAsia="Calibri" w:cs="Arial"/>
                <w:sz w:val="16"/>
                <w:szCs w:val="16"/>
              </w:rPr>
              <w:t xml:space="preserve">Šolnine  </w:t>
            </w:r>
          </w:p>
        </w:tc>
        <w:tc>
          <w:tcPr>
            <w:tcW w:w="928" w:type="dxa"/>
            <w:tcBorders>
              <w:top w:val="single" w:sz="4" w:space="0" w:color="000000"/>
              <w:left w:val="single" w:sz="4" w:space="0" w:color="000000"/>
              <w:bottom w:val="single" w:sz="4" w:space="0" w:color="000000"/>
              <w:right w:val="single" w:sz="4" w:space="0" w:color="000000"/>
            </w:tcBorders>
          </w:tcPr>
          <w:p w14:paraId="682B0932" w14:textId="77777777" w:rsidR="008D3E5D" w:rsidRPr="00612F82" w:rsidRDefault="008D3E5D" w:rsidP="002E2751">
            <w:pPr>
              <w:spacing w:line="259" w:lineRule="auto"/>
              <w:ind w:right="45"/>
              <w:jc w:val="center"/>
              <w:rPr>
                <w:rFonts w:cs="Arial"/>
                <w:sz w:val="16"/>
                <w:szCs w:val="16"/>
              </w:rPr>
            </w:pPr>
            <w:r w:rsidRPr="00612F82">
              <w:rPr>
                <w:rFonts w:eastAsia="Calibri" w:cs="Arial"/>
                <w:sz w:val="16"/>
                <w:szCs w:val="16"/>
              </w:rPr>
              <w:t xml:space="preserve">Drugo  </w:t>
            </w:r>
          </w:p>
        </w:tc>
      </w:tr>
      <w:tr w:rsidR="008D3E5D" w:rsidRPr="00612F82" w14:paraId="38BC787D" w14:textId="77777777" w:rsidTr="002E2751">
        <w:trPr>
          <w:trHeight w:val="310"/>
        </w:trPr>
        <w:tc>
          <w:tcPr>
            <w:tcW w:w="846" w:type="dxa"/>
            <w:vMerge/>
            <w:tcBorders>
              <w:top w:val="nil"/>
              <w:left w:val="single" w:sz="4" w:space="0" w:color="000000"/>
              <w:bottom w:val="nil"/>
              <w:right w:val="single" w:sz="4" w:space="0" w:color="000000"/>
            </w:tcBorders>
          </w:tcPr>
          <w:p w14:paraId="3DCD5714" w14:textId="77777777" w:rsidR="008D3E5D" w:rsidRPr="00612F82" w:rsidRDefault="008D3E5D" w:rsidP="002E2751">
            <w:pPr>
              <w:spacing w:after="160" w:line="259" w:lineRule="auto"/>
              <w:rPr>
                <w:rFonts w:cs="Arial"/>
                <w:sz w:val="16"/>
                <w:szCs w:val="16"/>
              </w:rPr>
            </w:pPr>
          </w:p>
        </w:tc>
        <w:tc>
          <w:tcPr>
            <w:tcW w:w="2775" w:type="dxa"/>
            <w:tcBorders>
              <w:top w:val="single" w:sz="4" w:space="0" w:color="000000"/>
              <w:left w:val="single" w:sz="4" w:space="0" w:color="000000"/>
              <w:bottom w:val="single" w:sz="4" w:space="0" w:color="000000"/>
              <w:right w:val="single" w:sz="4" w:space="0" w:color="000000"/>
            </w:tcBorders>
          </w:tcPr>
          <w:p w14:paraId="0992693E"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PRIHODKI SKUPAJ </w:t>
            </w:r>
          </w:p>
        </w:tc>
        <w:tc>
          <w:tcPr>
            <w:tcW w:w="1151" w:type="dxa"/>
            <w:gridSpan w:val="2"/>
            <w:tcBorders>
              <w:top w:val="single" w:sz="4" w:space="0" w:color="000000"/>
              <w:left w:val="single" w:sz="4" w:space="0" w:color="000000"/>
              <w:bottom w:val="single" w:sz="4" w:space="0" w:color="000000"/>
              <w:right w:val="single" w:sz="4" w:space="0" w:color="000000"/>
            </w:tcBorders>
          </w:tcPr>
          <w:p w14:paraId="50DC343B"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1.014.347,26 </w:t>
            </w:r>
          </w:p>
        </w:tc>
        <w:tc>
          <w:tcPr>
            <w:tcW w:w="1120" w:type="dxa"/>
            <w:gridSpan w:val="3"/>
            <w:tcBorders>
              <w:top w:val="single" w:sz="4" w:space="0" w:color="000000"/>
              <w:left w:val="single" w:sz="4" w:space="0" w:color="000000"/>
              <w:bottom w:val="single" w:sz="4" w:space="0" w:color="000000"/>
              <w:right w:val="single" w:sz="4" w:space="0" w:color="000000"/>
            </w:tcBorders>
          </w:tcPr>
          <w:p w14:paraId="2ACCAAEE"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700.000,00 </w:t>
            </w:r>
          </w:p>
        </w:tc>
        <w:tc>
          <w:tcPr>
            <w:tcW w:w="1404" w:type="dxa"/>
            <w:gridSpan w:val="2"/>
            <w:tcBorders>
              <w:top w:val="single" w:sz="4" w:space="0" w:color="000000"/>
              <w:left w:val="single" w:sz="4" w:space="0" w:color="000000"/>
              <w:bottom w:val="single" w:sz="4" w:space="0" w:color="000000"/>
              <w:right w:val="single" w:sz="4" w:space="0" w:color="000000"/>
            </w:tcBorders>
          </w:tcPr>
          <w:p w14:paraId="08C62ABB"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242.891,29 </w:t>
            </w:r>
          </w:p>
        </w:tc>
        <w:tc>
          <w:tcPr>
            <w:tcW w:w="988" w:type="dxa"/>
            <w:gridSpan w:val="2"/>
            <w:tcBorders>
              <w:top w:val="single" w:sz="4" w:space="0" w:color="000000"/>
              <w:left w:val="single" w:sz="4" w:space="0" w:color="000000"/>
              <w:bottom w:val="single" w:sz="4" w:space="0" w:color="000000"/>
              <w:right w:val="single" w:sz="4" w:space="0" w:color="000000"/>
            </w:tcBorders>
          </w:tcPr>
          <w:p w14:paraId="3561F93D"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9.120,00 </w:t>
            </w:r>
          </w:p>
        </w:tc>
        <w:tc>
          <w:tcPr>
            <w:tcW w:w="928" w:type="dxa"/>
            <w:tcBorders>
              <w:top w:val="single" w:sz="4" w:space="0" w:color="000000"/>
              <w:left w:val="single" w:sz="4" w:space="0" w:color="000000"/>
              <w:bottom w:val="single" w:sz="4" w:space="0" w:color="000000"/>
              <w:right w:val="single" w:sz="4" w:space="0" w:color="000000"/>
            </w:tcBorders>
          </w:tcPr>
          <w:p w14:paraId="0AA36092"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62,335.97 </w:t>
            </w:r>
          </w:p>
        </w:tc>
      </w:tr>
      <w:tr w:rsidR="008D3E5D" w:rsidRPr="00612F82" w14:paraId="2804BE78" w14:textId="77777777" w:rsidTr="002E2751">
        <w:trPr>
          <w:trHeight w:val="312"/>
        </w:trPr>
        <w:tc>
          <w:tcPr>
            <w:tcW w:w="846" w:type="dxa"/>
            <w:vMerge/>
            <w:tcBorders>
              <w:top w:val="nil"/>
              <w:left w:val="single" w:sz="4" w:space="0" w:color="000000"/>
              <w:bottom w:val="single" w:sz="4" w:space="0" w:color="000000"/>
              <w:right w:val="single" w:sz="4" w:space="0" w:color="000000"/>
            </w:tcBorders>
          </w:tcPr>
          <w:p w14:paraId="316716C6" w14:textId="77777777" w:rsidR="008D3E5D" w:rsidRPr="00612F82" w:rsidRDefault="008D3E5D" w:rsidP="002E2751">
            <w:pPr>
              <w:spacing w:after="160" w:line="259" w:lineRule="auto"/>
              <w:rPr>
                <w:rFonts w:cs="Arial"/>
                <w:sz w:val="16"/>
                <w:szCs w:val="16"/>
              </w:rPr>
            </w:pPr>
          </w:p>
        </w:tc>
        <w:tc>
          <w:tcPr>
            <w:tcW w:w="2775" w:type="dxa"/>
            <w:tcBorders>
              <w:top w:val="single" w:sz="4" w:space="0" w:color="000000"/>
              <w:left w:val="single" w:sz="4" w:space="0" w:color="000000"/>
              <w:bottom w:val="single" w:sz="4" w:space="0" w:color="000000"/>
              <w:right w:val="single" w:sz="4" w:space="0" w:color="000000"/>
            </w:tcBorders>
          </w:tcPr>
          <w:p w14:paraId="5AE168B8"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SKUPAJ </w:t>
            </w:r>
          </w:p>
        </w:tc>
        <w:tc>
          <w:tcPr>
            <w:tcW w:w="1151" w:type="dxa"/>
            <w:gridSpan w:val="2"/>
            <w:tcBorders>
              <w:top w:val="single" w:sz="4" w:space="0" w:color="000000"/>
              <w:left w:val="single" w:sz="4" w:space="0" w:color="000000"/>
              <w:bottom w:val="single" w:sz="4" w:space="0" w:color="000000"/>
              <w:right w:val="single" w:sz="4" w:space="0" w:color="000000"/>
            </w:tcBorders>
          </w:tcPr>
          <w:p w14:paraId="147B3CEE"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1.029.353,51 </w:t>
            </w:r>
          </w:p>
        </w:tc>
        <w:tc>
          <w:tcPr>
            <w:tcW w:w="1120" w:type="dxa"/>
            <w:gridSpan w:val="3"/>
            <w:tcBorders>
              <w:top w:val="single" w:sz="4" w:space="0" w:color="000000"/>
              <w:left w:val="single" w:sz="4" w:space="0" w:color="000000"/>
              <w:bottom w:val="single" w:sz="4" w:space="0" w:color="000000"/>
              <w:right w:val="single" w:sz="4" w:space="0" w:color="000000"/>
            </w:tcBorders>
          </w:tcPr>
          <w:p w14:paraId="56DD2105"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700.000,00 </w:t>
            </w:r>
          </w:p>
        </w:tc>
        <w:tc>
          <w:tcPr>
            <w:tcW w:w="1404" w:type="dxa"/>
            <w:gridSpan w:val="2"/>
            <w:tcBorders>
              <w:top w:val="single" w:sz="4" w:space="0" w:color="000000"/>
              <w:left w:val="single" w:sz="4" w:space="0" w:color="000000"/>
              <w:bottom w:val="single" w:sz="4" w:space="0" w:color="000000"/>
              <w:right w:val="single" w:sz="4" w:space="0" w:color="000000"/>
            </w:tcBorders>
          </w:tcPr>
          <w:p w14:paraId="7C489D3F"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258.409,12 </w:t>
            </w:r>
          </w:p>
        </w:tc>
        <w:tc>
          <w:tcPr>
            <w:tcW w:w="988" w:type="dxa"/>
            <w:gridSpan w:val="2"/>
            <w:tcBorders>
              <w:top w:val="single" w:sz="4" w:space="0" w:color="000000"/>
              <w:left w:val="single" w:sz="4" w:space="0" w:color="000000"/>
              <w:bottom w:val="single" w:sz="4" w:space="0" w:color="000000"/>
              <w:right w:val="single" w:sz="4" w:space="0" w:color="000000"/>
            </w:tcBorders>
          </w:tcPr>
          <w:p w14:paraId="08C57153"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9.029,48 </w:t>
            </w:r>
          </w:p>
        </w:tc>
        <w:tc>
          <w:tcPr>
            <w:tcW w:w="928" w:type="dxa"/>
            <w:tcBorders>
              <w:top w:val="single" w:sz="4" w:space="0" w:color="000000"/>
              <w:left w:val="single" w:sz="4" w:space="0" w:color="000000"/>
              <w:bottom w:val="single" w:sz="4" w:space="0" w:color="000000"/>
              <w:right w:val="single" w:sz="4" w:space="0" w:color="000000"/>
            </w:tcBorders>
          </w:tcPr>
          <w:p w14:paraId="19994550"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61,914.91 </w:t>
            </w:r>
          </w:p>
        </w:tc>
      </w:tr>
      <w:tr w:rsidR="008D3E5D" w:rsidRPr="00612F82" w14:paraId="346E1E81"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590BC21B"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1.2. </w:t>
            </w:r>
          </w:p>
        </w:tc>
        <w:tc>
          <w:tcPr>
            <w:tcW w:w="2775" w:type="dxa"/>
            <w:tcBorders>
              <w:top w:val="single" w:sz="4" w:space="0" w:color="000000"/>
              <w:left w:val="single" w:sz="4" w:space="0" w:color="000000"/>
              <w:bottom w:val="single" w:sz="4" w:space="0" w:color="000000"/>
              <w:right w:val="single" w:sz="4" w:space="0" w:color="000000"/>
            </w:tcBorders>
          </w:tcPr>
          <w:p w14:paraId="33226EB6"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MATERIALA </w:t>
            </w:r>
          </w:p>
        </w:tc>
        <w:tc>
          <w:tcPr>
            <w:tcW w:w="1151" w:type="dxa"/>
            <w:gridSpan w:val="2"/>
            <w:tcBorders>
              <w:top w:val="single" w:sz="4" w:space="0" w:color="000000"/>
              <w:left w:val="single" w:sz="4" w:space="0" w:color="000000"/>
              <w:bottom w:val="single" w:sz="4" w:space="0" w:color="000000"/>
              <w:right w:val="single" w:sz="4" w:space="0" w:color="000000"/>
            </w:tcBorders>
          </w:tcPr>
          <w:p w14:paraId="4AFDFAFB"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11.849,76 </w:t>
            </w:r>
          </w:p>
        </w:tc>
        <w:tc>
          <w:tcPr>
            <w:tcW w:w="1120" w:type="dxa"/>
            <w:gridSpan w:val="3"/>
            <w:tcBorders>
              <w:top w:val="single" w:sz="4" w:space="0" w:color="000000"/>
              <w:left w:val="single" w:sz="4" w:space="0" w:color="000000"/>
              <w:bottom w:val="single" w:sz="4" w:space="0" w:color="000000"/>
              <w:right w:val="single" w:sz="4" w:space="0" w:color="000000"/>
            </w:tcBorders>
          </w:tcPr>
          <w:p w14:paraId="0C92583D"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11.786,35 </w:t>
            </w:r>
          </w:p>
        </w:tc>
        <w:tc>
          <w:tcPr>
            <w:tcW w:w="1404" w:type="dxa"/>
            <w:gridSpan w:val="2"/>
            <w:tcBorders>
              <w:top w:val="single" w:sz="4" w:space="0" w:color="000000"/>
              <w:left w:val="single" w:sz="4" w:space="0" w:color="000000"/>
              <w:bottom w:val="single" w:sz="4" w:space="0" w:color="000000"/>
              <w:right w:val="single" w:sz="4" w:space="0" w:color="000000"/>
            </w:tcBorders>
          </w:tcPr>
          <w:p w14:paraId="654FC299"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63,41 </w:t>
            </w:r>
          </w:p>
        </w:tc>
        <w:tc>
          <w:tcPr>
            <w:tcW w:w="988" w:type="dxa"/>
            <w:gridSpan w:val="2"/>
            <w:tcBorders>
              <w:top w:val="single" w:sz="4" w:space="0" w:color="000000"/>
              <w:left w:val="single" w:sz="4" w:space="0" w:color="000000"/>
              <w:bottom w:val="single" w:sz="4" w:space="0" w:color="000000"/>
              <w:right w:val="single" w:sz="4" w:space="0" w:color="000000"/>
            </w:tcBorders>
          </w:tcPr>
          <w:p w14:paraId="3FE94864"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738AF1E0"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r>
      <w:tr w:rsidR="008D3E5D" w:rsidRPr="00612F82" w14:paraId="6D1BD95C" w14:textId="77777777" w:rsidTr="002E2751">
        <w:trPr>
          <w:trHeight w:val="451"/>
        </w:trPr>
        <w:tc>
          <w:tcPr>
            <w:tcW w:w="846" w:type="dxa"/>
            <w:tcBorders>
              <w:top w:val="single" w:sz="4" w:space="0" w:color="000000"/>
              <w:left w:val="single" w:sz="4" w:space="0" w:color="000000"/>
              <w:bottom w:val="single" w:sz="4" w:space="0" w:color="000000"/>
              <w:right w:val="single" w:sz="4" w:space="0" w:color="000000"/>
            </w:tcBorders>
            <w:vAlign w:val="center"/>
          </w:tcPr>
          <w:p w14:paraId="7F9505B7" w14:textId="77777777" w:rsidR="008D3E5D" w:rsidRPr="00612F82" w:rsidRDefault="008D3E5D" w:rsidP="002E2751">
            <w:pPr>
              <w:spacing w:line="259" w:lineRule="auto"/>
              <w:rPr>
                <w:rFonts w:cs="Arial"/>
                <w:sz w:val="16"/>
                <w:szCs w:val="16"/>
              </w:rPr>
            </w:pPr>
            <w:r w:rsidRPr="00612F82">
              <w:rPr>
                <w:rFonts w:cs="Arial"/>
                <w:sz w:val="16"/>
                <w:szCs w:val="16"/>
              </w:rPr>
              <w:t xml:space="preserve">1.2.1. </w:t>
            </w:r>
          </w:p>
        </w:tc>
        <w:tc>
          <w:tcPr>
            <w:tcW w:w="2775" w:type="dxa"/>
            <w:tcBorders>
              <w:top w:val="single" w:sz="4" w:space="0" w:color="000000"/>
              <w:left w:val="single" w:sz="4" w:space="0" w:color="000000"/>
              <w:bottom w:val="single" w:sz="4" w:space="0" w:color="000000"/>
              <w:right w:val="single" w:sz="4" w:space="0" w:color="000000"/>
            </w:tcBorders>
          </w:tcPr>
          <w:p w14:paraId="130928EE"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električne energije, ogrevanje, voda, smeti, dvigalo, ostalo </w:t>
            </w: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6173F838"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7.709,70 </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39065A4E"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7.709,70 </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43C333A2"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14:paraId="32A0AAC4"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58C3DDA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56A7EAC5"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606EA25E" w14:textId="77777777" w:rsidR="008D3E5D" w:rsidRPr="00612F82" w:rsidRDefault="008D3E5D" w:rsidP="002E2751">
            <w:pPr>
              <w:spacing w:line="259" w:lineRule="auto"/>
              <w:rPr>
                <w:rFonts w:cs="Arial"/>
                <w:sz w:val="16"/>
                <w:szCs w:val="16"/>
              </w:rPr>
            </w:pPr>
            <w:r w:rsidRPr="00612F82">
              <w:rPr>
                <w:rFonts w:cs="Arial"/>
                <w:sz w:val="16"/>
                <w:szCs w:val="16"/>
              </w:rPr>
              <w:t xml:space="preserve">1.2.4. </w:t>
            </w:r>
          </w:p>
        </w:tc>
        <w:tc>
          <w:tcPr>
            <w:tcW w:w="2775" w:type="dxa"/>
            <w:tcBorders>
              <w:top w:val="single" w:sz="4" w:space="0" w:color="000000"/>
              <w:left w:val="single" w:sz="4" w:space="0" w:color="000000"/>
              <w:bottom w:val="single" w:sz="4" w:space="0" w:color="000000"/>
              <w:right w:val="single" w:sz="4" w:space="0" w:color="000000"/>
            </w:tcBorders>
          </w:tcPr>
          <w:p w14:paraId="0F57EB69"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strokovne in druge literature </w:t>
            </w:r>
          </w:p>
        </w:tc>
        <w:tc>
          <w:tcPr>
            <w:tcW w:w="1151" w:type="dxa"/>
            <w:gridSpan w:val="2"/>
            <w:tcBorders>
              <w:top w:val="single" w:sz="4" w:space="0" w:color="000000"/>
              <w:left w:val="single" w:sz="4" w:space="0" w:color="000000"/>
              <w:bottom w:val="single" w:sz="4" w:space="0" w:color="000000"/>
              <w:right w:val="single" w:sz="4" w:space="0" w:color="000000"/>
            </w:tcBorders>
          </w:tcPr>
          <w:p w14:paraId="3AEEC6E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956,64 </w:t>
            </w:r>
          </w:p>
        </w:tc>
        <w:tc>
          <w:tcPr>
            <w:tcW w:w="1120" w:type="dxa"/>
            <w:gridSpan w:val="3"/>
            <w:tcBorders>
              <w:top w:val="single" w:sz="4" w:space="0" w:color="000000"/>
              <w:left w:val="single" w:sz="4" w:space="0" w:color="000000"/>
              <w:bottom w:val="single" w:sz="4" w:space="0" w:color="000000"/>
              <w:right w:val="single" w:sz="4" w:space="0" w:color="000000"/>
            </w:tcBorders>
          </w:tcPr>
          <w:p w14:paraId="755168C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956,64 </w:t>
            </w:r>
          </w:p>
        </w:tc>
        <w:tc>
          <w:tcPr>
            <w:tcW w:w="1404" w:type="dxa"/>
            <w:gridSpan w:val="2"/>
            <w:tcBorders>
              <w:top w:val="single" w:sz="4" w:space="0" w:color="000000"/>
              <w:left w:val="single" w:sz="4" w:space="0" w:color="000000"/>
              <w:bottom w:val="single" w:sz="4" w:space="0" w:color="000000"/>
              <w:right w:val="single" w:sz="4" w:space="0" w:color="000000"/>
            </w:tcBorders>
          </w:tcPr>
          <w:p w14:paraId="4F2C8FFA" w14:textId="77777777" w:rsidR="008D3E5D" w:rsidRPr="00612F82" w:rsidRDefault="008D3E5D" w:rsidP="002E2751">
            <w:pPr>
              <w:spacing w:line="259" w:lineRule="auto"/>
              <w:ind w:right="49"/>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7B9C37F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331C103E"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1F9E4B13"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02E67604" w14:textId="77777777" w:rsidR="008D3E5D" w:rsidRPr="00612F82" w:rsidRDefault="008D3E5D" w:rsidP="002E2751">
            <w:pPr>
              <w:spacing w:line="259" w:lineRule="auto"/>
              <w:rPr>
                <w:rFonts w:cs="Arial"/>
                <w:sz w:val="16"/>
                <w:szCs w:val="16"/>
              </w:rPr>
            </w:pPr>
            <w:r w:rsidRPr="00612F82">
              <w:rPr>
                <w:rFonts w:cs="Arial"/>
                <w:sz w:val="16"/>
                <w:szCs w:val="16"/>
              </w:rPr>
              <w:t xml:space="preserve">1.2.5. </w:t>
            </w:r>
          </w:p>
        </w:tc>
        <w:tc>
          <w:tcPr>
            <w:tcW w:w="2775" w:type="dxa"/>
            <w:tcBorders>
              <w:top w:val="single" w:sz="4" w:space="0" w:color="000000"/>
              <w:left w:val="single" w:sz="4" w:space="0" w:color="000000"/>
              <w:bottom w:val="single" w:sz="4" w:space="0" w:color="000000"/>
              <w:right w:val="single" w:sz="4" w:space="0" w:color="000000"/>
            </w:tcBorders>
          </w:tcPr>
          <w:p w14:paraId="5E4A20E3"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pisarniškega materiala </w:t>
            </w:r>
          </w:p>
        </w:tc>
        <w:tc>
          <w:tcPr>
            <w:tcW w:w="1151" w:type="dxa"/>
            <w:gridSpan w:val="2"/>
            <w:tcBorders>
              <w:top w:val="single" w:sz="4" w:space="0" w:color="000000"/>
              <w:left w:val="single" w:sz="4" w:space="0" w:color="000000"/>
              <w:bottom w:val="single" w:sz="4" w:space="0" w:color="000000"/>
              <w:right w:val="single" w:sz="4" w:space="0" w:color="000000"/>
            </w:tcBorders>
          </w:tcPr>
          <w:p w14:paraId="5CDC8F7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236,00 </w:t>
            </w:r>
          </w:p>
        </w:tc>
        <w:tc>
          <w:tcPr>
            <w:tcW w:w="1120" w:type="dxa"/>
            <w:gridSpan w:val="3"/>
            <w:tcBorders>
              <w:top w:val="single" w:sz="4" w:space="0" w:color="000000"/>
              <w:left w:val="single" w:sz="4" w:space="0" w:color="000000"/>
              <w:bottom w:val="single" w:sz="4" w:space="0" w:color="000000"/>
              <w:right w:val="single" w:sz="4" w:space="0" w:color="000000"/>
            </w:tcBorders>
          </w:tcPr>
          <w:p w14:paraId="1478A16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172,59 </w:t>
            </w:r>
          </w:p>
        </w:tc>
        <w:tc>
          <w:tcPr>
            <w:tcW w:w="1404" w:type="dxa"/>
            <w:gridSpan w:val="2"/>
            <w:tcBorders>
              <w:top w:val="single" w:sz="4" w:space="0" w:color="000000"/>
              <w:left w:val="single" w:sz="4" w:space="0" w:color="000000"/>
              <w:bottom w:val="single" w:sz="4" w:space="0" w:color="000000"/>
              <w:right w:val="single" w:sz="4" w:space="0" w:color="000000"/>
            </w:tcBorders>
          </w:tcPr>
          <w:p w14:paraId="72D47F5F"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63,41 </w:t>
            </w:r>
          </w:p>
        </w:tc>
        <w:tc>
          <w:tcPr>
            <w:tcW w:w="988" w:type="dxa"/>
            <w:gridSpan w:val="2"/>
            <w:tcBorders>
              <w:top w:val="single" w:sz="4" w:space="0" w:color="000000"/>
              <w:left w:val="single" w:sz="4" w:space="0" w:color="000000"/>
              <w:bottom w:val="single" w:sz="4" w:space="0" w:color="000000"/>
              <w:right w:val="single" w:sz="4" w:space="0" w:color="000000"/>
            </w:tcBorders>
          </w:tcPr>
          <w:p w14:paraId="5D275DFD"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A4DA420"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11AF42D5"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6B2DD83" w14:textId="77777777" w:rsidR="008D3E5D" w:rsidRPr="00612F82" w:rsidRDefault="008D3E5D" w:rsidP="002E2751">
            <w:pPr>
              <w:spacing w:line="259" w:lineRule="auto"/>
              <w:rPr>
                <w:rFonts w:cs="Arial"/>
                <w:sz w:val="16"/>
                <w:szCs w:val="16"/>
              </w:rPr>
            </w:pPr>
            <w:r w:rsidRPr="00612F82">
              <w:rPr>
                <w:rFonts w:cs="Arial"/>
                <w:sz w:val="16"/>
                <w:szCs w:val="16"/>
              </w:rPr>
              <w:t xml:space="preserve">1.2.6. </w:t>
            </w:r>
          </w:p>
        </w:tc>
        <w:tc>
          <w:tcPr>
            <w:tcW w:w="2775" w:type="dxa"/>
            <w:tcBorders>
              <w:top w:val="single" w:sz="4" w:space="0" w:color="000000"/>
              <w:left w:val="single" w:sz="4" w:space="0" w:color="000000"/>
              <w:bottom w:val="single" w:sz="4" w:space="0" w:color="000000"/>
              <w:right w:val="single" w:sz="4" w:space="0" w:color="000000"/>
            </w:tcBorders>
          </w:tcPr>
          <w:p w14:paraId="66E8BA9C" w14:textId="77777777" w:rsidR="008D3E5D" w:rsidRPr="00612F82" w:rsidRDefault="008D3E5D" w:rsidP="002E2751">
            <w:pPr>
              <w:spacing w:line="259" w:lineRule="auto"/>
              <w:rPr>
                <w:rFonts w:cs="Arial"/>
                <w:sz w:val="16"/>
                <w:szCs w:val="16"/>
              </w:rPr>
            </w:pPr>
            <w:r w:rsidRPr="00612F82">
              <w:rPr>
                <w:rFonts w:cs="Arial"/>
                <w:sz w:val="16"/>
                <w:szCs w:val="16"/>
              </w:rPr>
              <w:t xml:space="preserve">Drugi porabljeni material </w:t>
            </w:r>
          </w:p>
        </w:tc>
        <w:tc>
          <w:tcPr>
            <w:tcW w:w="1151" w:type="dxa"/>
            <w:gridSpan w:val="2"/>
            <w:tcBorders>
              <w:top w:val="single" w:sz="4" w:space="0" w:color="000000"/>
              <w:left w:val="single" w:sz="4" w:space="0" w:color="000000"/>
              <w:bottom w:val="single" w:sz="4" w:space="0" w:color="000000"/>
              <w:right w:val="single" w:sz="4" w:space="0" w:color="000000"/>
            </w:tcBorders>
          </w:tcPr>
          <w:p w14:paraId="094BF29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2.947,42 </w:t>
            </w:r>
          </w:p>
        </w:tc>
        <w:tc>
          <w:tcPr>
            <w:tcW w:w="1120" w:type="dxa"/>
            <w:gridSpan w:val="3"/>
            <w:tcBorders>
              <w:top w:val="single" w:sz="4" w:space="0" w:color="000000"/>
              <w:left w:val="single" w:sz="4" w:space="0" w:color="000000"/>
              <w:bottom w:val="single" w:sz="4" w:space="0" w:color="000000"/>
              <w:right w:val="single" w:sz="4" w:space="0" w:color="000000"/>
            </w:tcBorders>
          </w:tcPr>
          <w:p w14:paraId="41A5CD9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2.947,42 </w:t>
            </w:r>
          </w:p>
        </w:tc>
        <w:tc>
          <w:tcPr>
            <w:tcW w:w="1404" w:type="dxa"/>
            <w:gridSpan w:val="2"/>
            <w:tcBorders>
              <w:top w:val="single" w:sz="4" w:space="0" w:color="000000"/>
              <w:left w:val="single" w:sz="4" w:space="0" w:color="000000"/>
              <w:bottom w:val="single" w:sz="4" w:space="0" w:color="000000"/>
              <w:right w:val="single" w:sz="4" w:space="0" w:color="000000"/>
            </w:tcBorders>
          </w:tcPr>
          <w:p w14:paraId="10CBF730"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7BD6B92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778A5A1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186ABD9B"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0BA39F74"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1.3. </w:t>
            </w:r>
          </w:p>
        </w:tc>
        <w:tc>
          <w:tcPr>
            <w:tcW w:w="2775" w:type="dxa"/>
            <w:tcBorders>
              <w:top w:val="single" w:sz="4" w:space="0" w:color="000000"/>
              <w:left w:val="single" w:sz="4" w:space="0" w:color="000000"/>
              <w:bottom w:val="single" w:sz="4" w:space="0" w:color="000000"/>
              <w:right w:val="single" w:sz="4" w:space="0" w:color="000000"/>
            </w:tcBorders>
          </w:tcPr>
          <w:p w14:paraId="1F28CFDA"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STORITEV </w:t>
            </w:r>
          </w:p>
        </w:tc>
        <w:tc>
          <w:tcPr>
            <w:tcW w:w="1151" w:type="dxa"/>
            <w:gridSpan w:val="2"/>
            <w:tcBorders>
              <w:top w:val="single" w:sz="4" w:space="0" w:color="000000"/>
              <w:left w:val="single" w:sz="4" w:space="0" w:color="000000"/>
              <w:bottom w:val="single" w:sz="4" w:space="0" w:color="000000"/>
              <w:right w:val="single" w:sz="4" w:space="0" w:color="000000"/>
            </w:tcBorders>
          </w:tcPr>
          <w:p w14:paraId="7BBAA633"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438.326,45 </w:t>
            </w:r>
          </w:p>
        </w:tc>
        <w:tc>
          <w:tcPr>
            <w:tcW w:w="1120" w:type="dxa"/>
            <w:gridSpan w:val="3"/>
            <w:tcBorders>
              <w:top w:val="single" w:sz="4" w:space="0" w:color="000000"/>
              <w:left w:val="single" w:sz="4" w:space="0" w:color="000000"/>
              <w:bottom w:val="single" w:sz="4" w:space="0" w:color="000000"/>
              <w:right w:val="single" w:sz="4" w:space="0" w:color="000000"/>
            </w:tcBorders>
          </w:tcPr>
          <w:p w14:paraId="4286E1B9"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158.042,75 </w:t>
            </w:r>
          </w:p>
        </w:tc>
        <w:tc>
          <w:tcPr>
            <w:tcW w:w="1404" w:type="dxa"/>
            <w:gridSpan w:val="2"/>
            <w:tcBorders>
              <w:top w:val="single" w:sz="4" w:space="0" w:color="000000"/>
              <w:left w:val="single" w:sz="4" w:space="0" w:color="000000"/>
              <w:bottom w:val="single" w:sz="4" w:space="0" w:color="000000"/>
              <w:right w:val="single" w:sz="4" w:space="0" w:color="000000"/>
            </w:tcBorders>
          </w:tcPr>
          <w:p w14:paraId="4B8E3EF6"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215.671,88 </w:t>
            </w:r>
          </w:p>
        </w:tc>
        <w:tc>
          <w:tcPr>
            <w:tcW w:w="988" w:type="dxa"/>
            <w:gridSpan w:val="2"/>
            <w:tcBorders>
              <w:top w:val="single" w:sz="4" w:space="0" w:color="000000"/>
              <w:left w:val="single" w:sz="4" w:space="0" w:color="000000"/>
              <w:bottom w:val="single" w:sz="4" w:space="0" w:color="000000"/>
              <w:right w:val="single" w:sz="4" w:space="0" w:color="000000"/>
            </w:tcBorders>
          </w:tcPr>
          <w:p w14:paraId="2B124B85"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3.001,79 </w:t>
            </w:r>
          </w:p>
        </w:tc>
        <w:tc>
          <w:tcPr>
            <w:tcW w:w="928" w:type="dxa"/>
            <w:tcBorders>
              <w:top w:val="single" w:sz="4" w:space="0" w:color="000000"/>
              <w:left w:val="single" w:sz="4" w:space="0" w:color="000000"/>
              <w:bottom w:val="single" w:sz="4" w:space="0" w:color="000000"/>
              <w:right w:val="single" w:sz="4" w:space="0" w:color="000000"/>
            </w:tcBorders>
          </w:tcPr>
          <w:p w14:paraId="77E7F339"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61,610.03 </w:t>
            </w:r>
          </w:p>
        </w:tc>
      </w:tr>
      <w:tr w:rsidR="008D3E5D" w:rsidRPr="00612F82" w14:paraId="50FF1CBF"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51F8AC5D"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1.3.1. </w:t>
            </w:r>
          </w:p>
        </w:tc>
        <w:tc>
          <w:tcPr>
            <w:tcW w:w="2775" w:type="dxa"/>
            <w:tcBorders>
              <w:top w:val="single" w:sz="4" w:space="0" w:color="000000"/>
              <w:left w:val="single" w:sz="4" w:space="0" w:color="000000"/>
              <w:bottom w:val="single" w:sz="4" w:space="0" w:color="000000"/>
              <w:right w:val="single" w:sz="4" w:space="0" w:color="000000"/>
            </w:tcBorders>
          </w:tcPr>
          <w:p w14:paraId="4BF94972"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storitev za opravljanje dejavnosti </w:t>
            </w:r>
          </w:p>
        </w:tc>
        <w:tc>
          <w:tcPr>
            <w:tcW w:w="1151" w:type="dxa"/>
            <w:gridSpan w:val="2"/>
            <w:tcBorders>
              <w:top w:val="single" w:sz="4" w:space="0" w:color="000000"/>
              <w:left w:val="single" w:sz="4" w:space="0" w:color="000000"/>
              <w:bottom w:val="single" w:sz="4" w:space="0" w:color="000000"/>
              <w:right w:val="single" w:sz="4" w:space="0" w:color="000000"/>
            </w:tcBorders>
          </w:tcPr>
          <w:p w14:paraId="35837634"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3.753,44 </w:t>
            </w:r>
          </w:p>
        </w:tc>
        <w:tc>
          <w:tcPr>
            <w:tcW w:w="1120" w:type="dxa"/>
            <w:gridSpan w:val="3"/>
            <w:tcBorders>
              <w:top w:val="single" w:sz="4" w:space="0" w:color="000000"/>
              <w:left w:val="single" w:sz="4" w:space="0" w:color="000000"/>
              <w:bottom w:val="single" w:sz="4" w:space="0" w:color="000000"/>
              <w:right w:val="single" w:sz="4" w:space="0" w:color="000000"/>
            </w:tcBorders>
          </w:tcPr>
          <w:p w14:paraId="0F5A6FED"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3.753,44 </w:t>
            </w:r>
          </w:p>
        </w:tc>
        <w:tc>
          <w:tcPr>
            <w:tcW w:w="1404" w:type="dxa"/>
            <w:gridSpan w:val="2"/>
            <w:tcBorders>
              <w:top w:val="single" w:sz="4" w:space="0" w:color="000000"/>
              <w:left w:val="single" w:sz="4" w:space="0" w:color="000000"/>
              <w:bottom w:val="single" w:sz="4" w:space="0" w:color="000000"/>
              <w:right w:val="single" w:sz="4" w:space="0" w:color="000000"/>
            </w:tcBorders>
          </w:tcPr>
          <w:p w14:paraId="1B849212"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47E46E24"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1623E5C"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r>
      <w:tr w:rsidR="008D3E5D" w:rsidRPr="00612F82" w14:paraId="40A62EB1"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65FEB69B" w14:textId="77777777" w:rsidR="008D3E5D" w:rsidRPr="00612F82" w:rsidRDefault="008D3E5D" w:rsidP="002E2751">
            <w:pPr>
              <w:spacing w:line="259" w:lineRule="auto"/>
              <w:rPr>
                <w:rFonts w:cs="Arial"/>
                <w:sz w:val="16"/>
                <w:szCs w:val="16"/>
              </w:rPr>
            </w:pPr>
            <w:r w:rsidRPr="00612F82">
              <w:rPr>
                <w:rFonts w:cs="Arial"/>
                <w:sz w:val="16"/>
                <w:szCs w:val="16"/>
              </w:rPr>
              <w:t xml:space="preserve">1.3.1.1. </w:t>
            </w:r>
          </w:p>
        </w:tc>
        <w:tc>
          <w:tcPr>
            <w:tcW w:w="2775" w:type="dxa"/>
            <w:tcBorders>
              <w:top w:val="single" w:sz="4" w:space="0" w:color="000000"/>
              <w:left w:val="single" w:sz="4" w:space="0" w:color="000000"/>
              <w:bottom w:val="single" w:sz="4" w:space="0" w:color="000000"/>
              <w:right w:val="single" w:sz="4" w:space="0" w:color="000000"/>
            </w:tcBorders>
          </w:tcPr>
          <w:p w14:paraId="77B055BC"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poštnih storitev, poštnina </w:t>
            </w:r>
          </w:p>
        </w:tc>
        <w:tc>
          <w:tcPr>
            <w:tcW w:w="1151" w:type="dxa"/>
            <w:gridSpan w:val="2"/>
            <w:tcBorders>
              <w:top w:val="single" w:sz="4" w:space="0" w:color="000000"/>
              <w:left w:val="single" w:sz="4" w:space="0" w:color="000000"/>
              <w:bottom w:val="single" w:sz="4" w:space="0" w:color="000000"/>
              <w:right w:val="single" w:sz="4" w:space="0" w:color="000000"/>
            </w:tcBorders>
          </w:tcPr>
          <w:p w14:paraId="42D6100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558,12 </w:t>
            </w:r>
          </w:p>
        </w:tc>
        <w:tc>
          <w:tcPr>
            <w:tcW w:w="1120" w:type="dxa"/>
            <w:gridSpan w:val="3"/>
            <w:tcBorders>
              <w:top w:val="single" w:sz="4" w:space="0" w:color="000000"/>
              <w:left w:val="single" w:sz="4" w:space="0" w:color="000000"/>
              <w:bottom w:val="single" w:sz="4" w:space="0" w:color="000000"/>
              <w:right w:val="single" w:sz="4" w:space="0" w:color="000000"/>
            </w:tcBorders>
          </w:tcPr>
          <w:p w14:paraId="293274D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558,12 </w:t>
            </w:r>
          </w:p>
        </w:tc>
        <w:tc>
          <w:tcPr>
            <w:tcW w:w="1404" w:type="dxa"/>
            <w:gridSpan w:val="2"/>
            <w:tcBorders>
              <w:top w:val="single" w:sz="4" w:space="0" w:color="000000"/>
              <w:left w:val="single" w:sz="4" w:space="0" w:color="000000"/>
              <w:bottom w:val="single" w:sz="4" w:space="0" w:color="000000"/>
              <w:right w:val="single" w:sz="4" w:space="0" w:color="000000"/>
            </w:tcBorders>
          </w:tcPr>
          <w:p w14:paraId="0FB99688" w14:textId="77777777" w:rsidR="008D3E5D" w:rsidRPr="00612F82" w:rsidRDefault="008D3E5D" w:rsidP="002E2751">
            <w:pPr>
              <w:spacing w:line="259" w:lineRule="auto"/>
              <w:ind w:right="49"/>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5DD08FE2"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52CBEF3"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76C62748"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425A21E7" w14:textId="77777777" w:rsidR="008D3E5D" w:rsidRPr="00612F82" w:rsidRDefault="008D3E5D" w:rsidP="002E2751">
            <w:pPr>
              <w:spacing w:line="259" w:lineRule="auto"/>
              <w:rPr>
                <w:rFonts w:cs="Arial"/>
                <w:sz w:val="16"/>
                <w:szCs w:val="16"/>
              </w:rPr>
            </w:pPr>
            <w:r w:rsidRPr="00612F82">
              <w:rPr>
                <w:rFonts w:cs="Arial"/>
                <w:sz w:val="16"/>
                <w:szCs w:val="16"/>
              </w:rPr>
              <w:t xml:space="preserve">1.3.1.2. </w:t>
            </w:r>
          </w:p>
        </w:tc>
        <w:tc>
          <w:tcPr>
            <w:tcW w:w="2775" w:type="dxa"/>
            <w:tcBorders>
              <w:top w:val="single" w:sz="4" w:space="0" w:color="000000"/>
              <w:left w:val="single" w:sz="4" w:space="0" w:color="000000"/>
              <w:bottom w:val="single" w:sz="4" w:space="0" w:color="000000"/>
              <w:right w:val="single" w:sz="4" w:space="0" w:color="000000"/>
            </w:tcBorders>
          </w:tcPr>
          <w:p w14:paraId="16D38073"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telefona </w:t>
            </w:r>
          </w:p>
        </w:tc>
        <w:tc>
          <w:tcPr>
            <w:tcW w:w="1151" w:type="dxa"/>
            <w:gridSpan w:val="2"/>
            <w:tcBorders>
              <w:top w:val="single" w:sz="4" w:space="0" w:color="000000"/>
              <w:left w:val="single" w:sz="4" w:space="0" w:color="000000"/>
              <w:bottom w:val="single" w:sz="4" w:space="0" w:color="000000"/>
              <w:right w:val="single" w:sz="4" w:space="0" w:color="000000"/>
            </w:tcBorders>
          </w:tcPr>
          <w:p w14:paraId="4AF373F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3.195,32 </w:t>
            </w:r>
          </w:p>
        </w:tc>
        <w:tc>
          <w:tcPr>
            <w:tcW w:w="1120" w:type="dxa"/>
            <w:gridSpan w:val="3"/>
            <w:tcBorders>
              <w:top w:val="single" w:sz="4" w:space="0" w:color="000000"/>
              <w:left w:val="single" w:sz="4" w:space="0" w:color="000000"/>
              <w:bottom w:val="single" w:sz="4" w:space="0" w:color="000000"/>
              <w:right w:val="single" w:sz="4" w:space="0" w:color="000000"/>
            </w:tcBorders>
          </w:tcPr>
          <w:p w14:paraId="78B4FA22"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3.195,32 </w:t>
            </w:r>
          </w:p>
        </w:tc>
        <w:tc>
          <w:tcPr>
            <w:tcW w:w="1404" w:type="dxa"/>
            <w:gridSpan w:val="2"/>
            <w:tcBorders>
              <w:top w:val="single" w:sz="4" w:space="0" w:color="000000"/>
              <w:left w:val="single" w:sz="4" w:space="0" w:color="000000"/>
              <w:bottom w:val="single" w:sz="4" w:space="0" w:color="000000"/>
              <w:right w:val="single" w:sz="4" w:space="0" w:color="000000"/>
            </w:tcBorders>
          </w:tcPr>
          <w:p w14:paraId="51ECF305"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0A33ECA6"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050A4A04"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0472852A"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ADDFF53" w14:textId="77777777" w:rsidR="008D3E5D" w:rsidRPr="00612F82" w:rsidRDefault="008D3E5D" w:rsidP="002E2751">
            <w:pPr>
              <w:spacing w:line="259" w:lineRule="auto"/>
              <w:rPr>
                <w:rFonts w:cs="Arial"/>
                <w:sz w:val="16"/>
                <w:szCs w:val="16"/>
              </w:rPr>
            </w:pPr>
            <w:r w:rsidRPr="00612F82">
              <w:rPr>
                <w:rFonts w:cs="Arial"/>
                <w:sz w:val="16"/>
                <w:szCs w:val="16"/>
              </w:rPr>
              <w:t xml:space="preserve">1.3.1.3. </w:t>
            </w:r>
          </w:p>
        </w:tc>
        <w:tc>
          <w:tcPr>
            <w:tcW w:w="2775" w:type="dxa"/>
            <w:tcBorders>
              <w:top w:val="single" w:sz="4" w:space="0" w:color="000000"/>
              <w:left w:val="single" w:sz="4" w:space="0" w:color="000000"/>
              <w:bottom w:val="single" w:sz="4" w:space="0" w:color="000000"/>
              <w:right w:val="single" w:sz="4" w:space="0" w:color="000000"/>
            </w:tcBorders>
          </w:tcPr>
          <w:p w14:paraId="2198EAE5" w14:textId="77777777" w:rsidR="008D3E5D" w:rsidRPr="00612F82" w:rsidRDefault="008D3E5D" w:rsidP="002E2751">
            <w:pPr>
              <w:spacing w:line="259" w:lineRule="auto"/>
              <w:rPr>
                <w:rFonts w:cs="Arial"/>
                <w:sz w:val="16"/>
                <w:szCs w:val="16"/>
              </w:rPr>
            </w:pPr>
            <w:r w:rsidRPr="00612F82">
              <w:rPr>
                <w:rFonts w:cs="Arial"/>
                <w:sz w:val="16"/>
                <w:szCs w:val="16"/>
              </w:rPr>
              <w:t xml:space="preserve">Drugi stroški storitev za opravljanje dejavnosti </w:t>
            </w:r>
          </w:p>
        </w:tc>
        <w:tc>
          <w:tcPr>
            <w:tcW w:w="1151" w:type="dxa"/>
            <w:gridSpan w:val="2"/>
            <w:tcBorders>
              <w:top w:val="single" w:sz="4" w:space="0" w:color="000000"/>
              <w:left w:val="single" w:sz="4" w:space="0" w:color="000000"/>
              <w:bottom w:val="single" w:sz="4" w:space="0" w:color="000000"/>
              <w:right w:val="single" w:sz="4" w:space="0" w:color="000000"/>
            </w:tcBorders>
          </w:tcPr>
          <w:p w14:paraId="02782192"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120" w:type="dxa"/>
            <w:gridSpan w:val="3"/>
            <w:tcBorders>
              <w:top w:val="single" w:sz="4" w:space="0" w:color="000000"/>
              <w:left w:val="single" w:sz="4" w:space="0" w:color="000000"/>
              <w:bottom w:val="single" w:sz="4" w:space="0" w:color="000000"/>
              <w:right w:val="single" w:sz="4" w:space="0" w:color="000000"/>
            </w:tcBorders>
          </w:tcPr>
          <w:p w14:paraId="55AC915D"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14:paraId="585186E3"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4AB084B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70E10B1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2D4E8307"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386B44A5" w14:textId="77777777" w:rsidR="008D3E5D" w:rsidRPr="00612F82" w:rsidRDefault="008D3E5D" w:rsidP="002E2751">
            <w:pPr>
              <w:spacing w:line="259" w:lineRule="auto"/>
              <w:rPr>
                <w:rFonts w:cs="Arial"/>
                <w:sz w:val="16"/>
                <w:szCs w:val="16"/>
              </w:rPr>
            </w:pPr>
            <w:r w:rsidRPr="00612F82">
              <w:rPr>
                <w:rFonts w:cs="Arial"/>
                <w:sz w:val="16"/>
                <w:szCs w:val="16"/>
              </w:rPr>
              <w:t>1.3.2.</w:t>
            </w:r>
            <w:r w:rsidRPr="00612F82">
              <w:rPr>
                <w:rFonts w:eastAsia="Calibri" w:cs="Arial"/>
                <w:sz w:val="16"/>
                <w:szCs w:val="16"/>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0635441D"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tekočega in </w:t>
            </w:r>
            <w:proofErr w:type="spellStart"/>
            <w:r w:rsidRPr="00612F82">
              <w:rPr>
                <w:rFonts w:eastAsia="Calibri" w:cs="Arial"/>
                <w:sz w:val="16"/>
                <w:szCs w:val="16"/>
              </w:rPr>
              <w:t>invest</w:t>
            </w:r>
            <w:proofErr w:type="spellEnd"/>
            <w:r w:rsidRPr="00612F82">
              <w:rPr>
                <w:rFonts w:eastAsia="Calibri" w:cs="Arial"/>
                <w:sz w:val="16"/>
                <w:szCs w:val="16"/>
              </w:rPr>
              <w:t xml:space="preserve">, vzdrževanja in najemnin </w:t>
            </w:r>
          </w:p>
        </w:tc>
        <w:tc>
          <w:tcPr>
            <w:tcW w:w="1151" w:type="dxa"/>
            <w:gridSpan w:val="2"/>
            <w:tcBorders>
              <w:top w:val="single" w:sz="4" w:space="0" w:color="000000"/>
              <w:left w:val="single" w:sz="4" w:space="0" w:color="000000"/>
              <w:bottom w:val="single" w:sz="4" w:space="0" w:color="000000"/>
              <w:right w:val="single" w:sz="4" w:space="0" w:color="000000"/>
            </w:tcBorders>
          </w:tcPr>
          <w:p w14:paraId="4482BBAA"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47.207,87 </w:t>
            </w:r>
          </w:p>
        </w:tc>
        <w:tc>
          <w:tcPr>
            <w:tcW w:w="1120" w:type="dxa"/>
            <w:gridSpan w:val="3"/>
            <w:tcBorders>
              <w:top w:val="single" w:sz="4" w:space="0" w:color="000000"/>
              <w:left w:val="single" w:sz="4" w:space="0" w:color="000000"/>
              <w:bottom w:val="single" w:sz="4" w:space="0" w:color="000000"/>
              <w:right w:val="single" w:sz="4" w:space="0" w:color="000000"/>
            </w:tcBorders>
          </w:tcPr>
          <w:p w14:paraId="66664C43"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33.062,07 </w:t>
            </w:r>
          </w:p>
        </w:tc>
        <w:tc>
          <w:tcPr>
            <w:tcW w:w="1404" w:type="dxa"/>
            <w:gridSpan w:val="2"/>
            <w:tcBorders>
              <w:top w:val="single" w:sz="4" w:space="0" w:color="000000"/>
              <w:left w:val="single" w:sz="4" w:space="0" w:color="000000"/>
              <w:bottom w:val="single" w:sz="4" w:space="0" w:color="000000"/>
              <w:right w:val="single" w:sz="4" w:space="0" w:color="000000"/>
            </w:tcBorders>
          </w:tcPr>
          <w:p w14:paraId="7D888891"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4.763,85 </w:t>
            </w:r>
          </w:p>
        </w:tc>
        <w:tc>
          <w:tcPr>
            <w:tcW w:w="988" w:type="dxa"/>
            <w:gridSpan w:val="2"/>
            <w:tcBorders>
              <w:top w:val="single" w:sz="4" w:space="0" w:color="000000"/>
              <w:left w:val="single" w:sz="4" w:space="0" w:color="000000"/>
              <w:bottom w:val="single" w:sz="4" w:space="0" w:color="000000"/>
              <w:right w:val="single" w:sz="4" w:space="0" w:color="000000"/>
            </w:tcBorders>
          </w:tcPr>
          <w:p w14:paraId="79EC27E5"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385,45 </w:t>
            </w:r>
          </w:p>
        </w:tc>
        <w:tc>
          <w:tcPr>
            <w:tcW w:w="928" w:type="dxa"/>
            <w:tcBorders>
              <w:top w:val="single" w:sz="4" w:space="0" w:color="000000"/>
              <w:left w:val="single" w:sz="4" w:space="0" w:color="000000"/>
              <w:bottom w:val="single" w:sz="4" w:space="0" w:color="000000"/>
              <w:right w:val="single" w:sz="4" w:space="0" w:color="000000"/>
            </w:tcBorders>
          </w:tcPr>
          <w:p w14:paraId="73C37AE4"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8,996.50 </w:t>
            </w:r>
          </w:p>
        </w:tc>
      </w:tr>
      <w:tr w:rsidR="008D3E5D" w:rsidRPr="00612F82" w14:paraId="7DC5A347"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3805634F" w14:textId="77777777" w:rsidR="008D3E5D" w:rsidRPr="00612F82" w:rsidRDefault="008D3E5D" w:rsidP="002E2751">
            <w:pPr>
              <w:spacing w:line="259" w:lineRule="auto"/>
              <w:rPr>
                <w:rFonts w:cs="Arial"/>
                <w:sz w:val="16"/>
                <w:szCs w:val="16"/>
              </w:rPr>
            </w:pPr>
            <w:r w:rsidRPr="00612F82">
              <w:rPr>
                <w:rFonts w:cs="Arial"/>
                <w:sz w:val="16"/>
                <w:szCs w:val="16"/>
              </w:rPr>
              <w:t xml:space="preserve">1.3.2.1. </w:t>
            </w:r>
          </w:p>
        </w:tc>
        <w:tc>
          <w:tcPr>
            <w:tcW w:w="2775" w:type="dxa"/>
            <w:tcBorders>
              <w:top w:val="single" w:sz="4" w:space="0" w:color="000000"/>
              <w:left w:val="single" w:sz="4" w:space="0" w:color="000000"/>
              <w:bottom w:val="single" w:sz="4" w:space="0" w:color="000000"/>
              <w:right w:val="single" w:sz="4" w:space="0" w:color="000000"/>
            </w:tcBorders>
          </w:tcPr>
          <w:p w14:paraId="41BF9747"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tekočega vzdrževanja </w:t>
            </w:r>
          </w:p>
        </w:tc>
        <w:tc>
          <w:tcPr>
            <w:tcW w:w="1151" w:type="dxa"/>
            <w:gridSpan w:val="2"/>
            <w:tcBorders>
              <w:top w:val="single" w:sz="4" w:space="0" w:color="000000"/>
              <w:left w:val="single" w:sz="4" w:space="0" w:color="000000"/>
              <w:bottom w:val="single" w:sz="4" w:space="0" w:color="000000"/>
              <w:right w:val="single" w:sz="4" w:space="0" w:color="000000"/>
            </w:tcBorders>
          </w:tcPr>
          <w:p w14:paraId="6E1B66DE"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120" w:type="dxa"/>
            <w:gridSpan w:val="3"/>
            <w:tcBorders>
              <w:top w:val="single" w:sz="4" w:space="0" w:color="000000"/>
              <w:left w:val="single" w:sz="4" w:space="0" w:color="000000"/>
              <w:bottom w:val="single" w:sz="4" w:space="0" w:color="000000"/>
              <w:right w:val="single" w:sz="4" w:space="0" w:color="000000"/>
            </w:tcBorders>
          </w:tcPr>
          <w:p w14:paraId="2C4637F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14:paraId="1CDD554C"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721E0D4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05F0B112"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129B3866"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215CD49" w14:textId="77777777" w:rsidR="008D3E5D" w:rsidRPr="00612F82" w:rsidRDefault="008D3E5D" w:rsidP="002E2751">
            <w:pPr>
              <w:spacing w:line="259" w:lineRule="auto"/>
              <w:rPr>
                <w:rFonts w:cs="Arial"/>
                <w:sz w:val="16"/>
                <w:szCs w:val="16"/>
              </w:rPr>
            </w:pPr>
            <w:r w:rsidRPr="00612F82">
              <w:rPr>
                <w:rFonts w:cs="Arial"/>
                <w:sz w:val="16"/>
                <w:szCs w:val="16"/>
              </w:rPr>
              <w:t xml:space="preserve">1.3.2.2. </w:t>
            </w:r>
          </w:p>
        </w:tc>
        <w:tc>
          <w:tcPr>
            <w:tcW w:w="2775" w:type="dxa"/>
            <w:tcBorders>
              <w:top w:val="single" w:sz="4" w:space="0" w:color="000000"/>
              <w:left w:val="single" w:sz="4" w:space="0" w:color="000000"/>
              <w:bottom w:val="single" w:sz="4" w:space="0" w:color="000000"/>
              <w:right w:val="single" w:sz="4" w:space="0" w:color="000000"/>
            </w:tcBorders>
          </w:tcPr>
          <w:p w14:paraId="397131FA"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najemnine </w:t>
            </w:r>
          </w:p>
        </w:tc>
        <w:tc>
          <w:tcPr>
            <w:tcW w:w="1151" w:type="dxa"/>
            <w:gridSpan w:val="2"/>
            <w:tcBorders>
              <w:top w:val="single" w:sz="4" w:space="0" w:color="000000"/>
              <w:left w:val="single" w:sz="4" w:space="0" w:color="000000"/>
              <w:bottom w:val="single" w:sz="4" w:space="0" w:color="000000"/>
              <w:right w:val="single" w:sz="4" w:space="0" w:color="000000"/>
            </w:tcBorders>
          </w:tcPr>
          <w:p w14:paraId="4697101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47.207,87 </w:t>
            </w:r>
          </w:p>
        </w:tc>
        <w:tc>
          <w:tcPr>
            <w:tcW w:w="1120" w:type="dxa"/>
            <w:gridSpan w:val="3"/>
            <w:tcBorders>
              <w:top w:val="single" w:sz="4" w:space="0" w:color="000000"/>
              <w:left w:val="single" w:sz="4" w:space="0" w:color="000000"/>
              <w:bottom w:val="single" w:sz="4" w:space="0" w:color="000000"/>
              <w:right w:val="single" w:sz="4" w:space="0" w:color="000000"/>
            </w:tcBorders>
          </w:tcPr>
          <w:p w14:paraId="2C51657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33.062,07 </w:t>
            </w:r>
          </w:p>
        </w:tc>
        <w:tc>
          <w:tcPr>
            <w:tcW w:w="1404" w:type="dxa"/>
            <w:gridSpan w:val="2"/>
            <w:tcBorders>
              <w:top w:val="single" w:sz="4" w:space="0" w:color="000000"/>
              <w:left w:val="single" w:sz="4" w:space="0" w:color="000000"/>
              <w:bottom w:val="single" w:sz="4" w:space="0" w:color="000000"/>
              <w:right w:val="single" w:sz="4" w:space="0" w:color="000000"/>
            </w:tcBorders>
          </w:tcPr>
          <w:p w14:paraId="49AEBD5B"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4.763,85 </w:t>
            </w:r>
          </w:p>
        </w:tc>
        <w:tc>
          <w:tcPr>
            <w:tcW w:w="988" w:type="dxa"/>
            <w:gridSpan w:val="2"/>
            <w:tcBorders>
              <w:top w:val="single" w:sz="4" w:space="0" w:color="000000"/>
              <w:left w:val="single" w:sz="4" w:space="0" w:color="000000"/>
              <w:bottom w:val="single" w:sz="4" w:space="0" w:color="000000"/>
              <w:right w:val="single" w:sz="4" w:space="0" w:color="000000"/>
            </w:tcBorders>
          </w:tcPr>
          <w:p w14:paraId="4FA32333"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385,45 </w:t>
            </w:r>
          </w:p>
        </w:tc>
        <w:tc>
          <w:tcPr>
            <w:tcW w:w="928" w:type="dxa"/>
            <w:tcBorders>
              <w:top w:val="single" w:sz="4" w:space="0" w:color="000000"/>
              <w:left w:val="single" w:sz="4" w:space="0" w:color="000000"/>
              <w:bottom w:val="single" w:sz="4" w:space="0" w:color="000000"/>
              <w:right w:val="single" w:sz="4" w:space="0" w:color="000000"/>
            </w:tcBorders>
          </w:tcPr>
          <w:p w14:paraId="408A3EE2"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8,996.50 </w:t>
            </w:r>
          </w:p>
        </w:tc>
      </w:tr>
      <w:tr w:rsidR="008D3E5D" w:rsidRPr="00612F82" w14:paraId="4AE183D2"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67CF61CA" w14:textId="77777777" w:rsidR="008D3E5D" w:rsidRPr="00612F82" w:rsidRDefault="008D3E5D" w:rsidP="002E2751">
            <w:pPr>
              <w:spacing w:line="259" w:lineRule="auto"/>
              <w:rPr>
                <w:rFonts w:cs="Arial"/>
                <w:sz w:val="16"/>
                <w:szCs w:val="16"/>
              </w:rPr>
            </w:pPr>
            <w:r w:rsidRPr="00612F82">
              <w:rPr>
                <w:rFonts w:cs="Arial"/>
                <w:sz w:val="16"/>
                <w:szCs w:val="16"/>
              </w:rPr>
              <w:t>1.3.3.</w:t>
            </w:r>
            <w:r w:rsidRPr="00612F82">
              <w:rPr>
                <w:rFonts w:eastAsia="Calibri" w:cs="Arial"/>
                <w:sz w:val="16"/>
                <w:szCs w:val="16"/>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19E78031"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plačilnega prometa in zavarovalnih storitev </w:t>
            </w:r>
          </w:p>
        </w:tc>
        <w:tc>
          <w:tcPr>
            <w:tcW w:w="1151" w:type="dxa"/>
            <w:gridSpan w:val="2"/>
            <w:tcBorders>
              <w:top w:val="single" w:sz="4" w:space="0" w:color="000000"/>
              <w:left w:val="single" w:sz="4" w:space="0" w:color="000000"/>
              <w:bottom w:val="single" w:sz="4" w:space="0" w:color="000000"/>
              <w:right w:val="single" w:sz="4" w:space="0" w:color="000000"/>
            </w:tcBorders>
          </w:tcPr>
          <w:p w14:paraId="612D8A4D"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4.582,64 </w:t>
            </w:r>
          </w:p>
        </w:tc>
        <w:tc>
          <w:tcPr>
            <w:tcW w:w="1120" w:type="dxa"/>
            <w:gridSpan w:val="3"/>
            <w:tcBorders>
              <w:top w:val="single" w:sz="4" w:space="0" w:color="000000"/>
              <w:left w:val="single" w:sz="4" w:space="0" w:color="000000"/>
              <w:bottom w:val="single" w:sz="4" w:space="0" w:color="000000"/>
              <w:right w:val="single" w:sz="4" w:space="0" w:color="000000"/>
            </w:tcBorders>
          </w:tcPr>
          <w:p w14:paraId="2B1F9626"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3.709,12 </w:t>
            </w:r>
          </w:p>
        </w:tc>
        <w:tc>
          <w:tcPr>
            <w:tcW w:w="1404" w:type="dxa"/>
            <w:gridSpan w:val="2"/>
            <w:tcBorders>
              <w:top w:val="single" w:sz="4" w:space="0" w:color="000000"/>
              <w:left w:val="single" w:sz="4" w:space="0" w:color="000000"/>
              <w:bottom w:val="single" w:sz="4" w:space="0" w:color="000000"/>
              <w:right w:val="single" w:sz="4" w:space="0" w:color="000000"/>
            </w:tcBorders>
          </w:tcPr>
          <w:p w14:paraId="75CFF20A"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777,50 </w:t>
            </w:r>
          </w:p>
        </w:tc>
        <w:tc>
          <w:tcPr>
            <w:tcW w:w="988" w:type="dxa"/>
            <w:gridSpan w:val="2"/>
            <w:tcBorders>
              <w:top w:val="single" w:sz="4" w:space="0" w:color="000000"/>
              <w:left w:val="single" w:sz="4" w:space="0" w:color="000000"/>
              <w:bottom w:val="single" w:sz="4" w:space="0" w:color="000000"/>
              <w:right w:val="single" w:sz="4" w:space="0" w:color="000000"/>
            </w:tcBorders>
          </w:tcPr>
          <w:p w14:paraId="4585595A"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7C1A4F1"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96.02 </w:t>
            </w:r>
          </w:p>
        </w:tc>
      </w:tr>
      <w:tr w:rsidR="008D3E5D" w:rsidRPr="00612F82" w14:paraId="489D24BC"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488AFA10" w14:textId="77777777" w:rsidR="008D3E5D" w:rsidRPr="00612F82" w:rsidRDefault="008D3E5D" w:rsidP="002E2751">
            <w:pPr>
              <w:spacing w:line="259" w:lineRule="auto"/>
              <w:rPr>
                <w:rFonts w:cs="Arial"/>
                <w:sz w:val="16"/>
                <w:szCs w:val="16"/>
              </w:rPr>
            </w:pPr>
            <w:r w:rsidRPr="00612F82">
              <w:rPr>
                <w:rFonts w:cs="Arial"/>
                <w:sz w:val="16"/>
                <w:szCs w:val="16"/>
              </w:rPr>
              <w:t xml:space="preserve">1.3.3.1. </w:t>
            </w:r>
          </w:p>
        </w:tc>
        <w:tc>
          <w:tcPr>
            <w:tcW w:w="2775" w:type="dxa"/>
            <w:tcBorders>
              <w:top w:val="single" w:sz="4" w:space="0" w:color="000000"/>
              <w:left w:val="single" w:sz="4" w:space="0" w:color="000000"/>
              <w:bottom w:val="single" w:sz="4" w:space="0" w:color="000000"/>
              <w:right w:val="single" w:sz="4" w:space="0" w:color="000000"/>
            </w:tcBorders>
          </w:tcPr>
          <w:p w14:paraId="16A80B6F"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zavarovalnih premij </w:t>
            </w:r>
          </w:p>
        </w:tc>
        <w:tc>
          <w:tcPr>
            <w:tcW w:w="1151" w:type="dxa"/>
            <w:gridSpan w:val="2"/>
            <w:tcBorders>
              <w:top w:val="single" w:sz="4" w:space="0" w:color="000000"/>
              <w:left w:val="single" w:sz="4" w:space="0" w:color="000000"/>
              <w:bottom w:val="single" w:sz="4" w:space="0" w:color="000000"/>
              <w:right w:val="single" w:sz="4" w:space="0" w:color="000000"/>
            </w:tcBorders>
          </w:tcPr>
          <w:p w14:paraId="47CB7013"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2.343,84 </w:t>
            </w:r>
          </w:p>
        </w:tc>
        <w:tc>
          <w:tcPr>
            <w:tcW w:w="1120" w:type="dxa"/>
            <w:gridSpan w:val="3"/>
            <w:tcBorders>
              <w:top w:val="single" w:sz="4" w:space="0" w:color="000000"/>
              <w:left w:val="single" w:sz="4" w:space="0" w:color="000000"/>
              <w:bottom w:val="single" w:sz="4" w:space="0" w:color="000000"/>
              <w:right w:val="single" w:sz="4" w:space="0" w:color="000000"/>
            </w:tcBorders>
          </w:tcPr>
          <w:p w14:paraId="62975F1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2.343,84 </w:t>
            </w:r>
          </w:p>
        </w:tc>
        <w:tc>
          <w:tcPr>
            <w:tcW w:w="1404" w:type="dxa"/>
            <w:gridSpan w:val="2"/>
            <w:tcBorders>
              <w:top w:val="single" w:sz="4" w:space="0" w:color="000000"/>
              <w:left w:val="single" w:sz="4" w:space="0" w:color="000000"/>
              <w:bottom w:val="single" w:sz="4" w:space="0" w:color="000000"/>
              <w:right w:val="single" w:sz="4" w:space="0" w:color="000000"/>
            </w:tcBorders>
          </w:tcPr>
          <w:p w14:paraId="64270B08"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48DF156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31453F60"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4230FA35"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4F97187D" w14:textId="77777777" w:rsidR="008D3E5D" w:rsidRPr="00612F82" w:rsidRDefault="008D3E5D" w:rsidP="002E2751">
            <w:pPr>
              <w:spacing w:line="259" w:lineRule="auto"/>
              <w:rPr>
                <w:rFonts w:cs="Arial"/>
                <w:sz w:val="16"/>
                <w:szCs w:val="16"/>
              </w:rPr>
            </w:pPr>
            <w:r w:rsidRPr="00612F82">
              <w:rPr>
                <w:rFonts w:cs="Arial"/>
                <w:sz w:val="16"/>
                <w:szCs w:val="16"/>
              </w:rPr>
              <w:lastRenderedPageBreak/>
              <w:t xml:space="preserve">1.3.3.2. </w:t>
            </w:r>
          </w:p>
        </w:tc>
        <w:tc>
          <w:tcPr>
            <w:tcW w:w="2775" w:type="dxa"/>
            <w:tcBorders>
              <w:top w:val="single" w:sz="4" w:space="0" w:color="000000"/>
              <w:left w:val="single" w:sz="4" w:space="0" w:color="000000"/>
              <w:bottom w:val="single" w:sz="4" w:space="0" w:color="000000"/>
              <w:right w:val="single" w:sz="4" w:space="0" w:color="000000"/>
            </w:tcBorders>
          </w:tcPr>
          <w:p w14:paraId="7293453B"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plačilnega prometa </w:t>
            </w:r>
          </w:p>
        </w:tc>
        <w:tc>
          <w:tcPr>
            <w:tcW w:w="1151" w:type="dxa"/>
            <w:gridSpan w:val="2"/>
            <w:tcBorders>
              <w:top w:val="single" w:sz="4" w:space="0" w:color="000000"/>
              <w:left w:val="single" w:sz="4" w:space="0" w:color="000000"/>
              <w:bottom w:val="single" w:sz="4" w:space="0" w:color="000000"/>
              <w:right w:val="single" w:sz="4" w:space="0" w:color="000000"/>
            </w:tcBorders>
          </w:tcPr>
          <w:p w14:paraId="16D3CFC3"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2.238,80 </w:t>
            </w:r>
          </w:p>
        </w:tc>
        <w:tc>
          <w:tcPr>
            <w:tcW w:w="1120" w:type="dxa"/>
            <w:gridSpan w:val="3"/>
            <w:tcBorders>
              <w:top w:val="single" w:sz="4" w:space="0" w:color="000000"/>
              <w:left w:val="single" w:sz="4" w:space="0" w:color="000000"/>
              <w:bottom w:val="single" w:sz="4" w:space="0" w:color="000000"/>
              <w:right w:val="single" w:sz="4" w:space="0" w:color="000000"/>
            </w:tcBorders>
          </w:tcPr>
          <w:p w14:paraId="56D631E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1.365,28 </w:t>
            </w:r>
          </w:p>
        </w:tc>
        <w:tc>
          <w:tcPr>
            <w:tcW w:w="1404" w:type="dxa"/>
            <w:gridSpan w:val="2"/>
            <w:tcBorders>
              <w:top w:val="single" w:sz="4" w:space="0" w:color="000000"/>
              <w:left w:val="single" w:sz="4" w:space="0" w:color="000000"/>
              <w:bottom w:val="single" w:sz="4" w:space="0" w:color="000000"/>
              <w:right w:val="single" w:sz="4" w:space="0" w:color="000000"/>
            </w:tcBorders>
          </w:tcPr>
          <w:p w14:paraId="72451806"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777,50 </w:t>
            </w:r>
          </w:p>
        </w:tc>
        <w:tc>
          <w:tcPr>
            <w:tcW w:w="988" w:type="dxa"/>
            <w:gridSpan w:val="2"/>
            <w:tcBorders>
              <w:top w:val="single" w:sz="4" w:space="0" w:color="000000"/>
              <w:left w:val="single" w:sz="4" w:space="0" w:color="000000"/>
              <w:bottom w:val="single" w:sz="4" w:space="0" w:color="000000"/>
              <w:right w:val="single" w:sz="4" w:space="0" w:color="000000"/>
            </w:tcBorders>
          </w:tcPr>
          <w:p w14:paraId="5FB7855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1E83D28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96.02 </w:t>
            </w:r>
          </w:p>
        </w:tc>
      </w:tr>
      <w:tr w:rsidR="008D3E5D" w:rsidRPr="00612F82" w14:paraId="18BD19AD"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6BFBA9AE" w14:textId="77777777" w:rsidR="008D3E5D" w:rsidRPr="00612F82" w:rsidRDefault="008D3E5D" w:rsidP="002E2751">
            <w:pPr>
              <w:spacing w:line="259" w:lineRule="auto"/>
              <w:rPr>
                <w:rFonts w:cs="Arial"/>
                <w:sz w:val="16"/>
                <w:szCs w:val="16"/>
              </w:rPr>
            </w:pPr>
            <w:r w:rsidRPr="00612F82">
              <w:rPr>
                <w:rFonts w:cs="Arial"/>
                <w:sz w:val="16"/>
                <w:szCs w:val="16"/>
              </w:rPr>
              <w:t xml:space="preserve">1.3.4. </w:t>
            </w:r>
            <w:r w:rsidRPr="00612F82">
              <w:rPr>
                <w:rFonts w:eastAsia="Calibri" w:cs="Arial"/>
                <w:sz w:val="16"/>
                <w:szCs w:val="16"/>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30A95DAA"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komunalnih in prevoznih storitev </w:t>
            </w:r>
          </w:p>
        </w:tc>
        <w:tc>
          <w:tcPr>
            <w:tcW w:w="1151" w:type="dxa"/>
            <w:gridSpan w:val="2"/>
            <w:tcBorders>
              <w:top w:val="single" w:sz="4" w:space="0" w:color="000000"/>
              <w:left w:val="single" w:sz="4" w:space="0" w:color="000000"/>
              <w:bottom w:val="single" w:sz="4" w:space="0" w:color="000000"/>
              <w:right w:val="single" w:sz="4" w:space="0" w:color="000000"/>
            </w:tcBorders>
          </w:tcPr>
          <w:p w14:paraId="6C7B1A7F"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15.279,74 </w:t>
            </w:r>
          </w:p>
        </w:tc>
        <w:tc>
          <w:tcPr>
            <w:tcW w:w="1120" w:type="dxa"/>
            <w:gridSpan w:val="3"/>
            <w:tcBorders>
              <w:top w:val="single" w:sz="4" w:space="0" w:color="000000"/>
              <w:left w:val="single" w:sz="4" w:space="0" w:color="000000"/>
              <w:bottom w:val="single" w:sz="4" w:space="0" w:color="000000"/>
              <w:right w:val="single" w:sz="4" w:space="0" w:color="000000"/>
            </w:tcBorders>
          </w:tcPr>
          <w:p w14:paraId="49B46EE0"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3.027,07 </w:t>
            </w:r>
          </w:p>
        </w:tc>
        <w:tc>
          <w:tcPr>
            <w:tcW w:w="1404" w:type="dxa"/>
            <w:gridSpan w:val="2"/>
            <w:tcBorders>
              <w:top w:val="single" w:sz="4" w:space="0" w:color="000000"/>
              <w:left w:val="single" w:sz="4" w:space="0" w:color="000000"/>
              <w:bottom w:val="single" w:sz="4" w:space="0" w:color="000000"/>
              <w:right w:val="single" w:sz="4" w:space="0" w:color="000000"/>
            </w:tcBorders>
          </w:tcPr>
          <w:p w14:paraId="2A0E6137"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3.286,53 </w:t>
            </w:r>
          </w:p>
        </w:tc>
        <w:tc>
          <w:tcPr>
            <w:tcW w:w="988" w:type="dxa"/>
            <w:gridSpan w:val="2"/>
            <w:tcBorders>
              <w:top w:val="single" w:sz="4" w:space="0" w:color="000000"/>
              <w:left w:val="single" w:sz="4" w:space="0" w:color="000000"/>
              <w:bottom w:val="single" w:sz="4" w:space="0" w:color="000000"/>
              <w:right w:val="single" w:sz="4" w:space="0" w:color="000000"/>
            </w:tcBorders>
          </w:tcPr>
          <w:p w14:paraId="04B44CA8"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13ED7C0F"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8,966.14 </w:t>
            </w:r>
          </w:p>
        </w:tc>
      </w:tr>
      <w:tr w:rsidR="008D3E5D" w:rsidRPr="00612F82" w14:paraId="40F6450B"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98ECD9A" w14:textId="77777777" w:rsidR="008D3E5D" w:rsidRPr="00612F82" w:rsidRDefault="008D3E5D" w:rsidP="002E2751">
            <w:pPr>
              <w:spacing w:line="259" w:lineRule="auto"/>
              <w:rPr>
                <w:rFonts w:cs="Arial"/>
                <w:sz w:val="16"/>
                <w:szCs w:val="16"/>
              </w:rPr>
            </w:pPr>
            <w:r w:rsidRPr="00612F82">
              <w:rPr>
                <w:rFonts w:cs="Arial"/>
                <w:sz w:val="16"/>
                <w:szCs w:val="16"/>
              </w:rPr>
              <w:t xml:space="preserve">1.3.4.1. </w:t>
            </w:r>
          </w:p>
        </w:tc>
        <w:tc>
          <w:tcPr>
            <w:tcW w:w="2775" w:type="dxa"/>
            <w:tcBorders>
              <w:top w:val="single" w:sz="4" w:space="0" w:color="000000"/>
              <w:left w:val="single" w:sz="4" w:space="0" w:color="000000"/>
              <w:bottom w:val="single" w:sz="4" w:space="0" w:color="000000"/>
              <w:right w:val="single" w:sz="4" w:space="0" w:color="000000"/>
            </w:tcBorders>
          </w:tcPr>
          <w:p w14:paraId="667258EC"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komunalnih storitev </w:t>
            </w:r>
          </w:p>
        </w:tc>
        <w:tc>
          <w:tcPr>
            <w:tcW w:w="1151" w:type="dxa"/>
            <w:gridSpan w:val="2"/>
            <w:tcBorders>
              <w:top w:val="single" w:sz="4" w:space="0" w:color="000000"/>
              <w:left w:val="single" w:sz="4" w:space="0" w:color="000000"/>
              <w:bottom w:val="single" w:sz="4" w:space="0" w:color="000000"/>
              <w:right w:val="single" w:sz="4" w:space="0" w:color="000000"/>
            </w:tcBorders>
          </w:tcPr>
          <w:p w14:paraId="4BCA369E"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120" w:type="dxa"/>
            <w:gridSpan w:val="3"/>
            <w:tcBorders>
              <w:top w:val="single" w:sz="4" w:space="0" w:color="000000"/>
              <w:left w:val="single" w:sz="4" w:space="0" w:color="000000"/>
              <w:bottom w:val="single" w:sz="4" w:space="0" w:color="000000"/>
              <w:right w:val="single" w:sz="4" w:space="0" w:color="000000"/>
            </w:tcBorders>
          </w:tcPr>
          <w:p w14:paraId="279E1FE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14:paraId="783B5003"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1679748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C785F8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091CDA3C"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42C37FE7" w14:textId="77777777" w:rsidR="008D3E5D" w:rsidRPr="00612F82" w:rsidRDefault="008D3E5D" w:rsidP="002E2751">
            <w:pPr>
              <w:spacing w:line="259" w:lineRule="auto"/>
              <w:rPr>
                <w:rFonts w:cs="Arial"/>
                <w:sz w:val="16"/>
                <w:szCs w:val="16"/>
              </w:rPr>
            </w:pPr>
            <w:r w:rsidRPr="00612F82">
              <w:rPr>
                <w:rFonts w:cs="Arial"/>
                <w:sz w:val="16"/>
                <w:szCs w:val="16"/>
              </w:rPr>
              <w:t xml:space="preserve">1.3.4.2. </w:t>
            </w:r>
          </w:p>
        </w:tc>
        <w:tc>
          <w:tcPr>
            <w:tcW w:w="2775" w:type="dxa"/>
            <w:tcBorders>
              <w:top w:val="single" w:sz="4" w:space="0" w:color="000000"/>
              <w:left w:val="single" w:sz="4" w:space="0" w:color="000000"/>
              <w:bottom w:val="single" w:sz="4" w:space="0" w:color="000000"/>
              <w:right w:val="single" w:sz="4" w:space="0" w:color="000000"/>
            </w:tcBorders>
          </w:tcPr>
          <w:p w14:paraId="610E90A4"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prevoznih storitev </w:t>
            </w:r>
          </w:p>
        </w:tc>
        <w:tc>
          <w:tcPr>
            <w:tcW w:w="1151" w:type="dxa"/>
            <w:gridSpan w:val="2"/>
            <w:tcBorders>
              <w:top w:val="single" w:sz="4" w:space="0" w:color="000000"/>
              <w:left w:val="single" w:sz="4" w:space="0" w:color="000000"/>
              <w:bottom w:val="single" w:sz="4" w:space="0" w:color="000000"/>
              <w:right w:val="single" w:sz="4" w:space="0" w:color="000000"/>
            </w:tcBorders>
          </w:tcPr>
          <w:p w14:paraId="06CFC79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15.279,74 </w:t>
            </w:r>
          </w:p>
        </w:tc>
        <w:tc>
          <w:tcPr>
            <w:tcW w:w="1120" w:type="dxa"/>
            <w:gridSpan w:val="3"/>
            <w:tcBorders>
              <w:top w:val="single" w:sz="4" w:space="0" w:color="000000"/>
              <w:left w:val="single" w:sz="4" w:space="0" w:color="000000"/>
              <w:bottom w:val="single" w:sz="4" w:space="0" w:color="000000"/>
              <w:right w:val="single" w:sz="4" w:space="0" w:color="000000"/>
            </w:tcBorders>
          </w:tcPr>
          <w:p w14:paraId="6C2971F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3.027,07 </w:t>
            </w:r>
          </w:p>
        </w:tc>
        <w:tc>
          <w:tcPr>
            <w:tcW w:w="1404" w:type="dxa"/>
            <w:gridSpan w:val="2"/>
            <w:tcBorders>
              <w:top w:val="single" w:sz="4" w:space="0" w:color="000000"/>
              <w:left w:val="single" w:sz="4" w:space="0" w:color="000000"/>
              <w:bottom w:val="single" w:sz="4" w:space="0" w:color="000000"/>
              <w:right w:val="single" w:sz="4" w:space="0" w:color="000000"/>
            </w:tcBorders>
          </w:tcPr>
          <w:p w14:paraId="0D058605"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3.286,53 </w:t>
            </w:r>
          </w:p>
        </w:tc>
        <w:tc>
          <w:tcPr>
            <w:tcW w:w="988" w:type="dxa"/>
            <w:gridSpan w:val="2"/>
            <w:tcBorders>
              <w:top w:val="single" w:sz="4" w:space="0" w:color="000000"/>
              <w:left w:val="single" w:sz="4" w:space="0" w:color="000000"/>
              <w:bottom w:val="single" w:sz="4" w:space="0" w:color="000000"/>
              <w:right w:val="single" w:sz="4" w:space="0" w:color="000000"/>
            </w:tcBorders>
          </w:tcPr>
          <w:p w14:paraId="27F3225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35794A1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8,966.14 </w:t>
            </w:r>
          </w:p>
        </w:tc>
      </w:tr>
      <w:tr w:rsidR="008D3E5D" w:rsidRPr="00612F82" w14:paraId="0E4FE18F"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32ECDCE8" w14:textId="77777777" w:rsidR="008D3E5D" w:rsidRPr="00612F82" w:rsidRDefault="008D3E5D" w:rsidP="002E2751">
            <w:pPr>
              <w:spacing w:line="259" w:lineRule="auto"/>
              <w:rPr>
                <w:rFonts w:cs="Arial"/>
                <w:sz w:val="16"/>
                <w:szCs w:val="16"/>
              </w:rPr>
            </w:pPr>
            <w:r w:rsidRPr="00612F82">
              <w:rPr>
                <w:rFonts w:cs="Arial"/>
                <w:sz w:val="16"/>
                <w:szCs w:val="16"/>
              </w:rPr>
              <w:t>1.3.5.</w:t>
            </w:r>
            <w:r w:rsidRPr="00612F82">
              <w:rPr>
                <w:rFonts w:eastAsia="Calibri" w:cs="Arial"/>
                <w:sz w:val="16"/>
                <w:szCs w:val="16"/>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3E37118"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intelektualnih storitev </w:t>
            </w:r>
          </w:p>
        </w:tc>
        <w:tc>
          <w:tcPr>
            <w:tcW w:w="1151" w:type="dxa"/>
            <w:gridSpan w:val="2"/>
            <w:tcBorders>
              <w:top w:val="single" w:sz="4" w:space="0" w:color="000000"/>
              <w:left w:val="single" w:sz="4" w:space="0" w:color="000000"/>
              <w:bottom w:val="single" w:sz="4" w:space="0" w:color="000000"/>
              <w:right w:val="single" w:sz="4" w:space="0" w:color="000000"/>
            </w:tcBorders>
          </w:tcPr>
          <w:p w14:paraId="07768422"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40.197,97 </w:t>
            </w:r>
          </w:p>
        </w:tc>
        <w:tc>
          <w:tcPr>
            <w:tcW w:w="1120" w:type="dxa"/>
            <w:gridSpan w:val="3"/>
            <w:tcBorders>
              <w:top w:val="single" w:sz="4" w:space="0" w:color="000000"/>
              <w:left w:val="single" w:sz="4" w:space="0" w:color="000000"/>
              <w:bottom w:val="single" w:sz="4" w:space="0" w:color="000000"/>
              <w:right w:val="single" w:sz="4" w:space="0" w:color="000000"/>
            </w:tcBorders>
          </w:tcPr>
          <w:p w14:paraId="68B7BABB"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38.679,02 </w:t>
            </w:r>
          </w:p>
        </w:tc>
        <w:tc>
          <w:tcPr>
            <w:tcW w:w="1404" w:type="dxa"/>
            <w:gridSpan w:val="2"/>
            <w:tcBorders>
              <w:top w:val="single" w:sz="4" w:space="0" w:color="000000"/>
              <w:left w:val="single" w:sz="4" w:space="0" w:color="000000"/>
              <w:bottom w:val="single" w:sz="4" w:space="0" w:color="000000"/>
              <w:right w:val="single" w:sz="4" w:space="0" w:color="000000"/>
            </w:tcBorders>
          </w:tcPr>
          <w:p w14:paraId="6B83827B"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1.346,95 </w:t>
            </w:r>
          </w:p>
        </w:tc>
        <w:tc>
          <w:tcPr>
            <w:tcW w:w="988" w:type="dxa"/>
            <w:gridSpan w:val="2"/>
            <w:tcBorders>
              <w:top w:val="single" w:sz="4" w:space="0" w:color="000000"/>
              <w:left w:val="single" w:sz="4" w:space="0" w:color="000000"/>
              <w:bottom w:val="single" w:sz="4" w:space="0" w:color="000000"/>
              <w:right w:val="single" w:sz="4" w:space="0" w:color="000000"/>
            </w:tcBorders>
          </w:tcPr>
          <w:p w14:paraId="2F318DC3"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1B184D08"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172.00 </w:t>
            </w:r>
          </w:p>
        </w:tc>
      </w:tr>
      <w:tr w:rsidR="008D3E5D" w:rsidRPr="00612F82" w14:paraId="0A9F6317"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298CE086" w14:textId="77777777" w:rsidR="008D3E5D" w:rsidRPr="00612F82" w:rsidRDefault="008D3E5D" w:rsidP="002E2751">
            <w:pPr>
              <w:spacing w:line="259" w:lineRule="auto"/>
              <w:rPr>
                <w:rFonts w:cs="Arial"/>
                <w:sz w:val="16"/>
                <w:szCs w:val="16"/>
              </w:rPr>
            </w:pPr>
            <w:r w:rsidRPr="00612F82">
              <w:rPr>
                <w:rFonts w:cs="Arial"/>
                <w:sz w:val="16"/>
                <w:szCs w:val="16"/>
              </w:rPr>
              <w:t xml:space="preserve">1.3.5.1. </w:t>
            </w:r>
          </w:p>
        </w:tc>
        <w:tc>
          <w:tcPr>
            <w:tcW w:w="2775" w:type="dxa"/>
            <w:tcBorders>
              <w:top w:val="single" w:sz="4" w:space="0" w:color="000000"/>
              <w:left w:val="single" w:sz="4" w:space="0" w:color="000000"/>
              <w:bottom w:val="single" w:sz="4" w:space="0" w:color="000000"/>
              <w:right w:val="single" w:sz="4" w:space="0" w:color="000000"/>
            </w:tcBorders>
          </w:tcPr>
          <w:p w14:paraId="1C8E49A7"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kotizacij, seminarjev, posvetovanj </w:t>
            </w:r>
          </w:p>
        </w:tc>
        <w:tc>
          <w:tcPr>
            <w:tcW w:w="1151" w:type="dxa"/>
            <w:gridSpan w:val="2"/>
            <w:tcBorders>
              <w:top w:val="single" w:sz="4" w:space="0" w:color="000000"/>
              <w:left w:val="single" w:sz="4" w:space="0" w:color="000000"/>
              <w:bottom w:val="single" w:sz="4" w:space="0" w:color="000000"/>
              <w:right w:val="single" w:sz="4" w:space="0" w:color="000000"/>
            </w:tcBorders>
          </w:tcPr>
          <w:p w14:paraId="19AC3E6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3.515,00 </w:t>
            </w:r>
          </w:p>
        </w:tc>
        <w:tc>
          <w:tcPr>
            <w:tcW w:w="1120" w:type="dxa"/>
            <w:gridSpan w:val="3"/>
            <w:tcBorders>
              <w:top w:val="single" w:sz="4" w:space="0" w:color="000000"/>
              <w:left w:val="single" w:sz="4" w:space="0" w:color="000000"/>
              <w:bottom w:val="single" w:sz="4" w:space="0" w:color="000000"/>
              <w:right w:val="single" w:sz="4" w:space="0" w:color="000000"/>
            </w:tcBorders>
          </w:tcPr>
          <w:p w14:paraId="7FE2816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3.515,00 </w:t>
            </w:r>
          </w:p>
        </w:tc>
        <w:tc>
          <w:tcPr>
            <w:tcW w:w="1404" w:type="dxa"/>
            <w:gridSpan w:val="2"/>
            <w:tcBorders>
              <w:top w:val="single" w:sz="4" w:space="0" w:color="000000"/>
              <w:left w:val="single" w:sz="4" w:space="0" w:color="000000"/>
              <w:bottom w:val="single" w:sz="4" w:space="0" w:color="000000"/>
              <w:right w:val="single" w:sz="4" w:space="0" w:color="000000"/>
            </w:tcBorders>
          </w:tcPr>
          <w:p w14:paraId="2F8B4F05"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0E633D60"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10363517"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63F6467D"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FA91185" w14:textId="77777777" w:rsidR="008D3E5D" w:rsidRPr="00612F82" w:rsidRDefault="008D3E5D" w:rsidP="002E2751">
            <w:pPr>
              <w:spacing w:line="259" w:lineRule="auto"/>
              <w:rPr>
                <w:rFonts w:cs="Arial"/>
                <w:sz w:val="16"/>
                <w:szCs w:val="16"/>
              </w:rPr>
            </w:pPr>
            <w:r w:rsidRPr="00612F82">
              <w:rPr>
                <w:rFonts w:cs="Arial"/>
                <w:sz w:val="16"/>
                <w:szCs w:val="16"/>
              </w:rPr>
              <w:t xml:space="preserve">1.3.5.2. </w:t>
            </w:r>
          </w:p>
        </w:tc>
        <w:tc>
          <w:tcPr>
            <w:tcW w:w="2775" w:type="dxa"/>
            <w:tcBorders>
              <w:top w:val="single" w:sz="4" w:space="0" w:color="000000"/>
              <w:left w:val="single" w:sz="4" w:space="0" w:color="000000"/>
              <w:bottom w:val="single" w:sz="4" w:space="0" w:color="000000"/>
              <w:right w:val="single" w:sz="4" w:space="0" w:color="000000"/>
            </w:tcBorders>
          </w:tcPr>
          <w:p w14:paraId="3411DC94"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strokovnega izobraževanja (študij ob delu)  </w:t>
            </w:r>
          </w:p>
        </w:tc>
        <w:tc>
          <w:tcPr>
            <w:tcW w:w="1151" w:type="dxa"/>
            <w:gridSpan w:val="2"/>
            <w:tcBorders>
              <w:top w:val="single" w:sz="4" w:space="0" w:color="000000"/>
              <w:left w:val="single" w:sz="4" w:space="0" w:color="000000"/>
              <w:bottom w:val="single" w:sz="4" w:space="0" w:color="000000"/>
              <w:right w:val="single" w:sz="4" w:space="0" w:color="000000"/>
            </w:tcBorders>
          </w:tcPr>
          <w:p w14:paraId="2C47FBA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120" w:type="dxa"/>
            <w:gridSpan w:val="3"/>
            <w:tcBorders>
              <w:top w:val="single" w:sz="4" w:space="0" w:color="000000"/>
              <w:left w:val="single" w:sz="4" w:space="0" w:color="000000"/>
              <w:bottom w:val="single" w:sz="4" w:space="0" w:color="000000"/>
              <w:right w:val="single" w:sz="4" w:space="0" w:color="000000"/>
            </w:tcBorders>
          </w:tcPr>
          <w:p w14:paraId="608CE52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14:paraId="183F82E0"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14:paraId="578C9B53"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82F91B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41BAA17E"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79FB12E8" w14:textId="77777777" w:rsidR="008D3E5D" w:rsidRPr="00612F82" w:rsidRDefault="008D3E5D" w:rsidP="002E2751">
            <w:pPr>
              <w:spacing w:line="259" w:lineRule="auto"/>
              <w:rPr>
                <w:rFonts w:cs="Arial"/>
                <w:sz w:val="16"/>
                <w:szCs w:val="16"/>
              </w:rPr>
            </w:pPr>
            <w:r w:rsidRPr="00612F82">
              <w:rPr>
                <w:rFonts w:cs="Arial"/>
                <w:sz w:val="16"/>
                <w:szCs w:val="16"/>
              </w:rPr>
              <w:t xml:space="preserve">1.3.5.3. </w:t>
            </w:r>
          </w:p>
        </w:tc>
        <w:tc>
          <w:tcPr>
            <w:tcW w:w="2835" w:type="dxa"/>
            <w:gridSpan w:val="2"/>
            <w:tcBorders>
              <w:top w:val="single" w:sz="4" w:space="0" w:color="000000"/>
              <w:left w:val="single" w:sz="4" w:space="0" w:color="000000"/>
              <w:bottom w:val="single" w:sz="4" w:space="0" w:color="000000"/>
              <w:right w:val="single" w:sz="4" w:space="0" w:color="000000"/>
            </w:tcBorders>
          </w:tcPr>
          <w:p w14:paraId="301144E5"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zdravstvenih storitev  </w:t>
            </w:r>
          </w:p>
        </w:tc>
        <w:tc>
          <w:tcPr>
            <w:tcW w:w="1132" w:type="dxa"/>
            <w:gridSpan w:val="2"/>
            <w:tcBorders>
              <w:top w:val="single" w:sz="4" w:space="0" w:color="000000"/>
              <w:left w:val="single" w:sz="4" w:space="0" w:color="000000"/>
              <w:bottom w:val="single" w:sz="4" w:space="0" w:color="000000"/>
              <w:right w:val="single" w:sz="4" w:space="0" w:color="000000"/>
            </w:tcBorders>
          </w:tcPr>
          <w:p w14:paraId="218CCD5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324,43 </w:t>
            </w:r>
          </w:p>
        </w:tc>
        <w:tc>
          <w:tcPr>
            <w:tcW w:w="1017" w:type="dxa"/>
            <w:tcBorders>
              <w:top w:val="single" w:sz="4" w:space="0" w:color="000000"/>
              <w:left w:val="single" w:sz="4" w:space="0" w:color="000000"/>
              <w:bottom w:val="single" w:sz="4" w:space="0" w:color="000000"/>
              <w:right w:val="single" w:sz="4" w:space="0" w:color="000000"/>
            </w:tcBorders>
          </w:tcPr>
          <w:p w14:paraId="31AEA61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324,43 </w:t>
            </w:r>
          </w:p>
        </w:tc>
        <w:tc>
          <w:tcPr>
            <w:tcW w:w="1395" w:type="dxa"/>
            <w:gridSpan w:val="2"/>
            <w:tcBorders>
              <w:top w:val="single" w:sz="4" w:space="0" w:color="000000"/>
              <w:left w:val="single" w:sz="4" w:space="0" w:color="000000"/>
              <w:bottom w:val="single" w:sz="4" w:space="0" w:color="000000"/>
              <w:right w:val="single" w:sz="4" w:space="0" w:color="000000"/>
            </w:tcBorders>
          </w:tcPr>
          <w:p w14:paraId="1426F3F6"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3569E6E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3ACC1126"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1B185D13"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FD22B94" w14:textId="77777777" w:rsidR="008D3E5D" w:rsidRPr="00612F82" w:rsidRDefault="008D3E5D" w:rsidP="002E2751">
            <w:pPr>
              <w:spacing w:line="259" w:lineRule="auto"/>
              <w:rPr>
                <w:rFonts w:cs="Arial"/>
                <w:sz w:val="16"/>
                <w:szCs w:val="16"/>
              </w:rPr>
            </w:pPr>
            <w:r w:rsidRPr="00612F82">
              <w:rPr>
                <w:rFonts w:cs="Arial"/>
                <w:sz w:val="16"/>
                <w:szCs w:val="16"/>
              </w:rPr>
              <w:t xml:space="preserve">1.3.5.4. </w:t>
            </w:r>
          </w:p>
        </w:tc>
        <w:tc>
          <w:tcPr>
            <w:tcW w:w="2835" w:type="dxa"/>
            <w:gridSpan w:val="2"/>
            <w:tcBorders>
              <w:top w:val="single" w:sz="4" w:space="0" w:color="000000"/>
              <w:left w:val="single" w:sz="4" w:space="0" w:color="000000"/>
              <w:bottom w:val="single" w:sz="4" w:space="0" w:color="000000"/>
              <w:right w:val="single" w:sz="4" w:space="0" w:color="000000"/>
            </w:tcBorders>
          </w:tcPr>
          <w:p w14:paraId="2CDE8736"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IT storitev (računalniške storitve)  </w:t>
            </w:r>
          </w:p>
        </w:tc>
        <w:tc>
          <w:tcPr>
            <w:tcW w:w="1132" w:type="dxa"/>
            <w:gridSpan w:val="2"/>
            <w:tcBorders>
              <w:top w:val="single" w:sz="4" w:space="0" w:color="000000"/>
              <w:left w:val="single" w:sz="4" w:space="0" w:color="000000"/>
              <w:bottom w:val="single" w:sz="4" w:space="0" w:color="000000"/>
              <w:right w:val="single" w:sz="4" w:space="0" w:color="000000"/>
            </w:tcBorders>
          </w:tcPr>
          <w:p w14:paraId="6FF5F02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18.193,40 </w:t>
            </w:r>
          </w:p>
        </w:tc>
        <w:tc>
          <w:tcPr>
            <w:tcW w:w="1017" w:type="dxa"/>
            <w:tcBorders>
              <w:top w:val="single" w:sz="4" w:space="0" w:color="000000"/>
              <w:left w:val="single" w:sz="4" w:space="0" w:color="000000"/>
              <w:bottom w:val="single" w:sz="4" w:space="0" w:color="000000"/>
              <w:right w:val="single" w:sz="4" w:space="0" w:color="000000"/>
            </w:tcBorders>
          </w:tcPr>
          <w:p w14:paraId="490B7B63"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18.064,59 </w:t>
            </w:r>
          </w:p>
        </w:tc>
        <w:tc>
          <w:tcPr>
            <w:tcW w:w="1395" w:type="dxa"/>
            <w:gridSpan w:val="2"/>
            <w:tcBorders>
              <w:top w:val="single" w:sz="4" w:space="0" w:color="000000"/>
              <w:left w:val="single" w:sz="4" w:space="0" w:color="000000"/>
              <w:bottom w:val="single" w:sz="4" w:space="0" w:color="000000"/>
              <w:right w:val="single" w:sz="4" w:space="0" w:color="000000"/>
            </w:tcBorders>
          </w:tcPr>
          <w:p w14:paraId="58894FD1"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128,81 </w:t>
            </w:r>
          </w:p>
        </w:tc>
        <w:tc>
          <w:tcPr>
            <w:tcW w:w="992" w:type="dxa"/>
            <w:gridSpan w:val="2"/>
            <w:tcBorders>
              <w:top w:val="single" w:sz="4" w:space="0" w:color="000000"/>
              <w:left w:val="single" w:sz="4" w:space="0" w:color="000000"/>
              <w:bottom w:val="single" w:sz="4" w:space="0" w:color="000000"/>
              <w:right w:val="single" w:sz="4" w:space="0" w:color="000000"/>
            </w:tcBorders>
          </w:tcPr>
          <w:p w14:paraId="26C7F060"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5F5D587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599469AC"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0B75515" w14:textId="77777777" w:rsidR="008D3E5D" w:rsidRPr="00612F82" w:rsidRDefault="008D3E5D" w:rsidP="002E2751">
            <w:pPr>
              <w:spacing w:line="259" w:lineRule="auto"/>
              <w:rPr>
                <w:rFonts w:cs="Arial"/>
                <w:sz w:val="16"/>
                <w:szCs w:val="16"/>
              </w:rPr>
            </w:pPr>
            <w:r w:rsidRPr="00612F82">
              <w:rPr>
                <w:rFonts w:cs="Arial"/>
                <w:sz w:val="16"/>
                <w:szCs w:val="16"/>
              </w:rPr>
              <w:t xml:space="preserve">1.3.5.5. </w:t>
            </w:r>
          </w:p>
        </w:tc>
        <w:tc>
          <w:tcPr>
            <w:tcW w:w="2835" w:type="dxa"/>
            <w:gridSpan w:val="2"/>
            <w:tcBorders>
              <w:top w:val="single" w:sz="4" w:space="0" w:color="000000"/>
              <w:left w:val="single" w:sz="4" w:space="0" w:color="000000"/>
              <w:bottom w:val="single" w:sz="4" w:space="0" w:color="000000"/>
              <w:right w:val="single" w:sz="4" w:space="0" w:color="000000"/>
            </w:tcBorders>
          </w:tcPr>
          <w:p w14:paraId="6447BC6D"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lektoriranja, prevodi  </w:t>
            </w:r>
          </w:p>
        </w:tc>
        <w:tc>
          <w:tcPr>
            <w:tcW w:w="1132" w:type="dxa"/>
            <w:gridSpan w:val="2"/>
            <w:tcBorders>
              <w:top w:val="single" w:sz="4" w:space="0" w:color="000000"/>
              <w:left w:val="single" w:sz="4" w:space="0" w:color="000000"/>
              <w:bottom w:val="single" w:sz="4" w:space="0" w:color="000000"/>
              <w:right w:val="single" w:sz="4" w:space="0" w:color="000000"/>
            </w:tcBorders>
          </w:tcPr>
          <w:p w14:paraId="2F148B7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1.390,14 </w:t>
            </w:r>
          </w:p>
        </w:tc>
        <w:tc>
          <w:tcPr>
            <w:tcW w:w="1017" w:type="dxa"/>
            <w:tcBorders>
              <w:top w:val="single" w:sz="4" w:space="0" w:color="000000"/>
              <w:left w:val="single" w:sz="4" w:space="0" w:color="000000"/>
              <w:bottom w:val="single" w:sz="4" w:space="0" w:color="000000"/>
              <w:right w:val="single" w:sz="4" w:space="0" w:color="000000"/>
            </w:tcBorders>
          </w:tcPr>
          <w:p w14:paraId="42376DAF"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6377AC69"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1.218,14 </w:t>
            </w:r>
          </w:p>
        </w:tc>
        <w:tc>
          <w:tcPr>
            <w:tcW w:w="992" w:type="dxa"/>
            <w:gridSpan w:val="2"/>
            <w:tcBorders>
              <w:top w:val="single" w:sz="4" w:space="0" w:color="000000"/>
              <w:left w:val="single" w:sz="4" w:space="0" w:color="000000"/>
              <w:bottom w:val="single" w:sz="4" w:space="0" w:color="000000"/>
              <w:right w:val="single" w:sz="4" w:space="0" w:color="000000"/>
            </w:tcBorders>
          </w:tcPr>
          <w:p w14:paraId="011E302F"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7E2B2E1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172.00 </w:t>
            </w:r>
          </w:p>
        </w:tc>
      </w:tr>
      <w:tr w:rsidR="008D3E5D" w:rsidRPr="00612F82" w14:paraId="789E224C"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DA6C2C7" w14:textId="77777777" w:rsidR="008D3E5D" w:rsidRPr="00612F82" w:rsidRDefault="008D3E5D" w:rsidP="002E2751">
            <w:pPr>
              <w:spacing w:line="259" w:lineRule="auto"/>
              <w:rPr>
                <w:rFonts w:cs="Arial"/>
                <w:sz w:val="16"/>
                <w:szCs w:val="16"/>
              </w:rPr>
            </w:pPr>
            <w:r w:rsidRPr="00612F82">
              <w:rPr>
                <w:rFonts w:cs="Arial"/>
                <w:sz w:val="16"/>
                <w:szCs w:val="16"/>
              </w:rPr>
              <w:t xml:space="preserve">1.3.5.6. </w:t>
            </w:r>
          </w:p>
        </w:tc>
        <w:tc>
          <w:tcPr>
            <w:tcW w:w="2835" w:type="dxa"/>
            <w:gridSpan w:val="2"/>
            <w:tcBorders>
              <w:top w:val="single" w:sz="4" w:space="0" w:color="000000"/>
              <w:left w:val="single" w:sz="4" w:space="0" w:color="000000"/>
              <w:bottom w:val="single" w:sz="4" w:space="0" w:color="000000"/>
              <w:right w:val="single" w:sz="4" w:space="0" w:color="000000"/>
            </w:tcBorders>
          </w:tcPr>
          <w:p w14:paraId="718B1738"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računovodstva </w:t>
            </w:r>
          </w:p>
        </w:tc>
        <w:tc>
          <w:tcPr>
            <w:tcW w:w="1132" w:type="dxa"/>
            <w:gridSpan w:val="2"/>
            <w:tcBorders>
              <w:top w:val="single" w:sz="4" w:space="0" w:color="000000"/>
              <w:left w:val="single" w:sz="4" w:space="0" w:color="000000"/>
              <w:bottom w:val="single" w:sz="4" w:space="0" w:color="000000"/>
              <w:right w:val="single" w:sz="4" w:space="0" w:color="000000"/>
            </w:tcBorders>
          </w:tcPr>
          <w:p w14:paraId="0006B1C3"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16.775,00 </w:t>
            </w:r>
          </w:p>
        </w:tc>
        <w:tc>
          <w:tcPr>
            <w:tcW w:w="1017" w:type="dxa"/>
            <w:tcBorders>
              <w:top w:val="single" w:sz="4" w:space="0" w:color="000000"/>
              <w:left w:val="single" w:sz="4" w:space="0" w:color="000000"/>
              <w:bottom w:val="single" w:sz="4" w:space="0" w:color="000000"/>
              <w:right w:val="single" w:sz="4" w:space="0" w:color="000000"/>
            </w:tcBorders>
          </w:tcPr>
          <w:p w14:paraId="1BDE4768"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16.775,00 </w:t>
            </w:r>
          </w:p>
        </w:tc>
        <w:tc>
          <w:tcPr>
            <w:tcW w:w="1395" w:type="dxa"/>
            <w:gridSpan w:val="2"/>
            <w:tcBorders>
              <w:top w:val="single" w:sz="4" w:space="0" w:color="000000"/>
              <w:left w:val="single" w:sz="4" w:space="0" w:color="000000"/>
              <w:bottom w:val="single" w:sz="4" w:space="0" w:color="000000"/>
              <w:right w:val="single" w:sz="4" w:space="0" w:color="000000"/>
            </w:tcBorders>
          </w:tcPr>
          <w:p w14:paraId="396611C9"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1BC52B8E"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7624B0C3"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0B755F7D"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6596A861" w14:textId="77777777" w:rsidR="008D3E5D" w:rsidRPr="00612F82" w:rsidRDefault="008D3E5D" w:rsidP="002E2751">
            <w:pPr>
              <w:spacing w:line="259" w:lineRule="auto"/>
              <w:rPr>
                <w:rFonts w:cs="Arial"/>
                <w:sz w:val="16"/>
                <w:szCs w:val="16"/>
              </w:rPr>
            </w:pPr>
            <w:r w:rsidRPr="00612F82">
              <w:rPr>
                <w:rFonts w:cs="Arial"/>
                <w:sz w:val="16"/>
                <w:szCs w:val="16"/>
              </w:rPr>
              <w:t>1.3.6.</w:t>
            </w:r>
            <w:r w:rsidRPr="00612F82">
              <w:rPr>
                <w:rFonts w:eastAsia="Calibri" w:cs="Arial"/>
                <w:sz w:val="16"/>
                <w:szCs w:val="16"/>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5FC68B4B"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na službenem potovanju  </w:t>
            </w:r>
          </w:p>
        </w:tc>
        <w:tc>
          <w:tcPr>
            <w:tcW w:w="1132" w:type="dxa"/>
            <w:gridSpan w:val="2"/>
            <w:tcBorders>
              <w:top w:val="single" w:sz="4" w:space="0" w:color="000000"/>
              <w:left w:val="single" w:sz="4" w:space="0" w:color="000000"/>
              <w:bottom w:val="single" w:sz="4" w:space="0" w:color="000000"/>
              <w:right w:val="single" w:sz="4" w:space="0" w:color="000000"/>
            </w:tcBorders>
          </w:tcPr>
          <w:p w14:paraId="5EDAB853"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55.537,83 </w:t>
            </w:r>
          </w:p>
        </w:tc>
        <w:tc>
          <w:tcPr>
            <w:tcW w:w="1017" w:type="dxa"/>
            <w:tcBorders>
              <w:top w:val="single" w:sz="4" w:space="0" w:color="000000"/>
              <w:left w:val="single" w:sz="4" w:space="0" w:color="000000"/>
              <w:bottom w:val="single" w:sz="4" w:space="0" w:color="000000"/>
              <w:right w:val="single" w:sz="4" w:space="0" w:color="000000"/>
            </w:tcBorders>
          </w:tcPr>
          <w:p w14:paraId="07DE4091"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7.534,53 </w:t>
            </w:r>
          </w:p>
        </w:tc>
        <w:tc>
          <w:tcPr>
            <w:tcW w:w="1395" w:type="dxa"/>
            <w:gridSpan w:val="2"/>
            <w:tcBorders>
              <w:top w:val="single" w:sz="4" w:space="0" w:color="000000"/>
              <w:left w:val="single" w:sz="4" w:space="0" w:color="000000"/>
              <w:bottom w:val="single" w:sz="4" w:space="0" w:color="000000"/>
              <w:right w:val="single" w:sz="4" w:space="0" w:color="000000"/>
            </w:tcBorders>
          </w:tcPr>
          <w:p w14:paraId="745FAA2D"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19.492,29 </w:t>
            </w:r>
          </w:p>
        </w:tc>
        <w:tc>
          <w:tcPr>
            <w:tcW w:w="992" w:type="dxa"/>
            <w:gridSpan w:val="2"/>
            <w:tcBorders>
              <w:top w:val="single" w:sz="4" w:space="0" w:color="000000"/>
              <w:left w:val="single" w:sz="4" w:space="0" w:color="000000"/>
              <w:bottom w:val="single" w:sz="4" w:space="0" w:color="000000"/>
              <w:right w:val="single" w:sz="4" w:space="0" w:color="000000"/>
            </w:tcBorders>
          </w:tcPr>
          <w:p w14:paraId="151086B2"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16,34 </w:t>
            </w:r>
          </w:p>
        </w:tc>
        <w:tc>
          <w:tcPr>
            <w:tcW w:w="995" w:type="dxa"/>
            <w:gridSpan w:val="2"/>
            <w:tcBorders>
              <w:top w:val="single" w:sz="4" w:space="0" w:color="000000"/>
              <w:left w:val="single" w:sz="4" w:space="0" w:color="000000"/>
              <w:bottom w:val="single" w:sz="4" w:space="0" w:color="000000"/>
              <w:right w:val="single" w:sz="4" w:space="0" w:color="000000"/>
            </w:tcBorders>
          </w:tcPr>
          <w:p w14:paraId="360C285E"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28,494.67 </w:t>
            </w:r>
          </w:p>
        </w:tc>
      </w:tr>
      <w:tr w:rsidR="008D3E5D" w:rsidRPr="00612F82" w14:paraId="69BA94B0"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30DD00DF" w14:textId="77777777" w:rsidR="008D3E5D" w:rsidRPr="00612F82" w:rsidRDefault="008D3E5D" w:rsidP="002E2751">
            <w:pPr>
              <w:spacing w:line="259" w:lineRule="auto"/>
              <w:rPr>
                <w:rFonts w:cs="Arial"/>
                <w:sz w:val="16"/>
                <w:szCs w:val="16"/>
              </w:rPr>
            </w:pPr>
            <w:r w:rsidRPr="00612F82">
              <w:rPr>
                <w:rFonts w:cs="Arial"/>
                <w:sz w:val="16"/>
                <w:szCs w:val="16"/>
              </w:rPr>
              <w:t xml:space="preserve">1.3.6.1. </w:t>
            </w:r>
          </w:p>
        </w:tc>
        <w:tc>
          <w:tcPr>
            <w:tcW w:w="2835" w:type="dxa"/>
            <w:gridSpan w:val="2"/>
            <w:tcBorders>
              <w:top w:val="single" w:sz="4" w:space="0" w:color="000000"/>
              <w:left w:val="single" w:sz="4" w:space="0" w:color="000000"/>
              <w:bottom w:val="single" w:sz="4" w:space="0" w:color="000000"/>
              <w:right w:val="single" w:sz="4" w:space="0" w:color="000000"/>
            </w:tcBorders>
          </w:tcPr>
          <w:p w14:paraId="29774946" w14:textId="77777777" w:rsidR="008D3E5D" w:rsidRPr="00612F82" w:rsidRDefault="008D3E5D" w:rsidP="002E2751">
            <w:pPr>
              <w:spacing w:line="259" w:lineRule="auto"/>
              <w:rPr>
                <w:rFonts w:cs="Arial"/>
                <w:sz w:val="16"/>
                <w:szCs w:val="16"/>
              </w:rPr>
            </w:pPr>
            <w:r w:rsidRPr="00612F82">
              <w:rPr>
                <w:rFonts w:cs="Arial"/>
                <w:sz w:val="16"/>
                <w:szCs w:val="16"/>
              </w:rPr>
              <w:t xml:space="preserve">Dnevnice za službena potovanja  </w:t>
            </w:r>
          </w:p>
        </w:tc>
        <w:tc>
          <w:tcPr>
            <w:tcW w:w="1132" w:type="dxa"/>
            <w:gridSpan w:val="2"/>
            <w:tcBorders>
              <w:top w:val="single" w:sz="4" w:space="0" w:color="000000"/>
              <w:left w:val="single" w:sz="4" w:space="0" w:color="000000"/>
              <w:bottom w:val="single" w:sz="4" w:space="0" w:color="000000"/>
              <w:right w:val="single" w:sz="4" w:space="0" w:color="000000"/>
            </w:tcBorders>
          </w:tcPr>
          <w:p w14:paraId="6042C93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7.629,21 </w:t>
            </w:r>
          </w:p>
        </w:tc>
        <w:tc>
          <w:tcPr>
            <w:tcW w:w="1017" w:type="dxa"/>
            <w:tcBorders>
              <w:top w:val="single" w:sz="4" w:space="0" w:color="000000"/>
              <w:left w:val="single" w:sz="4" w:space="0" w:color="000000"/>
              <w:bottom w:val="single" w:sz="4" w:space="0" w:color="000000"/>
              <w:right w:val="single" w:sz="4" w:space="0" w:color="000000"/>
            </w:tcBorders>
          </w:tcPr>
          <w:p w14:paraId="7D2EF59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1.410,71 </w:t>
            </w:r>
          </w:p>
        </w:tc>
        <w:tc>
          <w:tcPr>
            <w:tcW w:w="1395" w:type="dxa"/>
            <w:gridSpan w:val="2"/>
            <w:tcBorders>
              <w:top w:val="single" w:sz="4" w:space="0" w:color="000000"/>
              <w:left w:val="single" w:sz="4" w:space="0" w:color="000000"/>
              <w:bottom w:val="single" w:sz="4" w:space="0" w:color="000000"/>
              <w:right w:val="single" w:sz="4" w:space="0" w:color="000000"/>
            </w:tcBorders>
          </w:tcPr>
          <w:p w14:paraId="0D905FD3"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3.860,07 </w:t>
            </w:r>
          </w:p>
        </w:tc>
        <w:tc>
          <w:tcPr>
            <w:tcW w:w="992" w:type="dxa"/>
            <w:gridSpan w:val="2"/>
            <w:tcBorders>
              <w:top w:val="single" w:sz="4" w:space="0" w:color="000000"/>
              <w:left w:val="single" w:sz="4" w:space="0" w:color="000000"/>
              <w:bottom w:val="single" w:sz="4" w:space="0" w:color="000000"/>
              <w:right w:val="single" w:sz="4" w:space="0" w:color="000000"/>
            </w:tcBorders>
          </w:tcPr>
          <w:p w14:paraId="76B8DD84"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2D17162D"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2,358.43 </w:t>
            </w:r>
          </w:p>
        </w:tc>
      </w:tr>
      <w:tr w:rsidR="008D3E5D" w:rsidRPr="00612F82" w14:paraId="7DD614DB"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35E703B2" w14:textId="77777777" w:rsidR="008D3E5D" w:rsidRPr="00612F82" w:rsidRDefault="008D3E5D" w:rsidP="002E2751">
            <w:pPr>
              <w:spacing w:line="259" w:lineRule="auto"/>
              <w:rPr>
                <w:rFonts w:cs="Arial"/>
                <w:sz w:val="16"/>
                <w:szCs w:val="16"/>
              </w:rPr>
            </w:pPr>
            <w:r w:rsidRPr="00612F82">
              <w:rPr>
                <w:rFonts w:cs="Arial"/>
                <w:sz w:val="16"/>
                <w:szCs w:val="16"/>
              </w:rPr>
              <w:t xml:space="preserve">1.3.6.2. </w:t>
            </w:r>
          </w:p>
        </w:tc>
        <w:tc>
          <w:tcPr>
            <w:tcW w:w="2835" w:type="dxa"/>
            <w:gridSpan w:val="2"/>
            <w:tcBorders>
              <w:top w:val="single" w:sz="4" w:space="0" w:color="000000"/>
              <w:left w:val="single" w:sz="4" w:space="0" w:color="000000"/>
              <w:bottom w:val="single" w:sz="4" w:space="0" w:color="000000"/>
              <w:right w:val="single" w:sz="4" w:space="0" w:color="000000"/>
            </w:tcBorders>
          </w:tcPr>
          <w:p w14:paraId="7A85A2BF" w14:textId="77777777" w:rsidR="008D3E5D" w:rsidRPr="00612F82" w:rsidRDefault="008D3E5D" w:rsidP="002E2751">
            <w:pPr>
              <w:spacing w:line="259" w:lineRule="auto"/>
              <w:rPr>
                <w:rFonts w:cs="Arial"/>
                <w:sz w:val="16"/>
                <w:szCs w:val="16"/>
              </w:rPr>
            </w:pPr>
            <w:r w:rsidRPr="00612F82">
              <w:rPr>
                <w:rFonts w:cs="Arial"/>
                <w:sz w:val="16"/>
                <w:szCs w:val="16"/>
              </w:rPr>
              <w:t xml:space="preserve">Kilometrina  </w:t>
            </w:r>
          </w:p>
        </w:tc>
        <w:tc>
          <w:tcPr>
            <w:tcW w:w="1132" w:type="dxa"/>
            <w:gridSpan w:val="2"/>
            <w:tcBorders>
              <w:top w:val="single" w:sz="4" w:space="0" w:color="000000"/>
              <w:left w:val="single" w:sz="4" w:space="0" w:color="000000"/>
              <w:bottom w:val="single" w:sz="4" w:space="0" w:color="000000"/>
              <w:right w:val="single" w:sz="4" w:space="0" w:color="000000"/>
            </w:tcBorders>
          </w:tcPr>
          <w:p w14:paraId="73C1667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4.882,16 </w:t>
            </w:r>
          </w:p>
        </w:tc>
        <w:tc>
          <w:tcPr>
            <w:tcW w:w="1017" w:type="dxa"/>
            <w:tcBorders>
              <w:top w:val="single" w:sz="4" w:space="0" w:color="000000"/>
              <w:left w:val="single" w:sz="4" w:space="0" w:color="000000"/>
              <w:bottom w:val="single" w:sz="4" w:space="0" w:color="000000"/>
              <w:right w:val="single" w:sz="4" w:space="0" w:color="000000"/>
            </w:tcBorders>
          </w:tcPr>
          <w:p w14:paraId="5D85688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2.369,33 </w:t>
            </w:r>
          </w:p>
        </w:tc>
        <w:tc>
          <w:tcPr>
            <w:tcW w:w="1395" w:type="dxa"/>
            <w:gridSpan w:val="2"/>
            <w:tcBorders>
              <w:top w:val="single" w:sz="4" w:space="0" w:color="000000"/>
              <w:left w:val="single" w:sz="4" w:space="0" w:color="000000"/>
              <w:bottom w:val="single" w:sz="4" w:space="0" w:color="000000"/>
              <w:right w:val="single" w:sz="4" w:space="0" w:color="000000"/>
            </w:tcBorders>
          </w:tcPr>
          <w:p w14:paraId="62070563"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1.131,80 </w:t>
            </w:r>
          </w:p>
        </w:tc>
        <w:tc>
          <w:tcPr>
            <w:tcW w:w="992" w:type="dxa"/>
            <w:gridSpan w:val="2"/>
            <w:tcBorders>
              <w:top w:val="single" w:sz="4" w:space="0" w:color="000000"/>
              <w:left w:val="single" w:sz="4" w:space="0" w:color="000000"/>
              <w:bottom w:val="single" w:sz="4" w:space="0" w:color="000000"/>
              <w:right w:val="single" w:sz="4" w:space="0" w:color="000000"/>
            </w:tcBorders>
          </w:tcPr>
          <w:p w14:paraId="42668FB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16,34 </w:t>
            </w:r>
          </w:p>
        </w:tc>
        <w:tc>
          <w:tcPr>
            <w:tcW w:w="995" w:type="dxa"/>
            <w:gridSpan w:val="2"/>
            <w:tcBorders>
              <w:top w:val="single" w:sz="4" w:space="0" w:color="000000"/>
              <w:left w:val="single" w:sz="4" w:space="0" w:color="000000"/>
              <w:bottom w:val="single" w:sz="4" w:space="0" w:color="000000"/>
              <w:right w:val="single" w:sz="4" w:space="0" w:color="000000"/>
            </w:tcBorders>
          </w:tcPr>
          <w:p w14:paraId="73A436C5"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1,364.69 </w:t>
            </w:r>
          </w:p>
        </w:tc>
      </w:tr>
      <w:tr w:rsidR="008D3E5D" w:rsidRPr="00612F82" w14:paraId="154099B5"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8EB07FA" w14:textId="77777777" w:rsidR="008D3E5D" w:rsidRPr="00612F82" w:rsidRDefault="008D3E5D" w:rsidP="002E2751">
            <w:pPr>
              <w:spacing w:line="259" w:lineRule="auto"/>
              <w:rPr>
                <w:rFonts w:cs="Arial"/>
                <w:sz w:val="16"/>
                <w:szCs w:val="16"/>
              </w:rPr>
            </w:pPr>
            <w:r w:rsidRPr="00612F82">
              <w:rPr>
                <w:rFonts w:cs="Arial"/>
                <w:sz w:val="16"/>
                <w:szCs w:val="16"/>
              </w:rPr>
              <w:t xml:space="preserve">1.3.6.3. </w:t>
            </w:r>
          </w:p>
        </w:tc>
        <w:tc>
          <w:tcPr>
            <w:tcW w:w="2835" w:type="dxa"/>
            <w:gridSpan w:val="2"/>
            <w:tcBorders>
              <w:top w:val="single" w:sz="4" w:space="0" w:color="000000"/>
              <w:left w:val="single" w:sz="4" w:space="0" w:color="000000"/>
              <w:bottom w:val="single" w:sz="4" w:space="0" w:color="000000"/>
              <w:right w:val="single" w:sz="4" w:space="0" w:color="000000"/>
            </w:tcBorders>
          </w:tcPr>
          <w:p w14:paraId="0B9DC363"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nočnin na službenem potovanju  </w:t>
            </w:r>
          </w:p>
        </w:tc>
        <w:tc>
          <w:tcPr>
            <w:tcW w:w="1132" w:type="dxa"/>
            <w:gridSpan w:val="2"/>
            <w:tcBorders>
              <w:top w:val="single" w:sz="4" w:space="0" w:color="000000"/>
              <w:left w:val="single" w:sz="4" w:space="0" w:color="000000"/>
              <w:bottom w:val="single" w:sz="4" w:space="0" w:color="000000"/>
              <w:right w:val="single" w:sz="4" w:space="0" w:color="000000"/>
            </w:tcBorders>
          </w:tcPr>
          <w:p w14:paraId="3E5D5DF8"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15.063,36 </w:t>
            </w:r>
          </w:p>
        </w:tc>
        <w:tc>
          <w:tcPr>
            <w:tcW w:w="1017" w:type="dxa"/>
            <w:tcBorders>
              <w:top w:val="single" w:sz="4" w:space="0" w:color="000000"/>
              <w:left w:val="single" w:sz="4" w:space="0" w:color="000000"/>
              <w:bottom w:val="single" w:sz="4" w:space="0" w:color="000000"/>
              <w:right w:val="single" w:sz="4" w:space="0" w:color="000000"/>
            </w:tcBorders>
          </w:tcPr>
          <w:p w14:paraId="1EEAC4FE"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164,00 </w:t>
            </w:r>
          </w:p>
        </w:tc>
        <w:tc>
          <w:tcPr>
            <w:tcW w:w="1395" w:type="dxa"/>
            <w:gridSpan w:val="2"/>
            <w:tcBorders>
              <w:top w:val="single" w:sz="4" w:space="0" w:color="000000"/>
              <w:left w:val="single" w:sz="4" w:space="0" w:color="000000"/>
              <w:bottom w:val="single" w:sz="4" w:space="0" w:color="000000"/>
              <w:right w:val="single" w:sz="4" w:space="0" w:color="000000"/>
            </w:tcBorders>
          </w:tcPr>
          <w:p w14:paraId="2F940C35"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7.183,51 </w:t>
            </w:r>
          </w:p>
        </w:tc>
        <w:tc>
          <w:tcPr>
            <w:tcW w:w="992" w:type="dxa"/>
            <w:gridSpan w:val="2"/>
            <w:tcBorders>
              <w:top w:val="single" w:sz="4" w:space="0" w:color="000000"/>
              <w:left w:val="single" w:sz="4" w:space="0" w:color="000000"/>
              <w:bottom w:val="single" w:sz="4" w:space="0" w:color="000000"/>
              <w:right w:val="single" w:sz="4" w:space="0" w:color="000000"/>
            </w:tcBorders>
          </w:tcPr>
          <w:p w14:paraId="5DA50F1D"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2041BEC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7,715.85 </w:t>
            </w:r>
          </w:p>
        </w:tc>
      </w:tr>
      <w:tr w:rsidR="008D3E5D" w:rsidRPr="00612F82" w14:paraId="333F84E3"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6A557E2E" w14:textId="77777777" w:rsidR="008D3E5D" w:rsidRPr="00612F82" w:rsidRDefault="008D3E5D" w:rsidP="002E2751">
            <w:pPr>
              <w:spacing w:line="259" w:lineRule="auto"/>
              <w:rPr>
                <w:rFonts w:cs="Arial"/>
                <w:sz w:val="16"/>
                <w:szCs w:val="16"/>
              </w:rPr>
            </w:pPr>
            <w:r w:rsidRPr="00612F82">
              <w:rPr>
                <w:rFonts w:cs="Arial"/>
                <w:sz w:val="16"/>
                <w:szCs w:val="16"/>
              </w:rPr>
              <w:t xml:space="preserve">1.3.6.4. </w:t>
            </w:r>
          </w:p>
        </w:tc>
        <w:tc>
          <w:tcPr>
            <w:tcW w:w="2835" w:type="dxa"/>
            <w:gridSpan w:val="2"/>
            <w:tcBorders>
              <w:top w:val="single" w:sz="4" w:space="0" w:color="000000"/>
              <w:left w:val="single" w:sz="4" w:space="0" w:color="000000"/>
              <w:bottom w:val="single" w:sz="4" w:space="0" w:color="000000"/>
              <w:right w:val="single" w:sz="4" w:space="0" w:color="000000"/>
            </w:tcBorders>
          </w:tcPr>
          <w:p w14:paraId="6CD6AB36"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parkirnin, cestnin na službenem potovanju  </w:t>
            </w:r>
          </w:p>
        </w:tc>
        <w:tc>
          <w:tcPr>
            <w:tcW w:w="1132" w:type="dxa"/>
            <w:gridSpan w:val="2"/>
            <w:tcBorders>
              <w:top w:val="single" w:sz="4" w:space="0" w:color="000000"/>
              <w:left w:val="single" w:sz="4" w:space="0" w:color="000000"/>
              <w:bottom w:val="single" w:sz="4" w:space="0" w:color="000000"/>
              <w:right w:val="single" w:sz="4" w:space="0" w:color="000000"/>
            </w:tcBorders>
          </w:tcPr>
          <w:p w14:paraId="0273242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2.196,42 </w:t>
            </w:r>
          </w:p>
        </w:tc>
        <w:tc>
          <w:tcPr>
            <w:tcW w:w="1017" w:type="dxa"/>
            <w:tcBorders>
              <w:top w:val="single" w:sz="4" w:space="0" w:color="000000"/>
              <w:left w:val="single" w:sz="4" w:space="0" w:color="000000"/>
              <w:bottom w:val="single" w:sz="4" w:space="0" w:color="000000"/>
              <w:right w:val="single" w:sz="4" w:space="0" w:color="000000"/>
            </w:tcBorders>
          </w:tcPr>
          <w:p w14:paraId="163F285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38,25 </w:t>
            </w:r>
          </w:p>
        </w:tc>
        <w:tc>
          <w:tcPr>
            <w:tcW w:w="1395" w:type="dxa"/>
            <w:gridSpan w:val="2"/>
            <w:tcBorders>
              <w:top w:val="single" w:sz="4" w:space="0" w:color="000000"/>
              <w:left w:val="single" w:sz="4" w:space="0" w:color="000000"/>
              <w:bottom w:val="single" w:sz="4" w:space="0" w:color="000000"/>
              <w:right w:val="single" w:sz="4" w:space="0" w:color="000000"/>
            </w:tcBorders>
          </w:tcPr>
          <w:p w14:paraId="0FFA62BA"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1.125,32 </w:t>
            </w:r>
          </w:p>
        </w:tc>
        <w:tc>
          <w:tcPr>
            <w:tcW w:w="992" w:type="dxa"/>
            <w:gridSpan w:val="2"/>
            <w:tcBorders>
              <w:top w:val="single" w:sz="4" w:space="0" w:color="000000"/>
              <w:left w:val="single" w:sz="4" w:space="0" w:color="000000"/>
              <w:bottom w:val="single" w:sz="4" w:space="0" w:color="000000"/>
              <w:right w:val="single" w:sz="4" w:space="0" w:color="000000"/>
            </w:tcBorders>
          </w:tcPr>
          <w:p w14:paraId="13AA4600"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064C2BF8"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1,032.85 </w:t>
            </w:r>
          </w:p>
        </w:tc>
      </w:tr>
      <w:tr w:rsidR="008D3E5D" w:rsidRPr="00612F82" w14:paraId="356359B2"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26D9D05C" w14:textId="77777777" w:rsidR="008D3E5D" w:rsidRPr="00612F82" w:rsidRDefault="008D3E5D" w:rsidP="002E2751">
            <w:pPr>
              <w:spacing w:line="259" w:lineRule="auto"/>
              <w:rPr>
                <w:rFonts w:cs="Arial"/>
                <w:sz w:val="16"/>
                <w:szCs w:val="16"/>
              </w:rPr>
            </w:pPr>
            <w:r w:rsidRPr="00612F82">
              <w:rPr>
                <w:rFonts w:cs="Arial"/>
                <w:sz w:val="16"/>
                <w:szCs w:val="16"/>
              </w:rPr>
              <w:t xml:space="preserve">1.3.6.5. </w:t>
            </w:r>
          </w:p>
        </w:tc>
        <w:tc>
          <w:tcPr>
            <w:tcW w:w="2835" w:type="dxa"/>
            <w:gridSpan w:val="2"/>
            <w:tcBorders>
              <w:top w:val="single" w:sz="4" w:space="0" w:color="000000"/>
              <w:left w:val="single" w:sz="4" w:space="0" w:color="000000"/>
              <w:bottom w:val="single" w:sz="4" w:space="0" w:color="000000"/>
              <w:right w:val="single" w:sz="4" w:space="0" w:color="000000"/>
            </w:tcBorders>
          </w:tcPr>
          <w:p w14:paraId="0D1B0F60" w14:textId="77777777" w:rsidR="008D3E5D" w:rsidRPr="00612F82" w:rsidRDefault="008D3E5D" w:rsidP="002E2751">
            <w:pPr>
              <w:spacing w:line="259" w:lineRule="auto"/>
              <w:rPr>
                <w:rFonts w:cs="Arial"/>
                <w:sz w:val="16"/>
                <w:szCs w:val="16"/>
              </w:rPr>
            </w:pPr>
            <w:r w:rsidRPr="00612F82">
              <w:rPr>
                <w:rFonts w:cs="Arial"/>
                <w:sz w:val="16"/>
                <w:szCs w:val="16"/>
              </w:rPr>
              <w:t xml:space="preserve">Drugi stroški vezani na službeno potovanje </w:t>
            </w:r>
          </w:p>
        </w:tc>
        <w:tc>
          <w:tcPr>
            <w:tcW w:w="1132" w:type="dxa"/>
            <w:gridSpan w:val="2"/>
            <w:tcBorders>
              <w:top w:val="single" w:sz="4" w:space="0" w:color="000000"/>
              <w:left w:val="single" w:sz="4" w:space="0" w:color="000000"/>
              <w:bottom w:val="single" w:sz="4" w:space="0" w:color="000000"/>
              <w:right w:val="single" w:sz="4" w:space="0" w:color="000000"/>
            </w:tcBorders>
          </w:tcPr>
          <w:p w14:paraId="622980F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25.766,68 </w:t>
            </w:r>
          </w:p>
        </w:tc>
        <w:tc>
          <w:tcPr>
            <w:tcW w:w="1017" w:type="dxa"/>
            <w:tcBorders>
              <w:top w:val="single" w:sz="4" w:space="0" w:color="000000"/>
              <w:left w:val="single" w:sz="4" w:space="0" w:color="000000"/>
              <w:bottom w:val="single" w:sz="4" w:space="0" w:color="000000"/>
              <w:right w:val="single" w:sz="4" w:space="0" w:color="000000"/>
            </w:tcBorders>
          </w:tcPr>
          <w:p w14:paraId="6D4521D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3.552,24 </w:t>
            </w:r>
          </w:p>
        </w:tc>
        <w:tc>
          <w:tcPr>
            <w:tcW w:w="1395" w:type="dxa"/>
            <w:gridSpan w:val="2"/>
            <w:tcBorders>
              <w:top w:val="single" w:sz="4" w:space="0" w:color="000000"/>
              <w:left w:val="single" w:sz="4" w:space="0" w:color="000000"/>
              <w:bottom w:val="single" w:sz="4" w:space="0" w:color="000000"/>
              <w:right w:val="single" w:sz="4" w:space="0" w:color="000000"/>
            </w:tcBorders>
          </w:tcPr>
          <w:p w14:paraId="103082C9"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6.191,59 </w:t>
            </w:r>
          </w:p>
        </w:tc>
        <w:tc>
          <w:tcPr>
            <w:tcW w:w="992" w:type="dxa"/>
            <w:gridSpan w:val="2"/>
            <w:tcBorders>
              <w:top w:val="single" w:sz="4" w:space="0" w:color="000000"/>
              <w:left w:val="single" w:sz="4" w:space="0" w:color="000000"/>
              <w:bottom w:val="single" w:sz="4" w:space="0" w:color="000000"/>
              <w:right w:val="single" w:sz="4" w:space="0" w:color="000000"/>
            </w:tcBorders>
          </w:tcPr>
          <w:p w14:paraId="301623B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5C654DB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16,022.85 </w:t>
            </w:r>
          </w:p>
        </w:tc>
      </w:tr>
      <w:tr w:rsidR="008D3E5D" w:rsidRPr="00612F82" w14:paraId="336D1009"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3F74D0F0" w14:textId="77777777" w:rsidR="008D3E5D" w:rsidRPr="00612F82" w:rsidRDefault="008D3E5D" w:rsidP="002E2751">
            <w:pPr>
              <w:spacing w:line="259" w:lineRule="auto"/>
              <w:rPr>
                <w:rFonts w:cs="Arial"/>
                <w:sz w:val="16"/>
                <w:szCs w:val="16"/>
              </w:rPr>
            </w:pPr>
            <w:r w:rsidRPr="00612F82">
              <w:rPr>
                <w:rFonts w:cs="Arial"/>
                <w:sz w:val="16"/>
                <w:szCs w:val="16"/>
              </w:rPr>
              <w:t>1.3.7.</w:t>
            </w:r>
            <w:r w:rsidRPr="00612F82">
              <w:rPr>
                <w:rFonts w:eastAsia="Calibri" w:cs="Arial"/>
                <w:sz w:val="16"/>
                <w:szCs w:val="16"/>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7F8067C4"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avtorskih in </w:t>
            </w:r>
            <w:proofErr w:type="spellStart"/>
            <w:r w:rsidRPr="00612F82">
              <w:rPr>
                <w:rFonts w:eastAsia="Calibri" w:cs="Arial"/>
                <w:sz w:val="16"/>
                <w:szCs w:val="16"/>
              </w:rPr>
              <w:t>podjemnih</w:t>
            </w:r>
            <w:proofErr w:type="spellEnd"/>
            <w:r w:rsidRPr="00612F82">
              <w:rPr>
                <w:rFonts w:eastAsia="Calibri" w:cs="Arial"/>
                <w:sz w:val="16"/>
                <w:szCs w:val="16"/>
              </w:rPr>
              <w:t xml:space="preserve"> pogodb  </w:t>
            </w:r>
          </w:p>
        </w:tc>
        <w:tc>
          <w:tcPr>
            <w:tcW w:w="1132" w:type="dxa"/>
            <w:gridSpan w:val="2"/>
            <w:tcBorders>
              <w:top w:val="single" w:sz="4" w:space="0" w:color="000000"/>
              <w:left w:val="single" w:sz="4" w:space="0" w:color="000000"/>
              <w:bottom w:val="single" w:sz="4" w:space="0" w:color="000000"/>
              <w:right w:val="single" w:sz="4" w:space="0" w:color="000000"/>
            </w:tcBorders>
          </w:tcPr>
          <w:p w14:paraId="7C19CF92"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205.193,00 </w:t>
            </w:r>
          </w:p>
        </w:tc>
        <w:tc>
          <w:tcPr>
            <w:tcW w:w="1017" w:type="dxa"/>
            <w:tcBorders>
              <w:top w:val="single" w:sz="4" w:space="0" w:color="000000"/>
              <w:left w:val="single" w:sz="4" w:space="0" w:color="000000"/>
              <w:bottom w:val="single" w:sz="4" w:space="0" w:color="000000"/>
              <w:right w:val="single" w:sz="4" w:space="0" w:color="000000"/>
            </w:tcBorders>
          </w:tcPr>
          <w:p w14:paraId="053D2089"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27.879,35 </w:t>
            </w:r>
          </w:p>
        </w:tc>
        <w:tc>
          <w:tcPr>
            <w:tcW w:w="1395" w:type="dxa"/>
            <w:gridSpan w:val="2"/>
            <w:tcBorders>
              <w:top w:val="single" w:sz="4" w:space="0" w:color="000000"/>
              <w:left w:val="single" w:sz="4" w:space="0" w:color="000000"/>
              <w:bottom w:val="single" w:sz="4" w:space="0" w:color="000000"/>
              <w:right w:val="single" w:sz="4" w:space="0" w:color="000000"/>
            </w:tcBorders>
          </w:tcPr>
          <w:p w14:paraId="1515CB10"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173.184,65 </w:t>
            </w:r>
          </w:p>
        </w:tc>
        <w:tc>
          <w:tcPr>
            <w:tcW w:w="992" w:type="dxa"/>
            <w:gridSpan w:val="2"/>
            <w:tcBorders>
              <w:top w:val="single" w:sz="4" w:space="0" w:color="000000"/>
              <w:left w:val="single" w:sz="4" w:space="0" w:color="000000"/>
              <w:bottom w:val="single" w:sz="4" w:space="0" w:color="000000"/>
              <w:right w:val="single" w:sz="4" w:space="0" w:color="000000"/>
            </w:tcBorders>
          </w:tcPr>
          <w:p w14:paraId="001BED7F"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2.600,00 </w:t>
            </w:r>
          </w:p>
        </w:tc>
        <w:tc>
          <w:tcPr>
            <w:tcW w:w="995" w:type="dxa"/>
            <w:gridSpan w:val="2"/>
            <w:tcBorders>
              <w:top w:val="single" w:sz="4" w:space="0" w:color="000000"/>
              <w:left w:val="single" w:sz="4" w:space="0" w:color="000000"/>
              <w:bottom w:val="single" w:sz="4" w:space="0" w:color="000000"/>
              <w:right w:val="single" w:sz="4" w:space="0" w:color="000000"/>
            </w:tcBorders>
          </w:tcPr>
          <w:p w14:paraId="4A72DBF5"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1,529.00 </w:t>
            </w:r>
          </w:p>
        </w:tc>
      </w:tr>
      <w:tr w:rsidR="008D3E5D" w:rsidRPr="00612F82" w14:paraId="61377B61" w14:textId="77777777" w:rsidTr="002E2751">
        <w:trPr>
          <w:trHeight w:val="451"/>
        </w:trPr>
        <w:tc>
          <w:tcPr>
            <w:tcW w:w="846" w:type="dxa"/>
            <w:tcBorders>
              <w:top w:val="single" w:sz="4" w:space="0" w:color="000000"/>
              <w:left w:val="single" w:sz="4" w:space="0" w:color="000000"/>
              <w:bottom w:val="single" w:sz="4" w:space="0" w:color="000000"/>
              <w:right w:val="single" w:sz="4" w:space="0" w:color="000000"/>
            </w:tcBorders>
            <w:vAlign w:val="center"/>
          </w:tcPr>
          <w:p w14:paraId="7A0CFCD0" w14:textId="77777777" w:rsidR="008D3E5D" w:rsidRPr="00612F82" w:rsidRDefault="008D3E5D" w:rsidP="002E2751">
            <w:pPr>
              <w:spacing w:line="259" w:lineRule="auto"/>
              <w:rPr>
                <w:rFonts w:cs="Arial"/>
                <w:sz w:val="16"/>
                <w:szCs w:val="16"/>
              </w:rPr>
            </w:pPr>
            <w:r w:rsidRPr="00612F82">
              <w:rPr>
                <w:rFonts w:cs="Arial"/>
                <w:sz w:val="16"/>
                <w:szCs w:val="16"/>
              </w:rPr>
              <w:t xml:space="preserve">1.3.7.1. </w:t>
            </w:r>
          </w:p>
        </w:tc>
        <w:tc>
          <w:tcPr>
            <w:tcW w:w="2835" w:type="dxa"/>
            <w:gridSpan w:val="2"/>
            <w:tcBorders>
              <w:top w:val="single" w:sz="4" w:space="0" w:color="000000"/>
              <w:left w:val="single" w:sz="4" w:space="0" w:color="000000"/>
              <w:bottom w:val="single" w:sz="4" w:space="0" w:color="000000"/>
              <w:right w:val="single" w:sz="4" w:space="0" w:color="000000"/>
            </w:tcBorders>
          </w:tcPr>
          <w:p w14:paraId="5F4BA5B5"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avtorskih pogodb (učiteljsko osebje), ostalih pogodb </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420EB3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8.325,74 </w:t>
            </w:r>
          </w:p>
        </w:tc>
        <w:tc>
          <w:tcPr>
            <w:tcW w:w="1017" w:type="dxa"/>
            <w:tcBorders>
              <w:top w:val="single" w:sz="4" w:space="0" w:color="000000"/>
              <w:left w:val="single" w:sz="4" w:space="0" w:color="000000"/>
              <w:bottom w:val="single" w:sz="4" w:space="0" w:color="000000"/>
              <w:right w:val="single" w:sz="4" w:space="0" w:color="000000"/>
            </w:tcBorders>
            <w:vAlign w:val="center"/>
          </w:tcPr>
          <w:p w14:paraId="2DEB99D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2.950,09 </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14:paraId="427A457E"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5.375,65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7C8D1EE"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14:paraId="1E2A8B87"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216729D1"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8852111" w14:textId="77777777" w:rsidR="008D3E5D" w:rsidRPr="00612F82" w:rsidRDefault="008D3E5D" w:rsidP="002E2751">
            <w:pPr>
              <w:spacing w:line="259" w:lineRule="auto"/>
              <w:rPr>
                <w:rFonts w:cs="Arial"/>
                <w:sz w:val="16"/>
                <w:szCs w:val="16"/>
              </w:rPr>
            </w:pPr>
            <w:r w:rsidRPr="00612F82">
              <w:rPr>
                <w:rFonts w:cs="Arial"/>
                <w:sz w:val="16"/>
                <w:szCs w:val="16"/>
              </w:rPr>
              <w:t xml:space="preserve">1.3.7.2. </w:t>
            </w:r>
          </w:p>
        </w:tc>
        <w:tc>
          <w:tcPr>
            <w:tcW w:w="2835" w:type="dxa"/>
            <w:gridSpan w:val="2"/>
            <w:tcBorders>
              <w:top w:val="single" w:sz="4" w:space="0" w:color="000000"/>
              <w:left w:val="single" w:sz="4" w:space="0" w:color="000000"/>
              <w:bottom w:val="single" w:sz="4" w:space="0" w:color="000000"/>
              <w:right w:val="single" w:sz="4" w:space="0" w:color="000000"/>
            </w:tcBorders>
          </w:tcPr>
          <w:p w14:paraId="16524113"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w:t>
            </w:r>
            <w:proofErr w:type="spellStart"/>
            <w:r w:rsidRPr="00612F82">
              <w:rPr>
                <w:rFonts w:cs="Arial"/>
                <w:sz w:val="16"/>
                <w:szCs w:val="16"/>
              </w:rPr>
              <w:t>podjemnih</w:t>
            </w:r>
            <w:proofErr w:type="spellEnd"/>
            <w:r w:rsidRPr="00612F82">
              <w:rPr>
                <w:rFonts w:cs="Arial"/>
                <w:sz w:val="16"/>
                <w:szCs w:val="16"/>
              </w:rPr>
              <w:t xml:space="preserve"> pogodb </w:t>
            </w:r>
          </w:p>
        </w:tc>
        <w:tc>
          <w:tcPr>
            <w:tcW w:w="1132" w:type="dxa"/>
            <w:gridSpan w:val="2"/>
            <w:tcBorders>
              <w:top w:val="single" w:sz="4" w:space="0" w:color="000000"/>
              <w:left w:val="single" w:sz="4" w:space="0" w:color="000000"/>
              <w:bottom w:val="single" w:sz="4" w:space="0" w:color="000000"/>
              <w:right w:val="single" w:sz="4" w:space="0" w:color="000000"/>
            </w:tcBorders>
          </w:tcPr>
          <w:p w14:paraId="6C973CB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196.867,26 </w:t>
            </w:r>
          </w:p>
        </w:tc>
        <w:tc>
          <w:tcPr>
            <w:tcW w:w="1017" w:type="dxa"/>
            <w:tcBorders>
              <w:top w:val="single" w:sz="4" w:space="0" w:color="000000"/>
              <w:left w:val="single" w:sz="4" w:space="0" w:color="000000"/>
              <w:bottom w:val="single" w:sz="4" w:space="0" w:color="000000"/>
              <w:right w:val="single" w:sz="4" w:space="0" w:color="000000"/>
            </w:tcBorders>
          </w:tcPr>
          <w:p w14:paraId="0100DE8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24.929,26 </w:t>
            </w:r>
          </w:p>
        </w:tc>
        <w:tc>
          <w:tcPr>
            <w:tcW w:w="1395" w:type="dxa"/>
            <w:gridSpan w:val="2"/>
            <w:tcBorders>
              <w:top w:val="single" w:sz="4" w:space="0" w:color="000000"/>
              <w:left w:val="single" w:sz="4" w:space="0" w:color="000000"/>
              <w:bottom w:val="single" w:sz="4" w:space="0" w:color="000000"/>
              <w:right w:val="single" w:sz="4" w:space="0" w:color="000000"/>
            </w:tcBorders>
          </w:tcPr>
          <w:p w14:paraId="19665ED4"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167.809,00 </w:t>
            </w:r>
          </w:p>
        </w:tc>
        <w:tc>
          <w:tcPr>
            <w:tcW w:w="992" w:type="dxa"/>
            <w:gridSpan w:val="2"/>
            <w:tcBorders>
              <w:top w:val="single" w:sz="4" w:space="0" w:color="000000"/>
              <w:left w:val="single" w:sz="4" w:space="0" w:color="000000"/>
              <w:bottom w:val="single" w:sz="4" w:space="0" w:color="000000"/>
              <w:right w:val="single" w:sz="4" w:space="0" w:color="000000"/>
            </w:tcBorders>
          </w:tcPr>
          <w:p w14:paraId="0750A6D0"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2.600,00 </w:t>
            </w:r>
          </w:p>
        </w:tc>
        <w:tc>
          <w:tcPr>
            <w:tcW w:w="995" w:type="dxa"/>
            <w:gridSpan w:val="2"/>
            <w:tcBorders>
              <w:top w:val="single" w:sz="4" w:space="0" w:color="000000"/>
              <w:left w:val="single" w:sz="4" w:space="0" w:color="000000"/>
              <w:bottom w:val="single" w:sz="4" w:space="0" w:color="000000"/>
              <w:right w:val="single" w:sz="4" w:space="0" w:color="000000"/>
            </w:tcBorders>
          </w:tcPr>
          <w:p w14:paraId="3C1C369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1,529.00 </w:t>
            </w:r>
          </w:p>
        </w:tc>
      </w:tr>
      <w:tr w:rsidR="008D3E5D" w:rsidRPr="00612F82" w14:paraId="6298B1BC"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0DBC08C0" w14:textId="77777777" w:rsidR="008D3E5D" w:rsidRPr="00612F82" w:rsidRDefault="008D3E5D" w:rsidP="002E2751">
            <w:pPr>
              <w:spacing w:line="259" w:lineRule="auto"/>
              <w:rPr>
                <w:rFonts w:cs="Arial"/>
                <w:sz w:val="16"/>
                <w:szCs w:val="16"/>
              </w:rPr>
            </w:pPr>
            <w:r w:rsidRPr="00612F82">
              <w:rPr>
                <w:rFonts w:cs="Arial"/>
                <w:sz w:val="16"/>
                <w:szCs w:val="16"/>
              </w:rPr>
              <w:t>1.3.8.</w:t>
            </w:r>
            <w:r w:rsidRPr="00612F82">
              <w:rPr>
                <w:rFonts w:eastAsia="Calibri" w:cs="Arial"/>
                <w:sz w:val="16"/>
                <w:szCs w:val="16"/>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01A86EB8"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Drugi stroški storitev </w:t>
            </w:r>
          </w:p>
        </w:tc>
        <w:tc>
          <w:tcPr>
            <w:tcW w:w="1132" w:type="dxa"/>
            <w:gridSpan w:val="2"/>
            <w:tcBorders>
              <w:top w:val="single" w:sz="4" w:space="0" w:color="000000"/>
              <w:left w:val="single" w:sz="4" w:space="0" w:color="000000"/>
              <w:bottom w:val="single" w:sz="4" w:space="0" w:color="000000"/>
              <w:right w:val="single" w:sz="4" w:space="0" w:color="000000"/>
            </w:tcBorders>
          </w:tcPr>
          <w:p w14:paraId="35AC2877"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66.573,96 </w:t>
            </w:r>
          </w:p>
        </w:tc>
        <w:tc>
          <w:tcPr>
            <w:tcW w:w="1017" w:type="dxa"/>
            <w:tcBorders>
              <w:top w:val="single" w:sz="4" w:space="0" w:color="000000"/>
              <w:left w:val="single" w:sz="4" w:space="0" w:color="000000"/>
              <w:bottom w:val="single" w:sz="4" w:space="0" w:color="000000"/>
              <w:right w:val="single" w:sz="4" w:space="0" w:color="000000"/>
            </w:tcBorders>
          </w:tcPr>
          <w:p w14:paraId="289929BC"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40.398,15 </w:t>
            </w:r>
          </w:p>
        </w:tc>
        <w:tc>
          <w:tcPr>
            <w:tcW w:w="1395" w:type="dxa"/>
            <w:gridSpan w:val="2"/>
            <w:tcBorders>
              <w:top w:val="single" w:sz="4" w:space="0" w:color="000000"/>
              <w:left w:val="single" w:sz="4" w:space="0" w:color="000000"/>
              <w:bottom w:val="single" w:sz="4" w:space="0" w:color="000000"/>
              <w:right w:val="single" w:sz="4" w:space="0" w:color="000000"/>
            </w:tcBorders>
          </w:tcPr>
          <w:p w14:paraId="16E2E1B3"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12.820,11 </w:t>
            </w:r>
          </w:p>
        </w:tc>
        <w:tc>
          <w:tcPr>
            <w:tcW w:w="992" w:type="dxa"/>
            <w:gridSpan w:val="2"/>
            <w:tcBorders>
              <w:top w:val="single" w:sz="4" w:space="0" w:color="000000"/>
              <w:left w:val="single" w:sz="4" w:space="0" w:color="000000"/>
              <w:bottom w:val="single" w:sz="4" w:space="0" w:color="000000"/>
              <w:right w:val="single" w:sz="4" w:space="0" w:color="000000"/>
            </w:tcBorders>
          </w:tcPr>
          <w:p w14:paraId="18F93FAF"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2D0CE422"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13,355.70 </w:t>
            </w:r>
          </w:p>
        </w:tc>
      </w:tr>
      <w:tr w:rsidR="008D3E5D" w:rsidRPr="00612F82" w14:paraId="20971C54"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16E75AC8" w14:textId="77777777" w:rsidR="008D3E5D" w:rsidRPr="00612F82" w:rsidRDefault="008D3E5D" w:rsidP="002E2751">
            <w:pPr>
              <w:spacing w:line="259" w:lineRule="auto"/>
              <w:rPr>
                <w:rFonts w:cs="Arial"/>
                <w:sz w:val="16"/>
                <w:szCs w:val="16"/>
              </w:rPr>
            </w:pPr>
            <w:r w:rsidRPr="00612F82">
              <w:rPr>
                <w:rFonts w:cs="Arial"/>
                <w:sz w:val="16"/>
                <w:szCs w:val="16"/>
              </w:rPr>
              <w:t xml:space="preserve">1.3.8.1. </w:t>
            </w:r>
          </w:p>
        </w:tc>
        <w:tc>
          <w:tcPr>
            <w:tcW w:w="2835" w:type="dxa"/>
            <w:gridSpan w:val="2"/>
            <w:tcBorders>
              <w:top w:val="single" w:sz="4" w:space="0" w:color="000000"/>
              <w:left w:val="single" w:sz="4" w:space="0" w:color="000000"/>
              <w:bottom w:val="single" w:sz="4" w:space="0" w:color="000000"/>
              <w:right w:val="single" w:sz="4" w:space="0" w:color="000000"/>
            </w:tcBorders>
          </w:tcPr>
          <w:p w14:paraId="44926A32"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konferenc in </w:t>
            </w:r>
            <w:proofErr w:type="spellStart"/>
            <w:r w:rsidRPr="00612F82">
              <w:rPr>
                <w:rFonts w:cs="Arial"/>
                <w:sz w:val="16"/>
                <w:szCs w:val="16"/>
              </w:rPr>
              <w:t>dr</w:t>
            </w:r>
            <w:proofErr w:type="spellEnd"/>
            <w:r w:rsidRPr="00612F82">
              <w:rPr>
                <w:rFonts w:cs="Arial"/>
                <w:sz w:val="16"/>
                <w:szCs w:val="16"/>
              </w:rPr>
              <w:t xml:space="preserve">, večjih prireditev  </w:t>
            </w:r>
          </w:p>
        </w:tc>
        <w:tc>
          <w:tcPr>
            <w:tcW w:w="1132" w:type="dxa"/>
            <w:gridSpan w:val="2"/>
            <w:tcBorders>
              <w:top w:val="single" w:sz="4" w:space="0" w:color="000000"/>
              <w:left w:val="single" w:sz="4" w:space="0" w:color="000000"/>
              <w:bottom w:val="single" w:sz="4" w:space="0" w:color="000000"/>
              <w:right w:val="single" w:sz="4" w:space="0" w:color="000000"/>
            </w:tcBorders>
          </w:tcPr>
          <w:p w14:paraId="4000DB3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2.561,83 </w:t>
            </w:r>
          </w:p>
        </w:tc>
        <w:tc>
          <w:tcPr>
            <w:tcW w:w="1017" w:type="dxa"/>
            <w:tcBorders>
              <w:top w:val="single" w:sz="4" w:space="0" w:color="000000"/>
              <w:left w:val="single" w:sz="4" w:space="0" w:color="000000"/>
              <w:bottom w:val="single" w:sz="4" w:space="0" w:color="000000"/>
              <w:right w:val="single" w:sz="4" w:space="0" w:color="000000"/>
            </w:tcBorders>
          </w:tcPr>
          <w:p w14:paraId="7BE627F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2.261,83 </w:t>
            </w:r>
          </w:p>
        </w:tc>
        <w:tc>
          <w:tcPr>
            <w:tcW w:w="1395" w:type="dxa"/>
            <w:gridSpan w:val="2"/>
            <w:tcBorders>
              <w:top w:val="single" w:sz="4" w:space="0" w:color="000000"/>
              <w:left w:val="single" w:sz="4" w:space="0" w:color="000000"/>
              <w:bottom w:val="single" w:sz="4" w:space="0" w:color="000000"/>
              <w:right w:val="single" w:sz="4" w:space="0" w:color="000000"/>
            </w:tcBorders>
          </w:tcPr>
          <w:p w14:paraId="479812E9"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301A48F1"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7B6D064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300.00 </w:t>
            </w:r>
          </w:p>
        </w:tc>
      </w:tr>
      <w:tr w:rsidR="008D3E5D" w:rsidRPr="00612F82" w14:paraId="43C5223D"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60267517" w14:textId="77777777" w:rsidR="008D3E5D" w:rsidRPr="00612F82" w:rsidRDefault="008D3E5D" w:rsidP="002E2751">
            <w:pPr>
              <w:spacing w:line="259" w:lineRule="auto"/>
              <w:rPr>
                <w:rFonts w:cs="Arial"/>
                <w:sz w:val="16"/>
                <w:szCs w:val="16"/>
              </w:rPr>
            </w:pPr>
            <w:r w:rsidRPr="00612F82">
              <w:rPr>
                <w:rFonts w:cs="Arial"/>
                <w:sz w:val="16"/>
                <w:szCs w:val="16"/>
              </w:rPr>
              <w:t xml:space="preserve">1.3.8.2. </w:t>
            </w:r>
          </w:p>
        </w:tc>
        <w:tc>
          <w:tcPr>
            <w:tcW w:w="2835" w:type="dxa"/>
            <w:gridSpan w:val="2"/>
            <w:tcBorders>
              <w:top w:val="single" w:sz="4" w:space="0" w:color="000000"/>
              <w:left w:val="single" w:sz="4" w:space="0" w:color="000000"/>
              <w:bottom w:val="single" w:sz="4" w:space="0" w:color="000000"/>
              <w:right w:val="single" w:sz="4" w:space="0" w:color="000000"/>
            </w:tcBorders>
          </w:tcPr>
          <w:p w14:paraId="3E66E47F"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hrane konferenc in </w:t>
            </w:r>
            <w:proofErr w:type="spellStart"/>
            <w:r w:rsidRPr="00612F82">
              <w:rPr>
                <w:rFonts w:cs="Arial"/>
                <w:sz w:val="16"/>
                <w:szCs w:val="16"/>
              </w:rPr>
              <w:t>dr</w:t>
            </w:r>
            <w:proofErr w:type="spellEnd"/>
            <w:r w:rsidRPr="00612F82">
              <w:rPr>
                <w:rFonts w:cs="Arial"/>
                <w:sz w:val="16"/>
                <w:szCs w:val="16"/>
              </w:rPr>
              <w:t xml:space="preserve">, večjih prireditev  </w:t>
            </w:r>
          </w:p>
        </w:tc>
        <w:tc>
          <w:tcPr>
            <w:tcW w:w="1132" w:type="dxa"/>
            <w:gridSpan w:val="2"/>
            <w:tcBorders>
              <w:top w:val="single" w:sz="4" w:space="0" w:color="000000"/>
              <w:left w:val="single" w:sz="4" w:space="0" w:color="000000"/>
              <w:bottom w:val="single" w:sz="4" w:space="0" w:color="000000"/>
              <w:right w:val="single" w:sz="4" w:space="0" w:color="000000"/>
            </w:tcBorders>
          </w:tcPr>
          <w:p w14:paraId="0C58C09E"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12.579,00 </w:t>
            </w:r>
          </w:p>
        </w:tc>
        <w:tc>
          <w:tcPr>
            <w:tcW w:w="1017" w:type="dxa"/>
            <w:tcBorders>
              <w:top w:val="single" w:sz="4" w:space="0" w:color="000000"/>
              <w:left w:val="single" w:sz="4" w:space="0" w:color="000000"/>
              <w:bottom w:val="single" w:sz="4" w:space="0" w:color="000000"/>
              <w:right w:val="single" w:sz="4" w:space="0" w:color="000000"/>
            </w:tcBorders>
          </w:tcPr>
          <w:p w14:paraId="43E2372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206,00 </w:t>
            </w:r>
          </w:p>
        </w:tc>
        <w:tc>
          <w:tcPr>
            <w:tcW w:w="1395" w:type="dxa"/>
            <w:gridSpan w:val="2"/>
            <w:tcBorders>
              <w:top w:val="single" w:sz="4" w:space="0" w:color="000000"/>
              <w:left w:val="single" w:sz="4" w:space="0" w:color="000000"/>
              <w:bottom w:val="single" w:sz="4" w:space="0" w:color="000000"/>
              <w:right w:val="single" w:sz="4" w:space="0" w:color="000000"/>
            </w:tcBorders>
          </w:tcPr>
          <w:p w14:paraId="5869BCA3"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2.412,00 </w:t>
            </w:r>
          </w:p>
        </w:tc>
        <w:tc>
          <w:tcPr>
            <w:tcW w:w="992" w:type="dxa"/>
            <w:gridSpan w:val="2"/>
            <w:tcBorders>
              <w:top w:val="single" w:sz="4" w:space="0" w:color="000000"/>
              <w:left w:val="single" w:sz="4" w:space="0" w:color="000000"/>
              <w:bottom w:val="single" w:sz="4" w:space="0" w:color="000000"/>
              <w:right w:val="single" w:sz="4" w:space="0" w:color="000000"/>
            </w:tcBorders>
          </w:tcPr>
          <w:p w14:paraId="6B769646"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3F6FEC32"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9,961.00 </w:t>
            </w:r>
          </w:p>
        </w:tc>
      </w:tr>
      <w:tr w:rsidR="008D3E5D" w:rsidRPr="00612F82" w14:paraId="468F019F"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7CBF6376" w14:textId="77777777" w:rsidR="008D3E5D" w:rsidRPr="00612F82" w:rsidRDefault="008D3E5D" w:rsidP="002E2751">
            <w:pPr>
              <w:spacing w:line="259" w:lineRule="auto"/>
              <w:rPr>
                <w:rFonts w:cs="Arial"/>
                <w:sz w:val="16"/>
                <w:szCs w:val="16"/>
              </w:rPr>
            </w:pPr>
            <w:r w:rsidRPr="00612F82">
              <w:rPr>
                <w:rFonts w:cs="Arial"/>
                <w:sz w:val="16"/>
                <w:szCs w:val="16"/>
              </w:rPr>
              <w:t xml:space="preserve">1.3.8.3. </w:t>
            </w:r>
          </w:p>
        </w:tc>
        <w:tc>
          <w:tcPr>
            <w:tcW w:w="2835" w:type="dxa"/>
            <w:gridSpan w:val="2"/>
            <w:tcBorders>
              <w:top w:val="single" w:sz="4" w:space="0" w:color="000000"/>
              <w:left w:val="single" w:sz="4" w:space="0" w:color="000000"/>
              <w:bottom w:val="single" w:sz="4" w:space="0" w:color="000000"/>
              <w:right w:val="single" w:sz="4" w:space="0" w:color="000000"/>
            </w:tcBorders>
          </w:tcPr>
          <w:p w14:paraId="555795E2"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tiskanja  </w:t>
            </w:r>
          </w:p>
        </w:tc>
        <w:tc>
          <w:tcPr>
            <w:tcW w:w="1132" w:type="dxa"/>
            <w:gridSpan w:val="2"/>
            <w:tcBorders>
              <w:top w:val="single" w:sz="4" w:space="0" w:color="000000"/>
              <w:left w:val="single" w:sz="4" w:space="0" w:color="000000"/>
              <w:bottom w:val="single" w:sz="4" w:space="0" w:color="000000"/>
              <w:right w:val="single" w:sz="4" w:space="0" w:color="000000"/>
            </w:tcBorders>
          </w:tcPr>
          <w:p w14:paraId="1C1DEE3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4.433,30 </w:t>
            </w:r>
          </w:p>
        </w:tc>
        <w:tc>
          <w:tcPr>
            <w:tcW w:w="1017" w:type="dxa"/>
            <w:tcBorders>
              <w:top w:val="single" w:sz="4" w:space="0" w:color="000000"/>
              <w:left w:val="single" w:sz="4" w:space="0" w:color="000000"/>
              <w:bottom w:val="single" w:sz="4" w:space="0" w:color="000000"/>
              <w:right w:val="single" w:sz="4" w:space="0" w:color="000000"/>
            </w:tcBorders>
          </w:tcPr>
          <w:p w14:paraId="4348C27F"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2.066,50 </w:t>
            </w:r>
          </w:p>
        </w:tc>
        <w:tc>
          <w:tcPr>
            <w:tcW w:w="1395" w:type="dxa"/>
            <w:gridSpan w:val="2"/>
            <w:tcBorders>
              <w:top w:val="single" w:sz="4" w:space="0" w:color="000000"/>
              <w:left w:val="single" w:sz="4" w:space="0" w:color="000000"/>
              <w:bottom w:val="single" w:sz="4" w:space="0" w:color="000000"/>
              <w:right w:val="single" w:sz="4" w:space="0" w:color="000000"/>
            </w:tcBorders>
          </w:tcPr>
          <w:p w14:paraId="595A480B"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2.280,79 </w:t>
            </w:r>
          </w:p>
        </w:tc>
        <w:tc>
          <w:tcPr>
            <w:tcW w:w="992" w:type="dxa"/>
            <w:gridSpan w:val="2"/>
            <w:tcBorders>
              <w:top w:val="single" w:sz="4" w:space="0" w:color="000000"/>
              <w:left w:val="single" w:sz="4" w:space="0" w:color="000000"/>
              <w:bottom w:val="single" w:sz="4" w:space="0" w:color="000000"/>
              <w:right w:val="single" w:sz="4" w:space="0" w:color="000000"/>
            </w:tcBorders>
          </w:tcPr>
          <w:p w14:paraId="778AB9E4"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200A4F4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86.01 </w:t>
            </w:r>
          </w:p>
        </w:tc>
      </w:tr>
      <w:tr w:rsidR="008D3E5D" w:rsidRPr="00612F82" w14:paraId="6AFC36CB"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773E1384" w14:textId="77777777" w:rsidR="008D3E5D" w:rsidRPr="00612F82" w:rsidRDefault="008D3E5D" w:rsidP="002E2751">
            <w:pPr>
              <w:spacing w:line="259" w:lineRule="auto"/>
              <w:rPr>
                <w:rFonts w:cs="Arial"/>
                <w:sz w:val="16"/>
                <w:szCs w:val="16"/>
              </w:rPr>
            </w:pPr>
            <w:r w:rsidRPr="00612F82">
              <w:rPr>
                <w:rFonts w:cs="Arial"/>
                <w:sz w:val="16"/>
                <w:szCs w:val="16"/>
              </w:rPr>
              <w:t xml:space="preserve">1.3.8.4. </w:t>
            </w:r>
          </w:p>
        </w:tc>
        <w:tc>
          <w:tcPr>
            <w:tcW w:w="2835" w:type="dxa"/>
            <w:gridSpan w:val="2"/>
            <w:tcBorders>
              <w:top w:val="single" w:sz="4" w:space="0" w:color="000000"/>
              <w:left w:val="single" w:sz="4" w:space="0" w:color="000000"/>
              <w:bottom w:val="single" w:sz="4" w:space="0" w:color="000000"/>
              <w:right w:val="single" w:sz="4" w:space="0" w:color="000000"/>
            </w:tcBorders>
          </w:tcPr>
          <w:p w14:paraId="237F983B"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propagande, reklame, promocije </w:t>
            </w:r>
          </w:p>
        </w:tc>
        <w:tc>
          <w:tcPr>
            <w:tcW w:w="1132" w:type="dxa"/>
            <w:gridSpan w:val="2"/>
            <w:tcBorders>
              <w:top w:val="single" w:sz="4" w:space="0" w:color="000000"/>
              <w:left w:val="single" w:sz="4" w:space="0" w:color="000000"/>
              <w:bottom w:val="single" w:sz="4" w:space="0" w:color="000000"/>
              <w:right w:val="single" w:sz="4" w:space="0" w:color="000000"/>
            </w:tcBorders>
          </w:tcPr>
          <w:p w14:paraId="70FFCAD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9.224,30 </w:t>
            </w:r>
          </w:p>
        </w:tc>
        <w:tc>
          <w:tcPr>
            <w:tcW w:w="1017" w:type="dxa"/>
            <w:tcBorders>
              <w:top w:val="single" w:sz="4" w:space="0" w:color="000000"/>
              <w:left w:val="single" w:sz="4" w:space="0" w:color="000000"/>
              <w:bottom w:val="single" w:sz="4" w:space="0" w:color="000000"/>
              <w:right w:val="single" w:sz="4" w:space="0" w:color="000000"/>
            </w:tcBorders>
          </w:tcPr>
          <w:p w14:paraId="2015E89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9.172,54 </w:t>
            </w:r>
          </w:p>
        </w:tc>
        <w:tc>
          <w:tcPr>
            <w:tcW w:w="1395" w:type="dxa"/>
            <w:gridSpan w:val="2"/>
            <w:tcBorders>
              <w:top w:val="single" w:sz="4" w:space="0" w:color="000000"/>
              <w:left w:val="single" w:sz="4" w:space="0" w:color="000000"/>
              <w:bottom w:val="single" w:sz="4" w:space="0" w:color="000000"/>
              <w:right w:val="single" w:sz="4" w:space="0" w:color="000000"/>
            </w:tcBorders>
          </w:tcPr>
          <w:p w14:paraId="0389733B"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4B1647A5"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30C75B0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51.76 </w:t>
            </w:r>
          </w:p>
        </w:tc>
      </w:tr>
      <w:tr w:rsidR="008D3E5D" w:rsidRPr="00612F82" w14:paraId="0A7D2CB8"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68CEF15F" w14:textId="77777777" w:rsidR="008D3E5D" w:rsidRPr="00612F82" w:rsidRDefault="008D3E5D" w:rsidP="002E2751">
            <w:pPr>
              <w:spacing w:line="259" w:lineRule="auto"/>
              <w:rPr>
                <w:rFonts w:cs="Arial"/>
                <w:sz w:val="16"/>
                <w:szCs w:val="16"/>
              </w:rPr>
            </w:pPr>
            <w:r w:rsidRPr="00612F82">
              <w:rPr>
                <w:rFonts w:cs="Arial"/>
                <w:sz w:val="16"/>
                <w:szCs w:val="16"/>
              </w:rPr>
              <w:t xml:space="preserve">1.3.8.5. </w:t>
            </w:r>
          </w:p>
        </w:tc>
        <w:tc>
          <w:tcPr>
            <w:tcW w:w="2835" w:type="dxa"/>
            <w:gridSpan w:val="2"/>
            <w:tcBorders>
              <w:top w:val="single" w:sz="4" w:space="0" w:color="000000"/>
              <w:left w:val="single" w:sz="4" w:space="0" w:color="000000"/>
              <w:bottom w:val="single" w:sz="4" w:space="0" w:color="000000"/>
              <w:right w:val="single" w:sz="4" w:space="0" w:color="000000"/>
            </w:tcBorders>
          </w:tcPr>
          <w:p w14:paraId="660EAB71"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administrativnih in drugih oglasov </w:t>
            </w:r>
          </w:p>
        </w:tc>
        <w:tc>
          <w:tcPr>
            <w:tcW w:w="1132" w:type="dxa"/>
            <w:gridSpan w:val="2"/>
            <w:tcBorders>
              <w:top w:val="single" w:sz="4" w:space="0" w:color="000000"/>
              <w:left w:val="single" w:sz="4" w:space="0" w:color="000000"/>
              <w:bottom w:val="single" w:sz="4" w:space="0" w:color="000000"/>
              <w:right w:val="single" w:sz="4" w:space="0" w:color="000000"/>
            </w:tcBorders>
          </w:tcPr>
          <w:p w14:paraId="5BD3F76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6DC6ECB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03749243"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2A1BBD0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052F813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2A805F9B"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7F294D7B" w14:textId="77777777" w:rsidR="008D3E5D" w:rsidRPr="00612F82" w:rsidRDefault="008D3E5D" w:rsidP="002E2751">
            <w:pPr>
              <w:spacing w:line="259" w:lineRule="auto"/>
              <w:rPr>
                <w:rFonts w:cs="Arial"/>
                <w:sz w:val="16"/>
                <w:szCs w:val="16"/>
              </w:rPr>
            </w:pPr>
            <w:r w:rsidRPr="00612F82">
              <w:rPr>
                <w:rFonts w:cs="Arial"/>
                <w:sz w:val="16"/>
                <w:szCs w:val="16"/>
              </w:rPr>
              <w:t xml:space="preserve">1.3.8.6. </w:t>
            </w:r>
          </w:p>
        </w:tc>
        <w:tc>
          <w:tcPr>
            <w:tcW w:w="2835" w:type="dxa"/>
            <w:gridSpan w:val="2"/>
            <w:tcBorders>
              <w:top w:val="single" w:sz="4" w:space="0" w:color="000000"/>
              <w:left w:val="single" w:sz="4" w:space="0" w:color="000000"/>
              <w:bottom w:val="single" w:sz="4" w:space="0" w:color="000000"/>
              <w:right w:val="single" w:sz="4" w:space="0" w:color="000000"/>
            </w:tcBorders>
          </w:tcPr>
          <w:p w14:paraId="6E8E6230"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za delo študentov preko študentskega servisa  </w:t>
            </w:r>
          </w:p>
        </w:tc>
        <w:tc>
          <w:tcPr>
            <w:tcW w:w="1132" w:type="dxa"/>
            <w:gridSpan w:val="2"/>
            <w:tcBorders>
              <w:top w:val="single" w:sz="4" w:space="0" w:color="000000"/>
              <w:left w:val="single" w:sz="4" w:space="0" w:color="000000"/>
              <w:bottom w:val="single" w:sz="4" w:space="0" w:color="000000"/>
              <w:right w:val="single" w:sz="4" w:space="0" w:color="000000"/>
            </w:tcBorders>
          </w:tcPr>
          <w:p w14:paraId="6759CB0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16.265,11 </w:t>
            </w:r>
          </w:p>
        </w:tc>
        <w:tc>
          <w:tcPr>
            <w:tcW w:w="1017" w:type="dxa"/>
            <w:tcBorders>
              <w:top w:val="single" w:sz="4" w:space="0" w:color="000000"/>
              <w:left w:val="single" w:sz="4" w:space="0" w:color="000000"/>
              <w:bottom w:val="single" w:sz="4" w:space="0" w:color="000000"/>
              <w:right w:val="single" w:sz="4" w:space="0" w:color="000000"/>
            </w:tcBorders>
          </w:tcPr>
          <w:p w14:paraId="7ACF255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16.265,11 </w:t>
            </w:r>
          </w:p>
        </w:tc>
        <w:tc>
          <w:tcPr>
            <w:tcW w:w="1395" w:type="dxa"/>
            <w:gridSpan w:val="2"/>
            <w:tcBorders>
              <w:top w:val="single" w:sz="4" w:space="0" w:color="000000"/>
              <w:left w:val="single" w:sz="4" w:space="0" w:color="000000"/>
              <w:bottom w:val="single" w:sz="4" w:space="0" w:color="000000"/>
              <w:right w:val="single" w:sz="4" w:space="0" w:color="000000"/>
            </w:tcBorders>
          </w:tcPr>
          <w:p w14:paraId="77D91562"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5E163E3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165DE0A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0F842CB1"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9E0773B" w14:textId="77777777" w:rsidR="008D3E5D" w:rsidRPr="00612F82" w:rsidRDefault="008D3E5D" w:rsidP="002E2751">
            <w:pPr>
              <w:spacing w:line="259" w:lineRule="auto"/>
              <w:rPr>
                <w:rFonts w:cs="Arial"/>
                <w:sz w:val="16"/>
                <w:szCs w:val="16"/>
              </w:rPr>
            </w:pPr>
            <w:r w:rsidRPr="00612F82">
              <w:rPr>
                <w:rFonts w:cs="Arial"/>
                <w:sz w:val="16"/>
                <w:szCs w:val="16"/>
              </w:rPr>
              <w:t xml:space="preserve">1.3.8.7. </w:t>
            </w:r>
          </w:p>
        </w:tc>
        <w:tc>
          <w:tcPr>
            <w:tcW w:w="2835" w:type="dxa"/>
            <w:gridSpan w:val="2"/>
            <w:tcBorders>
              <w:top w:val="single" w:sz="4" w:space="0" w:color="000000"/>
              <w:left w:val="single" w:sz="4" w:space="0" w:color="000000"/>
              <w:bottom w:val="single" w:sz="4" w:space="0" w:color="000000"/>
              <w:right w:val="single" w:sz="4" w:space="0" w:color="000000"/>
            </w:tcBorders>
          </w:tcPr>
          <w:p w14:paraId="534AD592"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čiščenja prostorov  </w:t>
            </w:r>
          </w:p>
        </w:tc>
        <w:tc>
          <w:tcPr>
            <w:tcW w:w="1132" w:type="dxa"/>
            <w:gridSpan w:val="2"/>
            <w:tcBorders>
              <w:top w:val="single" w:sz="4" w:space="0" w:color="000000"/>
              <w:left w:val="single" w:sz="4" w:space="0" w:color="000000"/>
              <w:bottom w:val="single" w:sz="4" w:space="0" w:color="000000"/>
              <w:right w:val="single" w:sz="4" w:space="0" w:color="000000"/>
            </w:tcBorders>
          </w:tcPr>
          <w:p w14:paraId="78F0124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7.428,62 </w:t>
            </w:r>
          </w:p>
        </w:tc>
        <w:tc>
          <w:tcPr>
            <w:tcW w:w="1017" w:type="dxa"/>
            <w:tcBorders>
              <w:top w:val="single" w:sz="4" w:space="0" w:color="000000"/>
              <w:left w:val="single" w:sz="4" w:space="0" w:color="000000"/>
              <w:bottom w:val="single" w:sz="4" w:space="0" w:color="000000"/>
              <w:right w:val="single" w:sz="4" w:space="0" w:color="000000"/>
            </w:tcBorders>
          </w:tcPr>
          <w:p w14:paraId="2CFA68F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7.428,62 </w:t>
            </w:r>
          </w:p>
        </w:tc>
        <w:tc>
          <w:tcPr>
            <w:tcW w:w="1395" w:type="dxa"/>
            <w:gridSpan w:val="2"/>
            <w:tcBorders>
              <w:top w:val="single" w:sz="4" w:space="0" w:color="000000"/>
              <w:left w:val="single" w:sz="4" w:space="0" w:color="000000"/>
              <w:bottom w:val="single" w:sz="4" w:space="0" w:color="000000"/>
              <w:right w:val="single" w:sz="4" w:space="0" w:color="000000"/>
            </w:tcBorders>
          </w:tcPr>
          <w:p w14:paraId="1D999BAE"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28F634C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0853BCF1"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7CE58992"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5CB32C2F" w14:textId="77777777" w:rsidR="008D3E5D" w:rsidRPr="00612F82" w:rsidRDefault="008D3E5D" w:rsidP="002E2751">
            <w:pPr>
              <w:spacing w:line="259" w:lineRule="auto"/>
              <w:rPr>
                <w:rFonts w:cs="Arial"/>
                <w:sz w:val="16"/>
                <w:szCs w:val="16"/>
              </w:rPr>
            </w:pPr>
            <w:r w:rsidRPr="00612F82">
              <w:rPr>
                <w:rFonts w:cs="Arial"/>
                <w:sz w:val="16"/>
                <w:szCs w:val="16"/>
              </w:rPr>
              <w:t xml:space="preserve">1.3.8.8. </w:t>
            </w:r>
          </w:p>
        </w:tc>
        <w:tc>
          <w:tcPr>
            <w:tcW w:w="2835" w:type="dxa"/>
            <w:gridSpan w:val="2"/>
            <w:tcBorders>
              <w:top w:val="single" w:sz="4" w:space="0" w:color="000000"/>
              <w:left w:val="single" w:sz="4" w:space="0" w:color="000000"/>
              <w:bottom w:val="single" w:sz="4" w:space="0" w:color="000000"/>
              <w:right w:val="single" w:sz="4" w:space="0" w:color="000000"/>
            </w:tcBorders>
          </w:tcPr>
          <w:p w14:paraId="60B2F584"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ostalih storitev  </w:t>
            </w:r>
          </w:p>
        </w:tc>
        <w:tc>
          <w:tcPr>
            <w:tcW w:w="1132" w:type="dxa"/>
            <w:gridSpan w:val="2"/>
            <w:tcBorders>
              <w:top w:val="single" w:sz="4" w:space="0" w:color="000000"/>
              <w:left w:val="single" w:sz="4" w:space="0" w:color="000000"/>
              <w:bottom w:val="single" w:sz="4" w:space="0" w:color="000000"/>
              <w:right w:val="single" w:sz="4" w:space="0" w:color="000000"/>
            </w:tcBorders>
          </w:tcPr>
          <w:p w14:paraId="4C81BF1D"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9.027,24 </w:t>
            </w:r>
          </w:p>
        </w:tc>
        <w:tc>
          <w:tcPr>
            <w:tcW w:w="1017" w:type="dxa"/>
            <w:tcBorders>
              <w:top w:val="single" w:sz="4" w:space="0" w:color="000000"/>
              <w:left w:val="single" w:sz="4" w:space="0" w:color="000000"/>
              <w:bottom w:val="single" w:sz="4" w:space="0" w:color="000000"/>
              <w:right w:val="single" w:sz="4" w:space="0" w:color="000000"/>
            </w:tcBorders>
          </w:tcPr>
          <w:p w14:paraId="288DA68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487,00 </w:t>
            </w:r>
          </w:p>
        </w:tc>
        <w:tc>
          <w:tcPr>
            <w:tcW w:w="1395" w:type="dxa"/>
            <w:gridSpan w:val="2"/>
            <w:tcBorders>
              <w:top w:val="single" w:sz="4" w:space="0" w:color="000000"/>
              <w:left w:val="single" w:sz="4" w:space="0" w:color="000000"/>
              <w:bottom w:val="single" w:sz="4" w:space="0" w:color="000000"/>
              <w:right w:val="single" w:sz="4" w:space="0" w:color="000000"/>
            </w:tcBorders>
          </w:tcPr>
          <w:p w14:paraId="5D3A97EE"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7.795,33 </w:t>
            </w:r>
          </w:p>
        </w:tc>
        <w:tc>
          <w:tcPr>
            <w:tcW w:w="992" w:type="dxa"/>
            <w:gridSpan w:val="2"/>
            <w:tcBorders>
              <w:top w:val="single" w:sz="4" w:space="0" w:color="000000"/>
              <w:left w:val="single" w:sz="4" w:space="0" w:color="000000"/>
              <w:bottom w:val="single" w:sz="4" w:space="0" w:color="000000"/>
              <w:right w:val="single" w:sz="4" w:space="0" w:color="000000"/>
            </w:tcBorders>
          </w:tcPr>
          <w:p w14:paraId="2BE36E36"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4F07E4E8"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744.91 </w:t>
            </w:r>
          </w:p>
        </w:tc>
      </w:tr>
      <w:tr w:rsidR="008D3E5D" w:rsidRPr="00612F82" w14:paraId="451548AA"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0CDB9875" w14:textId="77777777" w:rsidR="008D3E5D" w:rsidRPr="00612F82" w:rsidRDefault="008D3E5D" w:rsidP="002E2751">
            <w:pPr>
              <w:spacing w:line="259" w:lineRule="auto"/>
              <w:rPr>
                <w:rFonts w:cs="Arial"/>
                <w:sz w:val="16"/>
                <w:szCs w:val="16"/>
              </w:rPr>
            </w:pPr>
            <w:r w:rsidRPr="00612F82">
              <w:rPr>
                <w:rFonts w:cs="Arial"/>
                <w:sz w:val="16"/>
                <w:szCs w:val="16"/>
              </w:rPr>
              <w:t xml:space="preserve">1.3.8.9. </w:t>
            </w:r>
          </w:p>
        </w:tc>
        <w:tc>
          <w:tcPr>
            <w:tcW w:w="2835" w:type="dxa"/>
            <w:gridSpan w:val="2"/>
            <w:tcBorders>
              <w:top w:val="single" w:sz="4" w:space="0" w:color="000000"/>
              <w:left w:val="single" w:sz="4" w:space="0" w:color="000000"/>
              <w:bottom w:val="single" w:sz="4" w:space="0" w:color="000000"/>
              <w:right w:val="single" w:sz="4" w:space="0" w:color="000000"/>
            </w:tcBorders>
          </w:tcPr>
          <w:p w14:paraId="5F748211"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reprezentance  </w:t>
            </w:r>
          </w:p>
        </w:tc>
        <w:tc>
          <w:tcPr>
            <w:tcW w:w="1132" w:type="dxa"/>
            <w:gridSpan w:val="2"/>
            <w:tcBorders>
              <w:top w:val="single" w:sz="4" w:space="0" w:color="000000"/>
              <w:left w:val="single" w:sz="4" w:space="0" w:color="000000"/>
              <w:bottom w:val="single" w:sz="4" w:space="0" w:color="000000"/>
              <w:right w:val="single" w:sz="4" w:space="0" w:color="000000"/>
            </w:tcBorders>
          </w:tcPr>
          <w:p w14:paraId="13AE9D8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4.810,56 </w:t>
            </w:r>
          </w:p>
        </w:tc>
        <w:tc>
          <w:tcPr>
            <w:tcW w:w="1017" w:type="dxa"/>
            <w:tcBorders>
              <w:top w:val="single" w:sz="4" w:space="0" w:color="000000"/>
              <w:left w:val="single" w:sz="4" w:space="0" w:color="000000"/>
              <w:bottom w:val="single" w:sz="4" w:space="0" w:color="000000"/>
              <w:right w:val="single" w:sz="4" w:space="0" w:color="000000"/>
            </w:tcBorders>
          </w:tcPr>
          <w:p w14:paraId="2CDEAF6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2.266,55 </w:t>
            </w:r>
          </w:p>
        </w:tc>
        <w:tc>
          <w:tcPr>
            <w:tcW w:w="1395" w:type="dxa"/>
            <w:gridSpan w:val="2"/>
            <w:tcBorders>
              <w:top w:val="single" w:sz="4" w:space="0" w:color="000000"/>
              <w:left w:val="single" w:sz="4" w:space="0" w:color="000000"/>
              <w:bottom w:val="single" w:sz="4" w:space="0" w:color="000000"/>
              <w:right w:val="single" w:sz="4" w:space="0" w:color="000000"/>
            </w:tcBorders>
          </w:tcPr>
          <w:p w14:paraId="75FB7D9F"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331,99 </w:t>
            </w:r>
          </w:p>
        </w:tc>
        <w:tc>
          <w:tcPr>
            <w:tcW w:w="992" w:type="dxa"/>
            <w:gridSpan w:val="2"/>
            <w:tcBorders>
              <w:top w:val="single" w:sz="4" w:space="0" w:color="000000"/>
              <w:left w:val="single" w:sz="4" w:space="0" w:color="000000"/>
              <w:bottom w:val="single" w:sz="4" w:space="0" w:color="000000"/>
              <w:right w:val="single" w:sz="4" w:space="0" w:color="000000"/>
            </w:tcBorders>
          </w:tcPr>
          <w:p w14:paraId="4C0F24FD"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7C0ACAD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2,212.02 </w:t>
            </w:r>
          </w:p>
        </w:tc>
      </w:tr>
      <w:tr w:rsidR="008D3E5D" w:rsidRPr="00612F82" w14:paraId="41A6A1EF"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5C918D94" w14:textId="77777777" w:rsidR="008D3E5D" w:rsidRPr="00612F82" w:rsidRDefault="008D3E5D" w:rsidP="002E2751">
            <w:pPr>
              <w:spacing w:line="259" w:lineRule="auto"/>
              <w:rPr>
                <w:rFonts w:cs="Arial"/>
                <w:sz w:val="16"/>
                <w:szCs w:val="16"/>
              </w:rPr>
            </w:pPr>
            <w:r w:rsidRPr="00612F82">
              <w:rPr>
                <w:rFonts w:cs="Arial"/>
                <w:sz w:val="16"/>
                <w:szCs w:val="16"/>
              </w:rPr>
              <w:t xml:space="preserve">1.3.8.10. </w:t>
            </w:r>
          </w:p>
        </w:tc>
        <w:tc>
          <w:tcPr>
            <w:tcW w:w="2835" w:type="dxa"/>
            <w:gridSpan w:val="2"/>
            <w:tcBorders>
              <w:top w:val="single" w:sz="4" w:space="0" w:color="000000"/>
              <w:left w:val="single" w:sz="4" w:space="0" w:color="000000"/>
              <w:bottom w:val="single" w:sz="4" w:space="0" w:color="000000"/>
              <w:right w:val="single" w:sz="4" w:space="0" w:color="000000"/>
            </w:tcBorders>
          </w:tcPr>
          <w:p w14:paraId="56F14F37"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varstva pri delu </w:t>
            </w:r>
          </w:p>
        </w:tc>
        <w:tc>
          <w:tcPr>
            <w:tcW w:w="1132" w:type="dxa"/>
            <w:gridSpan w:val="2"/>
            <w:tcBorders>
              <w:top w:val="single" w:sz="4" w:space="0" w:color="000000"/>
              <w:left w:val="single" w:sz="4" w:space="0" w:color="000000"/>
              <w:bottom w:val="single" w:sz="4" w:space="0" w:color="000000"/>
              <w:right w:val="single" w:sz="4" w:space="0" w:color="000000"/>
            </w:tcBorders>
          </w:tcPr>
          <w:p w14:paraId="0278D2C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244,00 </w:t>
            </w:r>
          </w:p>
        </w:tc>
        <w:tc>
          <w:tcPr>
            <w:tcW w:w="1017" w:type="dxa"/>
            <w:tcBorders>
              <w:top w:val="single" w:sz="4" w:space="0" w:color="000000"/>
              <w:left w:val="single" w:sz="4" w:space="0" w:color="000000"/>
              <w:bottom w:val="single" w:sz="4" w:space="0" w:color="000000"/>
              <w:right w:val="single" w:sz="4" w:space="0" w:color="000000"/>
            </w:tcBorders>
          </w:tcPr>
          <w:p w14:paraId="703A5E4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244,00 </w:t>
            </w:r>
          </w:p>
        </w:tc>
        <w:tc>
          <w:tcPr>
            <w:tcW w:w="1395" w:type="dxa"/>
            <w:gridSpan w:val="2"/>
            <w:tcBorders>
              <w:top w:val="single" w:sz="4" w:space="0" w:color="000000"/>
              <w:left w:val="single" w:sz="4" w:space="0" w:color="000000"/>
              <w:bottom w:val="single" w:sz="4" w:space="0" w:color="000000"/>
              <w:right w:val="single" w:sz="4" w:space="0" w:color="000000"/>
            </w:tcBorders>
          </w:tcPr>
          <w:p w14:paraId="0A3EAE2C"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21AC8E33"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73D8078D"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76802E46"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309F3574"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2 </w:t>
            </w:r>
          </w:p>
        </w:tc>
        <w:tc>
          <w:tcPr>
            <w:tcW w:w="2835" w:type="dxa"/>
            <w:gridSpan w:val="2"/>
            <w:tcBorders>
              <w:top w:val="single" w:sz="4" w:space="0" w:color="000000"/>
              <w:left w:val="single" w:sz="4" w:space="0" w:color="000000"/>
              <w:bottom w:val="single" w:sz="4" w:space="0" w:color="000000"/>
              <w:right w:val="single" w:sz="4" w:space="0" w:color="000000"/>
            </w:tcBorders>
          </w:tcPr>
          <w:p w14:paraId="66D25EA2"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AMORTIZACIJE </w:t>
            </w:r>
          </w:p>
        </w:tc>
        <w:tc>
          <w:tcPr>
            <w:tcW w:w="1132" w:type="dxa"/>
            <w:gridSpan w:val="2"/>
            <w:tcBorders>
              <w:top w:val="single" w:sz="4" w:space="0" w:color="000000"/>
              <w:left w:val="single" w:sz="4" w:space="0" w:color="000000"/>
              <w:bottom w:val="single" w:sz="4" w:space="0" w:color="000000"/>
              <w:right w:val="single" w:sz="4" w:space="0" w:color="000000"/>
            </w:tcBorders>
          </w:tcPr>
          <w:p w14:paraId="2F854F3C"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283D773B"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5913E262"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6AE09C2C"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45D42444"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r>
      <w:tr w:rsidR="008D3E5D" w:rsidRPr="00612F82" w14:paraId="67B945E7"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2E7C3103"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3 </w:t>
            </w:r>
          </w:p>
        </w:tc>
        <w:tc>
          <w:tcPr>
            <w:tcW w:w="2835" w:type="dxa"/>
            <w:gridSpan w:val="2"/>
            <w:tcBorders>
              <w:top w:val="single" w:sz="4" w:space="0" w:color="000000"/>
              <w:left w:val="single" w:sz="4" w:space="0" w:color="000000"/>
              <w:bottom w:val="single" w:sz="4" w:space="0" w:color="000000"/>
              <w:right w:val="single" w:sz="4" w:space="0" w:color="000000"/>
            </w:tcBorders>
          </w:tcPr>
          <w:p w14:paraId="6D71040C"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REZERVACIJE </w:t>
            </w:r>
          </w:p>
        </w:tc>
        <w:tc>
          <w:tcPr>
            <w:tcW w:w="1132" w:type="dxa"/>
            <w:gridSpan w:val="2"/>
            <w:tcBorders>
              <w:top w:val="single" w:sz="4" w:space="0" w:color="000000"/>
              <w:left w:val="single" w:sz="4" w:space="0" w:color="000000"/>
              <w:bottom w:val="single" w:sz="4" w:space="0" w:color="000000"/>
              <w:right w:val="single" w:sz="4" w:space="0" w:color="000000"/>
            </w:tcBorders>
          </w:tcPr>
          <w:p w14:paraId="23B536E6"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7A07D6D0"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19C8F1C9"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4CF06830"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3DD9CDCF"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 </w:t>
            </w:r>
          </w:p>
        </w:tc>
      </w:tr>
      <w:tr w:rsidR="008D3E5D" w:rsidRPr="00612F82" w14:paraId="558F3782"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49BBA89A"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4 </w:t>
            </w:r>
          </w:p>
        </w:tc>
        <w:tc>
          <w:tcPr>
            <w:tcW w:w="2835" w:type="dxa"/>
            <w:gridSpan w:val="2"/>
            <w:tcBorders>
              <w:top w:val="single" w:sz="4" w:space="0" w:color="000000"/>
              <w:left w:val="single" w:sz="4" w:space="0" w:color="000000"/>
              <w:bottom w:val="single" w:sz="4" w:space="0" w:color="000000"/>
              <w:right w:val="single" w:sz="4" w:space="0" w:color="000000"/>
            </w:tcBorders>
          </w:tcPr>
          <w:p w14:paraId="3F3FF52F"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STROŠKI DELA </w:t>
            </w:r>
          </w:p>
        </w:tc>
        <w:tc>
          <w:tcPr>
            <w:tcW w:w="1132" w:type="dxa"/>
            <w:gridSpan w:val="2"/>
            <w:tcBorders>
              <w:top w:val="single" w:sz="4" w:space="0" w:color="000000"/>
              <w:left w:val="single" w:sz="4" w:space="0" w:color="000000"/>
              <w:bottom w:val="single" w:sz="4" w:space="0" w:color="000000"/>
              <w:right w:val="single" w:sz="4" w:space="0" w:color="000000"/>
            </w:tcBorders>
          </w:tcPr>
          <w:p w14:paraId="13ADF2BB"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544.591,94 </w:t>
            </w:r>
          </w:p>
        </w:tc>
        <w:tc>
          <w:tcPr>
            <w:tcW w:w="1017" w:type="dxa"/>
            <w:tcBorders>
              <w:top w:val="single" w:sz="4" w:space="0" w:color="000000"/>
              <w:left w:val="single" w:sz="4" w:space="0" w:color="000000"/>
              <w:bottom w:val="single" w:sz="4" w:space="0" w:color="000000"/>
              <w:right w:val="single" w:sz="4" w:space="0" w:color="000000"/>
            </w:tcBorders>
          </w:tcPr>
          <w:p w14:paraId="13459D91"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521.812,94 </w:t>
            </w:r>
          </w:p>
        </w:tc>
        <w:tc>
          <w:tcPr>
            <w:tcW w:w="1395" w:type="dxa"/>
            <w:gridSpan w:val="2"/>
            <w:tcBorders>
              <w:top w:val="single" w:sz="4" w:space="0" w:color="000000"/>
              <w:left w:val="single" w:sz="4" w:space="0" w:color="000000"/>
              <w:bottom w:val="single" w:sz="4" w:space="0" w:color="000000"/>
              <w:right w:val="single" w:sz="4" w:space="0" w:color="000000"/>
            </w:tcBorders>
          </w:tcPr>
          <w:p w14:paraId="70BA8EE7"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20.279,01 </w:t>
            </w:r>
          </w:p>
        </w:tc>
        <w:tc>
          <w:tcPr>
            <w:tcW w:w="992" w:type="dxa"/>
            <w:gridSpan w:val="2"/>
            <w:tcBorders>
              <w:top w:val="single" w:sz="4" w:space="0" w:color="000000"/>
              <w:left w:val="single" w:sz="4" w:space="0" w:color="000000"/>
              <w:bottom w:val="single" w:sz="4" w:space="0" w:color="000000"/>
              <w:right w:val="single" w:sz="4" w:space="0" w:color="000000"/>
            </w:tcBorders>
          </w:tcPr>
          <w:p w14:paraId="40091BD8"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2.500,00 </w:t>
            </w:r>
          </w:p>
        </w:tc>
        <w:tc>
          <w:tcPr>
            <w:tcW w:w="995" w:type="dxa"/>
            <w:gridSpan w:val="2"/>
            <w:tcBorders>
              <w:top w:val="single" w:sz="4" w:space="0" w:color="000000"/>
              <w:left w:val="single" w:sz="4" w:space="0" w:color="000000"/>
              <w:bottom w:val="single" w:sz="4" w:space="0" w:color="000000"/>
              <w:right w:val="single" w:sz="4" w:space="0" w:color="000000"/>
            </w:tcBorders>
          </w:tcPr>
          <w:p w14:paraId="387E04E9"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 </w:t>
            </w:r>
          </w:p>
        </w:tc>
      </w:tr>
      <w:tr w:rsidR="008D3E5D" w:rsidRPr="00612F82" w14:paraId="7F2A3F09"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72516066" w14:textId="77777777" w:rsidR="008D3E5D" w:rsidRPr="00612F82" w:rsidRDefault="008D3E5D" w:rsidP="002E2751">
            <w:pPr>
              <w:spacing w:line="259" w:lineRule="auto"/>
              <w:rPr>
                <w:rFonts w:cs="Arial"/>
                <w:sz w:val="16"/>
                <w:szCs w:val="16"/>
              </w:rPr>
            </w:pPr>
            <w:r w:rsidRPr="00612F82">
              <w:rPr>
                <w:rFonts w:cs="Arial"/>
                <w:sz w:val="16"/>
                <w:szCs w:val="16"/>
              </w:rPr>
              <w:t xml:space="preserve">4.1. </w:t>
            </w:r>
          </w:p>
        </w:tc>
        <w:tc>
          <w:tcPr>
            <w:tcW w:w="2835" w:type="dxa"/>
            <w:gridSpan w:val="2"/>
            <w:tcBorders>
              <w:top w:val="single" w:sz="4" w:space="0" w:color="000000"/>
              <w:left w:val="single" w:sz="4" w:space="0" w:color="000000"/>
              <w:bottom w:val="single" w:sz="4" w:space="0" w:color="000000"/>
              <w:right w:val="single" w:sz="4" w:space="0" w:color="000000"/>
            </w:tcBorders>
          </w:tcPr>
          <w:p w14:paraId="36EC11A8" w14:textId="77777777" w:rsidR="008D3E5D" w:rsidRPr="00612F82" w:rsidRDefault="008D3E5D" w:rsidP="002E2751">
            <w:pPr>
              <w:spacing w:line="259" w:lineRule="auto"/>
              <w:rPr>
                <w:rFonts w:cs="Arial"/>
                <w:sz w:val="16"/>
                <w:szCs w:val="16"/>
              </w:rPr>
            </w:pPr>
            <w:r w:rsidRPr="00612F82">
              <w:rPr>
                <w:rFonts w:cs="Arial"/>
                <w:sz w:val="16"/>
                <w:szCs w:val="16"/>
              </w:rPr>
              <w:t xml:space="preserve">Plače zaposlenim </w:t>
            </w:r>
          </w:p>
        </w:tc>
        <w:tc>
          <w:tcPr>
            <w:tcW w:w="1132" w:type="dxa"/>
            <w:gridSpan w:val="2"/>
            <w:tcBorders>
              <w:top w:val="single" w:sz="4" w:space="0" w:color="000000"/>
              <w:left w:val="single" w:sz="4" w:space="0" w:color="000000"/>
              <w:bottom w:val="single" w:sz="4" w:space="0" w:color="000000"/>
              <w:right w:val="single" w:sz="4" w:space="0" w:color="000000"/>
            </w:tcBorders>
          </w:tcPr>
          <w:p w14:paraId="196E236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256.180,80 </w:t>
            </w:r>
          </w:p>
        </w:tc>
        <w:tc>
          <w:tcPr>
            <w:tcW w:w="1017" w:type="dxa"/>
            <w:tcBorders>
              <w:top w:val="single" w:sz="4" w:space="0" w:color="000000"/>
              <w:left w:val="single" w:sz="4" w:space="0" w:color="000000"/>
              <w:bottom w:val="single" w:sz="4" w:space="0" w:color="000000"/>
              <w:right w:val="single" w:sz="4" w:space="0" w:color="000000"/>
            </w:tcBorders>
          </w:tcPr>
          <w:p w14:paraId="31506023"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237.233,58 </w:t>
            </w:r>
          </w:p>
        </w:tc>
        <w:tc>
          <w:tcPr>
            <w:tcW w:w="1395" w:type="dxa"/>
            <w:gridSpan w:val="2"/>
            <w:tcBorders>
              <w:top w:val="single" w:sz="4" w:space="0" w:color="000000"/>
              <w:left w:val="single" w:sz="4" w:space="0" w:color="000000"/>
              <w:bottom w:val="single" w:sz="4" w:space="0" w:color="000000"/>
              <w:right w:val="single" w:sz="4" w:space="0" w:color="000000"/>
            </w:tcBorders>
          </w:tcPr>
          <w:p w14:paraId="7384EA04"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18.947,22 </w:t>
            </w:r>
          </w:p>
        </w:tc>
        <w:tc>
          <w:tcPr>
            <w:tcW w:w="992" w:type="dxa"/>
            <w:gridSpan w:val="2"/>
            <w:tcBorders>
              <w:top w:val="single" w:sz="4" w:space="0" w:color="000000"/>
              <w:left w:val="single" w:sz="4" w:space="0" w:color="000000"/>
              <w:bottom w:val="single" w:sz="4" w:space="0" w:color="000000"/>
              <w:right w:val="single" w:sz="4" w:space="0" w:color="000000"/>
            </w:tcBorders>
          </w:tcPr>
          <w:p w14:paraId="4D128A5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5B524B93"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6F3F50AC"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2C1270C" w14:textId="77777777" w:rsidR="008D3E5D" w:rsidRPr="00612F82" w:rsidRDefault="008D3E5D" w:rsidP="002E2751">
            <w:pPr>
              <w:spacing w:line="259" w:lineRule="auto"/>
              <w:rPr>
                <w:rFonts w:cs="Arial"/>
                <w:sz w:val="16"/>
                <w:szCs w:val="16"/>
              </w:rPr>
            </w:pPr>
            <w:r w:rsidRPr="00612F82">
              <w:rPr>
                <w:rFonts w:cs="Arial"/>
                <w:sz w:val="16"/>
                <w:szCs w:val="16"/>
              </w:rPr>
              <w:t xml:space="preserve">4.2. </w:t>
            </w:r>
          </w:p>
        </w:tc>
        <w:tc>
          <w:tcPr>
            <w:tcW w:w="2835" w:type="dxa"/>
            <w:gridSpan w:val="2"/>
            <w:tcBorders>
              <w:top w:val="single" w:sz="4" w:space="0" w:color="000000"/>
              <w:left w:val="single" w:sz="4" w:space="0" w:color="000000"/>
              <w:bottom w:val="single" w:sz="4" w:space="0" w:color="000000"/>
              <w:right w:val="single" w:sz="4" w:space="0" w:color="000000"/>
            </w:tcBorders>
          </w:tcPr>
          <w:p w14:paraId="1703A4B2" w14:textId="77777777" w:rsidR="008D3E5D" w:rsidRPr="00612F82" w:rsidRDefault="008D3E5D" w:rsidP="002E2751">
            <w:pPr>
              <w:spacing w:line="259" w:lineRule="auto"/>
              <w:rPr>
                <w:rFonts w:cs="Arial"/>
                <w:sz w:val="16"/>
                <w:szCs w:val="16"/>
              </w:rPr>
            </w:pPr>
            <w:r w:rsidRPr="00612F82">
              <w:rPr>
                <w:rFonts w:cs="Arial"/>
                <w:sz w:val="16"/>
                <w:szCs w:val="16"/>
              </w:rPr>
              <w:t xml:space="preserve">Nadomestila plač zaposlenim  </w:t>
            </w:r>
          </w:p>
        </w:tc>
        <w:tc>
          <w:tcPr>
            <w:tcW w:w="1132" w:type="dxa"/>
            <w:gridSpan w:val="2"/>
            <w:tcBorders>
              <w:top w:val="single" w:sz="4" w:space="0" w:color="000000"/>
              <w:left w:val="single" w:sz="4" w:space="0" w:color="000000"/>
              <w:bottom w:val="single" w:sz="4" w:space="0" w:color="000000"/>
              <w:right w:val="single" w:sz="4" w:space="0" w:color="000000"/>
            </w:tcBorders>
          </w:tcPr>
          <w:p w14:paraId="01D1F00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12.461,02 </w:t>
            </w:r>
          </w:p>
        </w:tc>
        <w:tc>
          <w:tcPr>
            <w:tcW w:w="1017" w:type="dxa"/>
            <w:tcBorders>
              <w:top w:val="single" w:sz="4" w:space="0" w:color="000000"/>
              <w:left w:val="single" w:sz="4" w:space="0" w:color="000000"/>
              <w:bottom w:val="single" w:sz="4" w:space="0" w:color="000000"/>
              <w:right w:val="single" w:sz="4" w:space="0" w:color="000000"/>
            </w:tcBorders>
          </w:tcPr>
          <w:p w14:paraId="6DF1C1D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12.461,02 </w:t>
            </w:r>
          </w:p>
        </w:tc>
        <w:tc>
          <w:tcPr>
            <w:tcW w:w="1395" w:type="dxa"/>
            <w:gridSpan w:val="2"/>
            <w:tcBorders>
              <w:top w:val="single" w:sz="4" w:space="0" w:color="000000"/>
              <w:left w:val="single" w:sz="4" w:space="0" w:color="000000"/>
              <w:bottom w:val="single" w:sz="4" w:space="0" w:color="000000"/>
              <w:right w:val="single" w:sz="4" w:space="0" w:color="000000"/>
            </w:tcBorders>
          </w:tcPr>
          <w:p w14:paraId="6EA71127" w14:textId="77777777" w:rsidR="008D3E5D" w:rsidRPr="00612F82" w:rsidRDefault="008D3E5D" w:rsidP="002E2751">
            <w:pPr>
              <w:spacing w:line="259" w:lineRule="auto"/>
              <w:ind w:right="49"/>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1A49FC3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235E2F0A"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1D8CBBE4"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6B06BF9B" w14:textId="77777777" w:rsidR="008D3E5D" w:rsidRPr="00612F82" w:rsidRDefault="008D3E5D" w:rsidP="002E2751">
            <w:pPr>
              <w:spacing w:line="259" w:lineRule="auto"/>
              <w:rPr>
                <w:rFonts w:cs="Arial"/>
                <w:sz w:val="16"/>
                <w:szCs w:val="16"/>
              </w:rPr>
            </w:pPr>
            <w:r w:rsidRPr="00612F82">
              <w:rPr>
                <w:rFonts w:cs="Arial"/>
                <w:sz w:val="16"/>
                <w:szCs w:val="16"/>
              </w:rPr>
              <w:lastRenderedPageBreak/>
              <w:t xml:space="preserve">4.3. </w:t>
            </w:r>
          </w:p>
        </w:tc>
        <w:tc>
          <w:tcPr>
            <w:tcW w:w="2835" w:type="dxa"/>
            <w:gridSpan w:val="2"/>
            <w:tcBorders>
              <w:top w:val="single" w:sz="4" w:space="0" w:color="000000"/>
              <w:left w:val="single" w:sz="4" w:space="0" w:color="000000"/>
              <w:bottom w:val="single" w:sz="4" w:space="0" w:color="000000"/>
              <w:right w:val="single" w:sz="4" w:space="0" w:color="000000"/>
            </w:tcBorders>
          </w:tcPr>
          <w:p w14:paraId="7CF19783" w14:textId="77777777" w:rsidR="008D3E5D" w:rsidRPr="00612F82" w:rsidRDefault="008D3E5D" w:rsidP="002E2751">
            <w:pPr>
              <w:spacing w:line="259" w:lineRule="auto"/>
              <w:rPr>
                <w:rFonts w:cs="Arial"/>
                <w:sz w:val="16"/>
                <w:szCs w:val="16"/>
              </w:rPr>
            </w:pPr>
            <w:r w:rsidRPr="00612F82">
              <w:rPr>
                <w:rFonts w:cs="Arial"/>
                <w:sz w:val="16"/>
                <w:szCs w:val="16"/>
              </w:rPr>
              <w:t xml:space="preserve">Povračila zaposlenim v zvezi z delom </w:t>
            </w:r>
          </w:p>
        </w:tc>
        <w:tc>
          <w:tcPr>
            <w:tcW w:w="1132" w:type="dxa"/>
            <w:gridSpan w:val="2"/>
            <w:tcBorders>
              <w:top w:val="single" w:sz="4" w:space="0" w:color="000000"/>
              <w:left w:val="single" w:sz="4" w:space="0" w:color="000000"/>
              <w:bottom w:val="single" w:sz="4" w:space="0" w:color="000000"/>
              <w:right w:val="single" w:sz="4" w:space="0" w:color="000000"/>
            </w:tcBorders>
          </w:tcPr>
          <w:p w14:paraId="5B4E86AE"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24.935,19 </w:t>
            </w:r>
          </w:p>
        </w:tc>
        <w:tc>
          <w:tcPr>
            <w:tcW w:w="1017" w:type="dxa"/>
            <w:tcBorders>
              <w:top w:val="single" w:sz="4" w:space="0" w:color="000000"/>
              <w:left w:val="single" w:sz="4" w:space="0" w:color="000000"/>
              <w:bottom w:val="single" w:sz="4" w:space="0" w:color="000000"/>
              <w:right w:val="single" w:sz="4" w:space="0" w:color="000000"/>
            </w:tcBorders>
          </w:tcPr>
          <w:p w14:paraId="6E91B86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23.603,41 </w:t>
            </w:r>
          </w:p>
        </w:tc>
        <w:tc>
          <w:tcPr>
            <w:tcW w:w="1395" w:type="dxa"/>
            <w:gridSpan w:val="2"/>
            <w:tcBorders>
              <w:top w:val="single" w:sz="4" w:space="0" w:color="000000"/>
              <w:left w:val="single" w:sz="4" w:space="0" w:color="000000"/>
              <w:bottom w:val="single" w:sz="4" w:space="0" w:color="000000"/>
              <w:right w:val="single" w:sz="4" w:space="0" w:color="000000"/>
            </w:tcBorders>
          </w:tcPr>
          <w:p w14:paraId="675CE0B2"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1.331,79 </w:t>
            </w:r>
          </w:p>
        </w:tc>
        <w:tc>
          <w:tcPr>
            <w:tcW w:w="992" w:type="dxa"/>
            <w:gridSpan w:val="2"/>
            <w:tcBorders>
              <w:top w:val="single" w:sz="4" w:space="0" w:color="000000"/>
              <w:left w:val="single" w:sz="4" w:space="0" w:color="000000"/>
              <w:bottom w:val="single" w:sz="4" w:space="0" w:color="000000"/>
              <w:right w:val="single" w:sz="4" w:space="0" w:color="000000"/>
            </w:tcBorders>
          </w:tcPr>
          <w:p w14:paraId="7125085E"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34BEFA15"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49D98B65"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3B10DF83" w14:textId="77777777" w:rsidR="008D3E5D" w:rsidRPr="00612F82" w:rsidRDefault="008D3E5D" w:rsidP="002E2751">
            <w:pPr>
              <w:spacing w:line="259" w:lineRule="auto"/>
              <w:rPr>
                <w:rFonts w:cs="Arial"/>
                <w:sz w:val="16"/>
                <w:szCs w:val="16"/>
              </w:rPr>
            </w:pPr>
            <w:r w:rsidRPr="00612F82">
              <w:rPr>
                <w:rFonts w:cs="Arial"/>
                <w:sz w:val="16"/>
                <w:szCs w:val="16"/>
              </w:rPr>
              <w:t xml:space="preserve">4.4. </w:t>
            </w:r>
          </w:p>
        </w:tc>
        <w:tc>
          <w:tcPr>
            <w:tcW w:w="2835" w:type="dxa"/>
            <w:gridSpan w:val="2"/>
            <w:tcBorders>
              <w:top w:val="single" w:sz="4" w:space="0" w:color="000000"/>
              <w:left w:val="single" w:sz="4" w:space="0" w:color="000000"/>
              <w:bottom w:val="single" w:sz="4" w:space="0" w:color="000000"/>
              <w:right w:val="single" w:sz="4" w:space="0" w:color="000000"/>
            </w:tcBorders>
          </w:tcPr>
          <w:p w14:paraId="115B7B96" w14:textId="77777777" w:rsidR="008D3E5D" w:rsidRPr="00612F82" w:rsidRDefault="008D3E5D" w:rsidP="002E2751">
            <w:pPr>
              <w:spacing w:line="259" w:lineRule="auto"/>
              <w:rPr>
                <w:rFonts w:cs="Arial"/>
                <w:sz w:val="16"/>
                <w:szCs w:val="16"/>
              </w:rPr>
            </w:pPr>
            <w:r w:rsidRPr="00612F82">
              <w:rPr>
                <w:rFonts w:cs="Arial"/>
                <w:sz w:val="16"/>
                <w:szCs w:val="16"/>
              </w:rPr>
              <w:t xml:space="preserve">Regres za letni dopust </w:t>
            </w:r>
          </w:p>
        </w:tc>
        <w:tc>
          <w:tcPr>
            <w:tcW w:w="1132" w:type="dxa"/>
            <w:gridSpan w:val="2"/>
            <w:tcBorders>
              <w:top w:val="single" w:sz="4" w:space="0" w:color="000000"/>
              <w:left w:val="single" w:sz="4" w:space="0" w:color="000000"/>
              <w:bottom w:val="single" w:sz="4" w:space="0" w:color="000000"/>
              <w:right w:val="single" w:sz="4" w:space="0" w:color="000000"/>
            </w:tcBorders>
          </w:tcPr>
          <w:p w14:paraId="7DA0D88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10.172,07 </w:t>
            </w:r>
          </w:p>
        </w:tc>
        <w:tc>
          <w:tcPr>
            <w:tcW w:w="1017" w:type="dxa"/>
            <w:tcBorders>
              <w:top w:val="single" w:sz="4" w:space="0" w:color="000000"/>
              <w:left w:val="single" w:sz="4" w:space="0" w:color="000000"/>
              <w:bottom w:val="single" w:sz="4" w:space="0" w:color="000000"/>
              <w:right w:val="single" w:sz="4" w:space="0" w:color="000000"/>
            </w:tcBorders>
          </w:tcPr>
          <w:p w14:paraId="1EA04F66"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10.172,07 </w:t>
            </w:r>
          </w:p>
        </w:tc>
        <w:tc>
          <w:tcPr>
            <w:tcW w:w="1395" w:type="dxa"/>
            <w:gridSpan w:val="2"/>
            <w:tcBorders>
              <w:top w:val="single" w:sz="4" w:space="0" w:color="000000"/>
              <w:left w:val="single" w:sz="4" w:space="0" w:color="000000"/>
              <w:bottom w:val="single" w:sz="4" w:space="0" w:color="000000"/>
              <w:right w:val="single" w:sz="4" w:space="0" w:color="000000"/>
            </w:tcBorders>
          </w:tcPr>
          <w:p w14:paraId="0712BC1F" w14:textId="77777777" w:rsidR="008D3E5D" w:rsidRPr="00612F82" w:rsidRDefault="008D3E5D" w:rsidP="002E2751">
            <w:pPr>
              <w:spacing w:line="259" w:lineRule="auto"/>
              <w:ind w:right="49"/>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74C7B059"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2BC5444A"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03910D1C"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39C58A97" w14:textId="77777777" w:rsidR="008D3E5D" w:rsidRPr="00612F82" w:rsidRDefault="008D3E5D" w:rsidP="002E2751">
            <w:pPr>
              <w:spacing w:line="259" w:lineRule="auto"/>
              <w:rPr>
                <w:rFonts w:cs="Arial"/>
                <w:sz w:val="16"/>
                <w:szCs w:val="16"/>
              </w:rPr>
            </w:pPr>
            <w:r w:rsidRPr="00612F82">
              <w:rPr>
                <w:rFonts w:cs="Arial"/>
                <w:sz w:val="16"/>
                <w:szCs w:val="16"/>
              </w:rPr>
              <w:t xml:space="preserve">4.5. </w:t>
            </w:r>
          </w:p>
        </w:tc>
        <w:tc>
          <w:tcPr>
            <w:tcW w:w="2835" w:type="dxa"/>
            <w:gridSpan w:val="2"/>
            <w:tcBorders>
              <w:top w:val="single" w:sz="4" w:space="0" w:color="000000"/>
              <w:left w:val="single" w:sz="4" w:space="0" w:color="000000"/>
              <w:bottom w:val="single" w:sz="4" w:space="0" w:color="000000"/>
              <w:right w:val="single" w:sz="4" w:space="0" w:color="000000"/>
            </w:tcBorders>
          </w:tcPr>
          <w:p w14:paraId="6A62A815" w14:textId="77777777" w:rsidR="008D3E5D" w:rsidRPr="00612F82" w:rsidRDefault="008D3E5D" w:rsidP="002E2751">
            <w:pPr>
              <w:spacing w:line="259" w:lineRule="auto"/>
              <w:rPr>
                <w:rFonts w:cs="Arial"/>
                <w:sz w:val="16"/>
                <w:szCs w:val="16"/>
              </w:rPr>
            </w:pPr>
            <w:r w:rsidRPr="00612F82">
              <w:rPr>
                <w:rFonts w:cs="Arial"/>
                <w:sz w:val="16"/>
                <w:szCs w:val="16"/>
              </w:rPr>
              <w:t xml:space="preserve">Prispevki delodajalca </w:t>
            </w:r>
          </w:p>
        </w:tc>
        <w:tc>
          <w:tcPr>
            <w:tcW w:w="1132" w:type="dxa"/>
            <w:gridSpan w:val="2"/>
            <w:tcBorders>
              <w:top w:val="single" w:sz="4" w:space="0" w:color="000000"/>
              <w:left w:val="single" w:sz="4" w:space="0" w:color="000000"/>
              <w:bottom w:val="single" w:sz="4" w:space="0" w:color="000000"/>
              <w:right w:val="single" w:sz="4" w:space="0" w:color="000000"/>
            </w:tcBorders>
          </w:tcPr>
          <w:p w14:paraId="65D716AD"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240.842,86 </w:t>
            </w:r>
          </w:p>
        </w:tc>
        <w:tc>
          <w:tcPr>
            <w:tcW w:w="1017" w:type="dxa"/>
            <w:tcBorders>
              <w:top w:val="single" w:sz="4" w:space="0" w:color="000000"/>
              <w:left w:val="single" w:sz="4" w:space="0" w:color="000000"/>
              <w:bottom w:val="single" w:sz="4" w:space="0" w:color="000000"/>
              <w:right w:val="single" w:sz="4" w:space="0" w:color="000000"/>
            </w:tcBorders>
          </w:tcPr>
          <w:p w14:paraId="078DDE0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238.342,86 </w:t>
            </w:r>
          </w:p>
        </w:tc>
        <w:tc>
          <w:tcPr>
            <w:tcW w:w="1395" w:type="dxa"/>
            <w:gridSpan w:val="2"/>
            <w:tcBorders>
              <w:top w:val="single" w:sz="4" w:space="0" w:color="000000"/>
              <w:left w:val="single" w:sz="4" w:space="0" w:color="000000"/>
              <w:bottom w:val="single" w:sz="4" w:space="0" w:color="000000"/>
              <w:right w:val="single" w:sz="4" w:space="0" w:color="000000"/>
            </w:tcBorders>
          </w:tcPr>
          <w:p w14:paraId="688AF9E5" w14:textId="77777777" w:rsidR="008D3E5D" w:rsidRPr="00612F82" w:rsidRDefault="008D3E5D" w:rsidP="002E2751">
            <w:pPr>
              <w:spacing w:line="259" w:lineRule="auto"/>
              <w:ind w:right="49"/>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36A1BA1B"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2.500,00 </w:t>
            </w:r>
          </w:p>
        </w:tc>
        <w:tc>
          <w:tcPr>
            <w:tcW w:w="995" w:type="dxa"/>
            <w:gridSpan w:val="2"/>
            <w:tcBorders>
              <w:top w:val="single" w:sz="4" w:space="0" w:color="000000"/>
              <w:left w:val="single" w:sz="4" w:space="0" w:color="000000"/>
              <w:bottom w:val="single" w:sz="4" w:space="0" w:color="000000"/>
              <w:right w:val="single" w:sz="4" w:space="0" w:color="000000"/>
            </w:tcBorders>
          </w:tcPr>
          <w:p w14:paraId="756D7792"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0172312F"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6EB0A264"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5 </w:t>
            </w:r>
          </w:p>
        </w:tc>
        <w:tc>
          <w:tcPr>
            <w:tcW w:w="2835" w:type="dxa"/>
            <w:gridSpan w:val="2"/>
            <w:tcBorders>
              <w:top w:val="single" w:sz="4" w:space="0" w:color="000000"/>
              <w:left w:val="single" w:sz="4" w:space="0" w:color="000000"/>
              <w:bottom w:val="single" w:sz="4" w:space="0" w:color="000000"/>
              <w:right w:val="single" w:sz="4" w:space="0" w:color="000000"/>
            </w:tcBorders>
          </w:tcPr>
          <w:p w14:paraId="0952D184"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DRUGI STROŠKI </w:t>
            </w:r>
          </w:p>
        </w:tc>
        <w:tc>
          <w:tcPr>
            <w:tcW w:w="1132" w:type="dxa"/>
            <w:gridSpan w:val="2"/>
            <w:tcBorders>
              <w:top w:val="single" w:sz="4" w:space="0" w:color="000000"/>
              <w:left w:val="single" w:sz="4" w:space="0" w:color="000000"/>
              <w:bottom w:val="single" w:sz="4" w:space="0" w:color="000000"/>
              <w:right w:val="single" w:sz="4" w:space="0" w:color="000000"/>
            </w:tcBorders>
          </w:tcPr>
          <w:p w14:paraId="493C59BE"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34.585,36 </w:t>
            </w:r>
          </w:p>
        </w:tc>
        <w:tc>
          <w:tcPr>
            <w:tcW w:w="1017" w:type="dxa"/>
            <w:tcBorders>
              <w:top w:val="single" w:sz="4" w:space="0" w:color="000000"/>
              <w:left w:val="single" w:sz="4" w:space="0" w:color="000000"/>
              <w:bottom w:val="single" w:sz="4" w:space="0" w:color="000000"/>
              <w:right w:val="single" w:sz="4" w:space="0" w:color="000000"/>
            </w:tcBorders>
          </w:tcPr>
          <w:p w14:paraId="2B4BAEFB"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8.357,97 </w:t>
            </w:r>
          </w:p>
        </w:tc>
        <w:tc>
          <w:tcPr>
            <w:tcW w:w="1395" w:type="dxa"/>
            <w:gridSpan w:val="2"/>
            <w:tcBorders>
              <w:top w:val="single" w:sz="4" w:space="0" w:color="000000"/>
              <w:left w:val="single" w:sz="4" w:space="0" w:color="000000"/>
              <w:bottom w:val="single" w:sz="4" w:space="0" w:color="000000"/>
              <w:right w:val="single" w:sz="4" w:space="0" w:color="000000"/>
            </w:tcBorders>
          </w:tcPr>
          <w:p w14:paraId="1184AEAD"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22.394,82 </w:t>
            </w:r>
          </w:p>
        </w:tc>
        <w:tc>
          <w:tcPr>
            <w:tcW w:w="992" w:type="dxa"/>
            <w:gridSpan w:val="2"/>
            <w:tcBorders>
              <w:top w:val="single" w:sz="4" w:space="0" w:color="000000"/>
              <w:left w:val="single" w:sz="4" w:space="0" w:color="000000"/>
              <w:bottom w:val="single" w:sz="4" w:space="0" w:color="000000"/>
              <w:right w:val="single" w:sz="4" w:space="0" w:color="000000"/>
            </w:tcBorders>
          </w:tcPr>
          <w:p w14:paraId="2A2DCE02"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3.527,69 </w:t>
            </w:r>
          </w:p>
        </w:tc>
        <w:tc>
          <w:tcPr>
            <w:tcW w:w="995" w:type="dxa"/>
            <w:gridSpan w:val="2"/>
            <w:tcBorders>
              <w:top w:val="single" w:sz="4" w:space="0" w:color="000000"/>
              <w:left w:val="single" w:sz="4" w:space="0" w:color="000000"/>
              <w:bottom w:val="single" w:sz="4" w:space="0" w:color="000000"/>
              <w:right w:val="single" w:sz="4" w:space="0" w:color="000000"/>
            </w:tcBorders>
          </w:tcPr>
          <w:p w14:paraId="3A44EE2E"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304.88 </w:t>
            </w:r>
          </w:p>
        </w:tc>
      </w:tr>
      <w:tr w:rsidR="008D3E5D" w:rsidRPr="00612F82" w14:paraId="36254E2B"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14D57CB8" w14:textId="77777777" w:rsidR="008D3E5D" w:rsidRPr="00612F82" w:rsidRDefault="008D3E5D" w:rsidP="002E2751">
            <w:pPr>
              <w:spacing w:line="259" w:lineRule="auto"/>
              <w:rPr>
                <w:rFonts w:cs="Arial"/>
                <w:sz w:val="16"/>
                <w:szCs w:val="16"/>
              </w:rPr>
            </w:pPr>
            <w:r w:rsidRPr="00612F82">
              <w:rPr>
                <w:rFonts w:cs="Arial"/>
                <w:sz w:val="16"/>
                <w:szCs w:val="16"/>
              </w:rPr>
              <w:t xml:space="preserve">5.1. </w:t>
            </w:r>
          </w:p>
        </w:tc>
        <w:tc>
          <w:tcPr>
            <w:tcW w:w="2835" w:type="dxa"/>
            <w:gridSpan w:val="2"/>
            <w:tcBorders>
              <w:top w:val="single" w:sz="4" w:space="0" w:color="000000"/>
              <w:left w:val="single" w:sz="4" w:space="0" w:color="000000"/>
              <w:bottom w:val="single" w:sz="4" w:space="0" w:color="000000"/>
              <w:right w:val="single" w:sz="4" w:space="0" w:color="000000"/>
            </w:tcBorders>
          </w:tcPr>
          <w:p w14:paraId="5D1E4B80" w14:textId="77777777" w:rsidR="008D3E5D" w:rsidRPr="00612F82" w:rsidRDefault="008D3E5D" w:rsidP="002E2751">
            <w:pPr>
              <w:spacing w:line="259" w:lineRule="auto"/>
              <w:rPr>
                <w:rFonts w:cs="Arial"/>
                <w:sz w:val="16"/>
                <w:szCs w:val="16"/>
              </w:rPr>
            </w:pPr>
            <w:r w:rsidRPr="00612F82">
              <w:rPr>
                <w:rFonts w:cs="Arial"/>
                <w:sz w:val="16"/>
                <w:szCs w:val="16"/>
              </w:rPr>
              <w:t xml:space="preserve">Davek od dobička pravnih oseb </w:t>
            </w:r>
          </w:p>
        </w:tc>
        <w:tc>
          <w:tcPr>
            <w:tcW w:w="1132" w:type="dxa"/>
            <w:gridSpan w:val="2"/>
            <w:tcBorders>
              <w:top w:val="single" w:sz="4" w:space="0" w:color="000000"/>
              <w:left w:val="single" w:sz="4" w:space="0" w:color="000000"/>
              <w:bottom w:val="single" w:sz="4" w:space="0" w:color="000000"/>
              <w:right w:val="single" w:sz="4" w:space="0" w:color="000000"/>
            </w:tcBorders>
          </w:tcPr>
          <w:p w14:paraId="6E435CB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2949516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7CC4530C"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12B2FEE1"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77E8B99A"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6FDB539F"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50349FF6" w14:textId="77777777" w:rsidR="008D3E5D" w:rsidRPr="00612F82" w:rsidRDefault="008D3E5D" w:rsidP="002E2751">
            <w:pPr>
              <w:spacing w:line="259" w:lineRule="auto"/>
              <w:rPr>
                <w:rFonts w:cs="Arial"/>
                <w:sz w:val="16"/>
                <w:szCs w:val="16"/>
              </w:rPr>
            </w:pPr>
            <w:r w:rsidRPr="00612F82">
              <w:rPr>
                <w:rFonts w:cs="Arial"/>
                <w:sz w:val="16"/>
                <w:szCs w:val="16"/>
              </w:rPr>
              <w:t xml:space="preserve">5.2. </w:t>
            </w:r>
          </w:p>
        </w:tc>
        <w:tc>
          <w:tcPr>
            <w:tcW w:w="2835" w:type="dxa"/>
            <w:gridSpan w:val="2"/>
            <w:tcBorders>
              <w:top w:val="single" w:sz="4" w:space="0" w:color="000000"/>
              <w:left w:val="single" w:sz="4" w:space="0" w:color="000000"/>
              <w:bottom w:val="single" w:sz="4" w:space="0" w:color="000000"/>
              <w:right w:val="single" w:sz="4" w:space="0" w:color="000000"/>
            </w:tcBorders>
          </w:tcPr>
          <w:p w14:paraId="0DE98021"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taks </w:t>
            </w:r>
          </w:p>
        </w:tc>
        <w:tc>
          <w:tcPr>
            <w:tcW w:w="1132" w:type="dxa"/>
            <w:gridSpan w:val="2"/>
            <w:tcBorders>
              <w:top w:val="single" w:sz="4" w:space="0" w:color="000000"/>
              <w:left w:val="single" w:sz="4" w:space="0" w:color="000000"/>
              <w:bottom w:val="single" w:sz="4" w:space="0" w:color="000000"/>
              <w:right w:val="single" w:sz="4" w:space="0" w:color="000000"/>
            </w:tcBorders>
          </w:tcPr>
          <w:p w14:paraId="51E52AB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1.162,85 </w:t>
            </w:r>
          </w:p>
        </w:tc>
        <w:tc>
          <w:tcPr>
            <w:tcW w:w="1017" w:type="dxa"/>
            <w:tcBorders>
              <w:top w:val="single" w:sz="4" w:space="0" w:color="000000"/>
              <w:left w:val="single" w:sz="4" w:space="0" w:color="000000"/>
              <w:bottom w:val="single" w:sz="4" w:space="0" w:color="000000"/>
              <w:right w:val="single" w:sz="4" w:space="0" w:color="000000"/>
            </w:tcBorders>
          </w:tcPr>
          <w:p w14:paraId="5FA44ED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857,97 </w:t>
            </w:r>
          </w:p>
        </w:tc>
        <w:tc>
          <w:tcPr>
            <w:tcW w:w="1395" w:type="dxa"/>
            <w:gridSpan w:val="2"/>
            <w:tcBorders>
              <w:top w:val="single" w:sz="4" w:space="0" w:color="000000"/>
              <w:left w:val="single" w:sz="4" w:space="0" w:color="000000"/>
              <w:bottom w:val="single" w:sz="4" w:space="0" w:color="000000"/>
              <w:right w:val="single" w:sz="4" w:space="0" w:color="000000"/>
            </w:tcBorders>
          </w:tcPr>
          <w:p w14:paraId="3D71C6A8" w14:textId="77777777" w:rsidR="008D3E5D" w:rsidRPr="00612F82" w:rsidRDefault="008D3E5D" w:rsidP="002E2751">
            <w:pPr>
              <w:spacing w:line="259" w:lineRule="auto"/>
              <w:ind w:right="49"/>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50DEDD1E"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10D5A9AF"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304.88 </w:t>
            </w:r>
          </w:p>
        </w:tc>
      </w:tr>
      <w:tr w:rsidR="008D3E5D" w:rsidRPr="00612F82" w14:paraId="686CFBF9"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4C23EBAE" w14:textId="77777777" w:rsidR="008D3E5D" w:rsidRPr="00612F82" w:rsidRDefault="008D3E5D" w:rsidP="002E2751">
            <w:pPr>
              <w:spacing w:line="259" w:lineRule="auto"/>
              <w:rPr>
                <w:rFonts w:cs="Arial"/>
                <w:sz w:val="16"/>
                <w:szCs w:val="16"/>
              </w:rPr>
            </w:pPr>
            <w:r w:rsidRPr="00612F82">
              <w:rPr>
                <w:rFonts w:cs="Arial"/>
                <w:sz w:val="16"/>
                <w:szCs w:val="16"/>
              </w:rPr>
              <w:t xml:space="preserve">5.3. </w:t>
            </w:r>
          </w:p>
        </w:tc>
        <w:tc>
          <w:tcPr>
            <w:tcW w:w="2835" w:type="dxa"/>
            <w:gridSpan w:val="2"/>
            <w:tcBorders>
              <w:top w:val="single" w:sz="4" w:space="0" w:color="000000"/>
              <w:left w:val="single" w:sz="4" w:space="0" w:color="000000"/>
              <w:bottom w:val="single" w:sz="4" w:space="0" w:color="000000"/>
              <w:right w:val="single" w:sz="4" w:space="0" w:color="000000"/>
            </w:tcBorders>
          </w:tcPr>
          <w:p w14:paraId="191541DD" w14:textId="77777777" w:rsidR="008D3E5D" w:rsidRPr="00612F82" w:rsidRDefault="008D3E5D" w:rsidP="002E2751">
            <w:pPr>
              <w:spacing w:line="259" w:lineRule="auto"/>
              <w:rPr>
                <w:rFonts w:cs="Arial"/>
                <w:sz w:val="16"/>
                <w:szCs w:val="16"/>
              </w:rPr>
            </w:pPr>
            <w:r w:rsidRPr="00612F82">
              <w:rPr>
                <w:rFonts w:cs="Arial"/>
                <w:sz w:val="16"/>
                <w:szCs w:val="16"/>
              </w:rPr>
              <w:t xml:space="preserve">Nadomestilo za uporabo stavbnega zemljišča  </w:t>
            </w:r>
          </w:p>
        </w:tc>
        <w:tc>
          <w:tcPr>
            <w:tcW w:w="1132" w:type="dxa"/>
            <w:gridSpan w:val="2"/>
            <w:tcBorders>
              <w:top w:val="single" w:sz="4" w:space="0" w:color="000000"/>
              <w:left w:val="single" w:sz="4" w:space="0" w:color="000000"/>
              <w:bottom w:val="single" w:sz="4" w:space="0" w:color="000000"/>
              <w:right w:val="single" w:sz="4" w:space="0" w:color="000000"/>
            </w:tcBorders>
          </w:tcPr>
          <w:p w14:paraId="5F8C71F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29FD9AF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012E4448"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66FE362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416F5DC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5807099C"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380B5C25" w14:textId="77777777" w:rsidR="008D3E5D" w:rsidRPr="00612F82" w:rsidRDefault="008D3E5D" w:rsidP="002E2751">
            <w:pPr>
              <w:spacing w:line="259" w:lineRule="auto"/>
              <w:rPr>
                <w:rFonts w:cs="Arial"/>
                <w:sz w:val="16"/>
                <w:szCs w:val="16"/>
              </w:rPr>
            </w:pPr>
            <w:r w:rsidRPr="00612F82">
              <w:rPr>
                <w:rFonts w:cs="Arial"/>
                <w:sz w:val="16"/>
                <w:szCs w:val="16"/>
              </w:rPr>
              <w:t xml:space="preserve">5.4. </w:t>
            </w:r>
          </w:p>
        </w:tc>
        <w:tc>
          <w:tcPr>
            <w:tcW w:w="2835" w:type="dxa"/>
            <w:gridSpan w:val="2"/>
            <w:tcBorders>
              <w:top w:val="single" w:sz="4" w:space="0" w:color="000000"/>
              <w:left w:val="single" w:sz="4" w:space="0" w:color="000000"/>
              <w:bottom w:val="single" w:sz="4" w:space="0" w:color="000000"/>
              <w:right w:val="single" w:sz="4" w:space="0" w:color="000000"/>
            </w:tcBorders>
          </w:tcPr>
          <w:p w14:paraId="26DAC55E" w14:textId="77777777" w:rsidR="008D3E5D" w:rsidRPr="00612F82" w:rsidRDefault="008D3E5D" w:rsidP="002E2751">
            <w:pPr>
              <w:spacing w:line="259" w:lineRule="auto"/>
              <w:rPr>
                <w:rFonts w:cs="Arial"/>
                <w:sz w:val="16"/>
                <w:szCs w:val="16"/>
              </w:rPr>
            </w:pPr>
            <w:r w:rsidRPr="00612F82">
              <w:rPr>
                <w:rFonts w:cs="Arial"/>
                <w:sz w:val="16"/>
                <w:szCs w:val="16"/>
              </w:rPr>
              <w:t xml:space="preserve">Članarine </w:t>
            </w:r>
          </w:p>
        </w:tc>
        <w:tc>
          <w:tcPr>
            <w:tcW w:w="1132" w:type="dxa"/>
            <w:gridSpan w:val="2"/>
            <w:tcBorders>
              <w:top w:val="single" w:sz="4" w:space="0" w:color="000000"/>
              <w:left w:val="single" w:sz="4" w:space="0" w:color="000000"/>
              <w:bottom w:val="single" w:sz="4" w:space="0" w:color="000000"/>
              <w:right w:val="single" w:sz="4" w:space="0" w:color="000000"/>
            </w:tcBorders>
          </w:tcPr>
          <w:p w14:paraId="31D27D64"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732141C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5DE5C1C4"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52475EE2"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170FE669"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57C7ECF1"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210879BE" w14:textId="77777777" w:rsidR="008D3E5D" w:rsidRPr="00612F82" w:rsidRDefault="008D3E5D" w:rsidP="002E2751">
            <w:pPr>
              <w:spacing w:line="259" w:lineRule="auto"/>
              <w:rPr>
                <w:rFonts w:cs="Arial"/>
                <w:sz w:val="16"/>
                <w:szCs w:val="16"/>
              </w:rPr>
            </w:pPr>
            <w:r w:rsidRPr="00612F82">
              <w:rPr>
                <w:rFonts w:cs="Arial"/>
                <w:sz w:val="16"/>
                <w:szCs w:val="16"/>
              </w:rPr>
              <w:t xml:space="preserve">5.5. </w:t>
            </w:r>
          </w:p>
        </w:tc>
        <w:tc>
          <w:tcPr>
            <w:tcW w:w="2835" w:type="dxa"/>
            <w:gridSpan w:val="2"/>
            <w:tcBorders>
              <w:top w:val="single" w:sz="4" w:space="0" w:color="000000"/>
              <w:left w:val="single" w:sz="4" w:space="0" w:color="000000"/>
              <w:bottom w:val="single" w:sz="4" w:space="0" w:color="000000"/>
              <w:right w:val="single" w:sz="4" w:space="0" w:color="000000"/>
            </w:tcBorders>
          </w:tcPr>
          <w:p w14:paraId="5D334038" w14:textId="77777777" w:rsidR="008D3E5D" w:rsidRPr="00612F82" w:rsidRDefault="008D3E5D" w:rsidP="002E2751">
            <w:pPr>
              <w:spacing w:line="259" w:lineRule="auto"/>
              <w:rPr>
                <w:rFonts w:cs="Arial"/>
                <w:sz w:val="16"/>
                <w:szCs w:val="16"/>
              </w:rPr>
            </w:pPr>
            <w:r w:rsidRPr="00612F82">
              <w:rPr>
                <w:rFonts w:cs="Arial"/>
                <w:sz w:val="16"/>
                <w:szCs w:val="16"/>
              </w:rPr>
              <w:t xml:space="preserve">Štipendije študentom </w:t>
            </w:r>
          </w:p>
        </w:tc>
        <w:tc>
          <w:tcPr>
            <w:tcW w:w="1132" w:type="dxa"/>
            <w:gridSpan w:val="2"/>
            <w:tcBorders>
              <w:top w:val="single" w:sz="4" w:space="0" w:color="000000"/>
              <w:left w:val="single" w:sz="4" w:space="0" w:color="000000"/>
              <w:bottom w:val="single" w:sz="4" w:space="0" w:color="000000"/>
              <w:right w:val="single" w:sz="4" w:space="0" w:color="000000"/>
            </w:tcBorders>
          </w:tcPr>
          <w:p w14:paraId="1233882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21.980,69 </w:t>
            </w:r>
          </w:p>
        </w:tc>
        <w:tc>
          <w:tcPr>
            <w:tcW w:w="1017" w:type="dxa"/>
            <w:tcBorders>
              <w:top w:val="single" w:sz="4" w:space="0" w:color="000000"/>
              <w:left w:val="single" w:sz="4" w:space="0" w:color="000000"/>
              <w:bottom w:val="single" w:sz="4" w:space="0" w:color="000000"/>
              <w:right w:val="single" w:sz="4" w:space="0" w:color="000000"/>
            </w:tcBorders>
          </w:tcPr>
          <w:p w14:paraId="5DFAF18B"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7F11563B"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18.453,00 </w:t>
            </w:r>
          </w:p>
        </w:tc>
        <w:tc>
          <w:tcPr>
            <w:tcW w:w="992" w:type="dxa"/>
            <w:gridSpan w:val="2"/>
            <w:tcBorders>
              <w:top w:val="single" w:sz="4" w:space="0" w:color="000000"/>
              <w:left w:val="single" w:sz="4" w:space="0" w:color="000000"/>
              <w:bottom w:val="single" w:sz="4" w:space="0" w:color="000000"/>
              <w:right w:val="single" w:sz="4" w:space="0" w:color="000000"/>
            </w:tcBorders>
          </w:tcPr>
          <w:p w14:paraId="5726157C"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3.527,69 </w:t>
            </w:r>
          </w:p>
        </w:tc>
        <w:tc>
          <w:tcPr>
            <w:tcW w:w="995" w:type="dxa"/>
            <w:gridSpan w:val="2"/>
            <w:tcBorders>
              <w:top w:val="single" w:sz="4" w:space="0" w:color="000000"/>
              <w:left w:val="single" w:sz="4" w:space="0" w:color="000000"/>
              <w:bottom w:val="single" w:sz="4" w:space="0" w:color="000000"/>
              <w:right w:val="single" w:sz="4" w:space="0" w:color="000000"/>
            </w:tcBorders>
          </w:tcPr>
          <w:p w14:paraId="6B13203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7508FE27" w14:textId="77777777" w:rsidTr="002E2751">
        <w:trPr>
          <w:trHeight w:val="310"/>
        </w:trPr>
        <w:tc>
          <w:tcPr>
            <w:tcW w:w="846" w:type="dxa"/>
            <w:tcBorders>
              <w:top w:val="single" w:sz="4" w:space="0" w:color="000000"/>
              <w:left w:val="single" w:sz="4" w:space="0" w:color="000000"/>
              <w:bottom w:val="single" w:sz="4" w:space="0" w:color="000000"/>
              <w:right w:val="single" w:sz="4" w:space="0" w:color="000000"/>
            </w:tcBorders>
          </w:tcPr>
          <w:p w14:paraId="2BD9C945" w14:textId="77777777" w:rsidR="008D3E5D" w:rsidRPr="00612F82" w:rsidRDefault="008D3E5D" w:rsidP="002E2751">
            <w:pPr>
              <w:spacing w:line="259" w:lineRule="auto"/>
              <w:rPr>
                <w:rFonts w:cs="Arial"/>
                <w:sz w:val="16"/>
                <w:szCs w:val="16"/>
              </w:rPr>
            </w:pPr>
            <w:r w:rsidRPr="00612F82">
              <w:rPr>
                <w:rFonts w:cs="Arial"/>
                <w:sz w:val="16"/>
                <w:szCs w:val="16"/>
              </w:rPr>
              <w:t xml:space="preserve">5.6. </w:t>
            </w:r>
          </w:p>
        </w:tc>
        <w:tc>
          <w:tcPr>
            <w:tcW w:w="2835" w:type="dxa"/>
            <w:gridSpan w:val="2"/>
            <w:tcBorders>
              <w:top w:val="single" w:sz="4" w:space="0" w:color="000000"/>
              <w:left w:val="single" w:sz="4" w:space="0" w:color="000000"/>
              <w:bottom w:val="single" w:sz="4" w:space="0" w:color="000000"/>
              <w:right w:val="single" w:sz="4" w:space="0" w:color="000000"/>
            </w:tcBorders>
          </w:tcPr>
          <w:p w14:paraId="5D0B2F3C" w14:textId="77777777" w:rsidR="008D3E5D" w:rsidRPr="00612F82" w:rsidRDefault="008D3E5D" w:rsidP="002E2751">
            <w:pPr>
              <w:spacing w:line="259" w:lineRule="auto"/>
              <w:rPr>
                <w:rFonts w:cs="Arial"/>
                <w:sz w:val="16"/>
                <w:szCs w:val="16"/>
              </w:rPr>
            </w:pPr>
            <w:r w:rsidRPr="00612F82">
              <w:rPr>
                <w:rFonts w:cs="Arial"/>
                <w:sz w:val="16"/>
                <w:szCs w:val="16"/>
              </w:rPr>
              <w:t xml:space="preserve">Nagrade dijakom in študentom na delovni praksi  </w:t>
            </w:r>
          </w:p>
        </w:tc>
        <w:tc>
          <w:tcPr>
            <w:tcW w:w="1132" w:type="dxa"/>
            <w:gridSpan w:val="2"/>
            <w:tcBorders>
              <w:top w:val="single" w:sz="4" w:space="0" w:color="000000"/>
              <w:left w:val="single" w:sz="4" w:space="0" w:color="000000"/>
              <w:bottom w:val="single" w:sz="4" w:space="0" w:color="000000"/>
              <w:right w:val="single" w:sz="4" w:space="0" w:color="000000"/>
            </w:tcBorders>
          </w:tcPr>
          <w:p w14:paraId="11200277"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11.441,82 </w:t>
            </w:r>
          </w:p>
        </w:tc>
        <w:tc>
          <w:tcPr>
            <w:tcW w:w="1017" w:type="dxa"/>
            <w:tcBorders>
              <w:top w:val="single" w:sz="4" w:space="0" w:color="000000"/>
              <w:left w:val="single" w:sz="4" w:space="0" w:color="000000"/>
              <w:bottom w:val="single" w:sz="4" w:space="0" w:color="000000"/>
              <w:right w:val="single" w:sz="4" w:space="0" w:color="000000"/>
            </w:tcBorders>
          </w:tcPr>
          <w:p w14:paraId="140B57C4"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7.500,00 </w:t>
            </w:r>
          </w:p>
        </w:tc>
        <w:tc>
          <w:tcPr>
            <w:tcW w:w="1395" w:type="dxa"/>
            <w:gridSpan w:val="2"/>
            <w:tcBorders>
              <w:top w:val="single" w:sz="4" w:space="0" w:color="000000"/>
              <w:left w:val="single" w:sz="4" w:space="0" w:color="000000"/>
              <w:bottom w:val="single" w:sz="4" w:space="0" w:color="000000"/>
              <w:right w:val="single" w:sz="4" w:space="0" w:color="000000"/>
            </w:tcBorders>
          </w:tcPr>
          <w:p w14:paraId="1232A717"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3.941,82 </w:t>
            </w:r>
          </w:p>
        </w:tc>
        <w:tc>
          <w:tcPr>
            <w:tcW w:w="992" w:type="dxa"/>
            <w:gridSpan w:val="2"/>
            <w:tcBorders>
              <w:top w:val="single" w:sz="4" w:space="0" w:color="000000"/>
              <w:left w:val="single" w:sz="4" w:space="0" w:color="000000"/>
              <w:bottom w:val="single" w:sz="4" w:space="0" w:color="000000"/>
              <w:right w:val="single" w:sz="4" w:space="0" w:color="000000"/>
            </w:tcBorders>
          </w:tcPr>
          <w:p w14:paraId="3C40C944"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1C75FA1D"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r>
      <w:tr w:rsidR="008D3E5D" w:rsidRPr="00612F82" w14:paraId="272406A4" w14:textId="77777777" w:rsidTr="002E2751">
        <w:trPr>
          <w:trHeight w:val="312"/>
        </w:trPr>
        <w:tc>
          <w:tcPr>
            <w:tcW w:w="846" w:type="dxa"/>
            <w:tcBorders>
              <w:top w:val="single" w:sz="4" w:space="0" w:color="000000"/>
              <w:left w:val="single" w:sz="4" w:space="0" w:color="000000"/>
              <w:bottom w:val="single" w:sz="4" w:space="0" w:color="000000"/>
              <w:right w:val="single" w:sz="4" w:space="0" w:color="000000"/>
            </w:tcBorders>
          </w:tcPr>
          <w:p w14:paraId="750B1347" w14:textId="77777777" w:rsidR="008D3E5D" w:rsidRPr="00612F82" w:rsidRDefault="008D3E5D" w:rsidP="002E2751">
            <w:pPr>
              <w:spacing w:line="259" w:lineRule="auto"/>
              <w:rPr>
                <w:rFonts w:cs="Arial"/>
                <w:sz w:val="16"/>
                <w:szCs w:val="16"/>
              </w:rPr>
            </w:pPr>
            <w:r w:rsidRPr="00612F82">
              <w:rPr>
                <w:rFonts w:cs="Arial"/>
                <w:sz w:val="16"/>
                <w:szCs w:val="16"/>
              </w:rPr>
              <w:t xml:space="preserve">5.7. </w:t>
            </w:r>
          </w:p>
        </w:tc>
        <w:tc>
          <w:tcPr>
            <w:tcW w:w="2835" w:type="dxa"/>
            <w:gridSpan w:val="2"/>
            <w:tcBorders>
              <w:top w:val="single" w:sz="4" w:space="0" w:color="000000"/>
              <w:left w:val="single" w:sz="4" w:space="0" w:color="000000"/>
              <w:bottom w:val="single" w:sz="4" w:space="0" w:color="000000"/>
              <w:right w:val="single" w:sz="4" w:space="0" w:color="000000"/>
            </w:tcBorders>
          </w:tcPr>
          <w:p w14:paraId="44EF8766" w14:textId="77777777" w:rsidR="008D3E5D" w:rsidRPr="00612F82" w:rsidRDefault="008D3E5D" w:rsidP="002E2751">
            <w:pPr>
              <w:spacing w:line="259" w:lineRule="auto"/>
              <w:rPr>
                <w:rFonts w:cs="Arial"/>
                <w:sz w:val="16"/>
                <w:szCs w:val="16"/>
              </w:rPr>
            </w:pPr>
            <w:r w:rsidRPr="00612F82">
              <w:rPr>
                <w:rFonts w:cs="Arial"/>
                <w:sz w:val="16"/>
                <w:szCs w:val="16"/>
              </w:rPr>
              <w:t xml:space="preserve">Stroški študijskih programov </w:t>
            </w:r>
          </w:p>
        </w:tc>
        <w:tc>
          <w:tcPr>
            <w:tcW w:w="1132" w:type="dxa"/>
            <w:gridSpan w:val="2"/>
            <w:tcBorders>
              <w:top w:val="single" w:sz="4" w:space="0" w:color="000000"/>
              <w:left w:val="single" w:sz="4" w:space="0" w:color="000000"/>
              <w:bottom w:val="single" w:sz="4" w:space="0" w:color="000000"/>
              <w:right w:val="single" w:sz="4" w:space="0" w:color="000000"/>
            </w:tcBorders>
          </w:tcPr>
          <w:p w14:paraId="342A3098" w14:textId="77777777" w:rsidR="008D3E5D" w:rsidRPr="00612F82" w:rsidRDefault="008D3E5D" w:rsidP="002E2751">
            <w:pPr>
              <w:spacing w:line="259" w:lineRule="auto"/>
              <w:ind w:right="47"/>
              <w:jc w:val="right"/>
              <w:rPr>
                <w:rFonts w:cs="Arial"/>
                <w:sz w:val="16"/>
                <w:szCs w:val="16"/>
              </w:rPr>
            </w:pPr>
            <w:r w:rsidRPr="00612F82">
              <w:rPr>
                <w:rFonts w:cs="Arial"/>
                <w:sz w:val="16"/>
                <w:szCs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14:paraId="5196F735"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1395" w:type="dxa"/>
            <w:gridSpan w:val="2"/>
            <w:tcBorders>
              <w:top w:val="single" w:sz="4" w:space="0" w:color="000000"/>
              <w:left w:val="single" w:sz="4" w:space="0" w:color="000000"/>
              <w:bottom w:val="single" w:sz="4" w:space="0" w:color="000000"/>
              <w:right w:val="single" w:sz="4" w:space="0" w:color="000000"/>
            </w:tcBorders>
          </w:tcPr>
          <w:p w14:paraId="27968ABE" w14:textId="77777777" w:rsidR="008D3E5D" w:rsidRPr="00612F82" w:rsidRDefault="008D3E5D" w:rsidP="002E2751">
            <w:pPr>
              <w:spacing w:line="259" w:lineRule="auto"/>
              <w:ind w:right="50"/>
              <w:jc w:val="right"/>
              <w:rPr>
                <w:rFonts w:cs="Arial"/>
                <w:sz w:val="16"/>
                <w:szCs w:val="16"/>
              </w:rPr>
            </w:pPr>
            <w:r w:rsidRPr="00612F82">
              <w:rPr>
                <w:rFonts w:cs="Arial"/>
                <w:sz w:val="16"/>
                <w:szCs w:val="16"/>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5555505F"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tcPr>
          <w:p w14:paraId="44F932F0" w14:textId="77777777" w:rsidR="008D3E5D" w:rsidRPr="00612F82" w:rsidRDefault="008D3E5D" w:rsidP="002E2751">
            <w:pPr>
              <w:spacing w:line="259" w:lineRule="auto"/>
              <w:ind w:right="48"/>
              <w:jc w:val="right"/>
              <w:rPr>
                <w:rFonts w:cs="Arial"/>
                <w:sz w:val="16"/>
                <w:szCs w:val="16"/>
              </w:rPr>
            </w:pPr>
            <w:r w:rsidRPr="00612F82">
              <w:rPr>
                <w:rFonts w:cs="Arial"/>
                <w:sz w:val="16"/>
                <w:szCs w:val="16"/>
              </w:rPr>
              <w:t xml:space="preserve">- </w:t>
            </w:r>
          </w:p>
        </w:tc>
      </w:tr>
      <w:tr w:rsidR="008D3E5D" w:rsidRPr="00612F82" w14:paraId="4CC04EE5" w14:textId="77777777" w:rsidTr="002E2751">
        <w:trPr>
          <w:trHeight w:val="312"/>
        </w:trPr>
        <w:tc>
          <w:tcPr>
            <w:tcW w:w="846" w:type="dxa"/>
            <w:tcBorders>
              <w:top w:val="single" w:sz="4" w:space="0" w:color="000000"/>
              <w:left w:val="single" w:sz="4" w:space="0" w:color="000000"/>
              <w:bottom w:val="single" w:sz="4" w:space="0" w:color="000000"/>
              <w:right w:val="nil"/>
            </w:tcBorders>
          </w:tcPr>
          <w:p w14:paraId="2C1F992C" w14:textId="77777777" w:rsidR="008D3E5D" w:rsidRPr="00612F82" w:rsidRDefault="008D3E5D" w:rsidP="002E2751">
            <w:pPr>
              <w:spacing w:line="259" w:lineRule="auto"/>
              <w:rPr>
                <w:rFonts w:cs="Arial"/>
                <w:sz w:val="16"/>
                <w:szCs w:val="16"/>
              </w:rPr>
            </w:pPr>
            <w:r w:rsidRPr="00612F82">
              <w:rPr>
                <w:rFonts w:eastAsia="Calibri" w:cs="Arial"/>
                <w:sz w:val="16"/>
                <w:szCs w:val="16"/>
              </w:rPr>
              <w:t xml:space="preserve">Skupaj </w:t>
            </w:r>
          </w:p>
        </w:tc>
        <w:tc>
          <w:tcPr>
            <w:tcW w:w="2835" w:type="dxa"/>
            <w:gridSpan w:val="2"/>
            <w:tcBorders>
              <w:top w:val="single" w:sz="4" w:space="0" w:color="000000"/>
              <w:left w:val="nil"/>
              <w:bottom w:val="single" w:sz="4" w:space="0" w:color="000000"/>
              <w:right w:val="single" w:sz="4" w:space="0" w:color="000000"/>
            </w:tcBorders>
          </w:tcPr>
          <w:p w14:paraId="5343ED6C" w14:textId="77777777" w:rsidR="008D3E5D" w:rsidRPr="00612F82" w:rsidRDefault="008D3E5D" w:rsidP="002E2751">
            <w:pPr>
              <w:spacing w:after="160" w:line="259" w:lineRule="auto"/>
              <w:rPr>
                <w:rFonts w:cs="Arial"/>
                <w:sz w:val="16"/>
                <w:szCs w:val="16"/>
              </w:rPr>
            </w:pPr>
          </w:p>
        </w:tc>
        <w:tc>
          <w:tcPr>
            <w:tcW w:w="1132" w:type="dxa"/>
            <w:gridSpan w:val="2"/>
            <w:tcBorders>
              <w:top w:val="single" w:sz="4" w:space="0" w:color="000000"/>
              <w:left w:val="single" w:sz="4" w:space="0" w:color="000000"/>
              <w:bottom w:val="single" w:sz="4" w:space="0" w:color="000000"/>
              <w:right w:val="single" w:sz="4" w:space="0" w:color="000000"/>
            </w:tcBorders>
          </w:tcPr>
          <w:p w14:paraId="6FF82A2A"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-15,006.25 </w:t>
            </w:r>
          </w:p>
        </w:tc>
        <w:tc>
          <w:tcPr>
            <w:tcW w:w="1017" w:type="dxa"/>
            <w:tcBorders>
              <w:top w:val="single" w:sz="4" w:space="0" w:color="000000"/>
              <w:left w:val="single" w:sz="4" w:space="0" w:color="000000"/>
              <w:bottom w:val="single" w:sz="4" w:space="0" w:color="000000"/>
              <w:right w:val="single" w:sz="4" w:space="0" w:color="000000"/>
            </w:tcBorders>
          </w:tcPr>
          <w:p w14:paraId="1E76769C"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0,00 </w:t>
            </w:r>
          </w:p>
        </w:tc>
        <w:tc>
          <w:tcPr>
            <w:tcW w:w="1395" w:type="dxa"/>
            <w:gridSpan w:val="2"/>
            <w:tcBorders>
              <w:top w:val="single" w:sz="4" w:space="0" w:color="000000"/>
              <w:left w:val="single" w:sz="4" w:space="0" w:color="000000"/>
              <w:bottom w:val="single" w:sz="4" w:space="0" w:color="000000"/>
              <w:right w:val="single" w:sz="4" w:space="0" w:color="000000"/>
            </w:tcBorders>
          </w:tcPr>
          <w:p w14:paraId="41B10122" w14:textId="77777777" w:rsidR="008D3E5D" w:rsidRPr="00612F82" w:rsidRDefault="008D3E5D" w:rsidP="002E2751">
            <w:pPr>
              <w:spacing w:line="259" w:lineRule="auto"/>
              <w:ind w:right="50"/>
              <w:jc w:val="right"/>
              <w:rPr>
                <w:rFonts w:cs="Arial"/>
                <w:sz w:val="16"/>
                <w:szCs w:val="16"/>
              </w:rPr>
            </w:pPr>
            <w:r w:rsidRPr="00612F82">
              <w:rPr>
                <w:rFonts w:eastAsia="Calibri" w:cs="Arial"/>
                <w:sz w:val="16"/>
                <w:szCs w:val="16"/>
              </w:rPr>
              <w:t xml:space="preserve">-15.517,83 </w:t>
            </w:r>
          </w:p>
        </w:tc>
        <w:tc>
          <w:tcPr>
            <w:tcW w:w="992" w:type="dxa"/>
            <w:gridSpan w:val="2"/>
            <w:tcBorders>
              <w:top w:val="single" w:sz="4" w:space="0" w:color="000000"/>
              <w:left w:val="single" w:sz="4" w:space="0" w:color="000000"/>
              <w:bottom w:val="single" w:sz="4" w:space="0" w:color="000000"/>
              <w:right w:val="single" w:sz="4" w:space="0" w:color="000000"/>
            </w:tcBorders>
          </w:tcPr>
          <w:p w14:paraId="3E85539D" w14:textId="77777777" w:rsidR="008D3E5D" w:rsidRPr="00612F82" w:rsidRDefault="008D3E5D" w:rsidP="002E2751">
            <w:pPr>
              <w:spacing w:line="259" w:lineRule="auto"/>
              <w:ind w:right="48"/>
              <w:jc w:val="right"/>
              <w:rPr>
                <w:rFonts w:cs="Arial"/>
                <w:sz w:val="16"/>
                <w:szCs w:val="16"/>
              </w:rPr>
            </w:pPr>
            <w:r w:rsidRPr="00612F82">
              <w:rPr>
                <w:rFonts w:eastAsia="Calibri" w:cs="Arial"/>
                <w:sz w:val="16"/>
                <w:szCs w:val="16"/>
              </w:rPr>
              <w:t xml:space="preserve">90,52 </w:t>
            </w:r>
          </w:p>
        </w:tc>
        <w:tc>
          <w:tcPr>
            <w:tcW w:w="995" w:type="dxa"/>
            <w:gridSpan w:val="2"/>
            <w:tcBorders>
              <w:top w:val="single" w:sz="4" w:space="0" w:color="000000"/>
              <w:left w:val="single" w:sz="4" w:space="0" w:color="000000"/>
              <w:bottom w:val="single" w:sz="4" w:space="0" w:color="000000"/>
              <w:right w:val="single" w:sz="4" w:space="0" w:color="000000"/>
            </w:tcBorders>
          </w:tcPr>
          <w:p w14:paraId="1BE574D8" w14:textId="77777777" w:rsidR="008D3E5D" w:rsidRPr="00612F82" w:rsidRDefault="008D3E5D" w:rsidP="002E2751">
            <w:pPr>
              <w:spacing w:line="259" w:lineRule="auto"/>
              <w:ind w:right="47"/>
              <w:jc w:val="right"/>
              <w:rPr>
                <w:rFonts w:cs="Arial"/>
                <w:sz w:val="16"/>
                <w:szCs w:val="16"/>
              </w:rPr>
            </w:pPr>
            <w:r w:rsidRPr="00612F82">
              <w:rPr>
                <w:rFonts w:eastAsia="Calibri" w:cs="Arial"/>
                <w:sz w:val="16"/>
                <w:szCs w:val="16"/>
              </w:rPr>
              <w:t xml:space="preserve">421,06 </w:t>
            </w:r>
          </w:p>
        </w:tc>
      </w:tr>
    </w:tbl>
    <w:p w14:paraId="05F84CBB" w14:textId="77777777" w:rsidR="00CC4762" w:rsidRPr="00CC4762" w:rsidRDefault="008D3E5D" w:rsidP="00CC4762">
      <w:pPr>
        <w:rPr>
          <w:rFonts w:cs="Arial"/>
          <w:szCs w:val="20"/>
        </w:rPr>
      </w:pPr>
      <w:r w:rsidRPr="00612F82">
        <w:rPr>
          <w:rFonts w:cs="Arial"/>
          <w:sz w:val="16"/>
          <w:szCs w:val="16"/>
        </w:rPr>
        <w:t xml:space="preserve"> </w:t>
      </w:r>
    </w:p>
    <w:p w14:paraId="2B9573C5" w14:textId="7769713C" w:rsidR="00015CD3" w:rsidRPr="001F5308" w:rsidRDefault="00015CD3" w:rsidP="00657CCA">
      <w:pPr>
        <w:jc w:val="both"/>
        <w:rPr>
          <w:szCs w:val="20"/>
          <w:lang w:eastAsia="sl-SI"/>
        </w:rPr>
      </w:pPr>
      <w:r>
        <w:rPr>
          <w:szCs w:val="20"/>
          <w:lang w:eastAsia="sl-SI"/>
        </w:rPr>
        <w:t>Inšpekcijski organ je dne 11. 9. 2025 na MVZI poslal elektronsko sporočilo, da p</w:t>
      </w:r>
      <w:r w:rsidRPr="001F5308">
        <w:rPr>
          <w:szCs w:val="20"/>
          <w:lang w:eastAsia="sl-SI"/>
        </w:rPr>
        <w:t>ojasni in</w:t>
      </w:r>
      <w:r>
        <w:rPr>
          <w:szCs w:val="20"/>
          <w:lang w:eastAsia="sl-SI"/>
        </w:rPr>
        <w:t xml:space="preserve"> predloži </w:t>
      </w:r>
      <w:r w:rsidRPr="001F5308">
        <w:rPr>
          <w:szCs w:val="20"/>
          <w:lang w:eastAsia="sl-SI"/>
        </w:rPr>
        <w:t xml:space="preserve">pripadajoče </w:t>
      </w:r>
      <w:r>
        <w:rPr>
          <w:szCs w:val="20"/>
          <w:lang w:eastAsia="sl-SI"/>
        </w:rPr>
        <w:t>k</w:t>
      </w:r>
      <w:r w:rsidRPr="001F5308">
        <w:rPr>
          <w:szCs w:val="20"/>
          <w:lang w:eastAsia="sl-SI"/>
        </w:rPr>
        <w:t>njigovodske listine za naslednje postavke:</w:t>
      </w:r>
    </w:p>
    <w:p w14:paraId="1F8703F1" w14:textId="77777777" w:rsidR="00015CD3" w:rsidRPr="001F5308" w:rsidRDefault="00015CD3" w:rsidP="00CC4762">
      <w:pPr>
        <w:rPr>
          <w:szCs w:val="20"/>
          <w:lang w:eastAsia="sl-SI"/>
        </w:rPr>
      </w:pPr>
    </w:p>
    <w:p w14:paraId="19AEF0F2" w14:textId="5DD1A868" w:rsidR="00015CD3" w:rsidRPr="001F5308" w:rsidRDefault="00015CD3" w:rsidP="00356195">
      <w:pPr>
        <w:numPr>
          <w:ilvl w:val="0"/>
          <w:numId w:val="10"/>
        </w:numPr>
        <w:jc w:val="both"/>
        <w:rPr>
          <w:szCs w:val="20"/>
          <w:lang w:eastAsia="sl-SI"/>
        </w:rPr>
      </w:pPr>
      <w:r w:rsidRPr="001F5308">
        <w:rPr>
          <w:szCs w:val="20"/>
          <w:lang w:eastAsia="sl-SI"/>
        </w:rPr>
        <w:t xml:space="preserve">1.3.5.4. –  Stroški IT storitev v višini 18.064,59 </w:t>
      </w:r>
      <w:r w:rsidR="004851D6" w:rsidRPr="001F5308">
        <w:rPr>
          <w:szCs w:val="20"/>
          <w:lang w:eastAsia="sl-SI"/>
        </w:rPr>
        <w:t>EUR</w:t>
      </w:r>
      <w:r w:rsidRPr="001F5308">
        <w:rPr>
          <w:szCs w:val="20"/>
          <w:lang w:eastAsia="sl-SI"/>
        </w:rPr>
        <w:t>,</w:t>
      </w:r>
    </w:p>
    <w:p w14:paraId="675E36D3" w14:textId="7A8D2178" w:rsidR="00015CD3" w:rsidRPr="001F5308" w:rsidRDefault="00015CD3" w:rsidP="00356195">
      <w:pPr>
        <w:numPr>
          <w:ilvl w:val="0"/>
          <w:numId w:val="10"/>
        </w:numPr>
        <w:jc w:val="both"/>
        <w:rPr>
          <w:szCs w:val="20"/>
          <w:lang w:eastAsia="sl-SI"/>
        </w:rPr>
      </w:pPr>
      <w:r w:rsidRPr="001F5308">
        <w:rPr>
          <w:szCs w:val="20"/>
          <w:lang w:eastAsia="sl-SI"/>
        </w:rPr>
        <w:t xml:space="preserve">1.3.5.6. – Stroški računovodstva v višini 16.775,00 </w:t>
      </w:r>
      <w:r w:rsidR="004851D6" w:rsidRPr="001F5308">
        <w:rPr>
          <w:szCs w:val="20"/>
          <w:lang w:eastAsia="sl-SI"/>
        </w:rPr>
        <w:t>EUR</w:t>
      </w:r>
      <w:r w:rsidRPr="001F5308">
        <w:rPr>
          <w:szCs w:val="20"/>
          <w:lang w:eastAsia="sl-SI"/>
        </w:rPr>
        <w:t>,</w:t>
      </w:r>
    </w:p>
    <w:p w14:paraId="246A1E5C" w14:textId="57F7C5EF" w:rsidR="00015CD3" w:rsidRPr="001F5308" w:rsidRDefault="00015CD3" w:rsidP="00356195">
      <w:pPr>
        <w:numPr>
          <w:ilvl w:val="0"/>
          <w:numId w:val="10"/>
        </w:numPr>
        <w:jc w:val="both"/>
        <w:rPr>
          <w:szCs w:val="20"/>
          <w:lang w:eastAsia="sl-SI"/>
        </w:rPr>
      </w:pPr>
      <w:r w:rsidRPr="001F5308">
        <w:rPr>
          <w:szCs w:val="20"/>
          <w:lang w:eastAsia="sl-SI"/>
        </w:rPr>
        <w:t xml:space="preserve">1.3.6. – Stroški na službenem potovanju v višini 7.534,53 </w:t>
      </w:r>
      <w:r w:rsidR="004851D6" w:rsidRPr="001F5308">
        <w:rPr>
          <w:szCs w:val="20"/>
          <w:lang w:eastAsia="sl-SI"/>
        </w:rPr>
        <w:t>EUR</w:t>
      </w:r>
      <w:r w:rsidRPr="001F5308">
        <w:rPr>
          <w:szCs w:val="20"/>
          <w:lang w:eastAsia="sl-SI"/>
        </w:rPr>
        <w:t>,</w:t>
      </w:r>
    </w:p>
    <w:p w14:paraId="161B83DE" w14:textId="1819B904" w:rsidR="00015CD3" w:rsidRPr="001F5308" w:rsidRDefault="00015CD3" w:rsidP="00356195">
      <w:pPr>
        <w:numPr>
          <w:ilvl w:val="0"/>
          <w:numId w:val="10"/>
        </w:numPr>
        <w:jc w:val="both"/>
        <w:rPr>
          <w:szCs w:val="20"/>
          <w:lang w:eastAsia="sl-SI"/>
        </w:rPr>
      </w:pPr>
      <w:r w:rsidRPr="001F5308">
        <w:rPr>
          <w:szCs w:val="20"/>
          <w:lang w:eastAsia="sl-SI"/>
        </w:rPr>
        <w:t xml:space="preserve">1.3.7.2. – Stroški </w:t>
      </w:r>
      <w:proofErr w:type="spellStart"/>
      <w:r w:rsidRPr="001F5308">
        <w:rPr>
          <w:szCs w:val="20"/>
          <w:lang w:eastAsia="sl-SI"/>
        </w:rPr>
        <w:t>podjemnih</w:t>
      </w:r>
      <w:proofErr w:type="spellEnd"/>
      <w:r w:rsidRPr="001F5308">
        <w:rPr>
          <w:szCs w:val="20"/>
          <w:lang w:eastAsia="sl-SI"/>
        </w:rPr>
        <w:t xml:space="preserve"> pogodb v višini 24.929,26 </w:t>
      </w:r>
      <w:r w:rsidR="004851D6" w:rsidRPr="001F5308">
        <w:rPr>
          <w:szCs w:val="20"/>
          <w:lang w:eastAsia="sl-SI"/>
        </w:rPr>
        <w:t>EUR</w:t>
      </w:r>
      <w:r w:rsidRPr="001F5308">
        <w:rPr>
          <w:szCs w:val="20"/>
          <w:lang w:eastAsia="sl-SI"/>
        </w:rPr>
        <w:t>,</w:t>
      </w:r>
    </w:p>
    <w:p w14:paraId="389EAA53" w14:textId="41B40F2E" w:rsidR="00015CD3" w:rsidRPr="001F5308" w:rsidRDefault="00015CD3" w:rsidP="00356195">
      <w:pPr>
        <w:numPr>
          <w:ilvl w:val="0"/>
          <w:numId w:val="10"/>
        </w:numPr>
        <w:jc w:val="both"/>
        <w:rPr>
          <w:szCs w:val="20"/>
          <w:lang w:eastAsia="sl-SI"/>
        </w:rPr>
      </w:pPr>
      <w:r w:rsidRPr="001F5308">
        <w:rPr>
          <w:szCs w:val="20"/>
          <w:lang w:eastAsia="sl-SI"/>
        </w:rPr>
        <w:t>1.3.8.3. – Stroški propagande, reklame, promocije</w:t>
      </w:r>
      <w:r w:rsidR="003F231B">
        <w:rPr>
          <w:szCs w:val="20"/>
          <w:lang w:eastAsia="sl-SI"/>
        </w:rPr>
        <w:t xml:space="preserve"> višini 9.172,54 EUR</w:t>
      </w:r>
      <w:r w:rsidRPr="001F5308">
        <w:rPr>
          <w:szCs w:val="20"/>
          <w:lang w:eastAsia="sl-SI"/>
        </w:rPr>
        <w:t xml:space="preserve"> in</w:t>
      </w:r>
    </w:p>
    <w:p w14:paraId="39F9015A" w14:textId="11AF04DA" w:rsidR="00015CD3" w:rsidRDefault="00015CD3" w:rsidP="00356195">
      <w:pPr>
        <w:numPr>
          <w:ilvl w:val="0"/>
          <w:numId w:val="10"/>
        </w:numPr>
        <w:jc w:val="both"/>
        <w:rPr>
          <w:szCs w:val="20"/>
          <w:lang w:eastAsia="sl-SI"/>
        </w:rPr>
      </w:pPr>
      <w:r w:rsidRPr="001F5308">
        <w:rPr>
          <w:szCs w:val="20"/>
          <w:lang w:eastAsia="sl-SI"/>
        </w:rPr>
        <w:t>1.3.8.9. – Stroški reprezentance</w:t>
      </w:r>
      <w:r w:rsidR="003F231B" w:rsidRPr="003F231B">
        <w:rPr>
          <w:szCs w:val="20"/>
          <w:lang w:eastAsia="sl-SI"/>
        </w:rPr>
        <w:t xml:space="preserve"> </w:t>
      </w:r>
      <w:r w:rsidR="003F231B" w:rsidRPr="001F5308">
        <w:rPr>
          <w:szCs w:val="20"/>
          <w:lang w:eastAsia="sl-SI"/>
        </w:rPr>
        <w:t xml:space="preserve">v višini 2.266,55 </w:t>
      </w:r>
      <w:r w:rsidR="004851D6" w:rsidRPr="001F5308">
        <w:rPr>
          <w:szCs w:val="20"/>
          <w:lang w:eastAsia="sl-SI"/>
        </w:rPr>
        <w:t>EUR</w:t>
      </w:r>
      <w:r w:rsidRPr="001F5308">
        <w:rPr>
          <w:szCs w:val="20"/>
          <w:lang w:eastAsia="sl-SI"/>
        </w:rPr>
        <w:t>.</w:t>
      </w:r>
    </w:p>
    <w:p w14:paraId="20B5B350" w14:textId="77777777" w:rsidR="00015CD3" w:rsidRDefault="00015CD3" w:rsidP="00CC4762">
      <w:pPr>
        <w:jc w:val="both"/>
        <w:rPr>
          <w:szCs w:val="20"/>
          <w:lang w:eastAsia="sl-SI"/>
        </w:rPr>
      </w:pPr>
    </w:p>
    <w:p w14:paraId="7924D956" w14:textId="4101EB4C" w:rsidR="006A22C8" w:rsidRDefault="00E86959" w:rsidP="00015CD3">
      <w:pPr>
        <w:jc w:val="both"/>
        <w:rPr>
          <w:szCs w:val="20"/>
          <w:lang w:eastAsia="sl-SI"/>
        </w:rPr>
      </w:pPr>
      <w:r w:rsidRPr="00E86959">
        <w:rPr>
          <w:szCs w:val="20"/>
          <w:lang w:eastAsia="sl-SI"/>
        </w:rPr>
        <w:t>Inšpekcijski organ je pri vsaki izbrani vrsti stroškov pregledal deset faktur z najvišjimi zneski.</w:t>
      </w:r>
    </w:p>
    <w:p w14:paraId="2ABDA571" w14:textId="77777777" w:rsidR="000C17EA" w:rsidRDefault="000C17EA" w:rsidP="00015CD3">
      <w:pPr>
        <w:jc w:val="both"/>
        <w:rPr>
          <w:szCs w:val="20"/>
          <w:lang w:eastAsia="sl-SI"/>
        </w:rPr>
      </w:pPr>
    </w:p>
    <w:p w14:paraId="363012DF" w14:textId="60DA634D" w:rsidR="00DD7B04" w:rsidRDefault="00DD7B04" w:rsidP="006A22C8">
      <w:pPr>
        <w:jc w:val="both"/>
        <w:rPr>
          <w:szCs w:val="20"/>
          <w:u w:val="single"/>
          <w:lang w:eastAsia="sl-SI"/>
        </w:rPr>
      </w:pPr>
      <w:r>
        <w:rPr>
          <w:szCs w:val="20"/>
          <w:u w:val="single"/>
          <w:lang w:eastAsia="sl-SI"/>
        </w:rPr>
        <w:t>Stroški IT storitev</w:t>
      </w:r>
    </w:p>
    <w:p w14:paraId="37FD9A32" w14:textId="77777777" w:rsidR="00772D48" w:rsidRDefault="00772D48" w:rsidP="006A22C8">
      <w:pPr>
        <w:jc w:val="both"/>
        <w:rPr>
          <w:szCs w:val="20"/>
          <w:u w:val="single"/>
          <w:lang w:eastAsia="sl-SI"/>
        </w:rPr>
      </w:pPr>
    </w:p>
    <w:p w14:paraId="4D505264" w14:textId="15A3E5B9" w:rsidR="003D4154" w:rsidRDefault="003D4154" w:rsidP="003D4154">
      <w:pPr>
        <w:jc w:val="both"/>
        <w:rPr>
          <w:szCs w:val="20"/>
          <w:lang w:eastAsia="sl-SI"/>
        </w:rPr>
      </w:pPr>
      <w:r w:rsidRPr="003D4154">
        <w:rPr>
          <w:szCs w:val="20"/>
          <w:lang w:eastAsia="sl-SI"/>
        </w:rPr>
        <w:t xml:space="preserve">Med stroški IT storitev prevladujejo računi </w:t>
      </w:r>
      <w:r>
        <w:rPr>
          <w:szCs w:val="20"/>
          <w:lang w:eastAsia="sl-SI"/>
        </w:rPr>
        <w:t>samostojnega podjetnika</w:t>
      </w:r>
      <w:r w:rsidRPr="003D4154">
        <w:rPr>
          <w:szCs w:val="20"/>
          <w:lang w:eastAsia="sl-SI"/>
        </w:rPr>
        <w:t xml:space="preserve">, </w:t>
      </w:r>
      <w:r>
        <w:rPr>
          <w:szCs w:val="20"/>
          <w:lang w:eastAsia="sl-SI"/>
        </w:rPr>
        <w:t xml:space="preserve">ki so </w:t>
      </w:r>
      <w:r w:rsidRPr="003D4154">
        <w:rPr>
          <w:szCs w:val="20"/>
          <w:lang w:eastAsia="sl-SI"/>
        </w:rPr>
        <w:t>izdani mesečno z navedbo storitve »delo po pogodbi«. Vrednost prvega računa za obdobje od 1. 4. 2024 do 30. 4. 2024 znaša 1.197,70 EUR, vrednost vseh naslednjih mesečnih računov pa 1.000,00 EUR. Na zahtevo inšpekcijskega organa je MVZI predložil tudi Pogodbo o poslovnem sodelovanju z dne 2. 4. 2024, sklenjeno med samostojnim podjetnikom in EMUNI, ki opredeljuje obseg in vsebino storitev, obračunanih pavšalno in mesečno, v povprečnem obsegu 25 ur mesečno. Storitve zajemajo vzdrževanje spletnih strani, strojne opreme in omrežja, grafično oblikovanje, digitalni marketing, video produkcijo, naročanje in dostavo tiskovin, tehnično in poslovno podporo zaposlenim ter organom univerze ter izvajanje izobraževalnih aktivnosti.</w:t>
      </w:r>
    </w:p>
    <w:p w14:paraId="6063FA4A" w14:textId="77777777" w:rsidR="003D4154" w:rsidRPr="003D4154" w:rsidRDefault="003D4154" w:rsidP="003D4154">
      <w:pPr>
        <w:jc w:val="both"/>
        <w:rPr>
          <w:szCs w:val="20"/>
          <w:lang w:eastAsia="sl-SI"/>
        </w:rPr>
      </w:pPr>
    </w:p>
    <w:p w14:paraId="1D75B12E" w14:textId="2D476431" w:rsidR="003D4154" w:rsidRDefault="003D4154" w:rsidP="003D4154">
      <w:pPr>
        <w:jc w:val="both"/>
        <w:rPr>
          <w:szCs w:val="20"/>
          <w:lang w:eastAsia="sl-SI"/>
        </w:rPr>
      </w:pPr>
      <w:r w:rsidRPr="003D4154">
        <w:rPr>
          <w:szCs w:val="20"/>
          <w:lang w:eastAsia="sl-SI"/>
        </w:rPr>
        <w:t xml:space="preserve">MVZI je </w:t>
      </w:r>
      <w:r w:rsidR="009218FD">
        <w:rPr>
          <w:szCs w:val="20"/>
          <w:lang w:eastAsia="sl-SI"/>
        </w:rPr>
        <w:t>pojasnil</w:t>
      </w:r>
      <w:r w:rsidRPr="003D4154">
        <w:rPr>
          <w:szCs w:val="20"/>
          <w:lang w:eastAsia="sl-SI"/>
        </w:rPr>
        <w:t xml:space="preserve">, da je izvajalec </w:t>
      </w:r>
      <w:r w:rsidR="007E247D">
        <w:rPr>
          <w:szCs w:val="20"/>
          <w:lang w:eastAsia="sl-SI"/>
        </w:rPr>
        <w:t xml:space="preserve">EMUNI </w:t>
      </w:r>
      <w:r w:rsidRPr="003D4154">
        <w:rPr>
          <w:szCs w:val="20"/>
          <w:lang w:eastAsia="sl-SI"/>
        </w:rPr>
        <w:t xml:space="preserve">univerzi nudil IT podporo več kot desetletje, tudi po zaključku redne zaposlitve. Zaradi povečanega obsega dela po prevzemu predsedstva </w:t>
      </w:r>
      <w:r w:rsidR="00AB2ED7" w:rsidRPr="00AB2ED7">
        <w:rPr>
          <w:rFonts w:cs="Arial"/>
          <w:szCs w:val="20"/>
          <w:lang w:eastAsia="sl-SI"/>
        </w:rPr>
        <w:t>█</w:t>
      </w:r>
      <w:r w:rsidRPr="003D4154">
        <w:rPr>
          <w:szCs w:val="20"/>
          <w:lang w:eastAsia="sl-SI"/>
        </w:rPr>
        <w:t xml:space="preserve"> je bil izvajalec dodatno angažiran za stalno tehnično podporo. Junija 2025 je </w:t>
      </w:r>
      <w:r w:rsidR="007E247D">
        <w:rPr>
          <w:szCs w:val="20"/>
          <w:lang w:eastAsia="sl-SI"/>
        </w:rPr>
        <w:t>EMUNI</w:t>
      </w:r>
      <w:r w:rsidRPr="003D4154">
        <w:rPr>
          <w:szCs w:val="20"/>
          <w:lang w:eastAsia="sl-SI"/>
        </w:rPr>
        <w:t xml:space="preserve"> zaposlila novega IT sodelavca s polovičnim delovnim časom, ki bo od oktobra zaposlen v celotnem obsegu, s čimer </w:t>
      </w:r>
      <w:r w:rsidR="00E56868">
        <w:rPr>
          <w:szCs w:val="20"/>
          <w:lang w:eastAsia="sl-SI"/>
        </w:rPr>
        <w:t>naj bi bilo</w:t>
      </w:r>
      <w:r w:rsidRPr="003D4154">
        <w:rPr>
          <w:szCs w:val="20"/>
          <w:lang w:eastAsia="sl-SI"/>
        </w:rPr>
        <w:t xml:space="preserve"> sodelovanje z dosedanjim izvajalcem zaključeno.</w:t>
      </w:r>
    </w:p>
    <w:p w14:paraId="04CB420A" w14:textId="77777777" w:rsidR="003D4154" w:rsidRPr="003D4154" w:rsidRDefault="003D4154" w:rsidP="003D4154">
      <w:pPr>
        <w:jc w:val="both"/>
        <w:rPr>
          <w:szCs w:val="20"/>
          <w:lang w:eastAsia="sl-SI"/>
        </w:rPr>
      </w:pPr>
    </w:p>
    <w:p w14:paraId="73A87DCB" w14:textId="7F5D65E0" w:rsidR="001D1090" w:rsidRDefault="003A3155" w:rsidP="006A22C8">
      <w:pPr>
        <w:jc w:val="both"/>
        <w:rPr>
          <w:szCs w:val="20"/>
          <w:lang w:eastAsia="sl-SI"/>
        </w:rPr>
      </w:pPr>
      <w:r w:rsidRPr="003A3155">
        <w:rPr>
          <w:szCs w:val="20"/>
          <w:lang w:eastAsia="sl-SI"/>
        </w:rPr>
        <w:t>EMUNI je predložil tudi račune drugih izdajateljev za opravljene informacijsko-tehnološke storitve. Med njimi je račun v znesku 2.464,00 EUR za vzpostavitev sistema VIS, izdan na podlagi Pogodbe o prodaji in vzpostavitvi programskega paketa VIS z dne 29. 4. 2024. Predloženi so bili tudi mesečni računi za vzdrževanje in nadgradnje programske opreme VIS</w:t>
      </w:r>
      <w:r w:rsidR="005E5A14">
        <w:rPr>
          <w:szCs w:val="20"/>
          <w:lang w:eastAsia="sl-SI"/>
        </w:rPr>
        <w:t>,</w:t>
      </w:r>
      <w:r w:rsidRPr="003A3155">
        <w:rPr>
          <w:szCs w:val="20"/>
          <w:lang w:eastAsia="sl-SI"/>
        </w:rPr>
        <w:t xml:space="preserve"> mesečni računi za nadgradnjo strežnika VPS IJEMS</w:t>
      </w:r>
      <w:r w:rsidR="005E5A14">
        <w:rPr>
          <w:szCs w:val="20"/>
          <w:lang w:eastAsia="sl-SI"/>
        </w:rPr>
        <w:t xml:space="preserve"> itd.</w:t>
      </w:r>
      <w:r>
        <w:rPr>
          <w:szCs w:val="20"/>
          <w:lang w:eastAsia="sl-SI"/>
        </w:rPr>
        <w:t>.</w:t>
      </w:r>
    </w:p>
    <w:p w14:paraId="5BC7AB5E" w14:textId="77777777" w:rsidR="008B2D67" w:rsidRDefault="008B2D67" w:rsidP="006A22C8">
      <w:pPr>
        <w:jc w:val="both"/>
        <w:rPr>
          <w:szCs w:val="20"/>
          <w:lang w:eastAsia="sl-SI"/>
        </w:rPr>
      </w:pPr>
    </w:p>
    <w:p w14:paraId="3D487165" w14:textId="1C7E033C" w:rsidR="000E4488" w:rsidRPr="000E4488" w:rsidRDefault="000E4488" w:rsidP="006A22C8">
      <w:pPr>
        <w:jc w:val="both"/>
        <w:rPr>
          <w:szCs w:val="20"/>
          <w:u w:val="single"/>
          <w:lang w:eastAsia="sl-SI"/>
        </w:rPr>
      </w:pPr>
      <w:r w:rsidRPr="000E4488">
        <w:rPr>
          <w:szCs w:val="20"/>
          <w:u w:val="single"/>
          <w:lang w:eastAsia="sl-SI"/>
        </w:rPr>
        <w:lastRenderedPageBreak/>
        <w:t>Stroški računovodstva</w:t>
      </w:r>
    </w:p>
    <w:p w14:paraId="51FAEDD9" w14:textId="77777777" w:rsidR="000E4488" w:rsidRDefault="000E4488" w:rsidP="006A22C8">
      <w:pPr>
        <w:jc w:val="both"/>
        <w:rPr>
          <w:szCs w:val="20"/>
          <w:lang w:eastAsia="sl-SI"/>
        </w:rPr>
      </w:pPr>
    </w:p>
    <w:p w14:paraId="26F7C5A7" w14:textId="3E2AC2C5" w:rsidR="000E4488" w:rsidRDefault="000E4488" w:rsidP="006A22C8">
      <w:pPr>
        <w:jc w:val="both"/>
        <w:rPr>
          <w:szCs w:val="20"/>
          <w:lang w:eastAsia="sl-SI"/>
        </w:rPr>
      </w:pPr>
      <w:r>
        <w:rPr>
          <w:szCs w:val="20"/>
          <w:lang w:eastAsia="sl-SI"/>
        </w:rPr>
        <w:t>MVZI je v zvezi s temi stroški predložil prejet račun</w:t>
      </w:r>
      <w:r w:rsidR="00CB7CF7">
        <w:rPr>
          <w:szCs w:val="20"/>
          <w:lang w:eastAsia="sl-SI"/>
        </w:rPr>
        <w:t xml:space="preserve"> v znesku </w:t>
      </w:r>
      <w:r w:rsidR="007618DB">
        <w:rPr>
          <w:szCs w:val="20"/>
          <w:lang w:eastAsia="sl-SI"/>
        </w:rPr>
        <w:t>4.880,00 EUR</w:t>
      </w:r>
      <w:r>
        <w:rPr>
          <w:szCs w:val="20"/>
          <w:lang w:eastAsia="sl-SI"/>
        </w:rPr>
        <w:t xml:space="preserve"> za opravljene storitve v skladu z 2. členom Pogodbe o skrbnem pregledu poslovanja EMUNI v letu 2023 in v prvem četrtletju leta 2024 z dne 11. 7. 2024.</w:t>
      </w:r>
    </w:p>
    <w:p w14:paraId="4DCD301C" w14:textId="77777777" w:rsidR="000E4488" w:rsidRDefault="000E4488" w:rsidP="006A22C8">
      <w:pPr>
        <w:jc w:val="both"/>
        <w:rPr>
          <w:szCs w:val="20"/>
          <w:lang w:eastAsia="sl-SI"/>
        </w:rPr>
      </w:pPr>
    </w:p>
    <w:p w14:paraId="5D8B0E7D" w14:textId="1DA7A465" w:rsidR="000E4488" w:rsidRDefault="000E4488" w:rsidP="006A22C8">
      <w:pPr>
        <w:jc w:val="both"/>
        <w:rPr>
          <w:szCs w:val="20"/>
          <w:lang w:eastAsia="sl-SI"/>
        </w:rPr>
      </w:pPr>
      <w:r>
        <w:rPr>
          <w:szCs w:val="20"/>
          <w:lang w:eastAsia="sl-SI"/>
        </w:rPr>
        <w:t xml:space="preserve">Ostali prejeti računi so računi izdajatelja </w:t>
      </w:r>
      <w:r w:rsidR="003D4154">
        <w:rPr>
          <w:szCs w:val="20"/>
          <w:lang w:eastAsia="sl-SI"/>
        </w:rPr>
        <w:t>računovodskega podjetja, ki so izdani mesečno.</w:t>
      </w:r>
    </w:p>
    <w:p w14:paraId="2280BA61" w14:textId="77777777" w:rsidR="003F0164" w:rsidRDefault="003F0164" w:rsidP="006A22C8">
      <w:pPr>
        <w:jc w:val="both"/>
        <w:rPr>
          <w:szCs w:val="20"/>
          <w:u w:val="single"/>
          <w:lang w:eastAsia="sl-SI"/>
        </w:rPr>
      </w:pPr>
    </w:p>
    <w:p w14:paraId="7964B2E0" w14:textId="1AC4A81A" w:rsidR="00CC4762" w:rsidRPr="00CC4762" w:rsidRDefault="00CC4762" w:rsidP="006A22C8">
      <w:pPr>
        <w:jc w:val="both"/>
        <w:rPr>
          <w:szCs w:val="20"/>
          <w:u w:val="single"/>
          <w:lang w:eastAsia="sl-SI"/>
        </w:rPr>
      </w:pPr>
      <w:r w:rsidRPr="00CC4762">
        <w:rPr>
          <w:szCs w:val="20"/>
          <w:u w:val="single"/>
          <w:lang w:eastAsia="sl-SI"/>
        </w:rPr>
        <w:t>Stroški na službenem potovanju</w:t>
      </w:r>
    </w:p>
    <w:p w14:paraId="2939B4F7" w14:textId="77777777" w:rsidR="00CC4762" w:rsidRDefault="00CC4762" w:rsidP="006A22C8">
      <w:pPr>
        <w:jc w:val="both"/>
        <w:rPr>
          <w:szCs w:val="20"/>
          <w:lang w:eastAsia="sl-SI"/>
        </w:rPr>
      </w:pPr>
    </w:p>
    <w:p w14:paraId="0FB1CD91" w14:textId="1B88E087" w:rsidR="003F0164" w:rsidRDefault="003F0164" w:rsidP="003F0164">
      <w:pPr>
        <w:jc w:val="both"/>
        <w:rPr>
          <w:szCs w:val="20"/>
          <w:lang w:eastAsia="sl-SI"/>
        </w:rPr>
      </w:pPr>
      <w:r w:rsidRPr="003F0164">
        <w:rPr>
          <w:szCs w:val="20"/>
          <w:lang w:eastAsia="sl-SI"/>
        </w:rPr>
        <w:t xml:space="preserve">V zvezi z izvedbo službenih poti </w:t>
      </w:r>
      <w:r w:rsidR="007E247D">
        <w:rPr>
          <w:szCs w:val="20"/>
          <w:lang w:eastAsia="sl-SI"/>
        </w:rPr>
        <w:t>je</w:t>
      </w:r>
      <w:r w:rsidRPr="003F0164">
        <w:rPr>
          <w:szCs w:val="20"/>
          <w:lang w:eastAsia="sl-SI"/>
        </w:rPr>
        <w:t xml:space="preserve"> bil</w:t>
      </w:r>
      <w:r w:rsidR="007E247D">
        <w:rPr>
          <w:szCs w:val="20"/>
          <w:lang w:eastAsia="sl-SI"/>
        </w:rPr>
        <w:t>a</w:t>
      </w:r>
      <w:r w:rsidRPr="003F0164">
        <w:rPr>
          <w:szCs w:val="20"/>
          <w:lang w:eastAsia="sl-SI"/>
        </w:rPr>
        <w:t xml:space="preserve"> predložen</w:t>
      </w:r>
      <w:r w:rsidR="007E247D">
        <w:rPr>
          <w:szCs w:val="20"/>
          <w:lang w:eastAsia="sl-SI"/>
        </w:rPr>
        <w:t>a</w:t>
      </w:r>
      <w:r w:rsidRPr="003F0164">
        <w:rPr>
          <w:szCs w:val="20"/>
          <w:lang w:eastAsia="sl-SI"/>
        </w:rPr>
        <w:t xml:space="preserve"> ustrezn</w:t>
      </w:r>
      <w:r w:rsidR="007E247D">
        <w:rPr>
          <w:szCs w:val="20"/>
          <w:lang w:eastAsia="sl-SI"/>
        </w:rPr>
        <w:t>a</w:t>
      </w:r>
      <w:r w:rsidRPr="003F0164">
        <w:rPr>
          <w:szCs w:val="20"/>
          <w:lang w:eastAsia="sl-SI"/>
        </w:rPr>
        <w:t xml:space="preserve"> dokumentacij</w:t>
      </w:r>
      <w:r w:rsidR="007E247D">
        <w:rPr>
          <w:szCs w:val="20"/>
          <w:lang w:eastAsia="sl-SI"/>
        </w:rPr>
        <w:t>a</w:t>
      </w:r>
      <w:r w:rsidRPr="003F0164">
        <w:rPr>
          <w:szCs w:val="20"/>
          <w:lang w:eastAsia="sl-SI"/>
        </w:rPr>
        <w:t xml:space="preserve">, vključno s poročili o službenih poteh, potnimi nalogi, računi za letalske prevoze, nastanitve in druge prevoze. Inšpekcijski organ je dne 23. 9. 2025 MVZI </w:t>
      </w:r>
      <w:r w:rsidR="00CB7CF7">
        <w:rPr>
          <w:szCs w:val="20"/>
          <w:lang w:eastAsia="sl-SI"/>
        </w:rPr>
        <w:t>zaprosil</w:t>
      </w:r>
      <w:r w:rsidRPr="003F0164">
        <w:rPr>
          <w:szCs w:val="20"/>
          <w:lang w:eastAsia="sl-SI"/>
        </w:rPr>
        <w:t xml:space="preserve"> za dodatno dokumentacijo, ki bi dokazovala službeni namen potovanj, kot so npr. vabila na sestanke, konference ali seminarje, zapisniki sestankov, e-poštna korespondenca, pogodbe, ponudbe ali drugi poslovni dokumenti, povezani s potovanji.</w:t>
      </w:r>
    </w:p>
    <w:p w14:paraId="1B6FF56C" w14:textId="77777777" w:rsidR="003F0164" w:rsidRPr="003F0164" w:rsidRDefault="003F0164" w:rsidP="003F0164">
      <w:pPr>
        <w:jc w:val="both"/>
        <w:rPr>
          <w:szCs w:val="20"/>
          <w:lang w:eastAsia="sl-SI"/>
        </w:rPr>
      </w:pPr>
    </w:p>
    <w:p w14:paraId="3327F76A" w14:textId="6BC2404C" w:rsidR="003F0164" w:rsidRDefault="003F0164" w:rsidP="003F0164">
      <w:pPr>
        <w:jc w:val="both"/>
        <w:rPr>
          <w:szCs w:val="20"/>
          <w:lang w:eastAsia="sl-SI"/>
        </w:rPr>
      </w:pPr>
      <w:r w:rsidRPr="003F0164">
        <w:rPr>
          <w:szCs w:val="20"/>
          <w:lang w:eastAsia="sl-SI"/>
        </w:rPr>
        <w:t>MVZI je dne 24. 9. 2025 posredoval dodatne informacije in dokumente, ki potrjujejo, da so bile potovanja izvedena v okviru službenih nalog, vključno z udeležbo na sestankih, konferencah, seminarjih in drugih strokovnih dogodkih.</w:t>
      </w:r>
    </w:p>
    <w:p w14:paraId="40197F54" w14:textId="77777777" w:rsidR="003F0164" w:rsidRPr="003F0164" w:rsidRDefault="003F0164" w:rsidP="003F0164">
      <w:pPr>
        <w:jc w:val="both"/>
        <w:rPr>
          <w:szCs w:val="20"/>
          <w:lang w:eastAsia="sl-SI"/>
        </w:rPr>
      </w:pPr>
    </w:p>
    <w:p w14:paraId="1F4B6725" w14:textId="577CDF1C" w:rsidR="003F0164" w:rsidRPr="003F0164" w:rsidRDefault="003F0164" w:rsidP="003F0164">
      <w:pPr>
        <w:jc w:val="both"/>
        <w:rPr>
          <w:szCs w:val="20"/>
          <w:lang w:eastAsia="sl-SI"/>
        </w:rPr>
      </w:pPr>
      <w:r w:rsidRPr="003F0164">
        <w:rPr>
          <w:szCs w:val="20"/>
          <w:lang w:eastAsia="sl-SI"/>
        </w:rPr>
        <w:t xml:space="preserve">Inšpekcijski organ je pregledal predložene dokumente ter dodatno predložene informacije in </w:t>
      </w:r>
      <w:r w:rsidR="00CB7CF7">
        <w:rPr>
          <w:szCs w:val="20"/>
          <w:lang w:eastAsia="sl-SI"/>
        </w:rPr>
        <w:t xml:space="preserve">ni </w:t>
      </w:r>
      <w:r w:rsidRPr="003F0164">
        <w:rPr>
          <w:szCs w:val="20"/>
          <w:lang w:eastAsia="sl-SI"/>
        </w:rPr>
        <w:t>ugotovil</w:t>
      </w:r>
      <w:r w:rsidR="00CB7CF7">
        <w:rPr>
          <w:szCs w:val="20"/>
          <w:lang w:eastAsia="sl-SI"/>
        </w:rPr>
        <w:t xml:space="preserve"> nepravilnosti.</w:t>
      </w:r>
    </w:p>
    <w:p w14:paraId="068F20B9" w14:textId="77777777" w:rsidR="00AF3393" w:rsidRDefault="00AF3393" w:rsidP="006A22C8">
      <w:pPr>
        <w:jc w:val="both"/>
        <w:rPr>
          <w:szCs w:val="20"/>
          <w:lang w:eastAsia="sl-SI"/>
        </w:rPr>
      </w:pPr>
    </w:p>
    <w:p w14:paraId="1E6C2FDF" w14:textId="0118D59C" w:rsidR="00745C5E" w:rsidRPr="000E4488" w:rsidRDefault="000E4488" w:rsidP="006A22C8">
      <w:pPr>
        <w:jc w:val="both"/>
        <w:rPr>
          <w:szCs w:val="20"/>
          <w:u w:val="single"/>
          <w:lang w:eastAsia="sl-SI"/>
        </w:rPr>
      </w:pPr>
      <w:r w:rsidRPr="000E4488">
        <w:rPr>
          <w:szCs w:val="20"/>
          <w:u w:val="single"/>
          <w:lang w:eastAsia="sl-SI"/>
        </w:rPr>
        <w:t xml:space="preserve">Stroški </w:t>
      </w:r>
      <w:proofErr w:type="spellStart"/>
      <w:r w:rsidRPr="000E4488">
        <w:rPr>
          <w:szCs w:val="20"/>
          <w:u w:val="single"/>
          <w:lang w:eastAsia="sl-SI"/>
        </w:rPr>
        <w:t>podjemnih</w:t>
      </w:r>
      <w:proofErr w:type="spellEnd"/>
      <w:r w:rsidRPr="000E4488">
        <w:rPr>
          <w:szCs w:val="20"/>
          <w:u w:val="single"/>
          <w:lang w:eastAsia="sl-SI"/>
        </w:rPr>
        <w:t xml:space="preserve"> pogodb</w:t>
      </w:r>
    </w:p>
    <w:p w14:paraId="04ED58A5" w14:textId="66CADDD3" w:rsidR="006A22C8" w:rsidRDefault="006A22C8" w:rsidP="00015CD3">
      <w:pPr>
        <w:jc w:val="both"/>
        <w:rPr>
          <w:szCs w:val="20"/>
          <w:lang w:eastAsia="sl-SI"/>
        </w:rPr>
      </w:pPr>
    </w:p>
    <w:p w14:paraId="0C8C2B17" w14:textId="03C64A80" w:rsidR="0028559C" w:rsidRDefault="0028559C" w:rsidP="00015CD3">
      <w:pPr>
        <w:jc w:val="both"/>
        <w:rPr>
          <w:szCs w:val="20"/>
          <w:lang w:eastAsia="sl-SI"/>
        </w:rPr>
      </w:pPr>
      <w:r w:rsidRPr="0028559C">
        <w:rPr>
          <w:szCs w:val="20"/>
          <w:lang w:eastAsia="sl-SI"/>
        </w:rPr>
        <w:t xml:space="preserve">Prejeti računi, evidentirani med stroški </w:t>
      </w:r>
      <w:proofErr w:type="spellStart"/>
      <w:r w:rsidRPr="0028559C">
        <w:rPr>
          <w:szCs w:val="20"/>
          <w:lang w:eastAsia="sl-SI"/>
        </w:rPr>
        <w:t>podjemnih</w:t>
      </w:r>
      <w:proofErr w:type="spellEnd"/>
      <w:r w:rsidRPr="0028559C">
        <w:rPr>
          <w:szCs w:val="20"/>
          <w:lang w:eastAsia="sl-SI"/>
        </w:rPr>
        <w:t xml:space="preserve"> pogodb, so izdani s strani različnih samostojnih podjetnikov. Vsebina in zneski računov so naslednji: izvedba seminarja </w:t>
      </w:r>
      <w:r w:rsidRPr="0028559C">
        <w:rPr>
          <w:i/>
          <w:iCs/>
          <w:szCs w:val="20"/>
          <w:lang w:eastAsia="sl-SI"/>
        </w:rPr>
        <w:t xml:space="preserve">IBC </w:t>
      </w:r>
      <w:proofErr w:type="spellStart"/>
      <w:r w:rsidRPr="0028559C">
        <w:rPr>
          <w:i/>
          <w:iCs/>
          <w:szCs w:val="20"/>
          <w:lang w:eastAsia="sl-SI"/>
        </w:rPr>
        <w:t>students</w:t>
      </w:r>
      <w:proofErr w:type="spellEnd"/>
      <w:r w:rsidRPr="0028559C">
        <w:rPr>
          <w:i/>
          <w:iCs/>
          <w:szCs w:val="20"/>
          <w:lang w:eastAsia="sl-SI"/>
        </w:rPr>
        <w:t xml:space="preserve"> – RMSS in AWSBR</w:t>
      </w:r>
      <w:r w:rsidRPr="0028559C">
        <w:rPr>
          <w:szCs w:val="20"/>
          <w:lang w:eastAsia="sl-SI"/>
        </w:rPr>
        <w:t xml:space="preserve"> v znesku 1.056,00 EUR; poslovno in pravno svetovanje pri pripravi magistrskega študijskega programa </w:t>
      </w:r>
      <w:r w:rsidRPr="0028559C">
        <w:rPr>
          <w:i/>
          <w:iCs/>
          <w:szCs w:val="20"/>
          <w:lang w:eastAsia="sl-SI"/>
        </w:rPr>
        <w:t>Primerjalno poslovno pravo</w:t>
      </w:r>
      <w:r w:rsidRPr="0028559C">
        <w:rPr>
          <w:szCs w:val="20"/>
          <w:lang w:eastAsia="sl-SI"/>
        </w:rPr>
        <w:t xml:space="preserve"> v znesku 1.600,00 EUR; priprava magistrskega študijskega programa </w:t>
      </w:r>
      <w:r w:rsidRPr="0028559C">
        <w:rPr>
          <w:i/>
          <w:iCs/>
          <w:szCs w:val="20"/>
          <w:lang w:eastAsia="sl-SI"/>
        </w:rPr>
        <w:t>Digitalizacija in človekove pravice</w:t>
      </w:r>
      <w:r w:rsidRPr="0028559C">
        <w:rPr>
          <w:szCs w:val="20"/>
          <w:lang w:eastAsia="sl-SI"/>
        </w:rPr>
        <w:t xml:space="preserve"> v znesku 1.600,00 EUR; ter drugi vsebinsko sorodni računi.</w:t>
      </w:r>
    </w:p>
    <w:p w14:paraId="68DCCBAC" w14:textId="6924CC11" w:rsidR="003F0164" w:rsidRDefault="003F0164" w:rsidP="00015CD3">
      <w:pPr>
        <w:jc w:val="both"/>
        <w:rPr>
          <w:szCs w:val="20"/>
          <w:lang w:eastAsia="sl-SI"/>
        </w:rPr>
      </w:pPr>
    </w:p>
    <w:p w14:paraId="48E77EFF" w14:textId="2D38F95F" w:rsidR="00CC4762" w:rsidRDefault="00F003B3" w:rsidP="00015CD3">
      <w:pPr>
        <w:jc w:val="both"/>
        <w:rPr>
          <w:szCs w:val="20"/>
          <w:u w:val="single"/>
          <w:lang w:eastAsia="sl-SI"/>
        </w:rPr>
      </w:pPr>
      <w:r w:rsidRPr="00F003B3">
        <w:rPr>
          <w:szCs w:val="20"/>
          <w:u w:val="single"/>
          <w:lang w:eastAsia="sl-SI"/>
        </w:rPr>
        <w:t>Stroški propagande, reklame, promocije</w:t>
      </w:r>
    </w:p>
    <w:p w14:paraId="51ABEE88" w14:textId="77777777" w:rsidR="00F003B3" w:rsidRDefault="00F003B3" w:rsidP="00015CD3">
      <w:pPr>
        <w:jc w:val="both"/>
        <w:rPr>
          <w:szCs w:val="20"/>
          <w:u w:val="single"/>
          <w:lang w:eastAsia="sl-SI"/>
        </w:rPr>
      </w:pPr>
    </w:p>
    <w:p w14:paraId="055F5268" w14:textId="5C38EFB7" w:rsidR="00F003B3" w:rsidRPr="00F003B3" w:rsidRDefault="00F003B3" w:rsidP="00015CD3">
      <w:pPr>
        <w:jc w:val="both"/>
        <w:rPr>
          <w:szCs w:val="20"/>
          <w:lang w:eastAsia="sl-SI"/>
        </w:rPr>
      </w:pPr>
      <w:r w:rsidRPr="00F003B3">
        <w:rPr>
          <w:szCs w:val="20"/>
          <w:lang w:eastAsia="sl-SI"/>
        </w:rPr>
        <w:t xml:space="preserve">MVZI je </w:t>
      </w:r>
      <w:r w:rsidR="00F06DB2">
        <w:rPr>
          <w:szCs w:val="20"/>
          <w:lang w:eastAsia="sl-SI"/>
        </w:rPr>
        <w:t>inšpekcijskemu organu predložil prejete račune</w:t>
      </w:r>
      <w:r w:rsidR="003D4154">
        <w:rPr>
          <w:szCs w:val="20"/>
          <w:lang w:eastAsia="sl-SI"/>
        </w:rPr>
        <w:t xml:space="preserve"> z naslednjimi</w:t>
      </w:r>
      <w:r w:rsidR="003F231B">
        <w:rPr>
          <w:szCs w:val="20"/>
          <w:lang w:eastAsia="sl-SI"/>
        </w:rPr>
        <w:t xml:space="preserve"> vsebin</w:t>
      </w:r>
      <w:r w:rsidR="003D4154">
        <w:rPr>
          <w:szCs w:val="20"/>
          <w:lang w:eastAsia="sl-SI"/>
        </w:rPr>
        <w:t>ami in zneski</w:t>
      </w:r>
      <w:r w:rsidR="003F231B">
        <w:rPr>
          <w:szCs w:val="20"/>
          <w:lang w:eastAsia="sl-SI"/>
        </w:rPr>
        <w:t xml:space="preserve"> računa: Oglaševanje, TF Paket 2, Radio Robin, Radio Triglav… v višini 1.218,78 EUR, Paket Radio </w:t>
      </w:r>
      <w:proofErr w:type="spellStart"/>
      <w:r w:rsidR="003F231B">
        <w:rPr>
          <w:szCs w:val="20"/>
          <w:lang w:eastAsia="sl-SI"/>
        </w:rPr>
        <w:t>Capris</w:t>
      </w:r>
      <w:proofErr w:type="spellEnd"/>
      <w:r w:rsidR="003F231B">
        <w:rPr>
          <w:szCs w:val="20"/>
          <w:lang w:eastAsia="sl-SI"/>
        </w:rPr>
        <w:t xml:space="preserve">, </w:t>
      </w:r>
      <w:proofErr w:type="spellStart"/>
      <w:r w:rsidR="003F231B">
        <w:rPr>
          <w:szCs w:val="20"/>
          <w:lang w:eastAsia="sl-SI"/>
        </w:rPr>
        <w:t>Emuni</w:t>
      </w:r>
      <w:proofErr w:type="spellEnd"/>
      <w:r w:rsidR="003F231B">
        <w:rPr>
          <w:szCs w:val="20"/>
          <w:lang w:eastAsia="sl-SI"/>
        </w:rPr>
        <w:t xml:space="preserve"> univerza oglaševanja… v višini 610,00 EUR, Begin Edu Fair Istanbul, Begin Edu Fair </w:t>
      </w:r>
      <w:proofErr w:type="spellStart"/>
      <w:r w:rsidR="003F231B">
        <w:rPr>
          <w:szCs w:val="20"/>
          <w:lang w:eastAsia="sl-SI"/>
        </w:rPr>
        <w:t>Cairo</w:t>
      </w:r>
      <w:proofErr w:type="spellEnd"/>
      <w:r w:rsidR="003F231B">
        <w:rPr>
          <w:szCs w:val="20"/>
          <w:lang w:eastAsia="sl-SI"/>
        </w:rPr>
        <w:t xml:space="preserve">… v višini 3.534,00 EUR itd.. </w:t>
      </w:r>
    </w:p>
    <w:p w14:paraId="3ED49076" w14:textId="77777777" w:rsidR="00F003B3" w:rsidRDefault="00F003B3" w:rsidP="00015CD3">
      <w:pPr>
        <w:jc w:val="both"/>
        <w:rPr>
          <w:szCs w:val="20"/>
          <w:u w:val="single"/>
          <w:lang w:eastAsia="sl-SI"/>
        </w:rPr>
      </w:pPr>
    </w:p>
    <w:p w14:paraId="67FA688A" w14:textId="267513D9" w:rsidR="004851D6" w:rsidRDefault="004851D6" w:rsidP="00015CD3">
      <w:pPr>
        <w:jc w:val="both"/>
        <w:rPr>
          <w:szCs w:val="20"/>
          <w:u w:val="single"/>
          <w:lang w:eastAsia="sl-SI"/>
        </w:rPr>
      </w:pPr>
      <w:r w:rsidRPr="004851D6">
        <w:rPr>
          <w:szCs w:val="20"/>
          <w:u w:val="single"/>
          <w:lang w:eastAsia="sl-SI"/>
        </w:rPr>
        <w:t>Stroški reprezentance</w:t>
      </w:r>
    </w:p>
    <w:p w14:paraId="01A30A87" w14:textId="77777777" w:rsidR="004851D6" w:rsidRDefault="004851D6" w:rsidP="00015CD3">
      <w:pPr>
        <w:jc w:val="both"/>
        <w:rPr>
          <w:szCs w:val="20"/>
          <w:u w:val="single"/>
          <w:lang w:eastAsia="sl-SI"/>
        </w:rPr>
      </w:pPr>
    </w:p>
    <w:p w14:paraId="30C9D0C0" w14:textId="7FC60FF6" w:rsidR="00BC2322" w:rsidRDefault="0028559C" w:rsidP="003F0164">
      <w:pPr>
        <w:jc w:val="both"/>
        <w:rPr>
          <w:szCs w:val="20"/>
          <w:lang w:eastAsia="sl-SI"/>
        </w:rPr>
      </w:pPr>
      <w:r w:rsidRPr="0028559C">
        <w:rPr>
          <w:szCs w:val="20"/>
          <w:lang w:eastAsia="sl-SI"/>
        </w:rPr>
        <w:t>V okviru prejetih računov, evidentiranih med stroške reprezentance, so bili predloženi tudi računi trgovskih centrov ter gostinskih lokalov. Računi se nanašajo na porabljene gostinske storitve (npr. službena kosila) in druge oblike reprezentančnih izdatkov</w:t>
      </w:r>
      <w:r>
        <w:rPr>
          <w:szCs w:val="20"/>
          <w:lang w:eastAsia="sl-SI"/>
        </w:rPr>
        <w:t>.</w:t>
      </w:r>
    </w:p>
    <w:p w14:paraId="7BEB2565" w14:textId="77777777" w:rsidR="003A4DE6" w:rsidRDefault="003A4DE6" w:rsidP="003F0164">
      <w:pPr>
        <w:jc w:val="both"/>
        <w:rPr>
          <w:szCs w:val="20"/>
          <w:lang w:eastAsia="sl-SI"/>
        </w:rPr>
      </w:pPr>
    </w:p>
    <w:p w14:paraId="633AADE3" w14:textId="77777777" w:rsidR="00A2134F" w:rsidRDefault="00A2134F" w:rsidP="00A2134F">
      <w:pPr>
        <w:jc w:val="both"/>
        <w:rPr>
          <w:b/>
          <w:bCs/>
          <w:szCs w:val="20"/>
          <w:lang w:eastAsia="sl-SI"/>
        </w:rPr>
      </w:pPr>
      <w:r w:rsidRPr="00A2134F">
        <w:rPr>
          <w:b/>
          <w:bCs/>
          <w:szCs w:val="20"/>
          <w:lang w:eastAsia="sl-SI"/>
        </w:rPr>
        <w:t>Ugotovitve proračunske inšpekcije</w:t>
      </w:r>
    </w:p>
    <w:p w14:paraId="0CA819AE" w14:textId="77777777" w:rsidR="00A2134F" w:rsidRPr="00A2134F" w:rsidRDefault="00A2134F" w:rsidP="00A2134F">
      <w:pPr>
        <w:jc w:val="both"/>
        <w:rPr>
          <w:b/>
          <w:bCs/>
          <w:szCs w:val="20"/>
          <w:lang w:eastAsia="sl-SI"/>
        </w:rPr>
      </w:pPr>
    </w:p>
    <w:p w14:paraId="5D2DC564" w14:textId="6D21E69D" w:rsidR="00A2134F" w:rsidRDefault="00A2134F" w:rsidP="00A2134F">
      <w:pPr>
        <w:jc w:val="both"/>
        <w:rPr>
          <w:szCs w:val="20"/>
          <w:lang w:eastAsia="sl-SI"/>
        </w:rPr>
      </w:pPr>
      <w:r w:rsidRPr="00A2134F">
        <w:rPr>
          <w:szCs w:val="20"/>
          <w:lang w:eastAsia="sl-SI"/>
        </w:rPr>
        <w:t xml:space="preserve">Proračunska inšpekcija </w:t>
      </w:r>
      <w:r w:rsidR="003F740E">
        <w:rPr>
          <w:szCs w:val="20"/>
          <w:lang w:eastAsia="sl-SI"/>
        </w:rPr>
        <w:t>ugotavlja</w:t>
      </w:r>
      <w:r w:rsidRPr="00A2134F">
        <w:rPr>
          <w:szCs w:val="20"/>
          <w:lang w:eastAsia="sl-SI"/>
        </w:rPr>
        <w:t xml:space="preserve">, da izdajatelji računov v predloženih računih praviloma navajajo zgolj splošne oziroma pavšalne opise opravljenih storitev, kot na primer </w:t>
      </w:r>
      <w:r w:rsidRPr="00A2134F">
        <w:rPr>
          <w:i/>
          <w:iCs/>
          <w:szCs w:val="20"/>
          <w:lang w:eastAsia="sl-SI"/>
        </w:rPr>
        <w:t>»delo po pogodbi«, »vzdrževanje programske opreme po pogodbi«, »izobraževalno delo pri predmetu«, »izvajanje aktivnosti po pogodbi«, »priprava magistrskega študijskega programa«</w:t>
      </w:r>
      <w:r w:rsidRPr="00A2134F">
        <w:rPr>
          <w:szCs w:val="20"/>
          <w:lang w:eastAsia="sl-SI"/>
        </w:rPr>
        <w:t xml:space="preserve"> ipd. Takšni opisi ne omogočajo preverljivega in preglednega izkazovanja obsega in dejanskega izvajanja pogodbenih obveznosti.</w:t>
      </w:r>
    </w:p>
    <w:p w14:paraId="20085D4B" w14:textId="77777777" w:rsidR="00A2134F" w:rsidRPr="00A2134F" w:rsidRDefault="00A2134F" w:rsidP="00A2134F">
      <w:pPr>
        <w:jc w:val="both"/>
        <w:rPr>
          <w:szCs w:val="20"/>
          <w:lang w:eastAsia="sl-SI"/>
        </w:rPr>
      </w:pPr>
    </w:p>
    <w:p w14:paraId="3FFA64B2" w14:textId="06A17700" w:rsidR="00A2134F" w:rsidRDefault="00A2134F" w:rsidP="00A2134F">
      <w:pPr>
        <w:jc w:val="both"/>
        <w:rPr>
          <w:szCs w:val="20"/>
          <w:lang w:eastAsia="sl-SI"/>
        </w:rPr>
      </w:pPr>
      <w:r w:rsidRPr="00A2134F">
        <w:rPr>
          <w:szCs w:val="20"/>
          <w:lang w:eastAsia="sl-SI"/>
        </w:rPr>
        <w:lastRenderedPageBreak/>
        <w:t xml:space="preserve">Proračunska inšpekcija </w:t>
      </w:r>
      <w:r w:rsidR="003F740E">
        <w:rPr>
          <w:szCs w:val="20"/>
          <w:lang w:eastAsia="sl-SI"/>
        </w:rPr>
        <w:t xml:space="preserve">zato </w:t>
      </w:r>
      <w:r w:rsidR="00A26E13">
        <w:rPr>
          <w:szCs w:val="20"/>
          <w:lang w:eastAsia="sl-SI"/>
        </w:rPr>
        <w:t>ugotavlja</w:t>
      </w:r>
      <w:r w:rsidRPr="00A2134F">
        <w:rPr>
          <w:szCs w:val="20"/>
          <w:lang w:eastAsia="sl-SI"/>
        </w:rPr>
        <w:t xml:space="preserve">, da je za zagotovitev transparentnega in sledljivega evidentiranja opravljenih storitev nujno, da </w:t>
      </w:r>
      <w:r w:rsidR="00A26E13">
        <w:rPr>
          <w:szCs w:val="20"/>
          <w:lang w:eastAsia="sl-SI"/>
        </w:rPr>
        <w:t>prejeti računi univerze EMUNI, ki so podlaga za financiranje iz državnega proračuna, nedvoumno in popolno izkazujejo nastanek poslovnega dogodka, kar pomeni, da naj univerza od izvajalcev zahteva da</w:t>
      </w:r>
      <w:r w:rsidRPr="00A2134F">
        <w:rPr>
          <w:szCs w:val="20"/>
          <w:lang w:eastAsia="sl-SI"/>
        </w:rPr>
        <w:t xml:space="preserve"> k izdanemu računu priložijo natančno, časovno opredeljeno specifikacijo opravljenega dela</w:t>
      </w:r>
      <w:r w:rsidR="00A26E13">
        <w:rPr>
          <w:szCs w:val="20"/>
          <w:lang w:eastAsia="sl-SI"/>
        </w:rPr>
        <w:t xml:space="preserve">. Vsak izdatek iz proračuna mora imeti za </w:t>
      </w:r>
      <w:r w:rsidR="0036688F">
        <w:rPr>
          <w:szCs w:val="20"/>
          <w:lang w:eastAsia="sl-SI"/>
        </w:rPr>
        <w:t>podlago</w:t>
      </w:r>
      <w:r w:rsidR="00A26E13">
        <w:rPr>
          <w:szCs w:val="20"/>
          <w:lang w:eastAsia="sl-SI"/>
        </w:rPr>
        <w:t xml:space="preserve"> </w:t>
      </w:r>
      <w:r w:rsidR="0036688F">
        <w:rPr>
          <w:szCs w:val="20"/>
          <w:lang w:eastAsia="sl-SI"/>
        </w:rPr>
        <w:t>verodostojno</w:t>
      </w:r>
      <w:r w:rsidR="00A26E13">
        <w:rPr>
          <w:szCs w:val="20"/>
          <w:lang w:eastAsia="sl-SI"/>
        </w:rPr>
        <w:t xml:space="preserve"> knjigovodsko listino (54. člen ZJF).</w:t>
      </w:r>
      <w:r>
        <w:rPr>
          <w:szCs w:val="20"/>
          <w:lang w:eastAsia="sl-SI"/>
        </w:rPr>
        <w:t xml:space="preserve"> </w:t>
      </w:r>
      <w:r w:rsidR="00A26E13">
        <w:rPr>
          <w:szCs w:val="20"/>
          <w:lang w:eastAsia="sl-SI"/>
        </w:rPr>
        <w:t>Na podlagi navedenega se</w:t>
      </w:r>
      <w:r w:rsidRPr="006B2C57">
        <w:rPr>
          <w:szCs w:val="20"/>
          <w:lang w:eastAsia="sl-SI"/>
        </w:rPr>
        <w:t xml:space="preserve"> Ministrstvu za visoko šolstvo, znanost in inovacije predlaga naslednj</w:t>
      </w:r>
      <w:r>
        <w:rPr>
          <w:szCs w:val="20"/>
          <w:lang w:eastAsia="sl-SI"/>
        </w:rPr>
        <w:t>e priporočilo:</w:t>
      </w:r>
    </w:p>
    <w:p w14:paraId="360FEB85" w14:textId="77777777" w:rsidR="00A2134F" w:rsidRPr="00A2134F" w:rsidRDefault="00A2134F" w:rsidP="00A2134F">
      <w:pPr>
        <w:jc w:val="both"/>
        <w:rPr>
          <w:szCs w:val="20"/>
          <w:lang w:eastAsia="sl-SI"/>
        </w:rPr>
      </w:pPr>
    </w:p>
    <w:p w14:paraId="31B25B8C" w14:textId="02FA6515" w:rsidR="00A2134F" w:rsidRDefault="00A2134F" w:rsidP="003A4DE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PRIPOROČILO št. 3</w:t>
      </w:r>
    </w:p>
    <w:p w14:paraId="33A0CD4C" w14:textId="77777777" w:rsidR="00A2134F" w:rsidRDefault="00A2134F" w:rsidP="003A4DE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02783FDE" w14:textId="53D02B98" w:rsidR="00A2134F" w:rsidRDefault="00A2134F" w:rsidP="00A2134F">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A2134F">
        <w:rPr>
          <w:rFonts w:eastAsia="Times New Roman" w:cs="Times New Roman"/>
          <w:b/>
          <w:bCs/>
          <w:szCs w:val="24"/>
        </w:rPr>
        <w:t xml:space="preserve">Proračunska inšpekcija na podlagi drugega odstavka 104. člena ZJF predlaga, da </w:t>
      </w:r>
      <w:r>
        <w:rPr>
          <w:rFonts w:eastAsia="Times New Roman" w:cs="Times New Roman"/>
          <w:b/>
          <w:bCs/>
          <w:szCs w:val="24"/>
        </w:rPr>
        <w:t>MVZI</w:t>
      </w:r>
      <w:r w:rsidRPr="00A2134F">
        <w:rPr>
          <w:rFonts w:eastAsia="Times New Roman" w:cs="Times New Roman"/>
          <w:b/>
          <w:bCs/>
          <w:szCs w:val="24"/>
        </w:rPr>
        <w:t xml:space="preserve"> zagotovi, da EMUNI Univerza </w:t>
      </w:r>
      <w:r w:rsidR="00A26E13">
        <w:rPr>
          <w:rFonts w:eastAsia="Times New Roman" w:cs="Times New Roman"/>
          <w:b/>
          <w:bCs/>
          <w:szCs w:val="24"/>
        </w:rPr>
        <w:t>v prihodnje zagotovi verodostojne knjigovodske listine z vsemi potrebnimi podatki, ki bodo izkazovali dejansko nastali poslovni dogodek</w:t>
      </w:r>
      <w:r w:rsidR="00D80954">
        <w:rPr>
          <w:rFonts w:eastAsia="Times New Roman" w:cs="Times New Roman"/>
          <w:b/>
          <w:bCs/>
          <w:szCs w:val="24"/>
        </w:rPr>
        <w:t>,</w:t>
      </w:r>
      <w:r w:rsidR="0036688F">
        <w:rPr>
          <w:rFonts w:eastAsia="Times New Roman" w:cs="Times New Roman"/>
          <w:b/>
          <w:bCs/>
          <w:szCs w:val="24"/>
        </w:rPr>
        <w:t xml:space="preserve"> in</w:t>
      </w:r>
      <w:r w:rsidR="00A26E13">
        <w:rPr>
          <w:rFonts w:eastAsia="Times New Roman" w:cs="Times New Roman"/>
          <w:b/>
          <w:bCs/>
          <w:szCs w:val="24"/>
        </w:rPr>
        <w:t xml:space="preserve"> </w:t>
      </w:r>
      <w:r w:rsidRPr="00A2134F">
        <w:rPr>
          <w:rFonts w:eastAsia="Times New Roman" w:cs="Times New Roman"/>
          <w:b/>
          <w:bCs/>
          <w:szCs w:val="24"/>
        </w:rPr>
        <w:t>od vseh izvajalcev storitev zahteva, da k vsakemu izdanemu računu priložijo natančno specifikacijo opravljenih storitev. Specifikacija mora vsebovati jasen opis izvedenega dela, datum izvedbe posamezne aktivnosti ter število opravljenih ur po posameznih dneh.</w:t>
      </w:r>
    </w:p>
    <w:p w14:paraId="7BAB9E48" w14:textId="77777777" w:rsidR="006F5414" w:rsidRDefault="006F5414" w:rsidP="00A2134F">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683500E0" w14:textId="5C90099E" w:rsidR="00A2134F" w:rsidRPr="00A2134F" w:rsidRDefault="006F5414" w:rsidP="00A2134F">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6F5414">
        <w:rPr>
          <w:rFonts w:eastAsia="Times New Roman" w:cs="Times New Roman"/>
          <w:b/>
          <w:bCs/>
          <w:szCs w:val="24"/>
        </w:rPr>
        <w:t>MVZI naj proračunsko inšpekcijo v roku 30 dni od prejema tega zapisnika obvesti o načinu izvedbe navedenega priporočila ter o seznanitvi Univerze EMUNI z njim. Prav tako naj proračunski inšpekciji posreduje prvih pet naslednjih računov, ki jih bo Univerza EMUNI prejela in ki bodo že vsebovali vse zahtevane podatke ter priloženo specifikacijo v skladu s priporočilom.</w:t>
      </w:r>
    </w:p>
    <w:p w14:paraId="06E13244" w14:textId="77777777" w:rsidR="008B2D67" w:rsidRDefault="008B2D67" w:rsidP="00015CD3">
      <w:pPr>
        <w:jc w:val="both"/>
        <w:rPr>
          <w:szCs w:val="20"/>
          <w:lang w:eastAsia="sl-SI"/>
        </w:rPr>
      </w:pPr>
    </w:p>
    <w:p w14:paraId="4D3380B0" w14:textId="77777777" w:rsidR="008B2D67" w:rsidRDefault="008B2D67" w:rsidP="00015CD3">
      <w:pPr>
        <w:jc w:val="both"/>
        <w:rPr>
          <w:szCs w:val="20"/>
          <w:lang w:eastAsia="sl-SI"/>
        </w:rPr>
      </w:pPr>
    </w:p>
    <w:p w14:paraId="5F4A5CC0" w14:textId="5BEB7636" w:rsidR="006A22C8" w:rsidRPr="003F740E" w:rsidRDefault="0090687A" w:rsidP="00015CD3">
      <w:pPr>
        <w:jc w:val="both"/>
        <w:rPr>
          <w:b/>
          <w:bCs/>
          <w:szCs w:val="20"/>
          <w:lang w:eastAsia="sl-SI"/>
        </w:rPr>
      </w:pPr>
      <w:r w:rsidRPr="003F740E">
        <w:rPr>
          <w:b/>
          <w:bCs/>
          <w:szCs w:val="20"/>
          <w:lang w:eastAsia="sl-SI"/>
        </w:rPr>
        <w:t>POVZETEK</w:t>
      </w:r>
      <w:r w:rsidR="00DA6DCE" w:rsidRPr="003F740E">
        <w:rPr>
          <w:b/>
          <w:bCs/>
          <w:szCs w:val="20"/>
          <w:lang w:eastAsia="sl-SI"/>
        </w:rPr>
        <w:t xml:space="preserve"> UGOTOVITE</w:t>
      </w:r>
      <w:r w:rsidRPr="003F740E">
        <w:rPr>
          <w:b/>
          <w:bCs/>
          <w:szCs w:val="20"/>
          <w:lang w:eastAsia="sl-SI"/>
        </w:rPr>
        <w:t>V</w:t>
      </w:r>
      <w:r w:rsidR="00DA6DCE" w:rsidRPr="003F740E">
        <w:rPr>
          <w:b/>
          <w:bCs/>
          <w:szCs w:val="20"/>
          <w:lang w:eastAsia="sl-SI"/>
        </w:rPr>
        <w:t xml:space="preserve"> IN PRIPOROČILA</w:t>
      </w:r>
    </w:p>
    <w:p w14:paraId="434F0AD4" w14:textId="77777777" w:rsidR="00DA6DCE" w:rsidRDefault="00DA6DCE" w:rsidP="00DA6DCE">
      <w:pPr>
        <w:jc w:val="both"/>
        <w:rPr>
          <w:szCs w:val="20"/>
          <w:lang w:eastAsia="sl-SI"/>
        </w:rPr>
      </w:pPr>
    </w:p>
    <w:p w14:paraId="2A49A363" w14:textId="75F87936" w:rsidR="005D6404" w:rsidRDefault="005D6404" w:rsidP="005D6404">
      <w:pPr>
        <w:pStyle w:val="Odstavekseznama"/>
        <w:numPr>
          <w:ilvl w:val="0"/>
          <w:numId w:val="22"/>
        </w:numPr>
        <w:jc w:val="both"/>
        <w:rPr>
          <w:szCs w:val="20"/>
          <w:lang w:eastAsia="sl-SI"/>
        </w:rPr>
      </w:pPr>
      <w:r>
        <w:rPr>
          <w:szCs w:val="20"/>
          <w:lang w:eastAsia="sl-SI"/>
        </w:rPr>
        <w:t>Projekt</w:t>
      </w:r>
      <w:r w:rsidR="003B027F">
        <w:rPr>
          <w:szCs w:val="20"/>
          <w:lang w:eastAsia="sl-SI"/>
        </w:rPr>
        <w:t xml:space="preserve"> »</w:t>
      </w:r>
      <w:r w:rsidR="003B027F" w:rsidRPr="003D0AAF">
        <w:rPr>
          <w:rFonts w:cs="Arial"/>
        </w:rPr>
        <w:t>Mednarodna mobilnost slovenskih raziskovalcev</w:t>
      </w:r>
      <w:r w:rsidR="003B027F">
        <w:rPr>
          <w:rFonts w:cs="Arial"/>
        </w:rPr>
        <w:t>«</w:t>
      </w:r>
    </w:p>
    <w:p w14:paraId="5396EB4F" w14:textId="77777777" w:rsidR="005D6404" w:rsidRDefault="005D6404" w:rsidP="005D6404">
      <w:pPr>
        <w:jc w:val="both"/>
        <w:rPr>
          <w:szCs w:val="20"/>
          <w:lang w:eastAsia="sl-SI"/>
        </w:rPr>
      </w:pPr>
    </w:p>
    <w:p w14:paraId="1D96C691" w14:textId="4BDCB428" w:rsidR="0075662A" w:rsidRDefault="0075662A" w:rsidP="0075662A">
      <w:pPr>
        <w:jc w:val="both"/>
        <w:rPr>
          <w:szCs w:val="20"/>
          <w:lang w:eastAsia="sl-SI"/>
        </w:rPr>
      </w:pPr>
      <w:r w:rsidRPr="0075662A">
        <w:rPr>
          <w:szCs w:val="20"/>
          <w:lang w:eastAsia="sl-SI"/>
        </w:rPr>
        <w:t xml:space="preserve">Proračunska inšpekcija ugotavlja, da je MVZI projekt </w:t>
      </w:r>
      <w:r w:rsidRPr="0075662A">
        <w:rPr>
          <w:i/>
          <w:iCs/>
          <w:szCs w:val="20"/>
          <w:lang w:eastAsia="sl-SI"/>
        </w:rPr>
        <w:t>Spodbujanje mednarodne mobilnosti slovenskih raziskovalcev</w:t>
      </w:r>
      <w:r w:rsidRPr="0075662A">
        <w:rPr>
          <w:szCs w:val="20"/>
          <w:lang w:eastAsia="sl-SI"/>
        </w:rPr>
        <w:t xml:space="preserve"> vzpostavil z namenom krepitve raziskovalnega potenciala, spodbujanja mednarodne in medsektorske mobilnosti ter reintegracije slovenskih raziskovalcev v domači raziskovalno-razvojni in inovacijski prostor.</w:t>
      </w:r>
    </w:p>
    <w:p w14:paraId="15B17F9B" w14:textId="77777777" w:rsidR="001D1090" w:rsidRPr="0075662A" w:rsidRDefault="001D1090" w:rsidP="0075662A">
      <w:pPr>
        <w:jc w:val="both"/>
        <w:rPr>
          <w:szCs w:val="20"/>
          <w:lang w:eastAsia="sl-SI"/>
        </w:rPr>
      </w:pPr>
    </w:p>
    <w:p w14:paraId="3C4C58DB" w14:textId="13855C23" w:rsidR="0075662A" w:rsidRDefault="0075662A" w:rsidP="0075662A">
      <w:pPr>
        <w:jc w:val="both"/>
        <w:rPr>
          <w:szCs w:val="20"/>
          <w:lang w:eastAsia="sl-SI"/>
        </w:rPr>
      </w:pPr>
      <w:r w:rsidRPr="0075662A">
        <w:rPr>
          <w:szCs w:val="20"/>
          <w:lang w:eastAsia="sl-SI"/>
        </w:rPr>
        <w:t xml:space="preserve">Projekt se izvaja v okviru Mehanizma za okrevanje in odpornost, njegovo izvajanje pa je MVZI preneslo na ARIS. V obdobju izvajanja je bilo sprejetih več sprememb in </w:t>
      </w:r>
      <w:proofErr w:type="spellStart"/>
      <w:r w:rsidRPr="0075662A">
        <w:rPr>
          <w:szCs w:val="20"/>
          <w:lang w:eastAsia="sl-SI"/>
        </w:rPr>
        <w:t>novelacij</w:t>
      </w:r>
      <w:proofErr w:type="spellEnd"/>
      <w:r w:rsidRPr="0075662A">
        <w:rPr>
          <w:szCs w:val="20"/>
          <w:lang w:eastAsia="sl-SI"/>
        </w:rPr>
        <w:t xml:space="preserve"> investicijske dokumentacije, s katerimi so se vrednost in obseg projekta postopno prilagodili dejanskemu interesu in sredstvom, pri čemer trenutno znaša skupna vrednost projekta 5.769.227,00 EUR, s predvidenimi 33 projekti mobilnosti in reintegracije raziskovalcev.</w:t>
      </w:r>
    </w:p>
    <w:p w14:paraId="049E52A5" w14:textId="77777777" w:rsidR="001D1090" w:rsidRPr="0075662A" w:rsidRDefault="001D1090" w:rsidP="0075662A">
      <w:pPr>
        <w:jc w:val="both"/>
        <w:rPr>
          <w:szCs w:val="20"/>
          <w:lang w:eastAsia="sl-SI"/>
        </w:rPr>
      </w:pPr>
    </w:p>
    <w:p w14:paraId="57F99B87" w14:textId="0136313F" w:rsidR="0075662A" w:rsidRDefault="0075662A" w:rsidP="0075662A">
      <w:pPr>
        <w:jc w:val="both"/>
        <w:rPr>
          <w:szCs w:val="20"/>
          <w:lang w:eastAsia="sl-SI"/>
        </w:rPr>
      </w:pPr>
      <w:r w:rsidRPr="0075662A">
        <w:rPr>
          <w:szCs w:val="20"/>
          <w:lang w:eastAsia="sl-SI"/>
        </w:rPr>
        <w:t xml:space="preserve">MVZI je zagotovil ustrezno pravno in finančno podlago za izvajanje ukrepa, vključno s krovnim sporazumom, pogodbo o sofinanciranju in navodili za izvajalca. </w:t>
      </w:r>
      <w:r w:rsidR="008056EA">
        <w:rPr>
          <w:szCs w:val="20"/>
          <w:lang w:eastAsia="sl-SI"/>
        </w:rPr>
        <w:t>MVZI</w:t>
      </w:r>
      <w:r w:rsidRPr="0075662A">
        <w:rPr>
          <w:szCs w:val="20"/>
          <w:lang w:eastAsia="sl-SI"/>
        </w:rPr>
        <w:t xml:space="preserve"> nad delom izvajalca izvaja nadzor</w:t>
      </w:r>
      <w:r w:rsidR="001D1090">
        <w:rPr>
          <w:szCs w:val="20"/>
          <w:lang w:eastAsia="sl-SI"/>
        </w:rPr>
        <w:t>e</w:t>
      </w:r>
      <w:r w:rsidRPr="0075662A">
        <w:rPr>
          <w:szCs w:val="20"/>
          <w:lang w:eastAsia="sl-SI"/>
        </w:rPr>
        <w:t xml:space="preserve">, vključno z administrativnimi preverjanji in naključnimi kontrolami na kraju samem. </w:t>
      </w:r>
      <w:r w:rsidR="001D1090" w:rsidRPr="001D1090">
        <w:rPr>
          <w:szCs w:val="20"/>
          <w:lang w:eastAsia="sl-SI"/>
        </w:rPr>
        <w:t xml:space="preserve">Na podlagi opravljenega preverjanja z dne 21. </w:t>
      </w:r>
      <w:r w:rsidR="001D1090">
        <w:rPr>
          <w:szCs w:val="20"/>
          <w:lang w:eastAsia="sl-SI"/>
        </w:rPr>
        <w:t xml:space="preserve">10. </w:t>
      </w:r>
      <w:r w:rsidR="001D1090" w:rsidRPr="001D1090">
        <w:rPr>
          <w:szCs w:val="20"/>
          <w:lang w:eastAsia="sl-SI"/>
        </w:rPr>
        <w:t>2024 je bilo ugotovljeno, da so pri štirih končnih upravičencih prijavljeni stroški za blago in storitve dejansko nastali ter bili uporabljeni za namene, za katere so bila sredstva dodeljena. Nepravilnosti pri pregledu niso bile ugotovljene.</w:t>
      </w:r>
    </w:p>
    <w:p w14:paraId="0DAEB30A" w14:textId="77777777" w:rsidR="003F740E" w:rsidRDefault="003F740E" w:rsidP="003F740E">
      <w:pPr>
        <w:jc w:val="both"/>
        <w:rPr>
          <w:szCs w:val="20"/>
          <w:lang w:eastAsia="sl-SI"/>
        </w:rPr>
      </w:pPr>
    </w:p>
    <w:p w14:paraId="0217402F" w14:textId="77777777" w:rsidR="003F740E" w:rsidRPr="003F740E" w:rsidRDefault="003F740E" w:rsidP="003F740E">
      <w:pPr>
        <w:jc w:val="both"/>
        <w:rPr>
          <w:szCs w:val="20"/>
          <w:lang w:eastAsia="sl-SI"/>
        </w:rPr>
      </w:pPr>
      <w:r>
        <w:rPr>
          <w:szCs w:val="20"/>
          <w:lang w:eastAsia="sl-SI"/>
        </w:rPr>
        <w:t>Po</w:t>
      </w:r>
      <w:r w:rsidRPr="003F740E">
        <w:rPr>
          <w:szCs w:val="20"/>
          <w:lang w:eastAsia="sl-SI"/>
        </w:rPr>
        <w:t xml:space="preserve"> zaključku upravičenega obdobja (so)financiranja iz Sklada NOO </w:t>
      </w:r>
      <w:r>
        <w:rPr>
          <w:szCs w:val="20"/>
          <w:lang w:eastAsia="sl-SI"/>
        </w:rPr>
        <w:t xml:space="preserve">se </w:t>
      </w:r>
      <w:r w:rsidRPr="003F740E">
        <w:rPr>
          <w:szCs w:val="20"/>
          <w:lang w:eastAsia="sl-SI"/>
        </w:rPr>
        <w:t>načrtuje nadaljnje (so)financiranje javnega poziva iz integralnega proračuna Republike Slovenije za obdobje 2026–2027, skladno s proračunskimi možnostmi. Namen tega je predvsem ustvarjanje pogojev za zmanjšanje bega možganov, ki je v tej populaciji izjemno izrazit, ter spodbujanje mednarodne mobilnosti slovenskih raziskovalk in raziskovalcev.</w:t>
      </w:r>
    </w:p>
    <w:p w14:paraId="06A9764A" w14:textId="77777777" w:rsidR="001D1090" w:rsidRDefault="001D1090" w:rsidP="0075662A">
      <w:pPr>
        <w:jc w:val="both"/>
        <w:rPr>
          <w:szCs w:val="20"/>
          <w:lang w:eastAsia="sl-SI"/>
        </w:rPr>
      </w:pPr>
    </w:p>
    <w:p w14:paraId="0840B6D0" w14:textId="5BA5F939" w:rsidR="0012389F" w:rsidRDefault="00F0740F" w:rsidP="001D1090">
      <w:pPr>
        <w:jc w:val="both"/>
        <w:rPr>
          <w:szCs w:val="20"/>
          <w:lang w:eastAsia="sl-SI"/>
        </w:rPr>
      </w:pPr>
      <w:r w:rsidRPr="00F0740F">
        <w:rPr>
          <w:szCs w:val="20"/>
          <w:lang w:eastAsia="sl-SI"/>
        </w:rPr>
        <w:t xml:space="preserve">Glede na dejstvo, da je bilo doslej izvedeno le eno preverjanje, </w:t>
      </w:r>
      <w:r w:rsidR="008D04B5">
        <w:rPr>
          <w:szCs w:val="20"/>
          <w:lang w:eastAsia="sl-SI"/>
        </w:rPr>
        <w:t>ter</w:t>
      </w:r>
      <w:r w:rsidRPr="00F0740F">
        <w:rPr>
          <w:szCs w:val="20"/>
          <w:lang w:eastAsia="sl-SI"/>
        </w:rPr>
        <w:t xml:space="preserve"> z namenom povečanja preglednosti </w:t>
      </w:r>
      <w:r w:rsidR="008D04B5">
        <w:rPr>
          <w:szCs w:val="20"/>
          <w:lang w:eastAsia="sl-SI"/>
        </w:rPr>
        <w:t>in</w:t>
      </w:r>
      <w:r w:rsidRPr="00F0740F">
        <w:rPr>
          <w:szCs w:val="20"/>
          <w:lang w:eastAsia="sl-SI"/>
        </w:rPr>
        <w:t xml:space="preserve"> učinkovitejšega spremljanja izvajanja projekta, proračunska inšpekcija Ministrstvu za visoko šolstvo, znanost in inovacije predlaga naslednje priporočilo:</w:t>
      </w:r>
    </w:p>
    <w:p w14:paraId="0D627889" w14:textId="77777777" w:rsidR="00F76818" w:rsidRDefault="00F76818" w:rsidP="00F76818">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lastRenderedPageBreak/>
        <w:t>PRIPOROČILO št. 1</w:t>
      </w:r>
    </w:p>
    <w:p w14:paraId="15B6D92B" w14:textId="77777777" w:rsidR="00F76818" w:rsidRDefault="00F76818" w:rsidP="00F76818">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06535F17" w14:textId="77777777" w:rsidR="003A23E7" w:rsidRDefault="003A23E7" w:rsidP="003A23E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D47D76">
        <w:rPr>
          <w:rFonts w:eastAsia="Times New Roman" w:cs="Times New Roman"/>
          <w:b/>
          <w:bCs/>
          <w:szCs w:val="24"/>
        </w:rPr>
        <w:t>Proračunska inšpekcija na podlagi drugega odstavka 104. člena ZJF predlaga, da MVZI v prihodnje zagot</w:t>
      </w:r>
      <w:r>
        <w:rPr>
          <w:rFonts w:eastAsia="Times New Roman" w:cs="Times New Roman"/>
          <w:b/>
          <w:bCs/>
          <w:szCs w:val="24"/>
        </w:rPr>
        <w:t>o</w:t>
      </w:r>
      <w:r w:rsidRPr="00D47D76">
        <w:rPr>
          <w:rFonts w:eastAsia="Times New Roman" w:cs="Times New Roman"/>
          <w:b/>
          <w:bCs/>
          <w:szCs w:val="24"/>
        </w:rPr>
        <w:t>v</w:t>
      </w:r>
      <w:r>
        <w:rPr>
          <w:rFonts w:eastAsia="Times New Roman" w:cs="Times New Roman"/>
          <w:b/>
          <w:bCs/>
          <w:szCs w:val="24"/>
        </w:rPr>
        <w:t>i</w:t>
      </w:r>
      <w:r w:rsidRPr="00D47D76">
        <w:rPr>
          <w:rFonts w:eastAsia="Times New Roman" w:cs="Times New Roman"/>
          <w:b/>
          <w:bCs/>
          <w:szCs w:val="24"/>
        </w:rPr>
        <w:t xml:space="preserve"> rednejš</w:t>
      </w:r>
      <w:r>
        <w:rPr>
          <w:rFonts w:eastAsia="Times New Roman" w:cs="Times New Roman"/>
          <w:b/>
          <w:bCs/>
          <w:szCs w:val="24"/>
        </w:rPr>
        <w:t>e</w:t>
      </w:r>
      <w:r w:rsidRPr="00D47D76">
        <w:rPr>
          <w:rFonts w:eastAsia="Times New Roman" w:cs="Times New Roman"/>
          <w:b/>
          <w:bCs/>
          <w:szCs w:val="24"/>
        </w:rPr>
        <w:t xml:space="preserve"> oziroma pogostejš</w:t>
      </w:r>
      <w:r>
        <w:rPr>
          <w:rFonts w:eastAsia="Times New Roman" w:cs="Times New Roman"/>
          <w:b/>
          <w:bCs/>
          <w:szCs w:val="24"/>
        </w:rPr>
        <w:t>e</w:t>
      </w:r>
      <w:r w:rsidRPr="00D47D76">
        <w:rPr>
          <w:rFonts w:eastAsia="Times New Roman" w:cs="Times New Roman"/>
          <w:b/>
          <w:bCs/>
          <w:szCs w:val="24"/>
        </w:rPr>
        <w:t xml:space="preserve"> izvajanj</w:t>
      </w:r>
      <w:r>
        <w:rPr>
          <w:rFonts w:eastAsia="Times New Roman" w:cs="Times New Roman"/>
          <w:b/>
          <w:bCs/>
          <w:szCs w:val="24"/>
        </w:rPr>
        <w:t>e</w:t>
      </w:r>
      <w:r w:rsidRPr="00D47D76">
        <w:rPr>
          <w:rFonts w:eastAsia="Times New Roman" w:cs="Times New Roman"/>
          <w:b/>
          <w:bCs/>
          <w:szCs w:val="24"/>
        </w:rPr>
        <w:t xml:space="preserve"> </w:t>
      </w:r>
      <w:r>
        <w:rPr>
          <w:rFonts w:eastAsia="Times New Roman" w:cs="Times New Roman"/>
          <w:b/>
          <w:bCs/>
          <w:szCs w:val="24"/>
        </w:rPr>
        <w:t>nadzora</w:t>
      </w:r>
      <w:r w:rsidRPr="00D47D76">
        <w:rPr>
          <w:rFonts w:eastAsia="Times New Roman" w:cs="Times New Roman"/>
          <w:b/>
          <w:bCs/>
          <w:szCs w:val="24"/>
        </w:rPr>
        <w:t xml:space="preserve"> nad delom izvajalca ukrepa –</w:t>
      </w:r>
      <w:r>
        <w:rPr>
          <w:rFonts w:eastAsia="Times New Roman" w:cs="Times New Roman"/>
          <w:b/>
          <w:bCs/>
          <w:szCs w:val="24"/>
        </w:rPr>
        <w:t xml:space="preserve"> </w:t>
      </w:r>
      <w:r w:rsidRPr="00D47D76">
        <w:rPr>
          <w:rFonts w:eastAsia="Times New Roman" w:cs="Times New Roman"/>
          <w:b/>
          <w:bCs/>
          <w:szCs w:val="24"/>
        </w:rPr>
        <w:t xml:space="preserve">agencije ARIS, </w:t>
      </w:r>
      <w:r>
        <w:rPr>
          <w:rFonts w:eastAsia="Times New Roman" w:cs="Times New Roman"/>
          <w:b/>
          <w:bCs/>
          <w:szCs w:val="24"/>
        </w:rPr>
        <w:t xml:space="preserve">in sicer </w:t>
      </w:r>
      <w:r w:rsidRPr="00D47D76">
        <w:rPr>
          <w:rFonts w:eastAsia="Times New Roman" w:cs="Times New Roman"/>
          <w:b/>
          <w:bCs/>
          <w:szCs w:val="24"/>
        </w:rPr>
        <w:t>v skladu</w:t>
      </w:r>
      <w:r>
        <w:rPr>
          <w:rFonts w:eastAsia="Times New Roman" w:cs="Times New Roman"/>
          <w:b/>
          <w:bCs/>
          <w:szCs w:val="24"/>
        </w:rPr>
        <w:t xml:space="preserve"> s 3. točko 71. člena ZJF ter</w:t>
      </w:r>
      <w:r w:rsidRPr="00D47D76">
        <w:rPr>
          <w:rFonts w:eastAsia="Times New Roman" w:cs="Times New Roman"/>
          <w:b/>
          <w:bCs/>
          <w:szCs w:val="24"/>
        </w:rPr>
        <w:t xml:space="preserve"> </w:t>
      </w:r>
      <w:r w:rsidRPr="00D056C8">
        <w:rPr>
          <w:rFonts w:eastAsia="Times New Roman" w:cs="Times New Roman"/>
          <w:b/>
          <w:bCs/>
          <w:i/>
          <w:iCs/>
          <w:szCs w:val="24"/>
        </w:rPr>
        <w:t>»Navodilo</w:t>
      </w:r>
      <w:r>
        <w:rPr>
          <w:rFonts w:eastAsia="Times New Roman" w:cs="Times New Roman"/>
          <w:b/>
          <w:bCs/>
          <w:i/>
          <w:iCs/>
          <w:szCs w:val="24"/>
        </w:rPr>
        <w:t>m</w:t>
      </w:r>
      <w:r w:rsidRPr="00D056C8">
        <w:rPr>
          <w:rFonts w:eastAsia="Times New Roman" w:cs="Times New Roman"/>
          <w:b/>
          <w:bCs/>
          <w:i/>
          <w:iCs/>
          <w:szCs w:val="24"/>
        </w:rPr>
        <w:t xml:space="preserve"> Ministrstva za visoko šolstvo, znanost in inovacije za izvajanje nalog izvajalca ukrepa, Javne agencije za raziskovalno dejavnost Republike Slovenije, v okviru Mehanizma za okrevanje in odpornost«</w:t>
      </w:r>
      <w:r w:rsidRPr="00D056C8">
        <w:rPr>
          <w:rFonts w:eastAsia="Times New Roman" w:cs="Times New Roman"/>
          <w:b/>
          <w:bCs/>
          <w:szCs w:val="24"/>
        </w:rPr>
        <w:t xml:space="preserve"> (št. 303-28/2023/1 z dne 27. 2. 2023).</w:t>
      </w:r>
    </w:p>
    <w:p w14:paraId="4773A47C" w14:textId="77777777" w:rsidR="003A23E7" w:rsidRPr="00D47D76" w:rsidRDefault="003A23E7" w:rsidP="003A23E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3A7A0C8D" w14:textId="77777777" w:rsidR="003A23E7" w:rsidRPr="00D47D76" w:rsidRDefault="003A23E7" w:rsidP="003A23E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D47D76">
        <w:rPr>
          <w:rFonts w:eastAsia="Times New Roman" w:cs="Times New Roman"/>
          <w:b/>
          <w:bCs/>
          <w:szCs w:val="24"/>
        </w:rPr>
        <w:t>Kontrole naj se izvajajo z namenom zagotavljanja pravilne, zakonite in učinkovite uporabe sredstev Mehanizma za okrevanje in odpornost ter skladnosti postopkov, ki jih izvaja ARIS, z določili navodil MVZI in veljavno zakonodajo. Rednejše kontrole bi prispevale k pravočasnemu odkrivanju in odpravljanju morebitnih nepravilnosti, preprečevanju tveganj goljufij in dvojnega financiranja ter krepitvi notranjih kontrolnih mehanizmov pri ARIS-u.</w:t>
      </w:r>
    </w:p>
    <w:p w14:paraId="77405F73" w14:textId="77777777" w:rsidR="003A23E7" w:rsidRPr="0049726C" w:rsidRDefault="003A23E7" w:rsidP="003A23E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7B9AC3FF" w14:textId="44E1FE1F" w:rsidR="003A23E7" w:rsidRPr="0049726C" w:rsidRDefault="003A23E7" w:rsidP="003A23E7">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49726C">
        <w:rPr>
          <w:rFonts w:eastAsia="Times New Roman" w:cs="Times New Roman"/>
          <w:b/>
          <w:bCs/>
          <w:szCs w:val="24"/>
        </w:rPr>
        <w:t>MVZI naj o navede</w:t>
      </w:r>
      <w:r>
        <w:rPr>
          <w:rFonts w:eastAsia="Times New Roman" w:cs="Times New Roman"/>
          <w:b/>
          <w:bCs/>
          <w:szCs w:val="24"/>
        </w:rPr>
        <w:t>nem</w:t>
      </w:r>
      <w:r w:rsidRPr="0049726C">
        <w:rPr>
          <w:rFonts w:eastAsia="Times New Roman" w:cs="Times New Roman"/>
          <w:b/>
          <w:bCs/>
          <w:szCs w:val="24"/>
        </w:rPr>
        <w:t xml:space="preserve"> priporočil</w:t>
      </w:r>
      <w:r>
        <w:rPr>
          <w:rFonts w:eastAsia="Times New Roman" w:cs="Times New Roman"/>
          <w:b/>
          <w:bCs/>
          <w:szCs w:val="24"/>
        </w:rPr>
        <w:t>u</w:t>
      </w:r>
      <w:r w:rsidRPr="0049726C">
        <w:rPr>
          <w:rFonts w:eastAsia="Times New Roman" w:cs="Times New Roman"/>
          <w:b/>
          <w:bCs/>
          <w:szCs w:val="24"/>
        </w:rPr>
        <w:t xml:space="preserve"> obvesti vse zaposlene, ki delajo na tem področju, ter v roku </w:t>
      </w:r>
      <w:r w:rsidR="00DC1F14">
        <w:rPr>
          <w:rFonts w:eastAsia="Times New Roman" w:cs="Times New Roman"/>
          <w:b/>
          <w:bCs/>
          <w:szCs w:val="24"/>
        </w:rPr>
        <w:t>3</w:t>
      </w:r>
      <w:r>
        <w:rPr>
          <w:rFonts w:eastAsia="Times New Roman" w:cs="Times New Roman"/>
          <w:b/>
          <w:bCs/>
          <w:szCs w:val="24"/>
        </w:rPr>
        <w:t xml:space="preserve">0 </w:t>
      </w:r>
      <w:r w:rsidRPr="0049726C">
        <w:rPr>
          <w:rFonts w:eastAsia="Times New Roman" w:cs="Times New Roman"/>
          <w:b/>
          <w:bCs/>
          <w:szCs w:val="24"/>
        </w:rPr>
        <w:t xml:space="preserve">dni od prejema tega zapisnika </w:t>
      </w:r>
      <w:r>
        <w:rPr>
          <w:rFonts w:eastAsia="Times New Roman" w:cs="Times New Roman"/>
          <w:b/>
          <w:bCs/>
          <w:szCs w:val="24"/>
        </w:rPr>
        <w:t xml:space="preserve">o tem </w:t>
      </w:r>
      <w:r w:rsidRPr="0049726C">
        <w:rPr>
          <w:rFonts w:eastAsia="Times New Roman" w:cs="Times New Roman"/>
          <w:b/>
          <w:bCs/>
          <w:szCs w:val="24"/>
        </w:rPr>
        <w:t>obvesti inšpekcijski organ.</w:t>
      </w:r>
    </w:p>
    <w:p w14:paraId="1BD47EB0" w14:textId="77777777" w:rsidR="001D1090" w:rsidRDefault="001D1090" w:rsidP="001D1090">
      <w:pPr>
        <w:jc w:val="both"/>
        <w:rPr>
          <w:szCs w:val="20"/>
        </w:rPr>
      </w:pPr>
    </w:p>
    <w:p w14:paraId="4FE02723" w14:textId="56248307" w:rsidR="005D6404" w:rsidRPr="005D6404" w:rsidRDefault="005D6404" w:rsidP="005D6404">
      <w:pPr>
        <w:pStyle w:val="Odstavekseznama"/>
        <w:numPr>
          <w:ilvl w:val="0"/>
          <w:numId w:val="22"/>
        </w:numPr>
        <w:ind w:left="357" w:hanging="357"/>
        <w:jc w:val="both"/>
        <w:rPr>
          <w:szCs w:val="20"/>
          <w:lang w:eastAsia="sl-SI"/>
        </w:rPr>
      </w:pPr>
      <w:r>
        <w:rPr>
          <w:szCs w:val="20"/>
          <w:lang w:eastAsia="sl-SI"/>
        </w:rPr>
        <w:t>EMUNI Univerza</w:t>
      </w:r>
    </w:p>
    <w:p w14:paraId="5C8542EA" w14:textId="77777777" w:rsidR="005D6404" w:rsidRDefault="005D6404" w:rsidP="00DA6DCE">
      <w:pPr>
        <w:jc w:val="both"/>
        <w:rPr>
          <w:szCs w:val="20"/>
          <w:lang w:eastAsia="sl-SI"/>
        </w:rPr>
      </w:pPr>
    </w:p>
    <w:p w14:paraId="62CC6E12" w14:textId="73A5FAC4" w:rsidR="00631F9C" w:rsidRPr="005E5A14" w:rsidRDefault="00631F9C" w:rsidP="005E5A14">
      <w:pPr>
        <w:jc w:val="both"/>
        <w:rPr>
          <w:szCs w:val="20"/>
          <w:lang w:eastAsia="sl-SI"/>
        </w:rPr>
      </w:pPr>
      <w:r w:rsidRPr="005E5A14">
        <w:rPr>
          <w:szCs w:val="20"/>
          <w:lang w:eastAsia="sl-SI"/>
        </w:rPr>
        <w:t>EMUNI je mednarodna zveza univerz s sedežem v Sloveniji, registrirana kot zasebni visokošolski zavod, ki deluje po slovenski zakonodaji in ni mednarodna organizacija. Njeno poslanstvo je spodbujanje medkulturnega dialoga, mreženja evro-sredozemskih visokošolskih in raziskovalnih institucij ter izvajanje študijskih programov in raziskovalnih projektov, pri čemer ima 136 članic in urejene organe upravljanja. Financiranje univerze poteka iz proračuna RS na podlagi zakona in pogodbe z MVZI, pri čemer sredstva namenja za stroške dela, izvajanje študijskih programov, stroške prostorov in druge operativne dejavnosti, ministrstvo pa nadzoruje namensko porabo sredstev.</w:t>
      </w:r>
    </w:p>
    <w:p w14:paraId="595A0793" w14:textId="77777777" w:rsidR="00631F9C" w:rsidRPr="00631F9C" w:rsidRDefault="00631F9C" w:rsidP="00631F9C">
      <w:pPr>
        <w:jc w:val="both"/>
        <w:rPr>
          <w:szCs w:val="20"/>
          <w:lang w:eastAsia="sl-SI"/>
        </w:rPr>
      </w:pPr>
    </w:p>
    <w:p w14:paraId="57A79BED" w14:textId="77777777" w:rsidR="00631F9C" w:rsidRDefault="00631F9C" w:rsidP="00631F9C">
      <w:pPr>
        <w:jc w:val="both"/>
        <w:rPr>
          <w:szCs w:val="20"/>
          <w:lang w:eastAsia="sl-SI"/>
        </w:rPr>
      </w:pPr>
      <w:r w:rsidRPr="00631F9C">
        <w:rPr>
          <w:szCs w:val="20"/>
          <w:lang w:eastAsia="sl-SI"/>
        </w:rPr>
        <w:t>Vlada RS univerzo prepoznava kot strateški projekt za krepitev slovenske vloge v evro-sredozemskem prostoru in spodbuja širitev mreže, izvajanje skupnih programov, digitalno izobraževanje ter pridobivanje dodatnih finančnih virov, vključno s sredstvi EU. Kljub nizkemu številu vpisanih študentov vlada podpira nadaljnji razvoj EMUNI z namenom povečanja kakovosti, števila študijskih programov, internacionalizacije in trajnostnega financiranja, ob hkratnem spodbujanju raziskovalnih, izobraževalnih in regionalno povezovalnih aktivnosti univerze.</w:t>
      </w:r>
    </w:p>
    <w:p w14:paraId="4648F69C" w14:textId="77777777" w:rsidR="008525EB" w:rsidRPr="00631F9C" w:rsidRDefault="008525EB" w:rsidP="00631F9C">
      <w:pPr>
        <w:jc w:val="both"/>
        <w:rPr>
          <w:szCs w:val="20"/>
          <w:lang w:eastAsia="sl-SI"/>
        </w:rPr>
      </w:pPr>
    </w:p>
    <w:p w14:paraId="3B596B60" w14:textId="6F7C96DF" w:rsidR="006E5B75" w:rsidRPr="00D656CC" w:rsidRDefault="00DA6DCE" w:rsidP="006E5B75">
      <w:pPr>
        <w:jc w:val="both"/>
        <w:rPr>
          <w:szCs w:val="20"/>
          <w:lang w:eastAsia="sl-SI"/>
        </w:rPr>
      </w:pPr>
      <w:r w:rsidRPr="00DA6DCE">
        <w:rPr>
          <w:szCs w:val="20"/>
          <w:lang w:eastAsia="sl-SI"/>
        </w:rPr>
        <w:t xml:space="preserve">Na podlagi pregleda Letnega načrta dela 2024 in Letnega poročila 2024 Univerze EMUNI </w:t>
      </w:r>
      <w:r w:rsidR="005D6404">
        <w:rPr>
          <w:szCs w:val="20"/>
          <w:lang w:eastAsia="sl-SI"/>
        </w:rPr>
        <w:t xml:space="preserve">proračunska </w:t>
      </w:r>
      <w:r w:rsidRPr="00DA6DCE">
        <w:rPr>
          <w:szCs w:val="20"/>
          <w:lang w:eastAsia="sl-SI"/>
        </w:rPr>
        <w:t xml:space="preserve">inšpekcija ugotavlja, da </w:t>
      </w:r>
      <w:r w:rsidR="006E5B75">
        <w:rPr>
          <w:szCs w:val="20"/>
          <w:lang w:eastAsia="sl-SI"/>
        </w:rPr>
        <w:t xml:space="preserve">je </w:t>
      </w:r>
      <w:r w:rsidR="006E5B75" w:rsidRPr="00D656CC">
        <w:rPr>
          <w:szCs w:val="20"/>
          <w:lang w:eastAsia="sl-SI"/>
        </w:rPr>
        <w:t xml:space="preserve">EMUNI v letu 2024 v celoti uresničila cilje organizacijske prenove, kadrovske krepitve, raziskovalne in finančne stabilnosti, delno </w:t>
      </w:r>
      <w:r w:rsidR="006E5B75">
        <w:rPr>
          <w:szCs w:val="20"/>
          <w:lang w:eastAsia="sl-SI"/>
        </w:rPr>
        <w:t xml:space="preserve">pa </w:t>
      </w:r>
      <w:r w:rsidR="006E5B75" w:rsidRPr="00D656CC">
        <w:rPr>
          <w:szCs w:val="20"/>
          <w:lang w:eastAsia="sl-SI"/>
        </w:rPr>
        <w:t>uresničila cilje glede mednarodnih mobilnosti, štipendijskega sklada in centrov EKIC, medtem ko cilji glede akreditacije in izvedbe novih študijskih programov niso bili doseženi</w:t>
      </w:r>
      <w:r w:rsidR="008D04B5">
        <w:rPr>
          <w:szCs w:val="20"/>
          <w:lang w:eastAsia="sl-SI"/>
        </w:rPr>
        <w:t xml:space="preserve"> in so bili preloženi na leto 2025</w:t>
      </w:r>
      <w:r w:rsidR="006E5B75" w:rsidRPr="00D656CC">
        <w:rPr>
          <w:szCs w:val="20"/>
          <w:lang w:eastAsia="sl-SI"/>
        </w:rPr>
        <w:t>.</w:t>
      </w:r>
    </w:p>
    <w:p w14:paraId="79FDF575" w14:textId="77777777" w:rsidR="00DC2303" w:rsidRPr="00DA6DCE" w:rsidRDefault="00DC2303" w:rsidP="00DA6DCE">
      <w:pPr>
        <w:jc w:val="both"/>
        <w:rPr>
          <w:szCs w:val="20"/>
          <w:lang w:eastAsia="sl-SI"/>
        </w:rPr>
      </w:pPr>
    </w:p>
    <w:p w14:paraId="21B05094" w14:textId="0C5B7B3D" w:rsidR="00DA6DCE" w:rsidRDefault="00DA6DCE" w:rsidP="00DA6DCE">
      <w:pPr>
        <w:jc w:val="both"/>
        <w:rPr>
          <w:szCs w:val="20"/>
          <w:lang w:eastAsia="sl-SI"/>
        </w:rPr>
      </w:pPr>
      <w:r w:rsidRPr="00DA6DCE">
        <w:rPr>
          <w:szCs w:val="20"/>
          <w:lang w:eastAsia="sl-SI"/>
        </w:rPr>
        <w:t xml:space="preserve">Z namenom krepitve preglednosti in učinkovitejšega spremljanja izvajanja javnega financiranja </w:t>
      </w:r>
      <w:r w:rsidR="005D6404">
        <w:rPr>
          <w:szCs w:val="20"/>
          <w:lang w:eastAsia="sl-SI"/>
        </w:rPr>
        <w:t xml:space="preserve">proračunska </w:t>
      </w:r>
      <w:r w:rsidRPr="00DA6DCE">
        <w:rPr>
          <w:szCs w:val="20"/>
          <w:lang w:eastAsia="sl-SI"/>
        </w:rPr>
        <w:t>inšpekcija Ministrstv</w:t>
      </w:r>
      <w:r w:rsidR="005D6404">
        <w:rPr>
          <w:szCs w:val="20"/>
          <w:lang w:eastAsia="sl-SI"/>
        </w:rPr>
        <w:t>u</w:t>
      </w:r>
      <w:r w:rsidRPr="00DA6DCE">
        <w:rPr>
          <w:szCs w:val="20"/>
          <w:lang w:eastAsia="sl-SI"/>
        </w:rPr>
        <w:t xml:space="preserve"> za visoko šolstvo, znanost in inovacije</w:t>
      </w:r>
      <w:r w:rsidR="005D6404">
        <w:rPr>
          <w:szCs w:val="20"/>
          <w:lang w:eastAsia="sl-SI"/>
        </w:rPr>
        <w:t xml:space="preserve"> predlaga naslednj</w:t>
      </w:r>
      <w:r w:rsidR="008525EB">
        <w:rPr>
          <w:szCs w:val="20"/>
          <w:lang w:eastAsia="sl-SI"/>
        </w:rPr>
        <w:t>e priporočilo</w:t>
      </w:r>
      <w:r w:rsidR="005D6404">
        <w:rPr>
          <w:szCs w:val="20"/>
          <w:lang w:eastAsia="sl-SI"/>
        </w:rPr>
        <w:t>:</w:t>
      </w:r>
    </w:p>
    <w:p w14:paraId="35185316" w14:textId="77777777" w:rsidR="00DC2303" w:rsidRDefault="00DC2303" w:rsidP="00DA6DCE">
      <w:pPr>
        <w:jc w:val="both"/>
        <w:rPr>
          <w:szCs w:val="20"/>
          <w:lang w:eastAsia="sl-SI"/>
        </w:rPr>
      </w:pPr>
    </w:p>
    <w:p w14:paraId="7192AB51" w14:textId="77777777" w:rsidR="008525EB" w:rsidRDefault="008525EB" w:rsidP="00DA6DCE">
      <w:pPr>
        <w:jc w:val="both"/>
        <w:rPr>
          <w:szCs w:val="20"/>
          <w:lang w:eastAsia="sl-SI"/>
        </w:rPr>
      </w:pPr>
    </w:p>
    <w:p w14:paraId="34C0D030" w14:textId="77777777" w:rsidR="008525EB" w:rsidRDefault="008525EB" w:rsidP="00DA6DCE">
      <w:pPr>
        <w:jc w:val="both"/>
        <w:rPr>
          <w:szCs w:val="20"/>
          <w:lang w:eastAsia="sl-SI"/>
        </w:rPr>
      </w:pPr>
    </w:p>
    <w:p w14:paraId="6025A244" w14:textId="77777777" w:rsidR="008525EB" w:rsidRDefault="008525EB" w:rsidP="00DA6DCE">
      <w:pPr>
        <w:jc w:val="both"/>
        <w:rPr>
          <w:szCs w:val="20"/>
          <w:lang w:eastAsia="sl-SI"/>
        </w:rPr>
      </w:pPr>
    </w:p>
    <w:p w14:paraId="03110F70" w14:textId="77777777" w:rsidR="008525EB" w:rsidRDefault="008525EB" w:rsidP="00DA6DCE">
      <w:pPr>
        <w:jc w:val="both"/>
        <w:rPr>
          <w:szCs w:val="20"/>
          <w:lang w:eastAsia="sl-SI"/>
        </w:rPr>
      </w:pPr>
    </w:p>
    <w:p w14:paraId="07134B27" w14:textId="77777777" w:rsidR="008525EB" w:rsidRDefault="008525EB" w:rsidP="00DA6DCE">
      <w:pPr>
        <w:jc w:val="both"/>
        <w:rPr>
          <w:szCs w:val="20"/>
          <w:lang w:eastAsia="sl-SI"/>
        </w:rPr>
      </w:pPr>
    </w:p>
    <w:p w14:paraId="70CFC738" w14:textId="77777777" w:rsidR="008525EB" w:rsidRDefault="008525EB" w:rsidP="00DA6DCE">
      <w:pPr>
        <w:jc w:val="both"/>
        <w:rPr>
          <w:szCs w:val="20"/>
          <w:lang w:eastAsia="sl-SI"/>
        </w:rPr>
      </w:pPr>
    </w:p>
    <w:p w14:paraId="0FD7C49F" w14:textId="77777777" w:rsidR="00DC1F14" w:rsidRDefault="00DC1F14" w:rsidP="00DA6DCE">
      <w:pPr>
        <w:jc w:val="both"/>
        <w:rPr>
          <w:szCs w:val="20"/>
          <w:lang w:eastAsia="sl-SI"/>
        </w:rPr>
      </w:pPr>
    </w:p>
    <w:p w14:paraId="5A6551A2" w14:textId="77777777" w:rsidR="00DC1F14" w:rsidRDefault="00DC1F14" w:rsidP="00DA6DCE">
      <w:pPr>
        <w:jc w:val="both"/>
        <w:rPr>
          <w:szCs w:val="20"/>
          <w:lang w:eastAsia="sl-SI"/>
        </w:rPr>
      </w:pPr>
    </w:p>
    <w:p w14:paraId="335287B8" w14:textId="77777777" w:rsidR="00DC1F14" w:rsidRDefault="00DC1F14" w:rsidP="00DA6DCE">
      <w:pPr>
        <w:jc w:val="both"/>
        <w:rPr>
          <w:szCs w:val="20"/>
          <w:lang w:eastAsia="sl-SI"/>
        </w:rPr>
      </w:pPr>
    </w:p>
    <w:p w14:paraId="196638FC" w14:textId="77777777" w:rsidR="0071082B" w:rsidRDefault="0071082B" w:rsidP="0071082B">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lastRenderedPageBreak/>
        <w:t>PRIPOROČILO št. 2</w:t>
      </w:r>
    </w:p>
    <w:p w14:paraId="01A4EB33" w14:textId="77777777" w:rsidR="0071082B" w:rsidRDefault="0071082B" w:rsidP="0071082B">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473785CD" w14:textId="77777777" w:rsidR="00DC1F14" w:rsidRDefault="00DC1F14" w:rsidP="00DC1F14">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6E5B75">
        <w:rPr>
          <w:rFonts w:eastAsia="Times New Roman" w:cs="Times New Roman"/>
          <w:b/>
          <w:bCs/>
          <w:szCs w:val="24"/>
        </w:rPr>
        <w:t xml:space="preserve">Proračunska inšpekcija na podlagi drugega odstavka 104. člena </w:t>
      </w:r>
      <w:r>
        <w:rPr>
          <w:rFonts w:eastAsia="Times New Roman" w:cs="Times New Roman"/>
          <w:b/>
          <w:bCs/>
          <w:szCs w:val="24"/>
        </w:rPr>
        <w:t>ZJF</w:t>
      </w:r>
      <w:r w:rsidRPr="006E5B75">
        <w:rPr>
          <w:rFonts w:eastAsia="Times New Roman" w:cs="Times New Roman"/>
          <w:b/>
          <w:bCs/>
          <w:szCs w:val="24"/>
        </w:rPr>
        <w:t xml:space="preserve"> pr</w:t>
      </w:r>
      <w:r>
        <w:rPr>
          <w:rFonts w:eastAsia="Times New Roman" w:cs="Times New Roman"/>
          <w:b/>
          <w:bCs/>
          <w:szCs w:val="24"/>
        </w:rPr>
        <w:t>edlaga</w:t>
      </w:r>
      <w:r w:rsidRPr="006E5B75">
        <w:rPr>
          <w:rFonts w:eastAsia="Times New Roman" w:cs="Times New Roman"/>
          <w:b/>
          <w:bCs/>
          <w:szCs w:val="24"/>
        </w:rPr>
        <w:t xml:space="preserve">, da MVZI </w:t>
      </w:r>
      <w:r>
        <w:rPr>
          <w:rFonts w:eastAsia="Times New Roman" w:cs="Times New Roman"/>
          <w:b/>
          <w:bCs/>
          <w:szCs w:val="24"/>
        </w:rPr>
        <w:t>zagotovi</w:t>
      </w:r>
      <w:r w:rsidRPr="006E5B75">
        <w:rPr>
          <w:rFonts w:eastAsia="Times New Roman" w:cs="Times New Roman"/>
          <w:b/>
          <w:bCs/>
          <w:szCs w:val="24"/>
        </w:rPr>
        <w:t xml:space="preserve">, da EMUNI Univerza </w:t>
      </w:r>
      <w:r>
        <w:rPr>
          <w:rFonts w:eastAsia="Times New Roman" w:cs="Times New Roman"/>
          <w:b/>
          <w:bCs/>
          <w:szCs w:val="24"/>
        </w:rPr>
        <w:t xml:space="preserve">v prihodnje </w:t>
      </w:r>
      <w:r w:rsidRPr="006E5B75">
        <w:rPr>
          <w:rFonts w:eastAsia="Times New Roman" w:cs="Times New Roman"/>
          <w:b/>
          <w:bCs/>
          <w:szCs w:val="24"/>
        </w:rPr>
        <w:t>vsako leto kot obvezno prilogo k Letnemu poročilu pripravi kratko, pregledno in sistematično primerjalno analizo načrtovanih ter dejansko doseženih ciljev za posamezne dejavnosti in projekte.</w:t>
      </w:r>
      <w:r>
        <w:rPr>
          <w:rFonts w:eastAsia="Times New Roman" w:cs="Times New Roman"/>
          <w:b/>
          <w:bCs/>
          <w:szCs w:val="24"/>
        </w:rPr>
        <w:t xml:space="preserve"> </w:t>
      </w:r>
      <w:r w:rsidRPr="0066170F">
        <w:rPr>
          <w:rFonts w:eastAsia="Times New Roman" w:cs="Times New Roman"/>
          <w:b/>
          <w:bCs/>
          <w:szCs w:val="24"/>
        </w:rPr>
        <w:t>Analiza naj vključuje tako finančne kazalnike kot tudi izvedbene in operativne rezultate, vključno z obsegom izvedenih študijskih programov, številom vpisanih in diplomiranih študentov, obsegom mednarodnih izmenjav</w:t>
      </w:r>
      <w:r>
        <w:rPr>
          <w:rFonts w:eastAsia="Times New Roman" w:cs="Times New Roman"/>
          <w:b/>
          <w:bCs/>
          <w:szCs w:val="24"/>
        </w:rPr>
        <w:t>,</w:t>
      </w:r>
      <w:r w:rsidRPr="0066170F">
        <w:rPr>
          <w:rFonts w:eastAsia="Times New Roman" w:cs="Times New Roman"/>
          <w:b/>
          <w:bCs/>
          <w:szCs w:val="24"/>
        </w:rPr>
        <w:t xml:space="preserve"> izvedenimi raziskovalnimi </w:t>
      </w:r>
      <w:r>
        <w:rPr>
          <w:rFonts w:eastAsia="Times New Roman" w:cs="Times New Roman"/>
          <w:b/>
          <w:bCs/>
          <w:szCs w:val="24"/>
        </w:rPr>
        <w:t xml:space="preserve">in razvojnimi </w:t>
      </w:r>
      <w:r w:rsidRPr="0066170F">
        <w:rPr>
          <w:rFonts w:eastAsia="Times New Roman" w:cs="Times New Roman"/>
          <w:b/>
          <w:bCs/>
          <w:szCs w:val="24"/>
        </w:rPr>
        <w:t>dejavnostmi</w:t>
      </w:r>
      <w:r>
        <w:rPr>
          <w:rFonts w:eastAsia="Times New Roman" w:cs="Times New Roman"/>
          <w:b/>
          <w:bCs/>
          <w:szCs w:val="24"/>
        </w:rPr>
        <w:t xml:space="preserve"> itd.</w:t>
      </w:r>
      <w:r w:rsidRPr="0066170F">
        <w:rPr>
          <w:rFonts w:eastAsia="Times New Roman" w:cs="Times New Roman"/>
          <w:b/>
          <w:bCs/>
          <w:szCs w:val="24"/>
        </w:rPr>
        <w:t xml:space="preserve">. </w:t>
      </w:r>
      <w:r w:rsidRPr="0071082B">
        <w:rPr>
          <w:rFonts w:eastAsia="Times New Roman" w:cs="Times New Roman"/>
          <w:b/>
          <w:bCs/>
          <w:szCs w:val="24"/>
        </w:rPr>
        <w:t>Tak pristop bo omogočil celovitejše spremljanje delovanja univerze glede na strateške in operativne cilje ter zagotavljal pregledno in učinkovito ocenjevanje učinka dodeljenih proračunskih sredstev na letni ravni, s tem pa prispeval k namenski, upravičeni, transparentni in učinkoviti porabi proračunskih sredstev v skladu z določbami ZJF.</w:t>
      </w:r>
    </w:p>
    <w:p w14:paraId="3814DAC5" w14:textId="77777777" w:rsidR="00DC1F14" w:rsidRPr="0049726C" w:rsidRDefault="00DC1F14" w:rsidP="00DC1F14">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1319947B" w14:textId="77777777" w:rsidR="00DC1F14" w:rsidRPr="0049726C" w:rsidRDefault="00DC1F14" w:rsidP="00DC1F14">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49726C">
        <w:rPr>
          <w:rFonts w:eastAsia="Times New Roman" w:cs="Times New Roman"/>
          <w:b/>
          <w:bCs/>
          <w:szCs w:val="24"/>
        </w:rPr>
        <w:t xml:space="preserve">MVZI naj o </w:t>
      </w:r>
      <w:r>
        <w:rPr>
          <w:rFonts w:eastAsia="Times New Roman" w:cs="Times New Roman"/>
          <w:b/>
          <w:bCs/>
          <w:szCs w:val="24"/>
        </w:rPr>
        <w:t xml:space="preserve">načinu izvedbe </w:t>
      </w:r>
      <w:r w:rsidRPr="0049726C">
        <w:rPr>
          <w:rFonts w:eastAsia="Times New Roman" w:cs="Times New Roman"/>
          <w:b/>
          <w:bCs/>
          <w:szCs w:val="24"/>
        </w:rPr>
        <w:t>naveden</w:t>
      </w:r>
      <w:r>
        <w:rPr>
          <w:rFonts w:eastAsia="Times New Roman" w:cs="Times New Roman"/>
          <w:b/>
          <w:bCs/>
          <w:szCs w:val="24"/>
        </w:rPr>
        <w:t>ega</w:t>
      </w:r>
      <w:r w:rsidRPr="0049726C">
        <w:rPr>
          <w:rFonts w:eastAsia="Times New Roman" w:cs="Times New Roman"/>
          <w:b/>
          <w:bCs/>
          <w:szCs w:val="24"/>
        </w:rPr>
        <w:t xml:space="preserve"> </w:t>
      </w:r>
      <w:r>
        <w:rPr>
          <w:rFonts w:eastAsia="Times New Roman" w:cs="Times New Roman"/>
          <w:b/>
          <w:bCs/>
          <w:szCs w:val="24"/>
        </w:rPr>
        <w:t>ukrepa ter seznanitvi EMUNI Univerze</w:t>
      </w:r>
      <w:r w:rsidRPr="0049726C">
        <w:rPr>
          <w:rFonts w:eastAsia="Times New Roman" w:cs="Times New Roman"/>
          <w:b/>
          <w:bCs/>
          <w:szCs w:val="24"/>
        </w:rPr>
        <w:t xml:space="preserve"> obvesti </w:t>
      </w:r>
      <w:r>
        <w:rPr>
          <w:rFonts w:eastAsia="Times New Roman" w:cs="Times New Roman"/>
          <w:b/>
          <w:bCs/>
          <w:szCs w:val="24"/>
        </w:rPr>
        <w:t xml:space="preserve">proračunsko inšpekcijo </w:t>
      </w:r>
      <w:r w:rsidRPr="0049726C">
        <w:rPr>
          <w:rFonts w:eastAsia="Times New Roman" w:cs="Times New Roman"/>
          <w:b/>
          <w:bCs/>
          <w:szCs w:val="24"/>
        </w:rPr>
        <w:t xml:space="preserve">v roku </w:t>
      </w:r>
      <w:r>
        <w:rPr>
          <w:rFonts w:eastAsia="Times New Roman" w:cs="Times New Roman"/>
          <w:b/>
          <w:bCs/>
          <w:szCs w:val="24"/>
        </w:rPr>
        <w:t>30</w:t>
      </w:r>
      <w:r w:rsidRPr="0049726C">
        <w:rPr>
          <w:rFonts w:eastAsia="Times New Roman" w:cs="Times New Roman"/>
          <w:b/>
          <w:bCs/>
          <w:szCs w:val="24"/>
        </w:rPr>
        <w:t xml:space="preserve"> dni od prejema tega zapisnika</w:t>
      </w:r>
      <w:r>
        <w:rPr>
          <w:rFonts w:eastAsia="Times New Roman" w:cs="Times New Roman"/>
          <w:b/>
          <w:bCs/>
          <w:szCs w:val="24"/>
        </w:rPr>
        <w:t>.</w:t>
      </w:r>
    </w:p>
    <w:p w14:paraId="1CAA86E5" w14:textId="77777777" w:rsidR="00AF3393" w:rsidRDefault="00AF3393" w:rsidP="00AF3393">
      <w:pPr>
        <w:jc w:val="both"/>
        <w:rPr>
          <w:rFonts w:eastAsia="Times New Roman" w:cs="Times New Roman"/>
          <w:szCs w:val="24"/>
        </w:rPr>
      </w:pPr>
    </w:p>
    <w:p w14:paraId="33DC2F7F" w14:textId="2C939C11" w:rsidR="00506A6A" w:rsidRPr="005E5A14" w:rsidRDefault="00506A6A" w:rsidP="005E5A14">
      <w:pPr>
        <w:jc w:val="both"/>
        <w:rPr>
          <w:rFonts w:eastAsia="Times New Roman" w:cs="Times New Roman"/>
          <w:szCs w:val="24"/>
        </w:rPr>
      </w:pPr>
      <w:r w:rsidRPr="005E5A14">
        <w:rPr>
          <w:rFonts w:eastAsia="Times New Roman" w:cs="Times New Roman"/>
          <w:szCs w:val="24"/>
        </w:rPr>
        <w:t>Inšpekcijski organ je pri pregledu Letnega poročila EMUNI Univerze za leto 2024 preučil</w:t>
      </w:r>
      <w:r w:rsidR="00172648">
        <w:rPr>
          <w:rFonts w:eastAsia="Times New Roman" w:cs="Times New Roman"/>
          <w:szCs w:val="24"/>
        </w:rPr>
        <w:t xml:space="preserve"> tudi</w:t>
      </w:r>
      <w:r w:rsidRPr="005E5A14">
        <w:rPr>
          <w:rFonts w:eastAsia="Times New Roman" w:cs="Times New Roman"/>
          <w:szCs w:val="24"/>
        </w:rPr>
        <w:t xml:space="preserve"> finančno poročilo, zlasti Poročilo o prihodkih in odhodkih po načelu denarnega toka. Od MVZI je zahteval pojasnila in pripadajoče knjigovodske listine za več izbranih vrst stroškov (IT storitve, računovodstvo, službena potovanja, </w:t>
      </w:r>
      <w:proofErr w:type="spellStart"/>
      <w:r w:rsidRPr="005E5A14">
        <w:rPr>
          <w:rFonts w:eastAsia="Times New Roman" w:cs="Times New Roman"/>
          <w:szCs w:val="24"/>
        </w:rPr>
        <w:t>podjemne</w:t>
      </w:r>
      <w:proofErr w:type="spellEnd"/>
      <w:r w:rsidRPr="005E5A14">
        <w:rPr>
          <w:rFonts w:eastAsia="Times New Roman" w:cs="Times New Roman"/>
          <w:szCs w:val="24"/>
        </w:rPr>
        <w:t xml:space="preserve"> pogodbe, propaganda in reprezentanca). Pri vsaki kategoriji je pregledal deset najvišjih računov. Ugotovil je, da računi izdajateljev večinoma vsebujejo le pavšalne opise opravljenih storitev, kar ne omogoča preverljivega in preglednega nadzora nad dejanskim obsegom izvedenih del. </w:t>
      </w:r>
    </w:p>
    <w:p w14:paraId="28C234B2" w14:textId="77777777" w:rsidR="00506A6A" w:rsidRDefault="00506A6A" w:rsidP="00506A6A">
      <w:pPr>
        <w:pStyle w:val="Odstavekseznama"/>
        <w:ind w:left="360"/>
        <w:jc w:val="both"/>
        <w:rPr>
          <w:rFonts w:eastAsia="Times New Roman" w:cs="Times New Roman"/>
          <w:szCs w:val="24"/>
        </w:rPr>
      </w:pPr>
    </w:p>
    <w:p w14:paraId="242D2153" w14:textId="77777777" w:rsidR="00853FF4" w:rsidRDefault="00853FF4" w:rsidP="00853FF4">
      <w:pPr>
        <w:jc w:val="both"/>
        <w:rPr>
          <w:szCs w:val="20"/>
          <w:lang w:eastAsia="sl-SI"/>
        </w:rPr>
      </w:pPr>
      <w:r w:rsidRPr="00A2134F">
        <w:rPr>
          <w:szCs w:val="20"/>
          <w:lang w:eastAsia="sl-SI"/>
        </w:rPr>
        <w:t xml:space="preserve">Proračunska inšpekcija </w:t>
      </w:r>
      <w:r>
        <w:rPr>
          <w:szCs w:val="20"/>
          <w:lang w:eastAsia="sl-SI"/>
        </w:rPr>
        <w:t>zato ugotavlja</w:t>
      </w:r>
      <w:r w:rsidRPr="00A2134F">
        <w:rPr>
          <w:szCs w:val="20"/>
          <w:lang w:eastAsia="sl-SI"/>
        </w:rPr>
        <w:t xml:space="preserve">, da je za zagotovitev transparentnega in sledljivega evidentiranja opravljenih storitev nujno, da </w:t>
      </w:r>
      <w:r>
        <w:rPr>
          <w:szCs w:val="20"/>
          <w:lang w:eastAsia="sl-SI"/>
        </w:rPr>
        <w:t>prejeti računi univerze EMUNI, ki so podlaga za financiranje iz državnega proračuna, nedvoumno in popolno izkazujejo nastanek poslovnega dogodka, kar pomeni, da naj univerza od izvajalcev zahteva da</w:t>
      </w:r>
      <w:r w:rsidRPr="00A2134F">
        <w:rPr>
          <w:szCs w:val="20"/>
          <w:lang w:eastAsia="sl-SI"/>
        </w:rPr>
        <w:t xml:space="preserve"> k izdanemu računu priložijo natančno, časovno opredeljeno specifikacijo opravljenega dela</w:t>
      </w:r>
      <w:r>
        <w:rPr>
          <w:szCs w:val="20"/>
          <w:lang w:eastAsia="sl-SI"/>
        </w:rPr>
        <w:t>. Vsak izdatek iz proračuna mora imeti za podlago verodostojno knjigovodsko listino (54. člen ZJF). Na podlagi navedenega se</w:t>
      </w:r>
      <w:r w:rsidRPr="006B2C57">
        <w:rPr>
          <w:szCs w:val="20"/>
          <w:lang w:eastAsia="sl-SI"/>
        </w:rPr>
        <w:t xml:space="preserve"> Ministrstvu za visoko šolstvo, znanost in inovacije predlaga naslednj</w:t>
      </w:r>
      <w:r>
        <w:rPr>
          <w:szCs w:val="20"/>
          <w:lang w:eastAsia="sl-SI"/>
        </w:rPr>
        <w:t>e priporočilo:</w:t>
      </w:r>
    </w:p>
    <w:p w14:paraId="1E4EEF21" w14:textId="77777777" w:rsidR="00506A6A" w:rsidRPr="00A2134F" w:rsidRDefault="00506A6A" w:rsidP="00506A6A">
      <w:pPr>
        <w:jc w:val="both"/>
        <w:rPr>
          <w:szCs w:val="20"/>
          <w:lang w:eastAsia="sl-SI"/>
        </w:rPr>
      </w:pPr>
    </w:p>
    <w:p w14:paraId="55388520" w14:textId="77777777" w:rsidR="00506A6A" w:rsidRDefault="00506A6A" w:rsidP="00506A6A">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PRIPOROČILO št. 3</w:t>
      </w:r>
    </w:p>
    <w:p w14:paraId="7458090B" w14:textId="77777777" w:rsidR="00506A6A" w:rsidRDefault="00506A6A" w:rsidP="00506A6A">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32775ABC" w14:textId="506E8C65" w:rsidR="00DC1F14" w:rsidRDefault="00DC1F14" w:rsidP="00DC1F14">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A2134F">
        <w:rPr>
          <w:rFonts w:eastAsia="Times New Roman" w:cs="Times New Roman"/>
          <w:b/>
          <w:bCs/>
          <w:szCs w:val="24"/>
        </w:rPr>
        <w:t xml:space="preserve">Proračunska inšpekcija na podlagi drugega odstavka 104. člena ZJF predlaga, da </w:t>
      </w:r>
      <w:r>
        <w:rPr>
          <w:rFonts w:eastAsia="Times New Roman" w:cs="Times New Roman"/>
          <w:b/>
          <w:bCs/>
          <w:szCs w:val="24"/>
        </w:rPr>
        <w:t>MVZI</w:t>
      </w:r>
      <w:r w:rsidRPr="00A2134F">
        <w:rPr>
          <w:rFonts w:eastAsia="Times New Roman" w:cs="Times New Roman"/>
          <w:b/>
          <w:bCs/>
          <w:szCs w:val="24"/>
        </w:rPr>
        <w:t xml:space="preserve"> zagotovi, da EMUNI Univerza </w:t>
      </w:r>
      <w:r>
        <w:rPr>
          <w:rFonts w:eastAsia="Times New Roman" w:cs="Times New Roman"/>
          <w:b/>
          <w:bCs/>
          <w:szCs w:val="24"/>
        </w:rPr>
        <w:t>v prihodnje zagotovi verodostojne knjigovodske listine z vsemi potrebnimi podatki, ki bodo izkazovali dejansko nastali poslovni dogodek</w:t>
      </w:r>
      <w:r w:rsidR="00D80954">
        <w:rPr>
          <w:rFonts w:eastAsia="Times New Roman" w:cs="Times New Roman"/>
          <w:b/>
          <w:bCs/>
          <w:szCs w:val="24"/>
        </w:rPr>
        <w:t>,</w:t>
      </w:r>
      <w:r>
        <w:rPr>
          <w:rFonts w:eastAsia="Times New Roman" w:cs="Times New Roman"/>
          <w:b/>
          <w:bCs/>
          <w:szCs w:val="24"/>
        </w:rPr>
        <w:t xml:space="preserve"> in </w:t>
      </w:r>
      <w:r w:rsidRPr="00A2134F">
        <w:rPr>
          <w:rFonts w:eastAsia="Times New Roman" w:cs="Times New Roman"/>
          <w:b/>
          <w:bCs/>
          <w:szCs w:val="24"/>
        </w:rPr>
        <w:t>od vseh izvajalcev storitev zahteva, da k vsakemu izdanemu računu priložijo natančno specifikacijo opravljenih storitev. Specifikacija mora vsebovati jasen opis izvedenega dela, datum izvedbe posamezne aktivnosti ter število opravljenih ur po posameznih dneh.</w:t>
      </w:r>
    </w:p>
    <w:p w14:paraId="1D1376F9" w14:textId="77777777" w:rsidR="00886242" w:rsidRDefault="00886242" w:rsidP="00DC1F14">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27E0A974" w14:textId="2B2B751B" w:rsidR="00DC1F14" w:rsidRPr="00A2134F" w:rsidRDefault="00886242" w:rsidP="00DC1F14">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886242">
        <w:rPr>
          <w:rFonts w:eastAsia="Times New Roman" w:cs="Times New Roman"/>
          <w:b/>
          <w:bCs/>
          <w:szCs w:val="24"/>
        </w:rPr>
        <w:t>MVZI naj proračunsko inšpekcijo v roku 30 dni od prejema tega zapisnika obvesti o načinu izvedbe navedenega priporočila ter o seznanitvi Univerze EMUNI z njim. Prav tako naj proračunski inšpekciji posreduje prvih pet naslednjih računov, ki jih bo Univerza EMUNI prejela in ki bodo že vsebovali vse zahtevane podatke ter priloženo specifikacijo v skladu s priporočilom.</w:t>
      </w:r>
    </w:p>
    <w:p w14:paraId="5961DA1D" w14:textId="77777777" w:rsidR="00506A6A" w:rsidRDefault="00506A6A" w:rsidP="00AF3393">
      <w:pPr>
        <w:jc w:val="both"/>
        <w:rPr>
          <w:rFonts w:eastAsia="Times New Roman" w:cs="Times New Roman"/>
          <w:szCs w:val="24"/>
        </w:rPr>
      </w:pPr>
    </w:p>
    <w:p w14:paraId="5505B058" w14:textId="77777777" w:rsidR="00AF3393" w:rsidRDefault="00AF3393" w:rsidP="00AF3393">
      <w:pPr>
        <w:pStyle w:val="podpisi"/>
        <w:tabs>
          <w:tab w:val="left" w:pos="708"/>
        </w:tabs>
        <w:spacing w:line="260" w:lineRule="atLeast"/>
        <w:jc w:val="both"/>
        <w:rPr>
          <w:rFonts w:cs="Arial"/>
          <w:szCs w:val="20"/>
          <w:lang w:val="sl-SI"/>
        </w:rPr>
      </w:pPr>
      <w:r>
        <w:rPr>
          <w:rFonts w:cs="Arial"/>
          <w:szCs w:val="20"/>
          <w:lang w:val="sl-SI"/>
        </w:rPr>
        <w:t xml:space="preserve">V skladu s 116. členom </w:t>
      </w:r>
      <w:r>
        <w:rPr>
          <w:rFonts w:cs="Arial"/>
          <w:szCs w:val="20"/>
          <w:lang w:val="sl-SI" w:eastAsia="sl-SI"/>
        </w:rPr>
        <w:t>Zakona o splošnem upravnem postopku - ZUP</w:t>
      </w:r>
      <w:r>
        <w:rPr>
          <w:rFonts w:cs="Arial"/>
          <w:szCs w:val="20"/>
          <w:lang w:val="sl-SI"/>
        </w:rPr>
        <w:t xml:space="preserve"> mora stranka povrnitev morebitnih nastalih stroškov zahtevati do izdaje odločbe, sicer izgubi pravico do povrnitve stroškov.</w:t>
      </w:r>
    </w:p>
    <w:p w14:paraId="16444187" w14:textId="77777777" w:rsidR="00AF3393" w:rsidRDefault="00AF3393" w:rsidP="00AF3393">
      <w:pPr>
        <w:pStyle w:val="podpisi"/>
        <w:tabs>
          <w:tab w:val="left" w:pos="708"/>
        </w:tabs>
        <w:spacing w:line="260" w:lineRule="atLeast"/>
        <w:jc w:val="both"/>
        <w:rPr>
          <w:rFonts w:cs="Arial"/>
          <w:b/>
          <w:bCs/>
          <w:szCs w:val="20"/>
          <w:lang w:val="sl-SI"/>
        </w:rPr>
      </w:pPr>
    </w:p>
    <w:p w14:paraId="53929AA7" w14:textId="77777777" w:rsidR="00AF3393" w:rsidRDefault="00AF3393" w:rsidP="00AF3393">
      <w:pPr>
        <w:pStyle w:val="podpisi"/>
        <w:tabs>
          <w:tab w:val="left" w:pos="708"/>
        </w:tabs>
        <w:spacing w:line="260" w:lineRule="atLeast"/>
        <w:jc w:val="both"/>
        <w:rPr>
          <w:rFonts w:cs="Arial"/>
          <w:b/>
          <w:bCs/>
          <w:szCs w:val="20"/>
          <w:lang w:val="sl-SI"/>
        </w:rPr>
      </w:pPr>
    </w:p>
    <w:p w14:paraId="3A43E4DD" w14:textId="77777777" w:rsidR="00AF3393" w:rsidRDefault="00AF3393" w:rsidP="00AF3393">
      <w:pPr>
        <w:pStyle w:val="podpisi"/>
        <w:tabs>
          <w:tab w:val="left" w:pos="708"/>
        </w:tabs>
        <w:spacing w:line="260" w:lineRule="atLeast"/>
        <w:jc w:val="both"/>
        <w:rPr>
          <w:rFonts w:cs="Arial"/>
          <w:b/>
          <w:bCs/>
          <w:szCs w:val="20"/>
          <w:lang w:val="sl-SI"/>
        </w:rPr>
      </w:pPr>
    </w:p>
    <w:p w14:paraId="59AFD736" w14:textId="77777777" w:rsidR="00AF3393" w:rsidRDefault="00AF3393" w:rsidP="00AF3393">
      <w:pPr>
        <w:jc w:val="both"/>
        <w:rPr>
          <w:b/>
          <w:bCs/>
        </w:rPr>
      </w:pPr>
      <w:r>
        <w:rPr>
          <w:b/>
          <w:bCs/>
        </w:rPr>
        <w:lastRenderedPageBreak/>
        <w:t>Pouk o pravnem sredstvu</w:t>
      </w:r>
    </w:p>
    <w:p w14:paraId="49E02628" w14:textId="5D58E1CE" w:rsidR="00AF3393" w:rsidRDefault="00AF3393" w:rsidP="00AF3393">
      <w:pPr>
        <w:tabs>
          <w:tab w:val="center" w:pos="4320"/>
          <w:tab w:val="center" w:pos="5245"/>
          <w:tab w:val="right" w:pos="8640"/>
        </w:tabs>
        <w:jc w:val="both"/>
        <w:rPr>
          <w:rFonts w:cs="Arial"/>
          <w:szCs w:val="20"/>
        </w:rPr>
      </w:pPr>
      <w:r>
        <w:rPr>
          <w:rFonts w:cs="Arial"/>
          <w:szCs w:val="20"/>
        </w:rPr>
        <w:t xml:space="preserve">Zoper ta dodatek k zapisniku so dovoljene pripombe na Ministrstvo za finance, Urad Republike Slovenije za nadzor proračuna, Fajfarjeva ulica 33, 1502 Ljubljana, ali na elektronski naslov </w:t>
      </w:r>
      <w:hyperlink r:id="rId21" w:history="1">
        <w:r>
          <w:rPr>
            <w:rStyle w:val="Hiperpovezava"/>
            <w:rFonts w:cs="Arial"/>
            <w:szCs w:val="20"/>
          </w:rPr>
          <w:t>mf.unp@gov.si</w:t>
        </w:r>
      </w:hyperlink>
      <w:r>
        <w:rPr>
          <w:rFonts w:cs="Arial"/>
          <w:szCs w:val="20"/>
        </w:rPr>
        <w:t>, v roku 15 dni po vročitvi zapisnik</w:t>
      </w:r>
      <w:r w:rsidR="00004707">
        <w:rPr>
          <w:rFonts w:cs="Arial"/>
          <w:szCs w:val="20"/>
        </w:rPr>
        <w:t>a</w:t>
      </w:r>
      <w:r>
        <w:rPr>
          <w:rFonts w:cs="Arial"/>
          <w:szCs w:val="20"/>
        </w:rPr>
        <w:t>.</w:t>
      </w:r>
    </w:p>
    <w:p w14:paraId="3724A9D1" w14:textId="77777777" w:rsidR="00AF3393" w:rsidRPr="009D5D11" w:rsidRDefault="00AF3393" w:rsidP="00AF3393">
      <w:pPr>
        <w:jc w:val="both"/>
        <w:rPr>
          <w:rFonts w:eastAsia="Times New Roman" w:cs="Times New Roman"/>
          <w:szCs w:val="24"/>
        </w:rPr>
      </w:pPr>
    </w:p>
    <w:p w14:paraId="1493963D" w14:textId="77777777" w:rsidR="00AF3393" w:rsidRPr="0031610B" w:rsidRDefault="00AF3393" w:rsidP="00AF3393">
      <w:pPr>
        <w:spacing w:line="360" w:lineRule="auto"/>
        <w:jc w:val="both"/>
        <w:rPr>
          <w:rFonts w:eastAsia="Times New Roman" w:cs="Times New Roman"/>
          <w:szCs w:val="24"/>
        </w:rPr>
      </w:pPr>
    </w:p>
    <w:p w14:paraId="7CF7576E" w14:textId="05E13D22" w:rsidR="00AF3393" w:rsidRDefault="00AF3393" w:rsidP="00AF3393">
      <w:pPr>
        <w:spacing w:line="276" w:lineRule="auto"/>
        <w:jc w:val="center"/>
        <w:rPr>
          <w:rFonts w:eastAsia="Times New Roman" w:cs="Times New Roman"/>
          <w:szCs w:val="24"/>
        </w:rPr>
      </w:pPr>
      <w:r>
        <w:rPr>
          <w:rFonts w:eastAsia="Times New Roman" w:cs="Times New Roman"/>
          <w:szCs w:val="24"/>
        </w:rPr>
        <w:t xml:space="preserve">                                                                                                                 </w:t>
      </w:r>
      <w:r w:rsidR="00AB2ED7" w:rsidRPr="00AB2ED7">
        <w:rPr>
          <w:rFonts w:cs="Arial"/>
          <w:szCs w:val="20"/>
          <w:lang w:eastAsia="sl-SI"/>
        </w:rPr>
        <w:t>█</w:t>
      </w:r>
      <w:r>
        <w:rPr>
          <w:rFonts w:eastAsia="Times New Roman" w:cs="Times New Roman"/>
          <w:szCs w:val="24"/>
        </w:rPr>
        <w:t xml:space="preserve">, </w:t>
      </w:r>
    </w:p>
    <w:p w14:paraId="37E21CC9" w14:textId="77777777" w:rsidR="00AF3393" w:rsidRPr="0031610B" w:rsidRDefault="00AF3393" w:rsidP="00AF3393">
      <w:pPr>
        <w:spacing w:line="276" w:lineRule="auto"/>
        <w:jc w:val="both"/>
        <w:rPr>
          <w:rFonts w:eastAsia="Times New Roman" w:cs="Times New Roman"/>
          <w:szCs w:val="24"/>
        </w:rPr>
      </w:pPr>
      <w:r>
        <w:rPr>
          <w:rFonts w:eastAsia="Times New Roman" w:cs="Times New Roman"/>
          <w:szCs w:val="24"/>
        </w:rPr>
        <w:t xml:space="preserve">                                                                                                                proračunska inšpektorica,        </w:t>
      </w:r>
      <w:r w:rsidRPr="0031610B">
        <w:rPr>
          <w:rFonts w:eastAsia="Times New Roman" w:cs="Times New Roman"/>
          <w:szCs w:val="24"/>
        </w:rPr>
        <w:t xml:space="preserve">                                                                   </w:t>
      </w:r>
    </w:p>
    <w:p w14:paraId="78770E60" w14:textId="77777777" w:rsidR="00AF3393" w:rsidRPr="0031610B" w:rsidRDefault="00AF3393" w:rsidP="00AF3393">
      <w:pPr>
        <w:spacing w:line="276" w:lineRule="auto"/>
        <w:jc w:val="center"/>
        <w:rPr>
          <w:rFonts w:eastAsia="Times New Roman" w:cs="Times New Roman"/>
          <w:szCs w:val="24"/>
        </w:rPr>
      </w:pPr>
      <w:r>
        <w:rPr>
          <w:rFonts w:eastAsia="Times New Roman" w:cs="Times New Roman"/>
          <w:szCs w:val="24"/>
        </w:rPr>
        <w:t xml:space="preserve">                                                                                                                 i</w:t>
      </w:r>
      <w:r w:rsidRPr="0031610B">
        <w:rPr>
          <w:rFonts w:eastAsia="Times New Roman" w:cs="Times New Roman"/>
          <w:szCs w:val="24"/>
        </w:rPr>
        <w:t>nšpektor</w:t>
      </w:r>
      <w:r>
        <w:rPr>
          <w:rFonts w:eastAsia="Times New Roman" w:cs="Times New Roman"/>
          <w:szCs w:val="24"/>
        </w:rPr>
        <w:t>ica</w:t>
      </w:r>
      <w:r w:rsidRPr="0031610B">
        <w:rPr>
          <w:rFonts w:eastAsia="Times New Roman" w:cs="Times New Roman"/>
          <w:szCs w:val="24"/>
        </w:rPr>
        <w:t xml:space="preserve"> – svetni</w:t>
      </w:r>
      <w:r>
        <w:rPr>
          <w:rFonts w:eastAsia="Times New Roman" w:cs="Times New Roman"/>
          <w:szCs w:val="24"/>
        </w:rPr>
        <w:t>ca</w:t>
      </w:r>
      <w:r w:rsidRPr="0031610B">
        <w:rPr>
          <w:rFonts w:eastAsia="Times New Roman" w:cs="Times New Roman"/>
          <w:szCs w:val="24"/>
        </w:rPr>
        <w:t xml:space="preserve">                                                                        </w:t>
      </w:r>
    </w:p>
    <w:p w14:paraId="0A6F8465" w14:textId="77777777" w:rsidR="00AF3393" w:rsidRDefault="00AF3393" w:rsidP="00AF3393">
      <w:pPr>
        <w:spacing w:line="276" w:lineRule="auto"/>
        <w:jc w:val="both"/>
        <w:rPr>
          <w:rFonts w:eastAsia="Times New Roman" w:cs="Times New Roman"/>
          <w:szCs w:val="24"/>
        </w:rPr>
      </w:pPr>
    </w:p>
    <w:p w14:paraId="1D28E5DC" w14:textId="77777777" w:rsidR="005E5A14" w:rsidRDefault="005E5A14" w:rsidP="00AF3393">
      <w:pPr>
        <w:spacing w:line="276" w:lineRule="auto"/>
        <w:jc w:val="both"/>
        <w:rPr>
          <w:rFonts w:eastAsia="Times New Roman" w:cs="Times New Roman"/>
          <w:szCs w:val="24"/>
        </w:rPr>
      </w:pPr>
    </w:p>
    <w:p w14:paraId="0040F050" w14:textId="77777777" w:rsidR="005E5A14" w:rsidRDefault="005E5A14" w:rsidP="00AF3393">
      <w:pPr>
        <w:spacing w:line="276" w:lineRule="auto"/>
        <w:jc w:val="both"/>
        <w:rPr>
          <w:rFonts w:eastAsia="Times New Roman" w:cs="Times New Roman"/>
          <w:szCs w:val="24"/>
        </w:rPr>
      </w:pPr>
    </w:p>
    <w:p w14:paraId="4B1941F4" w14:textId="77777777" w:rsidR="005E5A14" w:rsidRDefault="005E5A14" w:rsidP="00AF3393">
      <w:pPr>
        <w:spacing w:line="276" w:lineRule="auto"/>
        <w:jc w:val="both"/>
        <w:rPr>
          <w:rFonts w:eastAsia="Times New Roman" w:cs="Times New Roman"/>
          <w:szCs w:val="24"/>
        </w:rPr>
      </w:pPr>
    </w:p>
    <w:p w14:paraId="70355DAB" w14:textId="77777777" w:rsidR="005E5A14" w:rsidRDefault="005E5A14" w:rsidP="00AF3393">
      <w:pPr>
        <w:spacing w:line="276" w:lineRule="auto"/>
        <w:jc w:val="both"/>
        <w:rPr>
          <w:rFonts w:eastAsia="Times New Roman" w:cs="Times New Roman"/>
          <w:szCs w:val="24"/>
        </w:rPr>
      </w:pPr>
    </w:p>
    <w:p w14:paraId="231F565B" w14:textId="77777777" w:rsidR="00AF3393" w:rsidRPr="000F2247" w:rsidRDefault="00AF3393" w:rsidP="00AF3393">
      <w:pPr>
        <w:spacing w:line="276" w:lineRule="auto"/>
        <w:jc w:val="both"/>
        <w:rPr>
          <w:rFonts w:eastAsia="Times New Roman" w:cs="Times New Roman"/>
          <w:szCs w:val="24"/>
        </w:rPr>
      </w:pPr>
      <w:r w:rsidRPr="000F2247">
        <w:rPr>
          <w:rFonts w:eastAsia="Times New Roman" w:cs="Times New Roman"/>
          <w:szCs w:val="24"/>
        </w:rPr>
        <w:t>VROČITI:</w:t>
      </w:r>
    </w:p>
    <w:p w14:paraId="6623EFB8" w14:textId="28E69963" w:rsidR="008D3E5D" w:rsidRPr="003A23E7" w:rsidRDefault="00AF3393" w:rsidP="003A23E7">
      <w:pPr>
        <w:pStyle w:val="Odstavekseznama"/>
        <w:numPr>
          <w:ilvl w:val="0"/>
          <w:numId w:val="10"/>
        </w:numPr>
        <w:spacing w:line="240" w:lineRule="auto"/>
        <w:jc w:val="both"/>
        <w:rPr>
          <w:rFonts w:cs="Arial"/>
          <w:b/>
          <w:bCs/>
          <w:szCs w:val="20"/>
        </w:rPr>
      </w:pPr>
      <w:r>
        <w:t>M</w:t>
      </w:r>
      <w:r w:rsidRPr="00AF3393">
        <w:t xml:space="preserve">inistrstvo za visoko šolstvo, znanost in inovacije, Masarykova cesta 16, 1000 Ljubljana </w:t>
      </w:r>
      <w:r w:rsidRPr="003A23E7">
        <w:rPr>
          <w:rStyle w:val="Hiperpovezava"/>
          <w:rFonts w:cs="Arial"/>
          <w:color w:val="auto"/>
          <w:u w:val="none"/>
        </w:rPr>
        <w:t xml:space="preserve">– </w:t>
      </w:r>
      <w:hyperlink r:id="rId22" w:history="1">
        <w:r w:rsidR="003A23E7" w:rsidRPr="003A23E7">
          <w:rPr>
            <w:rStyle w:val="Hiperpovezava"/>
            <w:rFonts w:eastAsia="Times New Roman" w:cs="Arial"/>
            <w:color w:val="auto"/>
            <w:szCs w:val="20"/>
            <w:u w:val="none"/>
            <w:lang w:eastAsia="sl-SI"/>
          </w:rPr>
          <w:t>gp.mvzi@gov.si</w:t>
        </w:r>
      </w:hyperlink>
    </w:p>
    <w:sectPr w:rsidR="008D3E5D" w:rsidRPr="003A23E7" w:rsidSect="00CD41B7">
      <w:type w:val="continuous"/>
      <w:pgSz w:w="11906" w:h="16838"/>
      <w:pgMar w:top="1276"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3D2D" w14:textId="77777777" w:rsidR="007C7E6C" w:rsidRDefault="007C7E6C" w:rsidP="00803BB2">
      <w:pPr>
        <w:spacing w:line="240" w:lineRule="auto"/>
      </w:pPr>
      <w:r>
        <w:separator/>
      </w:r>
    </w:p>
  </w:endnote>
  <w:endnote w:type="continuationSeparator" w:id="0">
    <w:p w14:paraId="7C784145" w14:textId="77777777" w:rsidR="007C7E6C" w:rsidRDefault="007C7E6C" w:rsidP="00803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5E6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EndPr/>
    <w:sdtContent>
      <w:sdt>
        <w:sdtPr>
          <w:id w:val="-1769616900"/>
          <w:docPartObj>
            <w:docPartGallery w:val="Page Numbers (Top of Page)"/>
            <w:docPartUnique/>
          </w:docPartObj>
        </w:sdtPr>
        <w:sdtEndPr/>
        <w:sdtContent>
          <w:p w14:paraId="29957EC1" w14:textId="016BD655" w:rsidR="00127976" w:rsidRDefault="00127976">
            <w:pPr>
              <w:pStyle w:val="Noga"/>
              <w:jc w:val="right"/>
            </w:pPr>
            <w:r w:rsidRPr="00127976">
              <w:rPr>
                <w:rFonts w:cs="Arial"/>
                <w:szCs w:val="20"/>
              </w:rPr>
              <w:fldChar w:fldCharType="begin"/>
            </w:r>
            <w:r w:rsidRPr="00127976">
              <w:rPr>
                <w:rFonts w:cs="Arial"/>
                <w:szCs w:val="20"/>
              </w:rPr>
              <w:instrText>PAGE</w:instrText>
            </w:r>
            <w:r w:rsidRPr="00127976">
              <w:rPr>
                <w:rFonts w:cs="Arial"/>
                <w:szCs w:val="20"/>
              </w:rPr>
              <w:fldChar w:fldCharType="separate"/>
            </w:r>
            <w:r w:rsidRPr="00127976">
              <w:rPr>
                <w:rFonts w:cs="Arial"/>
                <w:szCs w:val="20"/>
              </w:rPr>
              <w:t>2</w:t>
            </w:r>
            <w:r w:rsidRPr="00127976">
              <w:rPr>
                <w:rFonts w:cs="Arial"/>
                <w:szCs w:val="20"/>
              </w:rPr>
              <w:fldChar w:fldCharType="end"/>
            </w:r>
            <w:r w:rsidRPr="00127976">
              <w:rPr>
                <w:rFonts w:cs="Arial"/>
                <w:szCs w:val="20"/>
              </w:rPr>
              <w:t>/</w:t>
            </w:r>
            <w:r w:rsidRPr="00127976">
              <w:rPr>
                <w:rFonts w:cs="Arial"/>
                <w:szCs w:val="20"/>
              </w:rPr>
              <w:fldChar w:fldCharType="begin"/>
            </w:r>
            <w:r w:rsidRPr="00127976">
              <w:rPr>
                <w:rFonts w:cs="Arial"/>
                <w:szCs w:val="20"/>
              </w:rPr>
              <w:instrText>NUMPAGES</w:instrText>
            </w:r>
            <w:r w:rsidRPr="00127976">
              <w:rPr>
                <w:rFonts w:cs="Arial"/>
                <w:szCs w:val="20"/>
              </w:rPr>
              <w:fldChar w:fldCharType="separate"/>
            </w:r>
            <w:r w:rsidRPr="00127976">
              <w:rPr>
                <w:rFonts w:cs="Arial"/>
                <w:szCs w:val="20"/>
              </w:rPr>
              <w:t>2</w:t>
            </w:r>
            <w:r w:rsidRPr="00127976">
              <w:rPr>
                <w:rFonts w:cs="Arial"/>
                <w:szCs w:val="20"/>
              </w:rPr>
              <w:fldChar w:fldCharType="end"/>
            </w:r>
          </w:p>
        </w:sdtContent>
      </w:sdt>
    </w:sdtContent>
  </w:sdt>
  <w:p w14:paraId="1697247E"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2774" w14:textId="77777777" w:rsidR="007C7E6C" w:rsidRDefault="007C7E6C" w:rsidP="00803BB2">
      <w:pPr>
        <w:spacing w:line="240" w:lineRule="auto"/>
      </w:pPr>
      <w:r>
        <w:separator/>
      </w:r>
    </w:p>
  </w:footnote>
  <w:footnote w:type="continuationSeparator" w:id="0">
    <w:p w14:paraId="73830CE4" w14:textId="77777777" w:rsidR="007C7E6C" w:rsidRDefault="007C7E6C" w:rsidP="00803BB2">
      <w:pPr>
        <w:spacing w:line="240" w:lineRule="auto"/>
      </w:pPr>
      <w:r>
        <w:continuationSeparator/>
      </w:r>
    </w:p>
  </w:footnote>
  <w:footnote w:id="1">
    <w:p w14:paraId="17CBBF00" w14:textId="77777777" w:rsidR="008D3E5D" w:rsidRPr="0031531D" w:rsidRDefault="008D3E5D" w:rsidP="008D3E5D">
      <w:pPr>
        <w:pStyle w:val="Sprotnaopomba-besedilo"/>
        <w:jc w:val="both"/>
        <w:rPr>
          <w:rFonts w:cs="Arial"/>
          <w:sz w:val="16"/>
          <w:szCs w:val="16"/>
        </w:rPr>
      </w:pPr>
      <w:r w:rsidRPr="0031531D">
        <w:rPr>
          <w:rStyle w:val="Sprotnaopomba-sklic"/>
          <w:rFonts w:cs="Arial"/>
          <w:sz w:val="16"/>
          <w:szCs w:val="16"/>
        </w:rPr>
        <w:footnoteRef/>
      </w:r>
      <w:r w:rsidRPr="0031531D">
        <w:rPr>
          <w:rFonts w:cs="Arial"/>
          <w:sz w:val="16"/>
          <w:szCs w:val="16"/>
        </w:rPr>
        <w:t xml:space="preserve"> </w:t>
      </w:r>
      <w:r>
        <w:rPr>
          <w:rFonts w:cs="Arial"/>
          <w:sz w:val="16"/>
          <w:szCs w:val="16"/>
        </w:rPr>
        <w:t>Zakon o javnih financah (</w:t>
      </w:r>
      <w:r w:rsidRPr="0031531D">
        <w:rPr>
          <w:rFonts w:cs="Arial"/>
          <w:sz w:val="16"/>
          <w:szCs w:val="16"/>
        </w:rPr>
        <w:t xml:space="preserve">Uradni list RS, št. 11/11 – uradno prečiščeno besedilo, 14/13 – </w:t>
      </w:r>
      <w:proofErr w:type="spellStart"/>
      <w:r w:rsidRPr="0031531D">
        <w:rPr>
          <w:rFonts w:cs="Arial"/>
          <w:sz w:val="16"/>
          <w:szCs w:val="16"/>
        </w:rPr>
        <w:t>popr</w:t>
      </w:r>
      <w:proofErr w:type="spellEnd"/>
      <w:r w:rsidRPr="0031531D">
        <w:rPr>
          <w:rFonts w:cs="Arial"/>
          <w:sz w:val="16"/>
          <w:szCs w:val="16"/>
        </w:rPr>
        <w:t xml:space="preserve">., 101/13, 55/15 – </w:t>
      </w:r>
      <w:proofErr w:type="spellStart"/>
      <w:r w:rsidRPr="0031531D">
        <w:rPr>
          <w:rFonts w:cs="Arial"/>
          <w:sz w:val="16"/>
          <w:szCs w:val="16"/>
        </w:rPr>
        <w:t>ZfisP</w:t>
      </w:r>
      <w:proofErr w:type="spellEnd"/>
      <w:r w:rsidRPr="0031531D">
        <w:rPr>
          <w:rFonts w:cs="Arial"/>
          <w:sz w:val="16"/>
          <w:szCs w:val="16"/>
        </w:rPr>
        <w:t xml:space="preserve">, 96/15 – ZIPRS1617, 13/18, 195/20 – </w:t>
      </w:r>
      <w:proofErr w:type="spellStart"/>
      <w:r w:rsidRPr="0031531D">
        <w:rPr>
          <w:rFonts w:cs="Arial"/>
          <w:sz w:val="16"/>
          <w:szCs w:val="16"/>
        </w:rPr>
        <w:t>odl</w:t>
      </w:r>
      <w:proofErr w:type="spellEnd"/>
      <w:r w:rsidRPr="0031531D">
        <w:rPr>
          <w:rFonts w:cs="Arial"/>
          <w:sz w:val="16"/>
          <w:szCs w:val="16"/>
        </w:rPr>
        <w:t>. US</w:t>
      </w:r>
      <w:r>
        <w:rPr>
          <w:rFonts w:cs="Arial"/>
          <w:sz w:val="16"/>
          <w:szCs w:val="16"/>
        </w:rPr>
        <w:t>,</w:t>
      </w:r>
      <w:r w:rsidRPr="0031531D">
        <w:rPr>
          <w:rFonts w:cs="Arial"/>
          <w:sz w:val="16"/>
          <w:szCs w:val="16"/>
        </w:rPr>
        <w:t xml:space="preserve"> </w:t>
      </w:r>
      <w:hyperlink r:id="rId1" w:tgtFrame="_blank" w:tooltip="Zakon o spremembah in dopolnitvah Zakona o državni upravi (ZDU-1O)" w:history="1">
        <w:r w:rsidRPr="006D1858">
          <w:rPr>
            <w:rStyle w:val="Hiperpovezava"/>
            <w:rFonts w:cs="Arial"/>
            <w:color w:val="auto"/>
            <w:sz w:val="16"/>
            <w:szCs w:val="16"/>
            <w:u w:val="none"/>
          </w:rPr>
          <w:t>18/23</w:t>
        </w:r>
      </w:hyperlink>
      <w:r w:rsidRPr="006D1858">
        <w:rPr>
          <w:rFonts w:cs="Arial"/>
          <w:sz w:val="16"/>
          <w:szCs w:val="16"/>
        </w:rPr>
        <w:t> – ZDU-1O, </w:t>
      </w:r>
      <w:hyperlink r:id="rId2" w:tgtFrame="_blank" w:tooltip="Zakon o spremembah in dopolnitvah Zakona o javnih financah (ZJF-I)" w:history="1">
        <w:r w:rsidRPr="006D1858">
          <w:rPr>
            <w:rStyle w:val="Hiperpovezava"/>
            <w:rFonts w:cs="Arial"/>
            <w:color w:val="auto"/>
            <w:sz w:val="16"/>
            <w:szCs w:val="16"/>
            <w:u w:val="none"/>
          </w:rPr>
          <w:t>76/23</w:t>
        </w:r>
      </w:hyperlink>
      <w:r w:rsidRPr="006D1858">
        <w:rPr>
          <w:rFonts w:cs="Arial"/>
          <w:sz w:val="16"/>
          <w:szCs w:val="16"/>
        </w:rPr>
        <w:t>, </w:t>
      </w:r>
      <w:hyperlink r:id="rId3" w:tgtFrame="_blank" w:tooltip="Zakon o fiskalnem pravilu (ZFisP-1)" w:history="1">
        <w:r w:rsidRPr="006D1858">
          <w:rPr>
            <w:rStyle w:val="Hiperpovezava"/>
            <w:rFonts w:cs="Arial"/>
            <w:color w:val="auto"/>
            <w:sz w:val="16"/>
            <w:szCs w:val="16"/>
            <w:u w:val="none"/>
          </w:rPr>
          <w:t>24/25</w:t>
        </w:r>
      </w:hyperlink>
      <w:r w:rsidRPr="006D1858">
        <w:rPr>
          <w:rFonts w:cs="Arial"/>
          <w:sz w:val="16"/>
          <w:szCs w:val="16"/>
        </w:rPr>
        <w:t> – ZFisP-1 in </w:t>
      </w:r>
      <w:hyperlink r:id="rId4" w:tgtFrame="_blank" w:tooltip="Zakon o spremembah in dopolnitvah Zakona o javnih financah (ZJF-J)" w:history="1">
        <w:r w:rsidRPr="006D1858">
          <w:rPr>
            <w:rStyle w:val="Hiperpovezava"/>
            <w:rFonts w:cs="Arial"/>
            <w:color w:val="auto"/>
            <w:sz w:val="16"/>
            <w:szCs w:val="16"/>
            <w:u w:val="none"/>
          </w:rPr>
          <w:t>39/25</w:t>
        </w:r>
      </w:hyperlink>
      <w:r w:rsidRPr="0031531D">
        <w:rPr>
          <w:rFonts w:cs="Arial"/>
          <w:sz w:val="16"/>
          <w:szCs w:val="16"/>
        </w:rPr>
        <w:t>; v nadaljevanju: ZJF</w:t>
      </w:r>
      <w:r>
        <w:rPr>
          <w:rFonts w:cs="Arial"/>
          <w:sz w:val="16"/>
          <w:szCs w:val="16"/>
        </w:rPr>
        <w:t>).</w:t>
      </w:r>
    </w:p>
  </w:footnote>
  <w:footnote w:id="2">
    <w:p w14:paraId="7E6B211D" w14:textId="77777777" w:rsidR="008D3E5D" w:rsidRDefault="008D3E5D" w:rsidP="008D3E5D">
      <w:pPr>
        <w:pStyle w:val="Sprotnaopomba-besedilo"/>
      </w:pPr>
      <w:r w:rsidRPr="007E2501">
        <w:rPr>
          <w:rStyle w:val="Sprotnaopomba-sklic"/>
          <w:sz w:val="16"/>
          <w:szCs w:val="16"/>
        </w:rPr>
        <w:footnoteRef/>
      </w:r>
      <w:r w:rsidRPr="007E2501">
        <w:rPr>
          <w:sz w:val="16"/>
          <w:szCs w:val="16"/>
        </w:rPr>
        <w:t xml:space="preserve"> </w:t>
      </w:r>
      <w:r>
        <w:rPr>
          <w:sz w:val="16"/>
          <w:szCs w:val="16"/>
        </w:rPr>
        <w:t xml:space="preserve"> </w:t>
      </w:r>
      <w:r w:rsidRPr="007E2501">
        <w:rPr>
          <w:sz w:val="16"/>
          <w:szCs w:val="16"/>
        </w:rPr>
        <w:t xml:space="preserve">V nadaljevanju: </w:t>
      </w:r>
      <w:r>
        <w:rPr>
          <w:sz w:val="16"/>
          <w:szCs w:val="16"/>
        </w:rPr>
        <w:t>MVZI.</w:t>
      </w:r>
    </w:p>
  </w:footnote>
  <w:footnote w:id="3">
    <w:p w14:paraId="67A7A288" w14:textId="337E6383" w:rsidR="00B6419F" w:rsidRDefault="00B6419F">
      <w:pPr>
        <w:pStyle w:val="Sprotnaopomba-besedilo"/>
      </w:pPr>
      <w:r w:rsidRPr="00B6419F">
        <w:rPr>
          <w:rStyle w:val="Sprotnaopomba-sklic"/>
          <w:sz w:val="16"/>
          <w:szCs w:val="16"/>
        </w:rPr>
        <w:footnoteRef/>
      </w:r>
      <w:r w:rsidRPr="00B6419F">
        <w:rPr>
          <w:sz w:val="16"/>
          <w:szCs w:val="16"/>
        </w:rPr>
        <w:t xml:space="preserve"> </w:t>
      </w:r>
      <w:r w:rsidRPr="00B6419F">
        <w:rPr>
          <w:rFonts w:cs="Arial"/>
          <w:sz w:val="16"/>
          <w:szCs w:val="16"/>
        </w:rPr>
        <w:t xml:space="preserve">Marie </w:t>
      </w:r>
      <w:proofErr w:type="spellStart"/>
      <w:r w:rsidRPr="00B6419F">
        <w:rPr>
          <w:rFonts w:cs="Arial"/>
          <w:sz w:val="16"/>
          <w:szCs w:val="16"/>
        </w:rPr>
        <w:t>Skłodowska</w:t>
      </w:r>
      <w:proofErr w:type="spellEnd"/>
      <w:r w:rsidRPr="00B6419F">
        <w:rPr>
          <w:rFonts w:cs="Arial"/>
          <w:sz w:val="16"/>
          <w:szCs w:val="16"/>
        </w:rPr>
        <w:t xml:space="preserve">-Curie </w:t>
      </w:r>
      <w:proofErr w:type="spellStart"/>
      <w:r w:rsidRPr="00B6419F">
        <w:rPr>
          <w:rFonts w:cs="Arial"/>
          <w:sz w:val="16"/>
          <w:szCs w:val="16"/>
        </w:rPr>
        <w:t>Actions</w:t>
      </w:r>
      <w:proofErr w:type="spellEnd"/>
    </w:p>
  </w:footnote>
  <w:footnote w:id="4">
    <w:p w14:paraId="7A0D26D2" w14:textId="77777777" w:rsidR="00DB5CD9" w:rsidRDefault="00DB5CD9" w:rsidP="00DB5CD9">
      <w:pPr>
        <w:pStyle w:val="Sprotnaopomba-besedilo"/>
      </w:pPr>
      <w:r w:rsidRPr="00757FF3">
        <w:rPr>
          <w:rStyle w:val="Sprotnaopomba-sklic"/>
          <w:sz w:val="16"/>
          <w:szCs w:val="16"/>
        </w:rPr>
        <w:footnoteRef/>
      </w:r>
      <w:r w:rsidRPr="00757FF3">
        <w:rPr>
          <w:sz w:val="16"/>
          <w:szCs w:val="16"/>
        </w:rPr>
        <w:t xml:space="preserve"> </w:t>
      </w:r>
      <w:r w:rsidRPr="00757FF3">
        <w:rPr>
          <w:sz w:val="16"/>
          <w:szCs w:val="16"/>
        </w:rPr>
        <w:t>https://www.arrs.si/sl/NOO/razpisi/23/poziv-mobilnost-23.asp</w:t>
      </w:r>
    </w:p>
  </w:footnote>
  <w:footnote w:id="5">
    <w:p w14:paraId="43F45A24" w14:textId="77777777" w:rsidR="00DB5CD9" w:rsidRPr="00240968" w:rsidRDefault="00DB5CD9" w:rsidP="00DB5CD9">
      <w:pPr>
        <w:pStyle w:val="Sprotnaopomba-besedilo"/>
        <w:rPr>
          <w:color w:val="000000" w:themeColor="text1"/>
        </w:rPr>
      </w:pPr>
      <w:r w:rsidRPr="00562374">
        <w:rPr>
          <w:rStyle w:val="Sprotnaopomba-sklic"/>
          <w:sz w:val="16"/>
          <w:szCs w:val="16"/>
        </w:rPr>
        <w:footnoteRef/>
      </w:r>
      <w:r w:rsidRPr="00562374">
        <w:rPr>
          <w:sz w:val="16"/>
          <w:szCs w:val="16"/>
        </w:rPr>
        <w:t xml:space="preserve"> </w:t>
      </w:r>
      <w:r w:rsidRPr="00562374">
        <w:rPr>
          <w:sz w:val="16"/>
          <w:szCs w:val="16"/>
        </w:rPr>
        <w:t>Uradni list RS, št. </w:t>
      </w:r>
      <w:hyperlink r:id="rId5" w:tgtFrame="_blank" w:tooltip="Zakon o znanstvenoraziskovalni in inovacijski dejavnosti (ZZrID)" w:history="1">
        <w:r w:rsidRPr="00240968">
          <w:rPr>
            <w:rStyle w:val="Hiperpovezava"/>
            <w:color w:val="000000" w:themeColor="text1"/>
            <w:sz w:val="16"/>
            <w:szCs w:val="16"/>
            <w:u w:val="none"/>
          </w:rPr>
          <w:t>186/21</w:t>
        </w:r>
      </w:hyperlink>
      <w:r w:rsidRPr="00240968">
        <w:rPr>
          <w:color w:val="000000" w:themeColor="text1"/>
          <w:sz w:val="16"/>
          <w:szCs w:val="16"/>
        </w:rPr>
        <w:t>, </w:t>
      </w:r>
      <w:hyperlink r:id="rId6" w:tgtFrame="_blank" w:tooltip="Zakon o spremembah in dopolnitvah Zakona o znanstvenoraziskovalni in inovacijski dejavnosti (ZZrID-A)" w:history="1">
        <w:r w:rsidRPr="00240968">
          <w:rPr>
            <w:rStyle w:val="Hiperpovezava"/>
            <w:color w:val="000000" w:themeColor="text1"/>
            <w:sz w:val="16"/>
            <w:szCs w:val="16"/>
            <w:u w:val="none"/>
          </w:rPr>
          <w:t>40/23</w:t>
        </w:r>
      </w:hyperlink>
      <w:r w:rsidRPr="00240968">
        <w:rPr>
          <w:color w:val="000000" w:themeColor="text1"/>
          <w:sz w:val="16"/>
          <w:szCs w:val="16"/>
        </w:rPr>
        <w:t>, </w:t>
      </w:r>
      <w:hyperlink r:id="rId7" w:tgtFrame="_blank" w:tooltip="Zakon o dopolnitvi Zakona o znanstvenoraziskovalni in inovacijski dejavnosti (ZZrID-B)" w:history="1">
        <w:r w:rsidRPr="00240968">
          <w:rPr>
            <w:rStyle w:val="Hiperpovezava"/>
            <w:color w:val="000000" w:themeColor="text1"/>
            <w:sz w:val="16"/>
            <w:szCs w:val="16"/>
            <w:u w:val="none"/>
          </w:rPr>
          <w:t>102/24</w:t>
        </w:r>
      </w:hyperlink>
      <w:r w:rsidRPr="00240968">
        <w:rPr>
          <w:color w:val="000000" w:themeColor="text1"/>
          <w:sz w:val="16"/>
          <w:szCs w:val="16"/>
        </w:rPr>
        <w:t> in </w:t>
      </w:r>
      <w:hyperlink r:id="rId8" w:tgtFrame="_blank" w:tooltip="Zakon o spremembah in dopolnitvah Zakona o znanstvenoraziskovalni in inovacijski dejavnosti (ZZrID-C)" w:history="1">
        <w:r w:rsidRPr="00240968">
          <w:rPr>
            <w:rStyle w:val="Hiperpovezava"/>
            <w:color w:val="000000" w:themeColor="text1"/>
            <w:sz w:val="16"/>
            <w:szCs w:val="16"/>
            <w:u w:val="none"/>
          </w:rPr>
          <w:t>40/25</w:t>
        </w:r>
      </w:hyperlink>
    </w:p>
  </w:footnote>
  <w:footnote w:id="6">
    <w:p w14:paraId="1032F724" w14:textId="77777777" w:rsidR="00DB5CD9" w:rsidRDefault="00DB5CD9" w:rsidP="00DB5CD9">
      <w:pPr>
        <w:pStyle w:val="Sprotnaopomba-besedilo"/>
      </w:pPr>
      <w:r w:rsidRPr="00240968">
        <w:rPr>
          <w:rStyle w:val="Sprotnaopomba-sklic"/>
          <w:color w:val="000000" w:themeColor="text1"/>
          <w:sz w:val="16"/>
          <w:szCs w:val="16"/>
        </w:rPr>
        <w:footnoteRef/>
      </w:r>
      <w:r w:rsidRPr="00240968">
        <w:rPr>
          <w:color w:val="000000" w:themeColor="text1"/>
          <w:sz w:val="16"/>
          <w:szCs w:val="16"/>
        </w:rPr>
        <w:t xml:space="preserve"> </w:t>
      </w:r>
      <w:r w:rsidRPr="00240968">
        <w:rPr>
          <w:color w:val="000000" w:themeColor="text1"/>
          <w:sz w:val="16"/>
          <w:szCs w:val="16"/>
        </w:rPr>
        <w:t>Uradni list RS, št. </w:t>
      </w:r>
      <w:hyperlink r:id="rId9" w:tgtFrame="_blank" w:tooltip="Splošni akt o postopkih (so)financiranja in ocenjevanja ter spremljanju izvajanja znanstvenoraziskovalne dejavnosti" w:history="1">
        <w:r w:rsidRPr="00240968">
          <w:rPr>
            <w:rStyle w:val="Hiperpovezava"/>
            <w:color w:val="000000" w:themeColor="text1"/>
            <w:sz w:val="16"/>
            <w:szCs w:val="16"/>
            <w:u w:val="none"/>
          </w:rPr>
          <w:t>166/22</w:t>
        </w:r>
      </w:hyperlink>
      <w:r w:rsidRPr="00240968">
        <w:rPr>
          <w:color w:val="000000" w:themeColor="text1"/>
          <w:sz w:val="16"/>
          <w:szCs w:val="16"/>
        </w:rPr>
        <w:t> in </w:t>
      </w:r>
      <w:hyperlink r:id="rId10" w:tgtFrame="_blank" w:tooltip="Splošni akt o spremembah in dopolnitvah Splošnega akta o postopkih (so)financiranja in ocenjevanja ter spremljanju izvajanja znanstvenoraziskovalne dejavnosti" w:history="1">
        <w:r w:rsidRPr="00240968">
          <w:rPr>
            <w:rStyle w:val="Hiperpovezava"/>
            <w:color w:val="000000" w:themeColor="text1"/>
            <w:sz w:val="16"/>
            <w:szCs w:val="16"/>
            <w:u w:val="none"/>
          </w:rPr>
          <w:t>92/24</w:t>
        </w:r>
      </w:hyperlink>
    </w:p>
  </w:footnote>
  <w:footnote w:id="7">
    <w:p w14:paraId="35611CDB" w14:textId="660716E7" w:rsidR="00F9541E" w:rsidRPr="00F9541E" w:rsidRDefault="00F9541E">
      <w:pPr>
        <w:pStyle w:val="Sprotnaopomba-besedilo"/>
      </w:pPr>
      <w:r w:rsidRPr="00F9541E">
        <w:rPr>
          <w:rStyle w:val="Sprotnaopomba-sklic"/>
          <w:sz w:val="16"/>
          <w:szCs w:val="16"/>
        </w:rPr>
        <w:footnoteRef/>
      </w:r>
      <w:r w:rsidRPr="00F9541E">
        <w:rPr>
          <w:sz w:val="16"/>
          <w:szCs w:val="16"/>
        </w:rPr>
        <w:t xml:space="preserve"> </w:t>
      </w:r>
      <w:r w:rsidRPr="00F9541E">
        <w:rPr>
          <w:sz w:val="16"/>
          <w:szCs w:val="16"/>
        </w:rPr>
        <w:t>Uradni list RS, št. </w:t>
      </w:r>
      <w:hyperlink r:id="rId11" w:tgtFrame="_blank" w:tooltip="Pravilnik o določitvi posebnih projektov nacionalnega značaja in sistemskega okvirja za določitev plač raziskovalcev" w:history="1">
        <w:r w:rsidRPr="00F9541E">
          <w:rPr>
            <w:rStyle w:val="Hiperpovezava"/>
            <w:color w:val="auto"/>
            <w:sz w:val="16"/>
            <w:szCs w:val="16"/>
            <w:u w:val="none"/>
          </w:rPr>
          <w:t>126/23</w:t>
        </w:r>
      </w:hyperlink>
      <w:r w:rsidRPr="00F9541E">
        <w:rPr>
          <w:sz w:val="16"/>
          <w:szCs w:val="16"/>
        </w:rPr>
        <w:t xml:space="preserve"> in </w:t>
      </w:r>
      <w:hyperlink r:id="rId12" w:tgtFrame="_blank" w:tooltip="Pravilnik o spremembi Pravilnika o določitvi posebnih projektov nacionalnega značaja in sistemskega okvirja za določitev plač raziskovalcev" w:history="1">
        <w:r w:rsidRPr="00F9541E">
          <w:rPr>
            <w:rStyle w:val="Hiperpovezava"/>
            <w:color w:val="auto"/>
            <w:sz w:val="16"/>
            <w:szCs w:val="16"/>
            <w:u w:val="none"/>
          </w:rPr>
          <w:t>106/24</w:t>
        </w:r>
      </w:hyperlink>
      <w:r w:rsidRPr="00F9541E">
        <w:rPr>
          <w:sz w:val="16"/>
          <w:szCs w:val="16"/>
        </w:rPr>
        <w:t xml:space="preserve"> </w:t>
      </w:r>
    </w:p>
  </w:footnote>
  <w:footnote w:id="8">
    <w:p w14:paraId="79960122" w14:textId="5B239CD4" w:rsidR="008D3E5D" w:rsidRPr="003948A8" w:rsidRDefault="008D3E5D" w:rsidP="008D3E5D">
      <w:pPr>
        <w:pStyle w:val="Sprotnaopomba-besedilo"/>
      </w:pPr>
      <w:r w:rsidRPr="003948A8">
        <w:rPr>
          <w:rStyle w:val="Sprotnaopomba-sklic"/>
          <w:sz w:val="16"/>
          <w:szCs w:val="16"/>
        </w:rPr>
        <w:footnoteRef/>
      </w:r>
      <w:r w:rsidRPr="003948A8">
        <w:rPr>
          <w:sz w:val="16"/>
          <w:szCs w:val="16"/>
        </w:rPr>
        <w:t xml:space="preserve"> </w:t>
      </w:r>
      <w:r w:rsidRPr="008B2AB0">
        <w:rPr>
          <w:sz w:val="16"/>
          <w:szCs w:val="16"/>
        </w:rPr>
        <w:t>Uradni list RS, št. </w:t>
      </w:r>
      <w:hyperlink r:id="rId13" w:tgtFrame="_blank" w:tooltip="Zakon o spremembah in dopolnitvah Zakona o visokem šolstvu (ZViS-F)" w:history="1">
        <w:r w:rsidRPr="008B2AB0">
          <w:rPr>
            <w:rStyle w:val="Hiperpovezava"/>
            <w:color w:val="auto"/>
            <w:sz w:val="16"/>
            <w:szCs w:val="16"/>
            <w:u w:val="none"/>
          </w:rPr>
          <w:t>64/08</w:t>
        </w:r>
      </w:hyperlink>
    </w:p>
  </w:footnote>
  <w:footnote w:id="9">
    <w:p w14:paraId="0AB678DB" w14:textId="77777777" w:rsidR="008D3E5D" w:rsidRPr="00B229FC" w:rsidRDefault="008D3E5D" w:rsidP="008D3E5D">
      <w:pPr>
        <w:pStyle w:val="Sprotnaopomba-besedilo"/>
      </w:pPr>
      <w:r w:rsidRPr="00B229FC">
        <w:rPr>
          <w:rStyle w:val="Sprotnaopomba-sklic"/>
          <w:color w:val="000000" w:themeColor="text1"/>
          <w:sz w:val="16"/>
          <w:szCs w:val="16"/>
        </w:rPr>
        <w:footnoteRef/>
      </w:r>
      <w:r w:rsidRPr="00B229FC">
        <w:rPr>
          <w:color w:val="000000" w:themeColor="text1"/>
          <w:sz w:val="16"/>
          <w:szCs w:val="16"/>
        </w:rPr>
        <w:t xml:space="preserve"> </w:t>
      </w:r>
      <w:r w:rsidRPr="00B229FC">
        <w:rPr>
          <w:color w:val="000000" w:themeColor="text1"/>
          <w:sz w:val="16"/>
          <w:szCs w:val="16"/>
        </w:rPr>
        <w:t>Uradni list RS, št. </w:t>
      </w:r>
      <w:hyperlink r:id="rId14" w:tgtFrame="_blank" w:tooltip="Resolucija o nacionalnem programu visokega šolstva do 2030 (ReNPVŠ30)" w:history="1">
        <w:r w:rsidRPr="00B229FC">
          <w:rPr>
            <w:rStyle w:val="Hiperpovezava"/>
            <w:color w:val="000000" w:themeColor="text1"/>
            <w:sz w:val="16"/>
            <w:szCs w:val="16"/>
            <w:u w:val="none"/>
          </w:rPr>
          <w:t>49/22</w:t>
        </w:r>
      </w:hyperlink>
    </w:p>
  </w:footnote>
  <w:footnote w:id="10">
    <w:p w14:paraId="154714A5" w14:textId="77777777" w:rsidR="008D3E5D" w:rsidRPr="00702950" w:rsidRDefault="008D3E5D" w:rsidP="008D3E5D">
      <w:pPr>
        <w:pStyle w:val="Sprotnaopomba-besedilo"/>
      </w:pPr>
      <w:r w:rsidRPr="00702950">
        <w:rPr>
          <w:rStyle w:val="Sprotnaopomba-sklic"/>
          <w:sz w:val="16"/>
          <w:szCs w:val="16"/>
        </w:rPr>
        <w:footnoteRef/>
      </w:r>
      <w:r w:rsidRPr="00702950">
        <w:rPr>
          <w:sz w:val="16"/>
          <w:szCs w:val="16"/>
        </w:rPr>
        <w:t xml:space="preserve"> </w:t>
      </w:r>
      <w:r w:rsidRPr="00702950">
        <w:rPr>
          <w:sz w:val="16"/>
          <w:szCs w:val="16"/>
        </w:rPr>
        <w:t>Uradni list RS, št. </w:t>
      </w:r>
      <w:hyperlink r:id="rId15" w:tgtFrame="_blank" w:tooltip="Uredba o javnem financiranju visokošolskih zavodov in drugih zavodov" w:history="1">
        <w:r w:rsidRPr="00702950">
          <w:rPr>
            <w:rStyle w:val="Hiperpovezava"/>
            <w:color w:val="auto"/>
            <w:sz w:val="16"/>
            <w:szCs w:val="16"/>
            <w:u w:val="none"/>
          </w:rPr>
          <w:t>7/11</w:t>
        </w:r>
      </w:hyperlink>
      <w:r w:rsidRPr="00702950">
        <w:rPr>
          <w:sz w:val="16"/>
          <w:szCs w:val="16"/>
        </w:rPr>
        <w:t>, </w:t>
      </w:r>
      <w:hyperlink r:id="rId16" w:tgtFrame="_blank" w:tooltip="Uredba o spremembah in dopolnitvah Uredbe o javnem financiranju visokošolskih zavodov in drugih zavodov" w:history="1">
        <w:r w:rsidRPr="00702950">
          <w:rPr>
            <w:rStyle w:val="Hiperpovezava"/>
            <w:color w:val="auto"/>
            <w:sz w:val="16"/>
            <w:szCs w:val="16"/>
            <w:u w:val="none"/>
          </w:rPr>
          <w:t>64/12</w:t>
        </w:r>
      </w:hyperlink>
      <w:r w:rsidRPr="00702950">
        <w:rPr>
          <w:sz w:val="16"/>
          <w:szCs w:val="16"/>
        </w:rPr>
        <w:t>, </w:t>
      </w:r>
      <w:hyperlink r:id="rId17" w:tgtFrame="_blank" w:tooltip="Uredba o spremembah Uredbe o javnem financiranju visokošolskih zavodov in drugih zavodov" w:history="1">
        <w:r w:rsidRPr="00702950">
          <w:rPr>
            <w:rStyle w:val="Hiperpovezava"/>
            <w:color w:val="auto"/>
            <w:sz w:val="16"/>
            <w:szCs w:val="16"/>
            <w:u w:val="none"/>
          </w:rPr>
          <w:t>12/13</w:t>
        </w:r>
      </w:hyperlink>
      <w:r w:rsidRPr="00702950">
        <w:rPr>
          <w:sz w:val="16"/>
          <w:szCs w:val="16"/>
        </w:rPr>
        <w:t>, </w:t>
      </w:r>
      <w:hyperlink r:id="rId18" w:tgtFrame="_blank" w:tooltip="Uredba o spremembah in dopolnitvah Uredbe o javnem financiranju visokošolskih zavodov in drugih zavodov" w:history="1">
        <w:r w:rsidRPr="00702950">
          <w:rPr>
            <w:rStyle w:val="Hiperpovezava"/>
            <w:color w:val="auto"/>
            <w:sz w:val="16"/>
            <w:szCs w:val="16"/>
            <w:u w:val="none"/>
          </w:rPr>
          <w:t>38/16</w:t>
        </w:r>
      </w:hyperlink>
      <w:r w:rsidRPr="00702950">
        <w:rPr>
          <w:sz w:val="16"/>
          <w:szCs w:val="16"/>
        </w:rPr>
        <w:t> in </w:t>
      </w:r>
      <w:hyperlink r:id="rId19" w:tgtFrame="_blank" w:tooltip="Uredba o javnem financiranju visokošolskih zavodov in drugih zavodov" w:history="1">
        <w:r w:rsidRPr="00702950">
          <w:rPr>
            <w:rStyle w:val="Hiperpovezava"/>
            <w:color w:val="auto"/>
            <w:sz w:val="16"/>
            <w:szCs w:val="16"/>
            <w:u w:val="none"/>
          </w:rPr>
          <w:t>35/17</w:t>
        </w:r>
      </w:hyperlink>
    </w:p>
  </w:footnote>
  <w:footnote w:id="11">
    <w:p w14:paraId="693298B6" w14:textId="4F93EE19" w:rsidR="00040AB3" w:rsidRDefault="00040AB3">
      <w:pPr>
        <w:pStyle w:val="Sprotnaopomba-besedilo"/>
      </w:pPr>
      <w:r w:rsidRPr="00040AB3">
        <w:rPr>
          <w:rStyle w:val="Sprotnaopomba-sklic"/>
          <w:sz w:val="16"/>
          <w:szCs w:val="16"/>
        </w:rPr>
        <w:footnoteRef/>
      </w:r>
      <w:r w:rsidRPr="00040AB3">
        <w:rPr>
          <w:sz w:val="16"/>
          <w:szCs w:val="16"/>
        </w:rPr>
        <w:t xml:space="preserve"> </w:t>
      </w:r>
      <w:r w:rsidRPr="00040AB3">
        <w:rPr>
          <w:sz w:val="16"/>
          <w:szCs w:val="16"/>
        </w:rPr>
        <w:t>Zavod Republike Slovenije za zaposlovanje</w:t>
      </w:r>
    </w:p>
  </w:footnote>
  <w:footnote w:id="12">
    <w:p w14:paraId="3613D8F2" w14:textId="4A0CAEBE" w:rsidR="00310B1D" w:rsidRPr="00310B1D" w:rsidRDefault="00310B1D">
      <w:pPr>
        <w:pStyle w:val="Sprotnaopomba-besedilo"/>
      </w:pPr>
      <w:r w:rsidRPr="00310B1D">
        <w:rPr>
          <w:rStyle w:val="Sprotnaopomba-sklic"/>
          <w:sz w:val="16"/>
          <w:szCs w:val="16"/>
        </w:rPr>
        <w:footnoteRef/>
      </w:r>
      <w:r w:rsidRPr="00310B1D">
        <w:rPr>
          <w:sz w:val="16"/>
          <w:szCs w:val="16"/>
        </w:rPr>
        <w:t xml:space="preserve"> </w:t>
      </w:r>
      <w:r w:rsidRPr="00310B1D">
        <w:rPr>
          <w:sz w:val="16"/>
          <w:szCs w:val="16"/>
        </w:rPr>
        <w:t>Uradni list RS, št. </w:t>
      </w:r>
      <w:hyperlink r:id="rId20" w:tgtFrame="_blank" w:tooltip="Zakon o visokem šolstvu (ZViS-1)" w:history="1">
        <w:r w:rsidRPr="00310B1D">
          <w:rPr>
            <w:rStyle w:val="Hiperpovezava"/>
            <w:color w:val="auto"/>
            <w:sz w:val="16"/>
            <w:szCs w:val="16"/>
            <w:u w:val="none"/>
          </w:rPr>
          <w:t>56/25</w:t>
        </w:r>
      </w:hyperlink>
      <w:r w:rsidR="008C7C3E">
        <w:rPr>
          <w:sz w:val="16"/>
          <w:szCs w:val="16"/>
        </w:rPr>
        <w:t>; v nadaljevanju ZViS-1</w:t>
      </w:r>
    </w:p>
  </w:footnote>
  <w:footnote w:id="13">
    <w:p w14:paraId="2302AA30" w14:textId="526D27E2" w:rsidR="008D3E5D" w:rsidRPr="00322646" w:rsidRDefault="008D3E5D" w:rsidP="008D3E5D">
      <w:pPr>
        <w:pStyle w:val="Sprotnaopomba-besedilo"/>
      </w:pPr>
      <w:r w:rsidRPr="004F4364">
        <w:rPr>
          <w:rStyle w:val="Sprotnaopomba-sklic"/>
          <w:color w:val="0D0D0D" w:themeColor="text1" w:themeTint="F2"/>
          <w:sz w:val="16"/>
          <w:szCs w:val="16"/>
        </w:rPr>
        <w:footnoteRef/>
      </w:r>
      <w:r w:rsidRPr="004F4364">
        <w:rPr>
          <w:color w:val="0D0D0D" w:themeColor="text1" w:themeTint="F2"/>
          <w:sz w:val="16"/>
          <w:szCs w:val="16"/>
        </w:rPr>
        <w:t xml:space="preserve"> </w:t>
      </w:r>
      <w:r w:rsidRPr="004F4364">
        <w:rPr>
          <w:color w:val="0D0D0D" w:themeColor="text1" w:themeTint="F2"/>
          <w:sz w:val="16"/>
          <w:szCs w:val="16"/>
        </w:rPr>
        <w:t>Uradni list RS, št. </w:t>
      </w:r>
      <w:hyperlink r:id="rId21" w:tgtFrame="_blank" w:tooltip="Uredba o javnem financiranju visokošolskih zavodov in drugih zavodov" w:history="1">
        <w:r w:rsidRPr="00322646">
          <w:rPr>
            <w:rStyle w:val="Hiperpovezava"/>
            <w:color w:val="0D0D0D" w:themeColor="text1" w:themeTint="F2"/>
            <w:sz w:val="16"/>
            <w:szCs w:val="16"/>
            <w:u w:val="none"/>
          </w:rPr>
          <w:t>35/17</w:t>
        </w:r>
      </w:hyperlink>
      <w:r w:rsidRPr="00322646">
        <w:rPr>
          <w:color w:val="0D0D0D" w:themeColor="text1" w:themeTint="F2"/>
          <w:sz w:val="16"/>
          <w:szCs w:val="16"/>
        </w:rPr>
        <w:t>, </w:t>
      </w:r>
      <w:hyperlink r:id="rId22" w:tgtFrame="_blank" w:tooltip="Uredba o spremembah in dopolnitvah Uredbe o javnem financiranju visokošolskih zavodov in drugih zavodov" w:history="1">
        <w:r w:rsidRPr="00322646">
          <w:rPr>
            <w:rStyle w:val="Hiperpovezava"/>
            <w:color w:val="0D0D0D" w:themeColor="text1" w:themeTint="F2"/>
            <w:sz w:val="16"/>
            <w:szCs w:val="16"/>
            <w:u w:val="none"/>
          </w:rPr>
          <w:t>24/19</w:t>
        </w:r>
      </w:hyperlink>
      <w:r w:rsidRPr="00322646">
        <w:rPr>
          <w:color w:val="0D0D0D" w:themeColor="text1" w:themeTint="F2"/>
          <w:sz w:val="16"/>
          <w:szCs w:val="16"/>
        </w:rPr>
        <w:t>, </w:t>
      </w:r>
      <w:hyperlink r:id="rId23" w:tgtFrame="_blank" w:tooltip="Uredba o spremembah in dopolnitvah Uredbe o javnem financiranju visokošolskih zavodov in drugih zavodov" w:history="1">
        <w:r w:rsidRPr="00322646">
          <w:rPr>
            <w:rStyle w:val="Hiperpovezava"/>
            <w:color w:val="0D0D0D" w:themeColor="text1" w:themeTint="F2"/>
            <w:sz w:val="16"/>
            <w:szCs w:val="16"/>
            <w:u w:val="none"/>
          </w:rPr>
          <w:t>65/22</w:t>
        </w:r>
      </w:hyperlink>
      <w:r w:rsidRPr="00322646">
        <w:rPr>
          <w:color w:val="0D0D0D" w:themeColor="text1" w:themeTint="F2"/>
          <w:sz w:val="16"/>
          <w:szCs w:val="16"/>
        </w:rPr>
        <w:t>, </w:t>
      </w:r>
      <w:hyperlink r:id="rId24" w:tgtFrame="_blank" w:tooltip="Uredba o spremembah in dopolnitvah Uredbe o javnem financiranju visokošolskih zavodov in drugih zavodov" w:history="1">
        <w:r w:rsidRPr="00322646">
          <w:rPr>
            <w:rStyle w:val="Hiperpovezava"/>
            <w:color w:val="0D0D0D" w:themeColor="text1" w:themeTint="F2"/>
            <w:sz w:val="16"/>
            <w:szCs w:val="16"/>
            <w:u w:val="none"/>
          </w:rPr>
          <w:t>61/23</w:t>
        </w:r>
      </w:hyperlink>
    </w:p>
  </w:footnote>
  <w:footnote w:id="14">
    <w:p w14:paraId="3847BE11" w14:textId="5452E0DF" w:rsidR="008D3E5D" w:rsidRDefault="008D3E5D" w:rsidP="008D3E5D">
      <w:pPr>
        <w:pStyle w:val="Sprotnaopomba-besedilo"/>
      </w:pPr>
      <w:r w:rsidRPr="004F4364">
        <w:rPr>
          <w:rStyle w:val="Sprotnaopomba-sklic"/>
          <w:sz w:val="16"/>
          <w:szCs w:val="16"/>
        </w:rPr>
        <w:footnoteRef/>
      </w:r>
      <w:r w:rsidRPr="004F4364">
        <w:rPr>
          <w:sz w:val="16"/>
          <w:szCs w:val="16"/>
        </w:rPr>
        <w:t xml:space="preserve"> </w:t>
      </w:r>
      <w:r w:rsidRPr="004F4364">
        <w:rPr>
          <w:rFonts w:cs="Arial"/>
          <w:sz w:val="16"/>
          <w:szCs w:val="16"/>
        </w:rPr>
        <w:t>Uradni list RS, št. 150/22, 65/23, 76/23 - ZJF-I in 97/23</w:t>
      </w:r>
    </w:p>
  </w:footnote>
  <w:footnote w:id="15">
    <w:p w14:paraId="335368B8" w14:textId="603DB192" w:rsidR="008D3E5D" w:rsidRDefault="008D3E5D" w:rsidP="008D3E5D">
      <w:pPr>
        <w:pStyle w:val="Sprotnaopomba-besedilo"/>
      </w:pPr>
      <w:r w:rsidRPr="004F4364">
        <w:rPr>
          <w:rStyle w:val="Sprotnaopomba-sklic"/>
          <w:sz w:val="16"/>
          <w:szCs w:val="16"/>
        </w:rPr>
        <w:footnoteRef/>
      </w:r>
      <w:r w:rsidRPr="004F4364">
        <w:rPr>
          <w:sz w:val="16"/>
          <w:szCs w:val="16"/>
        </w:rPr>
        <w:t xml:space="preserve"> </w:t>
      </w:r>
      <w:r w:rsidRPr="004F4364">
        <w:rPr>
          <w:rFonts w:cs="Arial"/>
          <w:sz w:val="16"/>
          <w:szCs w:val="16"/>
        </w:rPr>
        <w:t>Uradni list RS, št. 150/22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10pt;height:4pt" coordsize="" o:spt="100" o:bullet="t" adj="0,,0" path="" stroked="f">
        <v:stroke joinstyle="miter"/>
        <v:imagedata r:id="rId1" o:title="image45"/>
        <v:formulas/>
        <v:path o:connecttype="segments"/>
      </v:shape>
    </w:pict>
  </w:numPicBullet>
  <w:numPicBullet w:numPicBulletId="1">
    <w:pict>
      <v:shape id="_x0000_i1027" style="width:12pt;height:2.5pt" coordsize="" o:spt="100" o:bullet="t" adj="0,,0" path="" stroked="f">
        <v:stroke joinstyle="miter"/>
        <v:imagedata r:id="rId2" o:title="image123"/>
        <v:formulas/>
        <v:path o:connecttype="segments"/>
      </v:shape>
    </w:pict>
  </w:numPicBullet>
  <w:abstractNum w:abstractNumId="0" w15:restartNumberingAfterBreak="0">
    <w:nsid w:val="0069582B"/>
    <w:multiLevelType w:val="multilevel"/>
    <w:tmpl w:val="422E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4992"/>
    <w:multiLevelType w:val="hybridMultilevel"/>
    <w:tmpl w:val="3130477C"/>
    <w:lvl w:ilvl="0" w:tplc="FFFFFFFF">
      <w:numFmt w:val="bullet"/>
      <w:lvlText w:val="-"/>
      <w:lvlJc w:val="left"/>
      <w:pPr>
        <w:ind w:left="720" w:hanging="360"/>
      </w:pPr>
      <w:rPr>
        <w:rFonts w:ascii="Arial" w:eastAsia="Times New Roman" w:hAnsi="Arial" w:cs="Arial" w:hint="default"/>
      </w:rPr>
    </w:lvl>
    <w:lvl w:ilvl="1" w:tplc="76620AA4">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2B2B2D"/>
    <w:multiLevelType w:val="hybridMultilevel"/>
    <w:tmpl w:val="63AC18E2"/>
    <w:lvl w:ilvl="0" w:tplc="FFFFFFFF">
      <w:numFmt w:val="bullet"/>
      <w:lvlText w:val="–"/>
      <w:lvlJc w:val="left"/>
      <w:pPr>
        <w:ind w:left="360" w:hanging="360"/>
      </w:pPr>
      <w:rPr>
        <w:rFonts w:ascii="Arial" w:eastAsia="Times New Roman" w:hAnsi="Arial" w:cs="Arial" w:hint="default"/>
      </w:rPr>
    </w:lvl>
    <w:lvl w:ilvl="1" w:tplc="78249A6E">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B1354D"/>
    <w:multiLevelType w:val="multilevel"/>
    <w:tmpl w:val="2692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83563"/>
    <w:multiLevelType w:val="hybridMultilevel"/>
    <w:tmpl w:val="D510485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D290891"/>
    <w:multiLevelType w:val="hybridMultilevel"/>
    <w:tmpl w:val="F87AFF7E"/>
    <w:lvl w:ilvl="0" w:tplc="21B0A8E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98087B"/>
    <w:multiLevelType w:val="hybridMultilevel"/>
    <w:tmpl w:val="A9E41404"/>
    <w:lvl w:ilvl="0" w:tplc="5ABE95EC">
      <w:numFmt w:val="bullet"/>
      <w:lvlText w:val="-"/>
      <w:lvlJc w:val="left"/>
      <w:pPr>
        <w:ind w:left="360" w:hanging="360"/>
      </w:pPr>
      <w:rPr>
        <w:rFonts w:ascii="Arial" w:eastAsia="Times New Roman" w:hAnsi="Arial" w:cs="Arial" w:hint="default"/>
      </w:rPr>
    </w:lvl>
    <w:lvl w:ilvl="1" w:tplc="20D4A5AA">
      <w:numFmt w:val="bullet"/>
      <w:lvlText w:val=""/>
      <w:lvlJc w:val="left"/>
      <w:pPr>
        <w:ind w:left="1080" w:hanging="360"/>
      </w:pPr>
      <w:rPr>
        <w:rFonts w:ascii="Symbol" w:eastAsiaTheme="minorHAnsi" w:hAnsi="Symbol" w:cstheme="minorBid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5E3429"/>
    <w:multiLevelType w:val="hybridMultilevel"/>
    <w:tmpl w:val="8AAC4EB2"/>
    <w:lvl w:ilvl="0" w:tplc="82321BAC">
      <w:start w:val="1"/>
      <w:numFmt w:val="decimal"/>
      <w:lvlText w:val="(%1)"/>
      <w:lvlJc w:val="left"/>
      <w:pPr>
        <w:ind w:left="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482869C">
      <w:start w:val="1"/>
      <w:numFmt w:val="lowerLetter"/>
      <w:lvlText w:val="%2)"/>
      <w:lvlJc w:val="left"/>
      <w:pPr>
        <w:ind w:left="739"/>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2" w:tplc="DE1C9350">
      <w:start w:val="1"/>
      <w:numFmt w:val="lowerRoman"/>
      <w:lvlText w:val="%3"/>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C4352E">
      <w:start w:val="1"/>
      <w:numFmt w:val="decimal"/>
      <w:lvlText w:val="%4"/>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816ACE8">
      <w:start w:val="1"/>
      <w:numFmt w:val="lowerLetter"/>
      <w:lvlText w:val="%5"/>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4929260">
      <w:start w:val="1"/>
      <w:numFmt w:val="lowerRoman"/>
      <w:lvlText w:val="%6"/>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FA080E8">
      <w:start w:val="1"/>
      <w:numFmt w:val="decimal"/>
      <w:lvlText w:val="%7"/>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43CFE62">
      <w:start w:val="1"/>
      <w:numFmt w:val="lowerLetter"/>
      <w:lvlText w:val="%8"/>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A14A5E0">
      <w:start w:val="1"/>
      <w:numFmt w:val="lowerRoman"/>
      <w:lvlText w:val="%9"/>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F660008"/>
    <w:multiLevelType w:val="multilevel"/>
    <w:tmpl w:val="5A7CCFE2"/>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BD22CB"/>
    <w:multiLevelType w:val="multilevel"/>
    <w:tmpl w:val="E01C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D6112"/>
    <w:multiLevelType w:val="multilevel"/>
    <w:tmpl w:val="28BE61E2"/>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C442555"/>
    <w:multiLevelType w:val="hybridMultilevel"/>
    <w:tmpl w:val="5C440934"/>
    <w:lvl w:ilvl="0" w:tplc="FCF4ACD0">
      <w:start w:val="1"/>
      <w:numFmt w:val="upperRoman"/>
      <w:lvlText w:val="%1."/>
      <w:lvlJc w:val="left"/>
      <w:pPr>
        <w:ind w:left="1080" w:hanging="720"/>
      </w:pPr>
      <w:rPr>
        <w:rFonts w:hint="default"/>
      </w:rPr>
    </w:lvl>
    <w:lvl w:ilvl="1" w:tplc="804082D0">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79312F"/>
    <w:multiLevelType w:val="hybridMultilevel"/>
    <w:tmpl w:val="2E5028FC"/>
    <w:lvl w:ilvl="0" w:tplc="44B418B6">
      <w:numFmt w:val="bullet"/>
      <w:lvlText w:val="-"/>
      <w:lvlJc w:val="left"/>
      <w:pPr>
        <w:ind w:left="36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F922297"/>
    <w:multiLevelType w:val="multilevel"/>
    <w:tmpl w:val="49803980"/>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FF2134B"/>
    <w:multiLevelType w:val="multilevel"/>
    <w:tmpl w:val="26DC0D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0241CDD"/>
    <w:multiLevelType w:val="multilevel"/>
    <w:tmpl w:val="178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05DA9"/>
    <w:multiLevelType w:val="hybridMultilevel"/>
    <w:tmpl w:val="CAEC3B2A"/>
    <w:lvl w:ilvl="0" w:tplc="4CAE0FC8">
      <w:start w:val="1"/>
      <w:numFmt w:val="bullet"/>
      <w:lvlText w:val="•"/>
      <w:lvlPicBulletId w:val="0"/>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22C1CA">
      <w:start w:val="1"/>
      <w:numFmt w:val="bullet"/>
      <w:lvlText w:val="o"/>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9CA4AC">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7A24E2">
      <w:start w:val="1"/>
      <w:numFmt w:val="bullet"/>
      <w:lvlText w:val="•"/>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3A6038">
      <w:start w:val="1"/>
      <w:numFmt w:val="bullet"/>
      <w:lvlText w:val="o"/>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A20C8">
      <w:start w:val="1"/>
      <w:numFmt w:val="bullet"/>
      <w:lvlText w:val="▪"/>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661426">
      <w:start w:val="1"/>
      <w:numFmt w:val="bullet"/>
      <w:lvlText w:val="•"/>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DE9E8E">
      <w:start w:val="1"/>
      <w:numFmt w:val="bullet"/>
      <w:lvlText w:val="o"/>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FE6822">
      <w:start w:val="1"/>
      <w:numFmt w:val="bullet"/>
      <w:lvlText w:val="▪"/>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78169C"/>
    <w:multiLevelType w:val="multilevel"/>
    <w:tmpl w:val="F2C05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443F3E"/>
    <w:multiLevelType w:val="hybridMultilevel"/>
    <w:tmpl w:val="8C644F1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8B95D3E"/>
    <w:multiLevelType w:val="hybridMultilevel"/>
    <w:tmpl w:val="6C5EB4D2"/>
    <w:lvl w:ilvl="0" w:tplc="21B0A8E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F8A64C8"/>
    <w:multiLevelType w:val="hybridMultilevel"/>
    <w:tmpl w:val="D7D6E596"/>
    <w:lvl w:ilvl="0" w:tplc="04240003">
      <w:start w:val="1"/>
      <w:numFmt w:val="bullet"/>
      <w:lvlText w:val="o"/>
      <w:lvlJc w:val="left"/>
      <w:pPr>
        <w:ind w:left="1080" w:hanging="360"/>
      </w:pPr>
      <w:rPr>
        <w:rFonts w:ascii="Courier New" w:hAnsi="Courier New" w:cs="Courier New"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1" w15:restartNumberingAfterBreak="0">
    <w:nsid w:val="407B76E3"/>
    <w:multiLevelType w:val="hybridMultilevel"/>
    <w:tmpl w:val="410CFF18"/>
    <w:lvl w:ilvl="0" w:tplc="21B0A8E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1F7EB2"/>
    <w:multiLevelType w:val="hybridMultilevel"/>
    <w:tmpl w:val="FBF477E4"/>
    <w:lvl w:ilvl="0" w:tplc="21B0A8E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5644237"/>
    <w:multiLevelType w:val="multilevel"/>
    <w:tmpl w:val="DC4E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F4EA3"/>
    <w:multiLevelType w:val="hybridMultilevel"/>
    <w:tmpl w:val="F872E272"/>
    <w:lvl w:ilvl="0" w:tplc="76620AA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E7655A3"/>
    <w:multiLevelType w:val="multilevel"/>
    <w:tmpl w:val="D3FCF5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342A51"/>
    <w:multiLevelType w:val="hybridMultilevel"/>
    <w:tmpl w:val="40E01C06"/>
    <w:lvl w:ilvl="0" w:tplc="21B0A8E6">
      <w:numFmt w:val="bullet"/>
      <w:lvlText w:val="–"/>
      <w:lvlJc w:val="left"/>
      <w:pPr>
        <w:ind w:left="360" w:hanging="360"/>
      </w:pPr>
      <w:rPr>
        <w:rFonts w:ascii="Arial" w:eastAsiaTheme="minorHAnsi" w:hAnsi="Arial" w:cs="Arial" w:hint="default"/>
      </w:rPr>
    </w:lvl>
    <w:lvl w:ilvl="1" w:tplc="89C02276">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12D6785"/>
    <w:multiLevelType w:val="hybridMultilevel"/>
    <w:tmpl w:val="D654CAE8"/>
    <w:lvl w:ilvl="0" w:tplc="689206B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570B0CBA"/>
    <w:multiLevelType w:val="hybridMultilevel"/>
    <w:tmpl w:val="C2E419F6"/>
    <w:lvl w:ilvl="0" w:tplc="EA5671AE">
      <w:numFmt w:val="bullet"/>
      <w:lvlText w:val="•"/>
      <w:lvlJc w:val="left"/>
      <w:pPr>
        <w:ind w:left="720" w:hanging="360"/>
      </w:pPr>
      <w:rPr>
        <w:rFonts w:ascii="Aptos" w:eastAsiaTheme="minorHAnsi" w:hAnsi="Apto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0362DF"/>
    <w:multiLevelType w:val="hybridMultilevel"/>
    <w:tmpl w:val="300487A2"/>
    <w:lvl w:ilvl="0" w:tplc="1BA27D58">
      <w:numFmt w:val="bullet"/>
      <w:lvlText w:val="-"/>
      <w:lvlJc w:val="left"/>
      <w:pPr>
        <w:ind w:left="360" w:hanging="360"/>
      </w:pPr>
      <w:rPr>
        <w:rFonts w:ascii="Aptos" w:eastAsia="Aptos" w:hAnsi="Aptos"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0" w15:restartNumberingAfterBreak="0">
    <w:nsid w:val="5AA52980"/>
    <w:multiLevelType w:val="multilevel"/>
    <w:tmpl w:val="7EC2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B569A"/>
    <w:multiLevelType w:val="hybridMultilevel"/>
    <w:tmpl w:val="548869DC"/>
    <w:lvl w:ilvl="0" w:tplc="21B0A8E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02C4555"/>
    <w:multiLevelType w:val="hybridMultilevel"/>
    <w:tmpl w:val="FF1EBFC0"/>
    <w:lvl w:ilvl="0" w:tplc="FFFFFFFF">
      <w:numFmt w:val="bullet"/>
      <w:lvlText w:val="-"/>
      <w:lvlJc w:val="left"/>
      <w:pPr>
        <w:ind w:left="720" w:hanging="360"/>
      </w:pPr>
      <w:rPr>
        <w:rFonts w:ascii="Arial" w:eastAsia="Times New Roman" w:hAnsi="Arial" w:cs="Arial" w:hint="default"/>
      </w:rPr>
    </w:lvl>
    <w:lvl w:ilvl="1" w:tplc="76620AA4">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2A1E43"/>
    <w:multiLevelType w:val="multilevel"/>
    <w:tmpl w:val="384AD4BC"/>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2E65775"/>
    <w:multiLevelType w:val="multilevel"/>
    <w:tmpl w:val="CCAEED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8F4F05"/>
    <w:multiLevelType w:val="multilevel"/>
    <w:tmpl w:val="E0408EDA"/>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26F5F0C"/>
    <w:multiLevelType w:val="multilevel"/>
    <w:tmpl w:val="5364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032A2"/>
    <w:multiLevelType w:val="multilevel"/>
    <w:tmpl w:val="7AAC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D76D3"/>
    <w:multiLevelType w:val="hybridMultilevel"/>
    <w:tmpl w:val="E2A21642"/>
    <w:lvl w:ilvl="0" w:tplc="8B769D08">
      <w:start w:val="51"/>
      <w:numFmt w:val="bullet"/>
      <w:lvlText w:val="-"/>
      <w:lvlJc w:val="left"/>
      <w:pPr>
        <w:ind w:left="360" w:hanging="360"/>
      </w:pPr>
      <w:rPr>
        <w:rFonts w:ascii="Aptos" w:eastAsia="Aptos" w:hAnsi="Aptos"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9" w15:restartNumberingAfterBreak="0">
    <w:nsid w:val="77F5536E"/>
    <w:multiLevelType w:val="hybridMultilevel"/>
    <w:tmpl w:val="B3821724"/>
    <w:lvl w:ilvl="0" w:tplc="21B0A8E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A0E386C"/>
    <w:multiLevelType w:val="multilevel"/>
    <w:tmpl w:val="929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1536C"/>
    <w:multiLevelType w:val="multilevel"/>
    <w:tmpl w:val="5B1A9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1260F"/>
    <w:multiLevelType w:val="hybridMultilevel"/>
    <w:tmpl w:val="8DC2CF4E"/>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D340BB0"/>
    <w:multiLevelType w:val="hybridMultilevel"/>
    <w:tmpl w:val="CF7094E6"/>
    <w:lvl w:ilvl="0" w:tplc="21B0A8E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8C4542"/>
    <w:multiLevelType w:val="multilevel"/>
    <w:tmpl w:val="29A26EA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49973648">
    <w:abstractNumId w:val="6"/>
  </w:num>
  <w:num w:numId="2" w16cid:durableId="319891781">
    <w:abstractNumId w:val="43"/>
  </w:num>
  <w:num w:numId="3" w16cid:durableId="485711197">
    <w:abstractNumId w:val="11"/>
  </w:num>
  <w:num w:numId="4" w16cid:durableId="823737442">
    <w:abstractNumId w:val="24"/>
  </w:num>
  <w:num w:numId="5" w16cid:durableId="1179388303">
    <w:abstractNumId w:val="29"/>
  </w:num>
  <w:num w:numId="6" w16cid:durableId="1287736461">
    <w:abstractNumId w:val="7"/>
  </w:num>
  <w:num w:numId="7" w16cid:durableId="212429633">
    <w:abstractNumId w:val="44"/>
  </w:num>
  <w:num w:numId="8" w16cid:durableId="1237740447">
    <w:abstractNumId w:val="22"/>
  </w:num>
  <w:num w:numId="9" w16cid:durableId="272595323">
    <w:abstractNumId w:val="2"/>
  </w:num>
  <w:num w:numId="10" w16cid:durableId="962615183">
    <w:abstractNumId w:val="38"/>
  </w:num>
  <w:num w:numId="11" w16cid:durableId="1667324696">
    <w:abstractNumId w:val="5"/>
  </w:num>
  <w:num w:numId="12" w16cid:durableId="2038386084">
    <w:abstractNumId w:val="18"/>
  </w:num>
  <w:num w:numId="13" w16cid:durableId="1847864434">
    <w:abstractNumId w:val="39"/>
  </w:num>
  <w:num w:numId="14" w16cid:durableId="510727807">
    <w:abstractNumId w:val="31"/>
  </w:num>
  <w:num w:numId="15" w16cid:durableId="527373933">
    <w:abstractNumId w:val="26"/>
  </w:num>
  <w:num w:numId="16" w16cid:durableId="892697452">
    <w:abstractNumId w:val="21"/>
  </w:num>
  <w:num w:numId="17" w16cid:durableId="844170173">
    <w:abstractNumId w:val="1"/>
  </w:num>
  <w:num w:numId="18" w16cid:durableId="397283752">
    <w:abstractNumId w:val="32"/>
  </w:num>
  <w:num w:numId="19" w16cid:durableId="726490934">
    <w:abstractNumId w:val="34"/>
  </w:num>
  <w:num w:numId="20" w16cid:durableId="1312324728">
    <w:abstractNumId w:val="36"/>
  </w:num>
  <w:num w:numId="21" w16cid:durableId="669603342">
    <w:abstractNumId w:val="13"/>
  </w:num>
  <w:num w:numId="22" w16cid:durableId="972056322">
    <w:abstractNumId w:val="42"/>
  </w:num>
  <w:num w:numId="23" w16cid:durableId="770590774">
    <w:abstractNumId w:val="30"/>
  </w:num>
  <w:num w:numId="24" w16cid:durableId="1250776431">
    <w:abstractNumId w:val="16"/>
  </w:num>
  <w:num w:numId="25" w16cid:durableId="1974670423">
    <w:abstractNumId w:val="0"/>
  </w:num>
  <w:num w:numId="26" w16cid:durableId="611785193">
    <w:abstractNumId w:val="40"/>
  </w:num>
  <w:num w:numId="27" w16cid:durableId="909196338">
    <w:abstractNumId w:val="33"/>
  </w:num>
  <w:num w:numId="28" w16cid:durableId="731588266">
    <w:abstractNumId w:val="35"/>
  </w:num>
  <w:num w:numId="29" w16cid:durableId="960302374">
    <w:abstractNumId w:val="37"/>
  </w:num>
  <w:num w:numId="30" w16cid:durableId="1382243825">
    <w:abstractNumId w:val="8"/>
  </w:num>
  <w:num w:numId="31" w16cid:durableId="1459840294">
    <w:abstractNumId w:val="41"/>
  </w:num>
  <w:num w:numId="32" w16cid:durableId="1245920314">
    <w:abstractNumId w:val="25"/>
  </w:num>
  <w:num w:numId="33" w16cid:durableId="1072699661">
    <w:abstractNumId w:val="14"/>
  </w:num>
  <w:num w:numId="34" w16cid:durableId="1577931805">
    <w:abstractNumId w:val="12"/>
  </w:num>
  <w:num w:numId="35" w16cid:durableId="244730336">
    <w:abstractNumId w:val="17"/>
  </w:num>
  <w:num w:numId="36" w16cid:durableId="1606497069">
    <w:abstractNumId w:val="3"/>
  </w:num>
  <w:num w:numId="37" w16cid:durableId="322780265">
    <w:abstractNumId w:val="9"/>
  </w:num>
  <w:num w:numId="38" w16cid:durableId="831216301">
    <w:abstractNumId w:val="15"/>
  </w:num>
  <w:num w:numId="39" w16cid:durableId="1386875951">
    <w:abstractNumId w:val="23"/>
  </w:num>
  <w:num w:numId="40" w16cid:durableId="894782539">
    <w:abstractNumId w:val="10"/>
  </w:num>
  <w:num w:numId="41" w16cid:durableId="1165628154">
    <w:abstractNumId w:val="27"/>
  </w:num>
  <w:num w:numId="42" w16cid:durableId="1754274872">
    <w:abstractNumId w:val="4"/>
  </w:num>
  <w:num w:numId="43" w16cid:durableId="1002048980">
    <w:abstractNumId w:val="20"/>
  </w:num>
  <w:num w:numId="44" w16cid:durableId="1534223209">
    <w:abstractNumId w:val="28"/>
  </w:num>
  <w:num w:numId="45" w16cid:durableId="151908131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017C"/>
    <w:rsid w:val="000040D2"/>
    <w:rsid w:val="00004122"/>
    <w:rsid w:val="00004707"/>
    <w:rsid w:val="000050A8"/>
    <w:rsid w:val="0001167B"/>
    <w:rsid w:val="0001277A"/>
    <w:rsid w:val="00014D5B"/>
    <w:rsid w:val="00015CD3"/>
    <w:rsid w:val="000227F1"/>
    <w:rsid w:val="0002348C"/>
    <w:rsid w:val="000235C5"/>
    <w:rsid w:val="00026E78"/>
    <w:rsid w:val="00026F01"/>
    <w:rsid w:val="00027F40"/>
    <w:rsid w:val="0003511E"/>
    <w:rsid w:val="000369DD"/>
    <w:rsid w:val="00040AB3"/>
    <w:rsid w:val="0004158F"/>
    <w:rsid w:val="00044F24"/>
    <w:rsid w:val="00046140"/>
    <w:rsid w:val="00051401"/>
    <w:rsid w:val="00053270"/>
    <w:rsid w:val="000619A3"/>
    <w:rsid w:val="000630C5"/>
    <w:rsid w:val="00075E9F"/>
    <w:rsid w:val="00076155"/>
    <w:rsid w:val="00081B89"/>
    <w:rsid w:val="0008304F"/>
    <w:rsid w:val="00083334"/>
    <w:rsid w:val="00095E89"/>
    <w:rsid w:val="000A2AA2"/>
    <w:rsid w:val="000B02AF"/>
    <w:rsid w:val="000C016D"/>
    <w:rsid w:val="000C17EA"/>
    <w:rsid w:val="000C5EFB"/>
    <w:rsid w:val="000C6226"/>
    <w:rsid w:val="000C6620"/>
    <w:rsid w:val="000D1F6A"/>
    <w:rsid w:val="000D23B8"/>
    <w:rsid w:val="000E1D5E"/>
    <w:rsid w:val="000E4488"/>
    <w:rsid w:val="000F04A7"/>
    <w:rsid w:val="000F561B"/>
    <w:rsid w:val="000F5686"/>
    <w:rsid w:val="00101C4E"/>
    <w:rsid w:val="00102325"/>
    <w:rsid w:val="00102DF2"/>
    <w:rsid w:val="0010550E"/>
    <w:rsid w:val="00111056"/>
    <w:rsid w:val="00115D73"/>
    <w:rsid w:val="00116920"/>
    <w:rsid w:val="00122AA9"/>
    <w:rsid w:val="001232D4"/>
    <w:rsid w:val="00123487"/>
    <w:rsid w:val="0012389F"/>
    <w:rsid w:val="00123C5E"/>
    <w:rsid w:val="0012472C"/>
    <w:rsid w:val="00124996"/>
    <w:rsid w:val="00127976"/>
    <w:rsid w:val="00130F1E"/>
    <w:rsid w:val="0013581B"/>
    <w:rsid w:val="0013731E"/>
    <w:rsid w:val="00143BE6"/>
    <w:rsid w:val="00144E07"/>
    <w:rsid w:val="001533E5"/>
    <w:rsid w:val="0016347A"/>
    <w:rsid w:val="00172648"/>
    <w:rsid w:val="00175DCB"/>
    <w:rsid w:val="00183867"/>
    <w:rsid w:val="00185B94"/>
    <w:rsid w:val="00187EFD"/>
    <w:rsid w:val="0019302E"/>
    <w:rsid w:val="00194129"/>
    <w:rsid w:val="00196D7D"/>
    <w:rsid w:val="001A7F4E"/>
    <w:rsid w:val="001B09CD"/>
    <w:rsid w:val="001B42ED"/>
    <w:rsid w:val="001B44D6"/>
    <w:rsid w:val="001B612C"/>
    <w:rsid w:val="001C2073"/>
    <w:rsid w:val="001C2EC7"/>
    <w:rsid w:val="001C71DF"/>
    <w:rsid w:val="001D1090"/>
    <w:rsid w:val="001D1A44"/>
    <w:rsid w:val="001D4FA8"/>
    <w:rsid w:val="001E1E68"/>
    <w:rsid w:val="001E2664"/>
    <w:rsid w:val="001E710D"/>
    <w:rsid w:val="001E7E0D"/>
    <w:rsid w:val="001F0706"/>
    <w:rsid w:val="001F1739"/>
    <w:rsid w:val="001F1A30"/>
    <w:rsid w:val="001F39B5"/>
    <w:rsid w:val="001F4FF9"/>
    <w:rsid w:val="001F5308"/>
    <w:rsid w:val="001F6A93"/>
    <w:rsid w:val="001F71B8"/>
    <w:rsid w:val="001F738D"/>
    <w:rsid w:val="00203DF0"/>
    <w:rsid w:val="002105DD"/>
    <w:rsid w:val="00213547"/>
    <w:rsid w:val="0021365D"/>
    <w:rsid w:val="00213CE6"/>
    <w:rsid w:val="0021741A"/>
    <w:rsid w:val="00217B34"/>
    <w:rsid w:val="00221424"/>
    <w:rsid w:val="00222B31"/>
    <w:rsid w:val="00227FB0"/>
    <w:rsid w:val="002305A4"/>
    <w:rsid w:val="00233229"/>
    <w:rsid w:val="00234AB8"/>
    <w:rsid w:val="00235F21"/>
    <w:rsid w:val="00236B04"/>
    <w:rsid w:val="00240968"/>
    <w:rsid w:val="00241B47"/>
    <w:rsid w:val="002450E8"/>
    <w:rsid w:val="00250A7A"/>
    <w:rsid w:val="0025171C"/>
    <w:rsid w:val="00252BD5"/>
    <w:rsid w:val="0026001A"/>
    <w:rsid w:val="00273E9B"/>
    <w:rsid w:val="00280053"/>
    <w:rsid w:val="00281003"/>
    <w:rsid w:val="00281961"/>
    <w:rsid w:val="002823F5"/>
    <w:rsid w:val="0028545F"/>
    <w:rsid w:val="0028559C"/>
    <w:rsid w:val="00287DC6"/>
    <w:rsid w:val="0029325A"/>
    <w:rsid w:val="002955BF"/>
    <w:rsid w:val="002A42C9"/>
    <w:rsid w:val="002B6780"/>
    <w:rsid w:val="002B6F06"/>
    <w:rsid w:val="002B776D"/>
    <w:rsid w:val="002C4D3F"/>
    <w:rsid w:val="002C726D"/>
    <w:rsid w:val="002D163C"/>
    <w:rsid w:val="002D4534"/>
    <w:rsid w:val="002D549A"/>
    <w:rsid w:val="002E14D9"/>
    <w:rsid w:val="002F16E0"/>
    <w:rsid w:val="002F1C07"/>
    <w:rsid w:val="002F7A10"/>
    <w:rsid w:val="003013B9"/>
    <w:rsid w:val="00304CE6"/>
    <w:rsid w:val="00307FF9"/>
    <w:rsid w:val="00310B1D"/>
    <w:rsid w:val="00311716"/>
    <w:rsid w:val="00311DBC"/>
    <w:rsid w:val="00314F62"/>
    <w:rsid w:val="0031610B"/>
    <w:rsid w:val="00316759"/>
    <w:rsid w:val="0032182A"/>
    <w:rsid w:val="00325EAC"/>
    <w:rsid w:val="0032651C"/>
    <w:rsid w:val="00331216"/>
    <w:rsid w:val="00334FD5"/>
    <w:rsid w:val="00337719"/>
    <w:rsid w:val="00337AEC"/>
    <w:rsid w:val="00344803"/>
    <w:rsid w:val="0035068B"/>
    <w:rsid w:val="00351B54"/>
    <w:rsid w:val="00351D83"/>
    <w:rsid w:val="0035512F"/>
    <w:rsid w:val="00355A22"/>
    <w:rsid w:val="00356195"/>
    <w:rsid w:val="00356258"/>
    <w:rsid w:val="003567C6"/>
    <w:rsid w:val="00362730"/>
    <w:rsid w:val="0036613D"/>
    <w:rsid w:val="0036688F"/>
    <w:rsid w:val="00366923"/>
    <w:rsid w:val="003753E3"/>
    <w:rsid w:val="00375DF5"/>
    <w:rsid w:val="0037762C"/>
    <w:rsid w:val="00382E51"/>
    <w:rsid w:val="00386552"/>
    <w:rsid w:val="00391A75"/>
    <w:rsid w:val="00392550"/>
    <w:rsid w:val="00392757"/>
    <w:rsid w:val="00395F30"/>
    <w:rsid w:val="003973AB"/>
    <w:rsid w:val="003A23E7"/>
    <w:rsid w:val="003A2480"/>
    <w:rsid w:val="003A3155"/>
    <w:rsid w:val="003A4DE6"/>
    <w:rsid w:val="003A5089"/>
    <w:rsid w:val="003B027F"/>
    <w:rsid w:val="003B5036"/>
    <w:rsid w:val="003B51EF"/>
    <w:rsid w:val="003B52B7"/>
    <w:rsid w:val="003C0DE4"/>
    <w:rsid w:val="003C26F1"/>
    <w:rsid w:val="003D0003"/>
    <w:rsid w:val="003D109C"/>
    <w:rsid w:val="003D38EB"/>
    <w:rsid w:val="003D3F9E"/>
    <w:rsid w:val="003D4154"/>
    <w:rsid w:val="003D4790"/>
    <w:rsid w:val="003D49D9"/>
    <w:rsid w:val="003D7A5E"/>
    <w:rsid w:val="003E17B6"/>
    <w:rsid w:val="003E3FE9"/>
    <w:rsid w:val="003F0164"/>
    <w:rsid w:val="003F231B"/>
    <w:rsid w:val="003F2C25"/>
    <w:rsid w:val="003F32A9"/>
    <w:rsid w:val="003F3E5C"/>
    <w:rsid w:val="003F53B7"/>
    <w:rsid w:val="003F5FEA"/>
    <w:rsid w:val="003F6BB8"/>
    <w:rsid w:val="003F740E"/>
    <w:rsid w:val="00404211"/>
    <w:rsid w:val="00410E60"/>
    <w:rsid w:val="0041104F"/>
    <w:rsid w:val="004155C5"/>
    <w:rsid w:val="0042347B"/>
    <w:rsid w:val="00424E33"/>
    <w:rsid w:val="00430268"/>
    <w:rsid w:val="00430DBD"/>
    <w:rsid w:val="00431F78"/>
    <w:rsid w:val="004333EB"/>
    <w:rsid w:val="00437490"/>
    <w:rsid w:val="0043788B"/>
    <w:rsid w:val="00443248"/>
    <w:rsid w:val="0044324D"/>
    <w:rsid w:val="00445380"/>
    <w:rsid w:val="0045408A"/>
    <w:rsid w:val="0046276B"/>
    <w:rsid w:val="00470842"/>
    <w:rsid w:val="00475E77"/>
    <w:rsid w:val="00476623"/>
    <w:rsid w:val="0048309E"/>
    <w:rsid w:val="004846DE"/>
    <w:rsid w:val="004851D6"/>
    <w:rsid w:val="00490B8B"/>
    <w:rsid w:val="00492B80"/>
    <w:rsid w:val="0049726C"/>
    <w:rsid w:val="004B1466"/>
    <w:rsid w:val="004B3400"/>
    <w:rsid w:val="004B47B8"/>
    <w:rsid w:val="004C420C"/>
    <w:rsid w:val="004C5E13"/>
    <w:rsid w:val="004C70FE"/>
    <w:rsid w:val="004D2685"/>
    <w:rsid w:val="004D5F90"/>
    <w:rsid w:val="004D6973"/>
    <w:rsid w:val="004D7E40"/>
    <w:rsid w:val="004E3A1C"/>
    <w:rsid w:val="004F05E8"/>
    <w:rsid w:val="004F0622"/>
    <w:rsid w:val="004F5DB7"/>
    <w:rsid w:val="004F686D"/>
    <w:rsid w:val="004F77E0"/>
    <w:rsid w:val="0050554C"/>
    <w:rsid w:val="00506A6A"/>
    <w:rsid w:val="00512900"/>
    <w:rsid w:val="00512C09"/>
    <w:rsid w:val="00514F91"/>
    <w:rsid w:val="00520075"/>
    <w:rsid w:val="005234A2"/>
    <w:rsid w:val="0053107E"/>
    <w:rsid w:val="00531A16"/>
    <w:rsid w:val="00534F02"/>
    <w:rsid w:val="00540426"/>
    <w:rsid w:val="00540C88"/>
    <w:rsid w:val="00541AF1"/>
    <w:rsid w:val="00544540"/>
    <w:rsid w:val="005564ED"/>
    <w:rsid w:val="00562374"/>
    <w:rsid w:val="0057344E"/>
    <w:rsid w:val="0057385A"/>
    <w:rsid w:val="005757D1"/>
    <w:rsid w:val="00575A62"/>
    <w:rsid w:val="005766F2"/>
    <w:rsid w:val="00582575"/>
    <w:rsid w:val="00583788"/>
    <w:rsid w:val="00593364"/>
    <w:rsid w:val="00593C19"/>
    <w:rsid w:val="00596FB3"/>
    <w:rsid w:val="005A7749"/>
    <w:rsid w:val="005A7907"/>
    <w:rsid w:val="005A79BE"/>
    <w:rsid w:val="005B0287"/>
    <w:rsid w:val="005B3895"/>
    <w:rsid w:val="005B51E5"/>
    <w:rsid w:val="005B7A22"/>
    <w:rsid w:val="005C57B0"/>
    <w:rsid w:val="005C7B94"/>
    <w:rsid w:val="005D016D"/>
    <w:rsid w:val="005D6404"/>
    <w:rsid w:val="005E06DA"/>
    <w:rsid w:val="005E0CCC"/>
    <w:rsid w:val="005E1048"/>
    <w:rsid w:val="005E194A"/>
    <w:rsid w:val="005E4260"/>
    <w:rsid w:val="005E521F"/>
    <w:rsid w:val="005E5A14"/>
    <w:rsid w:val="005E6773"/>
    <w:rsid w:val="005F103A"/>
    <w:rsid w:val="005F4870"/>
    <w:rsid w:val="006000BC"/>
    <w:rsid w:val="00603A03"/>
    <w:rsid w:val="00605268"/>
    <w:rsid w:val="006126D6"/>
    <w:rsid w:val="00613B33"/>
    <w:rsid w:val="006146FA"/>
    <w:rsid w:val="006179CC"/>
    <w:rsid w:val="0062127C"/>
    <w:rsid w:val="00622352"/>
    <w:rsid w:val="006227AB"/>
    <w:rsid w:val="006233FA"/>
    <w:rsid w:val="00623663"/>
    <w:rsid w:val="0062509E"/>
    <w:rsid w:val="00631F9C"/>
    <w:rsid w:val="006329DC"/>
    <w:rsid w:val="006329F0"/>
    <w:rsid w:val="00632AA8"/>
    <w:rsid w:val="0064143C"/>
    <w:rsid w:val="00643604"/>
    <w:rsid w:val="00644F68"/>
    <w:rsid w:val="006476F4"/>
    <w:rsid w:val="0065372C"/>
    <w:rsid w:val="00653D53"/>
    <w:rsid w:val="006550F8"/>
    <w:rsid w:val="00657306"/>
    <w:rsid w:val="00657CCA"/>
    <w:rsid w:val="0066170F"/>
    <w:rsid w:val="00661C17"/>
    <w:rsid w:val="00663167"/>
    <w:rsid w:val="00663BFA"/>
    <w:rsid w:val="006755B6"/>
    <w:rsid w:val="00676EC4"/>
    <w:rsid w:val="0068187A"/>
    <w:rsid w:val="00685E54"/>
    <w:rsid w:val="006942A6"/>
    <w:rsid w:val="006956C1"/>
    <w:rsid w:val="006960BD"/>
    <w:rsid w:val="006A22C8"/>
    <w:rsid w:val="006A2729"/>
    <w:rsid w:val="006A2D8B"/>
    <w:rsid w:val="006A4FA0"/>
    <w:rsid w:val="006A5D9A"/>
    <w:rsid w:val="006A70E8"/>
    <w:rsid w:val="006B0C25"/>
    <w:rsid w:val="006B1132"/>
    <w:rsid w:val="006B17B8"/>
    <w:rsid w:val="006B17CA"/>
    <w:rsid w:val="006B18FA"/>
    <w:rsid w:val="006B2C57"/>
    <w:rsid w:val="006B412D"/>
    <w:rsid w:val="006B7672"/>
    <w:rsid w:val="006C1969"/>
    <w:rsid w:val="006C2393"/>
    <w:rsid w:val="006C3F97"/>
    <w:rsid w:val="006C4A26"/>
    <w:rsid w:val="006E1648"/>
    <w:rsid w:val="006E2609"/>
    <w:rsid w:val="006E5B75"/>
    <w:rsid w:val="006F223E"/>
    <w:rsid w:val="006F2950"/>
    <w:rsid w:val="006F3718"/>
    <w:rsid w:val="006F5414"/>
    <w:rsid w:val="00700084"/>
    <w:rsid w:val="0071082B"/>
    <w:rsid w:val="00710958"/>
    <w:rsid w:val="007227E2"/>
    <w:rsid w:val="00724708"/>
    <w:rsid w:val="007310F3"/>
    <w:rsid w:val="00732872"/>
    <w:rsid w:val="00732DB7"/>
    <w:rsid w:val="007330D9"/>
    <w:rsid w:val="00733DE5"/>
    <w:rsid w:val="00735C89"/>
    <w:rsid w:val="00744AA4"/>
    <w:rsid w:val="00745C5E"/>
    <w:rsid w:val="00746ED9"/>
    <w:rsid w:val="0075356F"/>
    <w:rsid w:val="007554E1"/>
    <w:rsid w:val="00755F54"/>
    <w:rsid w:val="0075662A"/>
    <w:rsid w:val="00757A34"/>
    <w:rsid w:val="007609B9"/>
    <w:rsid w:val="007618DB"/>
    <w:rsid w:val="007667BC"/>
    <w:rsid w:val="00767166"/>
    <w:rsid w:val="007676E4"/>
    <w:rsid w:val="00767EFD"/>
    <w:rsid w:val="00771324"/>
    <w:rsid w:val="00771AD0"/>
    <w:rsid w:val="00772D48"/>
    <w:rsid w:val="00774283"/>
    <w:rsid w:val="00776AE4"/>
    <w:rsid w:val="00776D60"/>
    <w:rsid w:val="007770B3"/>
    <w:rsid w:val="007771B7"/>
    <w:rsid w:val="00777352"/>
    <w:rsid w:val="00782A8C"/>
    <w:rsid w:val="00785923"/>
    <w:rsid w:val="007901E2"/>
    <w:rsid w:val="007A0A9B"/>
    <w:rsid w:val="007A401A"/>
    <w:rsid w:val="007B04B1"/>
    <w:rsid w:val="007B1AF0"/>
    <w:rsid w:val="007B4664"/>
    <w:rsid w:val="007C11D9"/>
    <w:rsid w:val="007C48ED"/>
    <w:rsid w:val="007C56BF"/>
    <w:rsid w:val="007C7527"/>
    <w:rsid w:val="007C7E6C"/>
    <w:rsid w:val="007D290D"/>
    <w:rsid w:val="007D35FD"/>
    <w:rsid w:val="007D7418"/>
    <w:rsid w:val="007E247D"/>
    <w:rsid w:val="007E2E48"/>
    <w:rsid w:val="007E300D"/>
    <w:rsid w:val="007E4EA7"/>
    <w:rsid w:val="007E5202"/>
    <w:rsid w:val="007F1666"/>
    <w:rsid w:val="007F231E"/>
    <w:rsid w:val="007F2EAE"/>
    <w:rsid w:val="007F3BA4"/>
    <w:rsid w:val="007F49C0"/>
    <w:rsid w:val="007F7A67"/>
    <w:rsid w:val="008034BC"/>
    <w:rsid w:val="00803BB2"/>
    <w:rsid w:val="00803E30"/>
    <w:rsid w:val="00804013"/>
    <w:rsid w:val="008045E5"/>
    <w:rsid w:val="008056EA"/>
    <w:rsid w:val="008061C4"/>
    <w:rsid w:val="0081554D"/>
    <w:rsid w:val="00816163"/>
    <w:rsid w:val="008165AB"/>
    <w:rsid w:val="00820775"/>
    <w:rsid w:val="00831621"/>
    <w:rsid w:val="00831AA2"/>
    <w:rsid w:val="00832C2D"/>
    <w:rsid w:val="00837773"/>
    <w:rsid w:val="0083778D"/>
    <w:rsid w:val="008408B2"/>
    <w:rsid w:val="00840CF3"/>
    <w:rsid w:val="00843B43"/>
    <w:rsid w:val="00845FEE"/>
    <w:rsid w:val="008525EB"/>
    <w:rsid w:val="00853A8C"/>
    <w:rsid w:val="00853FF4"/>
    <w:rsid w:val="00854856"/>
    <w:rsid w:val="00854CA3"/>
    <w:rsid w:val="00855B62"/>
    <w:rsid w:val="00856D61"/>
    <w:rsid w:val="00861699"/>
    <w:rsid w:val="00863401"/>
    <w:rsid w:val="00872154"/>
    <w:rsid w:val="008743F2"/>
    <w:rsid w:val="00875A78"/>
    <w:rsid w:val="0087639F"/>
    <w:rsid w:val="00882E17"/>
    <w:rsid w:val="008836E9"/>
    <w:rsid w:val="00886242"/>
    <w:rsid w:val="008908E9"/>
    <w:rsid w:val="00893CF5"/>
    <w:rsid w:val="008A009A"/>
    <w:rsid w:val="008A0194"/>
    <w:rsid w:val="008A0DD6"/>
    <w:rsid w:val="008A46D1"/>
    <w:rsid w:val="008A6F04"/>
    <w:rsid w:val="008B042D"/>
    <w:rsid w:val="008B2AB0"/>
    <w:rsid w:val="008B2D67"/>
    <w:rsid w:val="008B52AF"/>
    <w:rsid w:val="008C2139"/>
    <w:rsid w:val="008C3A7A"/>
    <w:rsid w:val="008C7C3E"/>
    <w:rsid w:val="008D04B5"/>
    <w:rsid w:val="008D3434"/>
    <w:rsid w:val="008D3E5D"/>
    <w:rsid w:val="008D5C53"/>
    <w:rsid w:val="008E38F1"/>
    <w:rsid w:val="008E621F"/>
    <w:rsid w:val="008E6A1E"/>
    <w:rsid w:val="008F0FC0"/>
    <w:rsid w:val="008F14FC"/>
    <w:rsid w:val="008F328A"/>
    <w:rsid w:val="008F3AD0"/>
    <w:rsid w:val="008F5E95"/>
    <w:rsid w:val="008F7703"/>
    <w:rsid w:val="008F79FF"/>
    <w:rsid w:val="008F7C1B"/>
    <w:rsid w:val="0090109C"/>
    <w:rsid w:val="0090687A"/>
    <w:rsid w:val="00907464"/>
    <w:rsid w:val="00914195"/>
    <w:rsid w:val="009218FD"/>
    <w:rsid w:val="009247E9"/>
    <w:rsid w:val="00925AA1"/>
    <w:rsid w:val="009300AF"/>
    <w:rsid w:val="00930242"/>
    <w:rsid w:val="00930D33"/>
    <w:rsid w:val="00931DB9"/>
    <w:rsid w:val="0093619B"/>
    <w:rsid w:val="009368EC"/>
    <w:rsid w:val="00937599"/>
    <w:rsid w:val="00944B4B"/>
    <w:rsid w:val="00951937"/>
    <w:rsid w:val="00953152"/>
    <w:rsid w:val="009558D1"/>
    <w:rsid w:val="009558D3"/>
    <w:rsid w:val="00956BCB"/>
    <w:rsid w:val="00961C07"/>
    <w:rsid w:val="00963701"/>
    <w:rsid w:val="009700E6"/>
    <w:rsid w:val="009707C9"/>
    <w:rsid w:val="00971F95"/>
    <w:rsid w:val="009762CC"/>
    <w:rsid w:val="00983368"/>
    <w:rsid w:val="0098354D"/>
    <w:rsid w:val="00987D6B"/>
    <w:rsid w:val="009A1C25"/>
    <w:rsid w:val="009A35BE"/>
    <w:rsid w:val="009B0052"/>
    <w:rsid w:val="009B1038"/>
    <w:rsid w:val="009B4ADF"/>
    <w:rsid w:val="009B5F9A"/>
    <w:rsid w:val="009B73B6"/>
    <w:rsid w:val="009C1DDF"/>
    <w:rsid w:val="009C681E"/>
    <w:rsid w:val="009D1451"/>
    <w:rsid w:val="009D62D4"/>
    <w:rsid w:val="009D7996"/>
    <w:rsid w:val="009E0881"/>
    <w:rsid w:val="009E427A"/>
    <w:rsid w:val="009E5323"/>
    <w:rsid w:val="009E6063"/>
    <w:rsid w:val="009E672B"/>
    <w:rsid w:val="009F1D34"/>
    <w:rsid w:val="009F340F"/>
    <w:rsid w:val="009F6134"/>
    <w:rsid w:val="00A12D56"/>
    <w:rsid w:val="00A153AD"/>
    <w:rsid w:val="00A2134F"/>
    <w:rsid w:val="00A23AFE"/>
    <w:rsid w:val="00A26530"/>
    <w:rsid w:val="00A26E13"/>
    <w:rsid w:val="00A30D6F"/>
    <w:rsid w:val="00A33FD5"/>
    <w:rsid w:val="00A37D94"/>
    <w:rsid w:val="00A527BC"/>
    <w:rsid w:val="00A54E5F"/>
    <w:rsid w:val="00A60418"/>
    <w:rsid w:val="00A61E64"/>
    <w:rsid w:val="00A63016"/>
    <w:rsid w:val="00A64D8D"/>
    <w:rsid w:val="00A70554"/>
    <w:rsid w:val="00A70697"/>
    <w:rsid w:val="00A72EE8"/>
    <w:rsid w:val="00A851DA"/>
    <w:rsid w:val="00A868ED"/>
    <w:rsid w:val="00A90F96"/>
    <w:rsid w:val="00A91D85"/>
    <w:rsid w:val="00A91FF8"/>
    <w:rsid w:val="00AA18D8"/>
    <w:rsid w:val="00AA4EB4"/>
    <w:rsid w:val="00AA649A"/>
    <w:rsid w:val="00AA6D51"/>
    <w:rsid w:val="00AA6FBC"/>
    <w:rsid w:val="00AB1A5F"/>
    <w:rsid w:val="00AB1C03"/>
    <w:rsid w:val="00AB1F2E"/>
    <w:rsid w:val="00AB27FD"/>
    <w:rsid w:val="00AB2ED7"/>
    <w:rsid w:val="00AB7347"/>
    <w:rsid w:val="00AC7315"/>
    <w:rsid w:val="00AD0B1E"/>
    <w:rsid w:val="00AD0DC8"/>
    <w:rsid w:val="00AD1D31"/>
    <w:rsid w:val="00AD2CB7"/>
    <w:rsid w:val="00AD44FB"/>
    <w:rsid w:val="00AD6004"/>
    <w:rsid w:val="00AD60B7"/>
    <w:rsid w:val="00AE02B4"/>
    <w:rsid w:val="00AE3027"/>
    <w:rsid w:val="00AE3421"/>
    <w:rsid w:val="00AE3433"/>
    <w:rsid w:val="00AE605A"/>
    <w:rsid w:val="00AF3393"/>
    <w:rsid w:val="00AF63DA"/>
    <w:rsid w:val="00B003F7"/>
    <w:rsid w:val="00B0188C"/>
    <w:rsid w:val="00B02BE6"/>
    <w:rsid w:val="00B13222"/>
    <w:rsid w:val="00B135FF"/>
    <w:rsid w:val="00B14DAF"/>
    <w:rsid w:val="00B15C0B"/>
    <w:rsid w:val="00B21640"/>
    <w:rsid w:val="00B26CAF"/>
    <w:rsid w:val="00B37613"/>
    <w:rsid w:val="00B430F7"/>
    <w:rsid w:val="00B434F3"/>
    <w:rsid w:val="00B44ECE"/>
    <w:rsid w:val="00B50EB0"/>
    <w:rsid w:val="00B61285"/>
    <w:rsid w:val="00B6419F"/>
    <w:rsid w:val="00B73023"/>
    <w:rsid w:val="00B7771A"/>
    <w:rsid w:val="00B81362"/>
    <w:rsid w:val="00B8266A"/>
    <w:rsid w:val="00B8619D"/>
    <w:rsid w:val="00B8763B"/>
    <w:rsid w:val="00B91887"/>
    <w:rsid w:val="00BA3152"/>
    <w:rsid w:val="00BA382D"/>
    <w:rsid w:val="00BA56B5"/>
    <w:rsid w:val="00BA654A"/>
    <w:rsid w:val="00BA66FC"/>
    <w:rsid w:val="00BA743D"/>
    <w:rsid w:val="00BB637F"/>
    <w:rsid w:val="00BB64B3"/>
    <w:rsid w:val="00BB6D42"/>
    <w:rsid w:val="00BC0396"/>
    <w:rsid w:val="00BC0752"/>
    <w:rsid w:val="00BC2322"/>
    <w:rsid w:val="00BD5736"/>
    <w:rsid w:val="00BE607A"/>
    <w:rsid w:val="00BE7FB0"/>
    <w:rsid w:val="00BF090B"/>
    <w:rsid w:val="00BF518A"/>
    <w:rsid w:val="00BF7E95"/>
    <w:rsid w:val="00C01FCD"/>
    <w:rsid w:val="00C046F5"/>
    <w:rsid w:val="00C05BF3"/>
    <w:rsid w:val="00C062D3"/>
    <w:rsid w:val="00C10231"/>
    <w:rsid w:val="00C1161B"/>
    <w:rsid w:val="00C11C99"/>
    <w:rsid w:val="00C12FC6"/>
    <w:rsid w:val="00C1611E"/>
    <w:rsid w:val="00C17E2B"/>
    <w:rsid w:val="00C21A1C"/>
    <w:rsid w:val="00C21C3F"/>
    <w:rsid w:val="00C26B71"/>
    <w:rsid w:val="00C332EA"/>
    <w:rsid w:val="00C33B7E"/>
    <w:rsid w:val="00C3678B"/>
    <w:rsid w:val="00C37258"/>
    <w:rsid w:val="00C4040D"/>
    <w:rsid w:val="00C4077C"/>
    <w:rsid w:val="00C424A9"/>
    <w:rsid w:val="00C42AFB"/>
    <w:rsid w:val="00C44021"/>
    <w:rsid w:val="00C47D23"/>
    <w:rsid w:val="00C51E2F"/>
    <w:rsid w:val="00C55BF4"/>
    <w:rsid w:val="00C56523"/>
    <w:rsid w:val="00C6524B"/>
    <w:rsid w:val="00C65D39"/>
    <w:rsid w:val="00C7126C"/>
    <w:rsid w:val="00C749D9"/>
    <w:rsid w:val="00C75EB0"/>
    <w:rsid w:val="00C764D1"/>
    <w:rsid w:val="00C774C7"/>
    <w:rsid w:val="00C86340"/>
    <w:rsid w:val="00C868D5"/>
    <w:rsid w:val="00C87344"/>
    <w:rsid w:val="00C87FD3"/>
    <w:rsid w:val="00C909F5"/>
    <w:rsid w:val="00C90FD9"/>
    <w:rsid w:val="00C92F0E"/>
    <w:rsid w:val="00C9431F"/>
    <w:rsid w:val="00C9638A"/>
    <w:rsid w:val="00C9722E"/>
    <w:rsid w:val="00CA371D"/>
    <w:rsid w:val="00CA769F"/>
    <w:rsid w:val="00CA78BB"/>
    <w:rsid w:val="00CB3869"/>
    <w:rsid w:val="00CB70B6"/>
    <w:rsid w:val="00CB7CF7"/>
    <w:rsid w:val="00CC2DD7"/>
    <w:rsid w:val="00CC4049"/>
    <w:rsid w:val="00CC4762"/>
    <w:rsid w:val="00CC5ED7"/>
    <w:rsid w:val="00CC673A"/>
    <w:rsid w:val="00CD0C2D"/>
    <w:rsid w:val="00CD14A3"/>
    <w:rsid w:val="00CD41B7"/>
    <w:rsid w:val="00CD4F67"/>
    <w:rsid w:val="00CD6A1F"/>
    <w:rsid w:val="00CF2A8E"/>
    <w:rsid w:val="00CF3D3E"/>
    <w:rsid w:val="00CF3DE4"/>
    <w:rsid w:val="00CF5015"/>
    <w:rsid w:val="00CF5E18"/>
    <w:rsid w:val="00D002AE"/>
    <w:rsid w:val="00D00FAB"/>
    <w:rsid w:val="00D01A28"/>
    <w:rsid w:val="00D02C8E"/>
    <w:rsid w:val="00D056C8"/>
    <w:rsid w:val="00D07485"/>
    <w:rsid w:val="00D07658"/>
    <w:rsid w:val="00D10101"/>
    <w:rsid w:val="00D104D1"/>
    <w:rsid w:val="00D1073B"/>
    <w:rsid w:val="00D10870"/>
    <w:rsid w:val="00D13CDE"/>
    <w:rsid w:val="00D14C87"/>
    <w:rsid w:val="00D14DAD"/>
    <w:rsid w:val="00D1519B"/>
    <w:rsid w:val="00D16189"/>
    <w:rsid w:val="00D16F32"/>
    <w:rsid w:val="00D21460"/>
    <w:rsid w:val="00D21787"/>
    <w:rsid w:val="00D2495C"/>
    <w:rsid w:val="00D341F9"/>
    <w:rsid w:val="00D40740"/>
    <w:rsid w:val="00D417F5"/>
    <w:rsid w:val="00D41967"/>
    <w:rsid w:val="00D43653"/>
    <w:rsid w:val="00D45982"/>
    <w:rsid w:val="00D47D76"/>
    <w:rsid w:val="00D51A50"/>
    <w:rsid w:val="00D57E66"/>
    <w:rsid w:val="00D62022"/>
    <w:rsid w:val="00D632FD"/>
    <w:rsid w:val="00D65486"/>
    <w:rsid w:val="00D656CC"/>
    <w:rsid w:val="00D70C95"/>
    <w:rsid w:val="00D7373E"/>
    <w:rsid w:val="00D80954"/>
    <w:rsid w:val="00D8097C"/>
    <w:rsid w:val="00D85938"/>
    <w:rsid w:val="00D864FB"/>
    <w:rsid w:val="00D93E58"/>
    <w:rsid w:val="00D953E1"/>
    <w:rsid w:val="00D95DCE"/>
    <w:rsid w:val="00DA21E3"/>
    <w:rsid w:val="00DA277B"/>
    <w:rsid w:val="00DA4954"/>
    <w:rsid w:val="00DA6DCE"/>
    <w:rsid w:val="00DA77F7"/>
    <w:rsid w:val="00DB04AB"/>
    <w:rsid w:val="00DB117A"/>
    <w:rsid w:val="00DB20C1"/>
    <w:rsid w:val="00DB5CD9"/>
    <w:rsid w:val="00DB740F"/>
    <w:rsid w:val="00DC1B98"/>
    <w:rsid w:val="00DC1F14"/>
    <w:rsid w:val="00DC2303"/>
    <w:rsid w:val="00DC288C"/>
    <w:rsid w:val="00DC28D1"/>
    <w:rsid w:val="00DD0B22"/>
    <w:rsid w:val="00DD138E"/>
    <w:rsid w:val="00DD2F56"/>
    <w:rsid w:val="00DD3ED7"/>
    <w:rsid w:val="00DD491F"/>
    <w:rsid w:val="00DD67A2"/>
    <w:rsid w:val="00DD7B04"/>
    <w:rsid w:val="00DE2620"/>
    <w:rsid w:val="00E02C14"/>
    <w:rsid w:val="00E0333B"/>
    <w:rsid w:val="00E10D46"/>
    <w:rsid w:val="00E11A61"/>
    <w:rsid w:val="00E14B73"/>
    <w:rsid w:val="00E15831"/>
    <w:rsid w:val="00E1648E"/>
    <w:rsid w:val="00E32163"/>
    <w:rsid w:val="00E35CBB"/>
    <w:rsid w:val="00E37F6B"/>
    <w:rsid w:val="00E40DC7"/>
    <w:rsid w:val="00E419CB"/>
    <w:rsid w:val="00E4220A"/>
    <w:rsid w:val="00E425C9"/>
    <w:rsid w:val="00E44CC1"/>
    <w:rsid w:val="00E46BC4"/>
    <w:rsid w:val="00E51F45"/>
    <w:rsid w:val="00E54E5F"/>
    <w:rsid w:val="00E550FA"/>
    <w:rsid w:val="00E56868"/>
    <w:rsid w:val="00E62D21"/>
    <w:rsid w:val="00E72961"/>
    <w:rsid w:val="00E75A9C"/>
    <w:rsid w:val="00E7643F"/>
    <w:rsid w:val="00E76602"/>
    <w:rsid w:val="00E767B4"/>
    <w:rsid w:val="00E76F71"/>
    <w:rsid w:val="00E82B94"/>
    <w:rsid w:val="00E82D5E"/>
    <w:rsid w:val="00E840D0"/>
    <w:rsid w:val="00E84EDE"/>
    <w:rsid w:val="00E86959"/>
    <w:rsid w:val="00E93611"/>
    <w:rsid w:val="00E93B7D"/>
    <w:rsid w:val="00E94FB8"/>
    <w:rsid w:val="00E97137"/>
    <w:rsid w:val="00EA2374"/>
    <w:rsid w:val="00EA29A7"/>
    <w:rsid w:val="00EA3FBA"/>
    <w:rsid w:val="00EA6833"/>
    <w:rsid w:val="00EA7764"/>
    <w:rsid w:val="00EA788F"/>
    <w:rsid w:val="00EC04B3"/>
    <w:rsid w:val="00EC0576"/>
    <w:rsid w:val="00EC0E58"/>
    <w:rsid w:val="00EC3241"/>
    <w:rsid w:val="00EC4241"/>
    <w:rsid w:val="00EC5871"/>
    <w:rsid w:val="00EC6099"/>
    <w:rsid w:val="00EC6BBD"/>
    <w:rsid w:val="00EC7A71"/>
    <w:rsid w:val="00EC7C2F"/>
    <w:rsid w:val="00ED6E9F"/>
    <w:rsid w:val="00EE3D5A"/>
    <w:rsid w:val="00EE5B08"/>
    <w:rsid w:val="00EE5E42"/>
    <w:rsid w:val="00EF2BF8"/>
    <w:rsid w:val="00EF3E3C"/>
    <w:rsid w:val="00EF4387"/>
    <w:rsid w:val="00EF6657"/>
    <w:rsid w:val="00EF70A7"/>
    <w:rsid w:val="00F003B3"/>
    <w:rsid w:val="00F04A15"/>
    <w:rsid w:val="00F06DB2"/>
    <w:rsid w:val="00F0740F"/>
    <w:rsid w:val="00F1001A"/>
    <w:rsid w:val="00F1106C"/>
    <w:rsid w:val="00F11E84"/>
    <w:rsid w:val="00F14A09"/>
    <w:rsid w:val="00F171F2"/>
    <w:rsid w:val="00F23561"/>
    <w:rsid w:val="00F23F22"/>
    <w:rsid w:val="00F31F4E"/>
    <w:rsid w:val="00F3650D"/>
    <w:rsid w:val="00F36979"/>
    <w:rsid w:val="00F40FDE"/>
    <w:rsid w:val="00F46172"/>
    <w:rsid w:val="00F52821"/>
    <w:rsid w:val="00F52AFE"/>
    <w:rsid w:val="00F551F4"/>
    <w:rsid w:val="00F55A7C"/>
    <w:rsid w:val="00F608B9"/>
    <w:rsid w:val="00F617FC"/>
    <w:rsid w:val="00F62994"/>
    <w:rsid w:val="00F64C5B"/>
    <w:rsid w:val="00F6501C"/>
    <w:rsid w:val="00F668C7"/>
    <w:rsid w:val="00F71BCB"/>
    <w:rsid w:val="00F71CFF"/>
    <w:rsid w:val="00F727F3"/>
    <w:rsid w:val="00F72A33"/>
    <w:rsid w:val="00F730AD"/>
    <w:rsid w:val="00F73B33"/>
    <w:rsid w:val="00F76818"/>
    <w:rsid w:val="00F76BA1"/>
    <w:rsid w:val="00F76C8B"/>
    <w:rsid w:val="00F77AAE"/>
    <w:rsid w:val="00F831C4"/>
    <w:rsid w:val="00F859AA"/>
    <w:rsid w:val="00F87316"/>
    <w:rsid w:val="00F95191"/>
    <w:rsid w:val="00F952B0"/>
    <w:rsid w:val="00F9541E"/>
    <w:rsid w:val="00F96FD2"/>
    <w:rsid w:val="00FA12CF"/>
    <w:rsid w:val="00FA4231"/>
    <w:rsid w:val="00FA5BFF"/>
    <w:rsid w:val="00FB141D"/>
    <w:rsid w:val="00FB2873"/>
    <w:rsid w:val="00FC0914"/>
    <w:rsid w:val="00FC0FC8"/>
    <w:rsid w:val="00FC12E5"/>
    <w:rsid w:val="00FC5696"/>
    <w:rsid w:val="00FD3387"/>
    <w:rsid w:val="00FD3798"/>
    <w:rsid w:val="00FE1B29"/>
    <w:rsid w:val="00FE23D6"/>
    <w:rsid w:val="00FE32C7"/>
    <w:rsid w:val="00FE4613"/>
    <w:rsid w:val="00FE5EAC"/>
    <w:rsid w:val="00FE7784"/>
    <w:rsid w:val="00FF209D"/>
    <w:rsid w:val="00FF358E"/>
    <w:rsid w:val="00FF5237"/>
    <w:rsid w:val="00FF52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BA48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4FA0"/>
    <w:pPr>
      <w:spacing w:after="0" w:line="260" w:lineRule="atLeast"/>
    </w:pPr>
    <w:rPr>
      <w:rFonts w:ascii="Arial" w:hAnsi="Arial"/>
      <w:sz w:val="20"/>
    </w:rPr>
  </w:style>
  <w:style w:type="paragraph" w:styleId="Naslov1">
    <w:name w:val="heading 1"/>
    <w:aliases w:val="NASLOV"/>
    <w:basedOn w:val="Navaden"/>
    <w:next w:val="Navaden"/>
    <w:link w:val="Naslov1Znak"/>
    <w:autoRedefine/>
    <w:qFormat/>
    <w:rsid w:val="0042347B"/>
    <w:pPr>
      <w:keepNext/>
      <w:shd w:val="clear" w:color="auto" w:fill="FFFFFF"/>
      <w:ind w:left="360" w:hanging="360"/>
      <w:jc w:val="both"/>
      <w:outlineLvl w:val="0"/>
    </w:pPr>
    <w:rPr>
      <w:rFonts w:eastAsia="Times New Roman" w:cs="Arial"/>
      <w:kern w:val="32"/>
      <w:szCs w:val="20"/>
      <w:lang w:eastAsia="sl-SI"/>
    </w:rPr>
  </w:style>
  <w:style w:type="paragraph" w:styleId="Naslov2">
    <w:name w:val="heading 2"/>
    <w:basedOn w:val="Navaden"/>
    <w:next w:val="Navaden"/>
    <w:link w:val="Naslov2Znak"/>
    <w:uiPriority w:val="9"/>
    <w:semiHidden/>
    <w:unhideWhenUsed/>
    <w:qFormat/>
    <w:rsid w:val="008D3E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8D3E5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6">
    <w:name w:val="heading 6"/>
    <w:basedOn w:val="Navaden"/>
    <w:next w:val="Navaden"/>
    <w:link w:val="Naslov6Znak"/>
    <w:uiPriority w:val="9"/>
    <w:semiHidden/>
    <w:unhideWhenUsed/>
    <w:qFormat/>
    <w:rsid w:val="00D656CC"/>
    <w:pPr>
      <w:keepNext/>
      <w:keepLines/>
      <w:spacing w:before="4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iPriority w:val="99"/>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pPr>
    <w:rPr>
      <w:rFonts w:eastAsia="Times New Roman" w:cs="Times New Roman"/>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line="360" w:lineRule="auto"/>
    </w:pPr>
    <w:rPr>
      <w:rFonts w:eastAsia="Times New Roman" w:cs="Times New Roman"/>
      <w:szCs w:val="24"/>
      <w:lang w:val="it-IT"/>
    </w:rPr>
  </w:style>
  <w:style w:type="paragraph" w:styleId="Naslov">
    <w:name w:val="Title"/>
    <w:basedOn w:val="Navaden"/>
    <w:next w:val="Navaden"/>
    <w:link w:val="NaslovZnak"/>
    <w:qFormat/>
    <w:rsid w:val="001E1E68"/>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line="288" w:lineRule="auto"/>
    </w:p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aliases w:val="Char Char,Sprotna opomba - besedilo Znak Znak2,Sprotna opomba - besedilo Znak1 Znak Znak1,Sprotna opomba - besedilo Znak1 Znak Znak Znak,Sprotna opomba - besedilo Znak Znak Znak Znak Znak"/>
    <w:basedOn w:val="Navaden"/>
    <w:link w:val="Sprotnaopomba-besediloZnak"/>
    <w:uiPriority w:val="99"/>
    <w:unhideWhenUsed/>
    <w:rsid w:val="007F7A67"/>
    <w:pPr>
      <w:spacing w:line="240" w:lineRule="auto"/>
    </w:pPr>
    <w:rPr>
      <w:szCs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7F7A67"/>
    <w:rPr>
      <w:sz w:val="20"/>
      <w:szCs w:val="20"/>
    </w:rPr>
  </w:style>
  <w:style w:type="character" w:styleId="Sprotnaopomba-sklic">
    <w:name w:val="footnote reference"/>
    <w:aliases w:val="Footnote symbol,Footnote,Fussnota"/>
    <w:basedOn w:val="Privzetapisavaodstavka"/>
    <w:uiPriority w:val="99"/>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dostopnost">
    <w:name w:val="Naslov dostopnost"/>
    <w:basedOn w:val="Navaden"/>
    <w:link w:val="NaslovdostopnostZnak"/>
    <w:autoRedefine/>
    <w:qFormat/>
    <w:rsid w:val="005564ED"/>
    <w:rPr>
      <w:rFonts w:cs="Arial"/>
      <w:b/>
      <w:bCs/>
      <w:szCs w:val="20"/>
    </w:rPr>
  </w:style>
  <w:style w:type="character" w:customStyle="1" w:styleId="NaslovdostopnostZnak">
    <w:name w:val="Naslov dostopnost Znak"/>
    <w:basedOn w:val="Privzetapisavaodstavka"/>
    <w:link w:val="Naslovdostopnost"/>
    <w:rsid w:val="005564ED"/>
    <w:rPr>
      <w:rFonts w:ascii="Arial" w:hAnsi="Arial" w:cs="Arial"/>
      <w:b/>
      <w:bCs/>
      <w:sz w:val="20"/>
      <w:szCs w:val="20"/>
    </w:rPr>
  </w:style>
  <w:style w:type="paragraph" w:customStyle="1" w:styleId="Naslovakta">
    <w:name w:val="Naslov akta"/>
    <w:basedOn w:val="Naslovdostopnost"/>
    <w:link w:val="NaslovaktaZnak"/>
    <w:qFormat/>
    <w:rsid w:val="005564ED"/>
    <w:pPr>
      <w:jc w:val="center"/>
    </w:pPr>
  </w:style>
  <w:style w:type="character" w:customStyle="1" w:styleId="NaslovaktaZnak">
    <w:name w:val="Naslov akta Znak"/>
    <w:basedOn w:val="NaslovdostopnostZnak"/>
    <w:link w:val="Naslovakta"/>
    <w:rsid w:val="005564ED"/>
    <w:rPr>
      <w:rFonts w:ascii="Arial" w:hAnsi="Arial" w:cs="Arial"/>
      <w:b/>
      <w:bCs/>
      <w:sz w:val="20"/>
      <w:szCs w:val="20"/>
    </w:rPr>
  </w:style>
  <w:style w:type="table" w:customStyle="1" w:styleId="Tabelamrea1">
    <w:name w:val="Tabela – mreža1"/>
    <w:basedOn w:val="Navadnatabela"/>
    <w:next w:val="Tabelamrea"/>
    <w:rsid w:val="00AE342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43788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C774C7"/>
    <w:pPr>
      <w:ind w:left="720"/>
      <w:contextualSpacing/>
    </w:pPr>
  </w:style>
  <w:style w:type="paragraph" w:styleId="Revizija">
    <w:name w:val="Revision"/>
    <w:hidden/>
    <w:uiPriority w:val="99"/>
    <w:semiHidden/>
    <w:rsid w:val="006956C1"/>
    <w:pPr>
      <w:spacing w:after="0" w:line="240" w:lineRule="auto"/>
    </w:pPr>
    <w:rPr>
      <w:rFonts w:ascii="Arial" w:hAnsi="Arial"/>
      <w:sz w:val="20"/>
    </w:rPr>
  </w:style>
  <w:style w:type="character" w:customStyle="1" w:styleId="normaltextrun">
    <w:name w:val="normaltextrun"/>
    <w:basedOn w:val="Privzetapisavaodstavka"/>
    <w:rsid w:val="00F14A09"/>
  </w:style>
  <w:style w:type="character" w:customStyle="1" w:styleId="eop">
    <w:name w:val="eop"/>
    <w:basedOn w:val="Privzetapisavaodstavka"/>
    <w:rsid w:val="00F14A09"/>
  </w:style>
  <w:style w:type="character" w:styleId="Pripombasklic">
    <w:name w:val="annotation reference"/>
    <w:basedOn w:val="Privzetapisavaodstavka"/>
    <w:uiPriority w:val="99"/>
    <w:semiHidden/>
    <w:unhideWhenUsed/>
    <w:rsid w:val="000E1D5E"/>
    <w:rPr>
      <w:sz w:val="16"/>
      <w:szCs w:val="16"/>
    </w:rPr>
  </w:style>
  <w:style w:type="paragraph" w:styleId="Pripombabesedilo">
    <w:name w:val="annotation text"/>
    <w:basedOn w:val="Navaden"/>
    <w:link w:val="PripombabesediloZnak"/>
    <w:uiPriority w:val="99"/>
    <w:unhideWhenUsed/>
    <w:rsid w:val="000E1D5E"/>
    <w:pPr>
      <w:spacing w:line="240" w:lineRule="auto"/>
    </w:pPr>
    <w:rPr>
      <w:szCs w:val="20"/>
    </w:rPr>
  </w:style>
  <w:style w:type="character" w:customStyle="1" w:styleId="PripombabesediloZnak">
    <w:name w:val="Pripomba – besedilo Znak"/>
    <w:basedOn w:val="Privzetapisavaodstavka"/>
    <w:link w:val="Pripombabesedilo"/>
    <w:uiPriority w:val="99"/>
    <w:rsid w:val="000E1D5E"/>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0E1D5E"/>
    <w:rPr>
      <w:b/>
      <w:bCs/>
    </w:rPr>
  </w:style>
  <w:style w:type="character" w:customStyle="1" w:styleId="ZadevapripombeZnak">
    <w:name w:val="Zadeva pripombe Znak"/>
    <w:basedOn w:val="PripombabesediloZnak"/>
    <w:link w:val="Zadevapripombe"/>
    <w:uiPriority w:val="99"/>
    <w:semiHidden/>
    <w:rsid w:val="000E1D5E"/>
    <w:rPr>
      <w:rFonts w:ascii="Arial" w:hAnsi="Arial"/>
      <w:b/>
      <w:bCs/>
      <w:sz w:val="20"/>
      <w:szCs w:val="20"/>
    </w:rPr>
  </w:style>
  <w:style w:type="character" w:customStyle="1" w:styleId="Bodytext2">
    <w:name w:val="Body text|2_"/>
    <w:basedOn w:val="Privzetapisavaodstavka"/>
    <w:link w:val="Bodytext20"/>
    <w:uiPriority w:val="99"/>
    <w:rsid w:val="001F39B5"/>
    <w:rPr>
      <w:rFonts w:ascii="Arial" w:hAnsi="Arial" w:cs="Arial"/>
      <w:sz w:val="21"/>
      <w:szCs w:val="21"/>
      <w:shd w:val="clear" w:color="auto" w:fill="FFFFFF"/>
    </w:rPr>
  </w:style>
  <w:style w:type="paragraph" w:customStyle="1" w:styleId="Bodytext20">
    <w:name w:val="Body text|2"/>
    <w:basedOn w:val="Navaden"/>
    <w:link w:val="Bodytext2"/>
    <w:uiPriority w:val="99"/>
    <w:qFormat/>
    <w:rsid w:val="001F39B5"/>
    <w:pPr>
      <w:widowControl w:val="0"/>
      <w:shd w:val="clear" w:color="auto" w:fill="FFFFFF"/>
      <w:spacing w:before="1120" w:after="240" w:line="234" w:lineRule="exact"/>
      <w:jc w:val="both"/>
    </w:pPr>
    <w:rPr>
      <w:rFonts w:cs="Arial"/>
      <w:sz w:val="21"/>
      <w:szCs w:val="21"/>
    </w:rPr>
  </w:style>
  <w:style w:type="character" w:styleId="Krepko">
    <w:name w:val="Strong"/>
    <w:basedOn w:val="Privzetapisavaodstavka"/>
    <w:uiPriority w:val="22"/>
    <w:qFormat/>
    <w:rsid w:val="001F1739"/>
    <w:rPr>
      <w:b/>
      <w:bCs/>
    </w:rPr>
  </w:style>
  <w:style w:type="paragraph" w:styleId="Navadensplet">
    <w:name w:val="Normal (Web)"/>
    <w:basedOn w:val="Navaden"/>
    <w:uiPriority w:val="99"/>
    <w:unhideWhenUsed/>
    <w:rsid w:val="00DB117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aliases w:val="NASLOV Znak"/>
    <w:basedOn w:val="Privzetapisavaodstavka"/>
    <w:link w:val="Naslov1"/>
    <w:rsid w:val="0042347B"/>
    <w:rPr>
      <w:rFonts w:ascii="Arial" w:eastAsia="Times New Roman" w:hAnsi="Arial" w:cs="Arial"/>
      <w:kern w:val="32"/>
      <w:sz w:val="20"/>
      <w:szCs w:val="20"/>
      <w:shd w:val="clear" w:color="auto" w:fill="FFFFFF"/>
      <w:lang w:eastAsia="sl-SI"/>
    </w:rPr>
  </w:style>
  <w:style w:type="character" w:customStyle="1" w:styleId="Naslov2Znak">
    <w:name w:val="Naslov 2 Znak"/>
    <w:basedOn w:val="Privzetapisavaodstavka"/>
    <w:link w:val="Naslov2"/>
    <w:uiPriority w:val="9"/>
    <w:semiHidden/>
    <w:rsid w:val="008D3E5D"/>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semiHidden/>
    <w:rsid w:val="008D3E5D"/>
    <w:rPr>
      <w:rFonts w:asciiTheme="majorHAnsi" w:eastAsiaTheme="majorEastAsia" w:hAnsiTheme="majorHAnsi" w:cstheme="majorBidi"/>
      <w:color w:val="1F3763" w:themeColor="accent1" w:themeShade="7F"/>
      <w:sz w:val="24"/>
      <w:szCs w:val="24"/>
    </w:rPr>
  </w:style>
  <w:style w:type="character" w:customStyle="1" w:styleId="OdstavekseznamaZnak">
    <w:name w:val="Odstavek seznama Znak"/>
    <w:basedOn w:val="Privzetapisavaodstavka"/>
    <w:link w:val="Odstavekseznama"/>
    <w:uiPriority w:val="34"/>
    <w:locked/>
    <w:rsid w:val="008D3E5D"/>
    <w:rPr>
      <w:rFonts w:ascii="Arial" w:hAnsi="Arial"/>
      <w:sz w:val="20"/>
    </w:rPr>
  </w:style>
  <w:style w:type="character" w:customStyle="1" w:styleId="Bodytext2Italic">
    <w:name w:val="Body text|2 + Italic"/>
    <w:basedOn w:val="Bodytext2"/>
    <w:uiPriority w:val="99"/>
    <w:semiHidden/>
    <w:unhideWhenUsed/>
    <w:rsid w:val="008D3E5D"/>
    <w:rPr>
      <w:rFonts w:ascii="Arial" w:hAnsi="Arial" w:cs="Arial"/>
      <w:i/>
      <w:iCs/>
      <w:sz w:val="19"/>
      <w:szCs w:val="19"/>
      <w:u w:val="none"/>
      <w:shd w:val="clear" w:color="auto" w:fill="FFFFFF"/>
    </w:rPr>
  </w:style>
  <w:style w:type="character" w:styleId="SledenaHiperpovezava">
    <w:name w:val="FollowedHyperlink"/>
    <w:basedOn w:val="Privzetapisavaodstavka"/>
    <w:uiPriority w:val="99"/>
    <w:semiHidden/>
    <w:unhideWhenUsed/>
    <w:rsid w:val="008D3E5D"/>
    <w:rPr>
      <w:color w:val="954F72" w:themeColor="followedHyperlink"/>
      <w:u w:val="single"/>
    </w:rPr>
  </w:style>
  <w:style w:type="table" w:customStyle="1" w:styleId="TableGrid">
    <w:name w:val="TableGrid"/>
    <w:rsid w:val="008D3E5D"/>
    <w:pPr>
      <w:spacing w:after="0" w:line="240" w:lineRule="auto"/>
    </w:pPr>
    <w:rPr>
      <w:rFonts w:eastAsiaTheme="minorEastAsia"/>
      <w:kern w:val="2"/>
      <w:sz w:val="24"/>
      <w:szCs w:val="24"/>
      <w:lang w:eastAsia="sl-SI"/>
      <w14:ligatures w14:val="standardContextual"/>
    </w:rPr>
    <w:tblPr>
      <w:tblCellMar>
        <w:top w:w="0" w:type="dxa"/>
        <w:left w:w="0" w:type="dxa"/>
        <w:bottom w:w="0" w:type="dxa"/>
        <w:right w:w="0" w:type="dxa"/>
      </w:tblCellMar>
    </w:tblPr>
  </w:style>
  <w:style w:type="character" w:customStyle="1" w:styleId="Naslov6Znak">
    <w:name w:val="Naslov 6 Znak"/>
    <w:basedOn w:val="Privzetapisavaodstavka"/>
    <w:link w:val="Naslov6"/>
    <w:uiPriority w:val="9"/>
    <w:semiHidden/>
    <w:rsid w:val="00D656CC"/>
    <w:rPr>
      <w:rFonts w:asciiTheme="majorHAnsi" w:eastAsiaTheme="majorEastAsia" w:hAnsiTheme="majorHAnsi" w:cstheme="majorBidi"/>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224">
      <w:bodyDiv w:val="1"/>
      <w:marLeft w:val="0"/>
      <w:marRight w:val="0"/>
      <w:marTop w:val="0"/>
      <w:marBottom w:val="0"/>
      <w:divBdr>
        <w:top w:val="none" w:sz="0" w:space="0" w:color="auto"/>
        <w:left w:val="none" w:sz="0" w:space="0" w:color="auto"/>
        <w:bottom w:val="none" w:sz="0" w:space="0" w:color="auto"/>
        <w:right w:val="none" w:sz="0" w:space="0" w:color="auto"/>
      </w:divBdr>
    </w:div>
    <w:div w:id="28458004">
      <w:bodyDiv w:val="1"/>
      <w:marLeft w:val="0"/>
      <w:marRight w:val="0"/>
      <w:marTop w:val="0"/>
      <w:marBottom w:val="0"/>
      <w:divBdr>
        <w:top w:val="none" w:sz="0" w:space="0" w:color="auto"/>
        <w:left w:val="none" w:sz="0" w:space="0" w:color="auto"/>
        <w:bottom w:val="none" w:sz="0" w:space="0" w:color="auto"/>
        <w:right w:val="none" w:sz="0" w:space="0" w:color="auto"/>
      </w:divBdr>
      <w:divsChild>
        <w:div w:id="609123500">
          <w:marLeft w:val="0"/>
          <w:marRight w:val="0"/>
          <w:marTop w:val="0"/>
          <w:marBottom w:val="120"/>
          <w:divBdr>
            <w:top w:val="none" w:sz="0" w:space="0" w:color="auto"/>
            <w:left w:val="none" w:sz="0" w:space="0" w:color="auto"/>
            <w:bottom w:val="none" w:sz="0" w:space="0" w:color="auto"/>
            <w:right w:val="none" w:sz="0" w:space="0" w:color="auto"/>
          </w:divBdr>
        </w:div>
        <w:div w:id="2091922145">
          <w:marLeft w:val="0"/>
          <w:marRight w:val="0"/>
          <w:marTop w:val="0"/>
          <w:marBottom w:val="120"/>
          <w:divBdr>
            <w:top w:val="none" w:sz="0" w:space="0" w:color="auto"/>
            <w:left w:val="none" w:sz="0" w:space="0" w:color="auto"/>
            <w:bottom w:val="none" w:sz="0" w:space="0" w:color="auto"/>
            <w:right w:val="none" w:sz="0" w:space="0" w:color="auto"/>
          </w:divBdr>
        </w:div>
      </w:divsChild>
    </w:div>
    <w:div w:id="31541968">
      <w:bodyDiv w:val="1"/>
      <w:marLeft w:val="0"/>
      <w:marRight w:val="0"/>
      <w:marTop w:val="0"/>
      <w:marBottom w:val="0"/>
      <w:divBdr>
        <w:top w:val="none" w:sz="0" w:space="0" w:color="auto"/>
        <w:left w:val="none" w:sz="0" w:space="0" w:color="auto"/>
        <w:bottom w:val="none" w:sz="0" w:space="0" w:color="auto"/>
        <w:right w:val="none" w:sz="0" w:space="0" w:color="auto"/>
      </w:divBdr>
    </w:div>
    <w:div w:id="35663624">
      <w:bodyDiv w:val="1"/>
      <w:marLeft w:val="0"/>
      <w:marRight w:val="0"/>
      <w:marTop w:val="0"/>
      <w:marBottom w:val="0"/>
      <w:divBdr>
        <w:top w:val="none" w:sz="0" w:space="0" w:color="auto"/>
        <w:left w:val="none" w:sz="0" w:space="0" w:color="auto"/>
        <w:bottom w:val="none" w:sz="0" w:space="0" w:color="auto"/>
        <w:right w:val="none" w:sz="0" w:space="0" w:color="auto"/>
      </w:divBdr>
    </w:div>
    <w:div w:id="52824121">
      <w:bodyDiv w:val="1"/>
      <w:marLeft w:val="0"/>
      <w:marRight w:val="0"/>
      <w:marTop w:val="0"/>
      <w:marBottom w:val="0"/>
      <w:divBdr>
        <w:top w:val="none" w:sz="0" w:space="0" w:color="auto"/>
        <w:left w:val="none" w:sz="0" w:space="0" w:color="auto"/>
        <w:bottom w:val="none" w:sz="0" w:space="0" w:color="auto"/>
        <w:right w:val="none" w:sz="0" w:space="0" w:color="auto"/>
      </w:divBdr>
    </w:div>
    <w:div w:id="131951415">
      <w:bodyDiv w:val="1"/>
      <w:marLeft w:val="0"/>
      <w:marRight w:val="0"/>
      <w:marTop w:val="0"/>
      <w:marBottom w:val="0"/>
      <w:divBdr>
        <w:top w:val="none" w:sz="0" w:space="0" w:color="auto"/>
        <w:left w:val="none" w:sz="0" w:space="0" w:color="auto"/>
        <w:bottom w:val="none" w:sz="0" w:space="0" w:color="auto"/>
        <w:right w:val="none" w:sz="0" w:space="0" w:color="auto"/>
      </w:divBdr>
    </w:div>
    <w:div w:id="143816888">
      <w:bodyDiv w:val="1"/>
      <w:marLeft w:val="0"/>
      <w:marRight w:val="0"/>
      <w:marTop w:val="0"/>
      <w:marBottom w:val="0"/>
      <w:divBdr>
        <w:top w:val="none" w:sz="0" w:space="0" w:color="auto"/>
        <w:left w:val="none" w:sz="0" w:space="0" w:color="auto"/>
        <w:bottom w:val="none" w:sz="0" w:space="0" w:color="auto"/>
        <w:right w:val="none" w:sz="0" w:space="0" w:color="auto"/>
      </w:divBdr>
    </w:div>
    <w:div w:id="172962360">
      <w:bodyDiv w:val="1"/>
      <w:marLeft w:val="0"/>
      <w:marRight w:val="0"/>
      <w:marTop w:val="0"/>
      <w:marBottom w:val="0"/>
      <w:divBdr>
        <w:top w:val="none" w:sz="0" w:space="0" w:color="auto"/>
        <w:left w:val="none" w:sz="0" w:space="0" w:color="auto"/>
        <w:bottom w:val="none" w:sz="0" w:space="0" w:color="auto"/>
        <w:right w:val="none" w:sz="0" w:space="0" w:color="auto"/>
      </w:divBdr>
    </w:div>
    <w:div w:id="198906852">
      <w:bodyDiv w:val="1"/>
      <w:marLeft w:val="0"/>
      <w:marRight w:val="0"/>
      <w:marTop w:val="0"/>
      <w:marBottom w:val="0"/>
      <w:divBdr>
        <w:top w:val="none" w:sz="0" w:space="0" w:color="auto"/>
        <w:left w:val="none" w:sz="0" w:space="0" w:color="auto"/>
        <w:bottom w:val="none" w:sz="0" w:space="0" w:color="auto"/>
        <w:right w:val="none" w:sz="0" w:space="0" w:color="auto"/>
      </w:divBdr>
    </w:div>
    <w:div w:id="218563467">
      <w:bodyDiv w:val="1"/>
      <w:marLeft w:val="0"/>
      <w:marRight w:val="0"/>
      <w:marTop w:val="0"/>
      <w:marBottom w:val="0"/>
      <w:divBdr>
        <w:top w:val="none" w:sz="0" w:space="0" w:color="auto"/>
        <w:left w:val="none" w:sz="0" w:space="0" w:color="auto"/>
        <w:bottom w:val="none" w:sz="0" w:space="0" w:color="auto"/>
        <w:right w:val="none" w:sz="0" w:space="0" w:color="auto"/>
      </w:divBdr>
    </w:div>
    <w:div w:id="219487051">
      <w:bodyDiv w:val="1"/>
      <w:marLeft w:val="0"/>
      <w:marRight w:val="0"/>
      <w:marTop w:val="0"/>
      <w:marBottom w:val="0"/>
      <w:divBdr>
        <w:top w:val="none" w:sz="0" w:space="0" w:color="auto"/>
        <w:left w:val="none" w:sz="0" w:space="0" w:color="auto"/>
        <w:bottom w:val="none" w:sz="0" w:space="0" w:color="auto"/>
        <w:right w:val="none" w:sz="0" w:space="0" w:color="auto"/>
      </w:divBdr>
    </w:div>
    <w:div w:id="219944900">
      <w:bodyDiv w:val="1"/>
      <w:marLeft w:val="0"/>
      <w:marRight w:val="0"/>
      <w:marTop w:val="0"/>
      <w:marBottom w:val="0"/>
      <w:divBdr>
        <w:top w:val="none" w:sz="0" w:space="0" w:color="auto"/>
        <w:left w:val="none" w:sz="0" w:space="0" w:color="auto"/>
        <w:bottom w:val="none" w:sz="0" w:space="0" w:color="auto"/>
        <w:right w:val="none" w:sz="0" w:space="0" w:color="auto"/>
      </w:divBdr>
    </w:div>
    <w:div w:id="228081880">
      <w:bodyDiv w:val="1"/>
      <w:marLeft w:val="0"/>
      <w:marRight w:val="0"/>
      <w:marTop w:val="0"/>
      <w:marBottom w:val="0"/>
      <w:divBdr>
        <w:top w:val="none" w:sz="0" w:space="0" w:color="auto"/>
        <w:left w:val="none" w:sz="0" w:space="0" w:color="auto"/>
        <w:bottom w:val="none" w:sz="0" w:space="0" w:color="auto"/>
        <w:right w:val="none" w:sz="0" w:space="0" w:color="auto"/>
      </w:divBdr>
      <w:divsChild>
        <w:div w:id="1770347146">
          <w:marLeft w:val="0"/>
          <w:marRight w:val="0"/>
          <w:marTop w:val="0"/>
          <w:marBottom w:val="0"/>
          <w:divBdr>
            <w:top w:val="none" w:sz="0" w:space="0" w:color="auto"/>
            <w:left w:val="none" w:sz="0" w:space="0" w:color="auto"/>
            <w:bottom w:val="none" w:sz="0" w:space="0" w:color="auto"/>
            <w:right w:val="none" w:sz="0" w:space="0" w:color="auto"/>
          </w:divBdr>
          <w:divsChild>
            <w:div w:id="1527674310">
              <w:marLeft w:val="0"/>
              <w:marRight w:val="0"/>
              <w:marTop w:val="0"/>
              <w:marBottom w:val="0"/>
              <w:divBdr>
                <w:top w:val="none" w:sz="0" w:space="0" w:color="auto"/>
                <w:left w:val="none" w:sz="0" w:space="0" w:color="auto"/>
                <w:bottom w:val="none" w:sz="0" w:space="0" w:color="auto"/>
                <w:right w:val="none" w:sz="0" w:space="0" w:color="auto"/>
              </w:divBdr>
              <w:divsChild>
                <w:div w:id="2052873455">
                  <w:marLeft w:val="0"/>
                  <w:marRight w:val="0"/>
                  <w:marTop w:val="0"/>
                  <w:marBottom w:val="0"/>
                  <w:divBdr>
                    <w:top w:val="none" w:sz="0" w:space="0" w:color="auto"/>
                    <w:left w:val="none" w:sz="0" w:space="0" w:color="auto"/>
                    <w:bottom w:val="none" w:sz="0" w:space="0" w:color="auto"/>
                    <w:right w:val="none" w:sz="0" w:space="0" w:color="auto"/>
                  </w:divBdr>
                  <w:divsChild>
                    <w:div w:id="2042855182">
                      <w:marLeft w:val="0"/>
                      <w:marRight w:val="0"/>
                      <w:marTop w:val="0"/>
                      <w:marBottom w:val="0"/>
                      <w:divBdr>
                        <w:top w:val="none" w:sz="0" w:space="0" w:color="auto"/>
                        <w:left w:val="none" w:sz="0" w:space="0" w:color="auto"/>
                        <w:bottom w:val="none" w:sz="0" w:space="0" w:color="auto"/>
                        <w:right w:val="none" w:sz="0" w:space="0" w:color="auto"/>
                      </w:divBdr>
                      <w:divsChild>
                        <w:div w:id="1740135537">
                          <w:marLeft w:val="0"/>
                          <w:marRight w:val="0"/>
                          <w:marTop w:val="0"/>
                          <w:marBottom w:val="0"/>
                          <w:divBdr>
                            <w:top w:val="none" w:sz="0" w:space="0" w:color="auto"/>
                            <w:left w:val="none" w:sz="0" w:space="0" w:color="auto"/>
                            <w:bottom w:val="none" w:sz="0" w:space="0" w:color="auto"/>
                            <w:right w:val="none" w:sz="0" w:space="0" w:color="auto"/>
                          </w:divBdr>
                          <w:divsChild>
                            <w:div w:id="8420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23346">
      <w:bodyDiv w:val="1"/>
      <w:marLeft w:val="0"/>
      <w:marRight w:val="0"/>
      <w:marTop w:val="0"/>
      <w:marBottom w:val="0"/>
      <w:divBdr>
        <w:top w:val="none" w:sz="0" w:space="0" w:color="auto"/>
        <w:left w:val="none" w:sz="0" w:space="0" w:color="auto"/>
        <w:bottom w:val="none" w:sz="0" w:space="0" w:color="auto"/>
        <w:right w:val="none" w:sz="0" w:space="0" w:color="auto"/>
      </w:divBdr>
    </w:div>
    <w:div w:id="244458449">
      <w:bodyDiv w:val="1"/>
      <w:marLeft w:val="0"/>
      <w:marRight w:val="0"/>
      <w:marTop w:val="0"/>
      <w:marBottom w:val="0"/>
      <w:divBdr>
        <w:top w:val="none" w:sz="0" w:space="0" w:color="auto"/>
        <w:left w:val="none" w:sz="0" w:space="0" w:color="auto"/>
        <w:bottom w:val="none" w:sz="0" w:space="0" w:color="auto"/>
        <w:right w:val="none" w:sz="0" w:space="0" w:color="auto"/>
      </w:divBdr>
    </w:div>
    <w:div w:id="250314559">
      <w:bodyDiv w:val="1"/>
      <w:marLeft w:val="0"/>
      <w:marRight w:val="0"/>
      <w:marTop w:val="0"/>
      <w:marBottom w:val="0"/>
      <w:divBdr>
        <w:top w:val="none" w:sz="0" w:space="0" w:color="auto"/>
        <w:left w:val="none" w:sz="0" w:space="0" w:color="auto"/>
        <w:bottom w:val="none" w:sz="0" w:space="0" w:color="auto"/>
        <w:right w:val="none" w:sz="0" w:space="0" w:color="auto"/>
      </w:divBdr>
    </w:div>
    <w:div w:id="281158336">
      <w:bodyDiv w:val="1"/>
      <w:marLeft w:val="0"/>
      <w:marRight w:val="0"/>
      <w:marTop w:val="0"/>
      <w:marBottom w:val="0"/>
      <w:divBdr>
        <w:top w:val="none" w:sz="0" w:space="0" w:color="auto"/>
        <w:left w:val="none" w:sz="0" w:space="0" w:color="auto"/>
        <w:bottom w:val="none" w:sz="0" w:space="0" w:color="auto"/>
        <w:right w:val="none" w:sz="0" w:space="0" w:color="auto"/>
      </w:divBdr>
    </w:div>
    <w:div w:id="281308373">
      <w:bodyDiv w:val="1"/>
      <w:marLeft w:val="0"/>
      <w:marRight w:val="0"/>
      <w:marTop w:val="0"/>
      <w:marBottom w:val="0"/>
      <w:divBdr>
        <w:top w:val="none" w:sz="0" w:space="0" w:color="auto"/>
        <w:left w:val="none" w:sz="0" w:space="0" w:color="auto"/>
        <w:bottom w:val="none" w:sz="0" w:space="0" w:color="auto"/>
        <w:right w:val="none" w:sz="0" w:space="0" w:color="auto"/>
      </w:divBdr>
    </w:div>
    <w:div w:id="292635862">
      <w:bodyDiv w:val="1"/>
      <w:marLeft w:val="0"/>
      <w:marRight w:val="0"/>
      <w:marTop w:val="0"/>
      <w:marBottom w:val="0"/>
      <w:divBdr>
        <w:top w:val="none" w:sz="0" w:space="0" w:color="auto"/>
        <w:left w:val="none" w:sz="0" w:space="0" w:color="auto"/>
        <w:bottom w:val="none" w:sz="0" w:space="0" w:color="auto"/>
        <w:right w:val="none" w:sz="0" w:space="0" w:color="auto"/>
      </w:divBdr>
    </w:div>
    <w:div w:id="293946750">
      <w:bodyDiv w:val="1"/>
      <w:marLeft w:val="0"/>
      <w:marRight w:val="0"/>
      <w:marTop w:val="0"/>
      <w:marBottom w:val="0"/>
      <w:divBdr>
        <w:top w:val="none" w:sz="0" w:space="0" w:color="auto"/>
        <w:left w:val="none" w:sz="0" w:space="0" w:color="auto"/>
        <w:bottom w:val="none" w:sz="0" w:space="0" w:color="auto"/>
        <w:right w:val="none" w:sz="0" w:space="0" w:color="auto"/>
      </w:divBdr>
    </w:div>
    <w:div w:id="302581821">
      <w:bodyDiv w:val="1"/>
      <w:marLeft w:val="0"/>
      <w:marRight w:val="0"/>
      <w:marTop w:val="0"/>
      <w:marBottom w:val="0"/>
      <w:divBdr>
        <w:top w:val="none" w:sz="0" w:space="0" w:color="auto"/>
        <w:left w:val="none" w:sz="0" w:space="0" w:color="auto"/>
        <w:bottom w:val="none" w:sz="0" w:space="0" w:color="auto"/>
        <w:right w:val="none" w:sz="0" w:space="0" w:color="auto"/>
      </w:divBdr>
    </w:div>
    <w:div w:id="323243998">
      <w:bodyDiv w:val="1"/>
      <w:marLeft w:val="0"/>
      <w:marRight w:val="0"/>
      <w:marTop w:val="0"/>
      <w:marBottom w:val="0"/>
      <w:divBdr>
        <w:top w:val="none" w:sz="0" w:space="0" w:color="auto"/>
        <w:left w:val="none" w:sz="0" w:space="0" w:color="auto"/>
        <w:bottom w:val="none" w:sz="0" w:space="0" w:color="auto"/>
        <w:right w:val="none" w:sz="0" w:space="0" w:color="auto"/>
      </w:divBdr>
    </w:div>
    <w:div w:id="353962606">
      <w:bodyDiv w:val="1"/>
      <w:marLeft w:val="0"/>
      <w:marRight w:val="0"/>
      <w:marTop w:val="0"/>
      <w:marBottom w:val="0"/>
      <w:divBdr>
        <w:top w:val="none" w:sz="0" w:space="0" w:color="auto"/>
        <w:left w:val="none" w:sz="0" w:space="0" w:color="auto"/>
        <w:bottom w:val="none" w:sz="0" w:space="0" w:color="auto"/>
        <w:right w:val="none" w:sz="0" w:space="0" w:color="auto"/>
      </w:divBdr>
    </w:div>
    <w:div w:id="359553390">
      <w:bodyDiv w:val="1"/>
      <w:marLeft w:val="0"/>
      <w:marRight w:val="0"/>
      <w:marTop w:val="0"/>
      <w:marBottom w:val="0"/>
      <w:divBdr>
        <w:top w:val="none" w:sz="0" w:space="0" w:color="auto"/>
        <w:left w:val="none" w:sz="0" w:space="0" w:color="auto"/>
        <w:bottom w:val="none" w:sz="0" w:space="0" w:color="auto"/>
        <w:right w:val="none" w:sz="0" w:space="0" w:color="auto"/>
      </w:divBdr>
    </w:div>
    <w:div w:id="377242067">
      <w:bodyDiv w:val="1"/>
      <w:marLeft w:val="0"/>
      <w:marRight w:val="0"/>
      <w:marTop w:val="0"/>
      <w:marBottom w:val="0"/>
      <w:divBdr>
        <w:top w:val="none" w:sz="0" w:space="0" w:color="auto"/>
        <w:left w:val="none" w:sz="0" w:space="0" w:color="auto"/>
        <w:bottom w:val="none" w:sz="0" w:space="0" w:color="auto"/>
        <w:right w:val="none" w:sz="0" w:space="0" w:color="auto"/>
      </w:divBdr>
    </w:div>
    <w:div w:id="383220444">
      <w:bodyDiv w:val="1"/>
      <w:marLeft w:val="0"/>
      <w:marRight w:val="0"/>
      <w:marTop w:val="0"/>
      <w:marBottom w:val="0"/>
      <w:divBdr>
        <w:top w:val="none" w:sz="0" w:space="0" w:color="auto"/>
        <w:left w:val="none" w:sz="0" w:space="0" w:color="auto"/>
        <w:bottom w:val="none" w:sz="0" w:space="0" w:color="auto"/>
        <w:right w:val="none" w:sz="0" w:space="0" w:color="auto"/>
      </w:divBdr>
    </w:div>
    <w:div w:id="425005574">
      <w:bodyDiv w:val="1"/>
      <w:marLeft w:val="0"/>
      <w:marRight w:val="0"/>
      <w:marTop w:val="0"/>
      <w:marBottom w:val="0"/>
      <w:divBdr>
        <w:top w:val="none" w:sz="0" w:space="0" w:color="auto"/>
        <w:left w:val="none" w:sz="0" w:space="0" w:color="auto"/>
        <w:bottom w:val="none" w:sz="0" w:space="0" w:color="auto"/>
        <w:right w:val="none" w:sz="0" w:space="0" w:color="auto"/>
      </w:divBdr>
    </w:div>
    <w:div w:id="429357644">
      <w:bodyDiv w:val="1"/>
      <w:marLeft w:val="0"/>
      <w:marRight w:val="0"/>
      <w:marTop w:val="0"/>
      <w:marBottom w:val="0"/>
      <w:divBdr>
        <w:top w:val="none" w:sz="0" w:space="0" w:color="auto"/>
        <w:left w:val="none" w:sz="0" w:space="0" w:color="auto"/>
        <w:bottom w:val="none" w:sz="0" w:space="0" w:color="auto"/>
        <w:right w:val="none" w:sz="0" w:space="0" w:color="auto"/>
      </w:divBdr>
    </w:div>
    <w:div w:id="433525603">
      <w:bodyDiv w:val="1"/>
      <w:marLeft w:val="0"/>
      <w:marRight w:val="0"/>
      <w:marTop w:val="0"/>
      <w:marBottom w:val="0"/>
      <w:divBdr>
        <w:top w:val="none" w:sz="0" w:space="0" w:color="auto"/>
        <w:left w:val="none" w:sz="0" w:space="0" w:color="auto"/>
        <w:bottom w:val="none" w:sz="0" w:space="0" w:color="auto"/>
        <w:right w:val="none" w:sz="0" w:space="0" w:color="auto"/>
      </w:divBdr>
    </w:div>
    <w:div w:id="458380536">
      <w:bodyDiv w:val="1"/>
      <w:marLeft w:val="0"/>
      <w:marRight w:val="0"/>
      <w:marTop w:val="0"/>
      <w:marBottom w:val="0"/>
      <w:divBdr>
        <w:top w:val="none" w:sz="0" w:space="0" w:color="auto"/>
        <w:left w:val="none" w:sz="0" w:space="0" w:color="auto"/>
        <w:bottom w:val="none" w:sz="0" w:space="0" w:color="auto"/>
        <w:right w:val="none" w:sz="0" w:space="0" w:color="auto"/>
      </w:divBdr>
    </w:div>
    <w:div w:id="459570051">
      <w:bodyDiv w:val="1"/>
      <w:marLeft w:val="0"/>
      <w:marRight w:val="0"/>
      <w:marTop w:val="0"/>
      <w:marBottom w:val="0"/>
      <w:divBdr>
        <w:top w:val="none" w:sz="0" w:space="0" w:color="auto"/>
        <w:left w:val="none" w:sz="0" w:space="0" w:color="auto"/>
        <w:bottom w:val="none" w:sz="0" w:space="0" w:color="auto"/>
        <w:right w:val="none" w:sz="0" w:space="0" w:color="auto"/>
      </w:divBdr>
    </w:div>
    <w:div w:id="464198381">
      <w:bodyDiv w:val="1"/>
      <w:marLeft w:val="0"/>
      <w:marRight w:val="0"/>
      <w:marTop w:val="0"/>
      <w:marBottom w:val="0"/>
      <w:divBdr>
        <w:top w:val="none" w:sz="0" w:space="0" w:color="auto"/>
        <w:left w:val="none" w:sz="0" w:space="0" w:color="auto"/>
        <w:bottom w:val="none" w:sz="0" w:space="0" w:color="auto"/>
        <w:right w:val="none" w:sz="0" w:space="0" w:color="auto"/>
      </w:divBdr>
    </w:div>
    <w:div w:id="466557378">
      <w:bodyDiv w:val="1"/>
      <w:marLeft w:val="0"/>
      <w:marRight w:val="0"/>
      <w:marTop w:val="0"/>
      <w:marBottom w:val="0"/>
      <w:divBdr>
        <w:top w:val="none" w:sz="0" w:space="0" w:color="auto"/>
        <w:left w:val="none" w:sz="0" w:space="0" w:color="auto"/>
        <w:bottom w:val="none" w:sz="0" w:space="0" w:color="auto"/>
        <w:right w:val="none" w:sz="0" w:space="0" w:color="auto"/>
      </w:divBdr>
    </w:div>
    <w:div w:id="470440120">
      <w:bodyDiv w:val="1"/>
      <w:marLeft w:val="0"/>
      <w:marRight w:val="0"/>
      <w:marTop w:val="0"/>
      <w:marBottom w:val="0"/>
      <w:divBdr>
        <w:top w:val="none" w:sz="0" w:space="0" w:color="auto"/>
        <w:left w:val="none" w:sz="0" w:space="0" w:color="auto"/>
        <w:bottom w:val="none" w:sz="0" w:space="0" w:color="auto"/>
        <w:right w:val="none" w:sz="0" w:space="0" w:color="auto"/>
      </w:divBdr>
    </w:div>
    <w:div w:id="482625353">
      <w:bodyDiv w:val="1"/>
      <w:marLeft w:val="0"/>
      <w:marRight w:val="0"/>
      <w:marTop w:val="0"/>
      <w:marBottom w:val="0"/>
      <w:divBdr>
        <w:top w:val="none" w:sz="0" w:space="0" w:color="auto"/>
        <w:left w:val="none" w:sz="0" w:space="0" w:color="auto"/>
        <w:bottom w:val="none" w:sz="0" w:space="0" w:color="auto"/>
        <w:right w:val="none" w:sz="0" w:space="0" w:color="auto"/>
      </w:divBdr>
    </w:div>
    <w:div w:id="507333124">
      <w:bodyDiv w:val="1"/>
      <w:marLeft w:val="0"/>
      <w:marRight w:val="0"/>
      <w:marTop w:val="0"/>
      <w:marBottom w:val="0"/>
      <w:divBdr>
        <w:top w:val="none" w:sz="0" w:space="0" w:color="auto"/>
        <w:left w:val="none" w:sz="0" w:space="0" w:color="auto"/>
        <w:bottom w:val="none" w:sz="0" w:space="0" w:color="auto"/>
        <w:right w:val="none" w:sz="0" w:space="0" w:color="auto"/>
      </w:divBdr>
    </w:div>
    <w:div w:id="544831502">
      <w:bodyDiv w:val="1"/>
      <w:marLeft w:val="0"/>
      <w:marRight w:val="0"/>
      <w:marTop w:val="0"/>
      <w:marBottom w:val="0"/>
      <w:divBdr>
        <w:top w:val="none" w:sz="0" w:space="0" w:color="auto"/>
        <w:left w:val="none" w:sz="0" w:space="0" w:color="auto"/>
        <w:bottom w:val="none" w:sz="0" w:space="0" w:color="auto"/>
        <w:right w:val="none" w:sz="0" w:space="0" w:color="auto"/>
      </w:divBdr>
    </w:div>
    <w:div w:id="562721227">
      <w:bodyDiv w:val="1"/>
      <w:marLeft w:val="0"/>
      <w:marRight w:val="0"/>
      <w:marTop w:val="0"/>
      <w:marBottom w:val="0"/>
      <w:divBdr>
        <w:top w:val="none" w:sz="0" w:space="0" w:color="auto"/>
        <w:left w:val="none" w:sz="0" w:space="0" w:color="auto"/>
        <w:bottom w:val="none" w:sz="0" w:space="0" w:color="auto"/>
        <w:right w:val="none" w:sz="0" w:space="0" w:color="auto"/>
      </w:divBdr>
    </w:div>
    <w:div w:id="592709152">
      <w:bodyDiv w:val="1"/>
      <w:marLeft w:val="0"/>
      <w:marRight w:val="0"/>
      <w:marTop w:val="0"/>
      <w:marBottom w:val="0"/>
      <w:divBdr>
        <w:top w:val="none" w:sz="0" w:space="0" w:color="auto"/>
        <w:left w:val="none" w:sz="0" w:space="0" w:color="auto"/>
        <w:bottom w:val="none" w:sz="0" w:space="0" w:color="auto"/>
        <w:right w:val="none" w:sz="0" w:space="0" w:color="auto"/>
      </w:divBdr>
    </w:div>
    <w:div w:id="596250313">
      <w:bodyDiv w:val="1"/>
      <w:marLeft w:val="0"/>
      <w:marRight w:val="0"/>
      <w:marTop w:val="0"/>
      <w:marBottom w:val="0"/>
      <w:divBdr>
        <w:top w:val="none" w:sz="0" w:space="0" w:color="auto"/>
        <w:left w:val="none" w:sz="0" w:space="0" w:color="auto"/>
        <w:bottom w:val="none" w:sz="0" w:space="0" w:color="auto"/>
        <w:right w:val="none" w:sz="0" w:space="0" w:color="auto"/>
      </w:divBdr>
      <w:divsChild>
        <w:div w:id="1334603151">
          <w:marLeft w:val="0"/>
          <w:marRight w:val="0"/>
          <w:marTop w:val="0"/>
          <w:marBottom w:val="0"/>
          <w:divBdr>
            <w:top w:val="none" w:sz="0" w:space="0" w:color="auto"/>
            <w:left w:val="none" w:sz="0" w:space="0" w:color="auto"/>
            <w:bottom w:val="none" w:sz="0" w:space="0" w:color="auto"/>
            <w:right w:val="none" w:sz="0" w:space="0" w:color="auto"/>
          </w:divBdr>
          <w:divsChild>
            <w:div w:id="2145737196">
              <w:marLeft w:val="0"/>
              <w:marRight w:val="0"/>
              <w:marTop w:val="0"/>
              <w:marBottom w:val="0"/>
              <w:divBdr>
                <w:top w:val="none" w:sz="0" w:space="0" w:color="auto"/>
                <w:left w:val="none" w:sz="0" w:space="0" w:color="auto"/>
                <w:bottom w:val="none" w:sz="0" w:space="0" w:color="auto"/>
                <w:right w:val="none" w:sz="0" w:space="0" w:color="auto"/>
              </w:divBdr>
              <w:divsChild>
                <w:div w:id="381710944">
                  <w:marLeft w:val="0"/>
                  <w:marRight w:val="0"/>
                  <w:marTop w:val="0"/>
                  <w:marBottom w:val="0"/>
                  <w:divBdr>
                    <w:top w:val="none" w:sz="0" w:space="0" w:color="auto"/>
                    <w:left w:val="none" w:sz="0" w:space="0" w:color="auto"/>
                    <w:bottom w:val="none" w:sz="0" w:space="0" w:color="auto"/>
                    <w:right w:val="none" w:sz="0" w:space="0" w:color="auto"/>
                  </w:divBdr>
                  <w:divsChild>
                    <w:div w:id="340934671">
                      <w:marLeft w:val="0"/>
                      <w:marRight w:val="0"/>
                      <w:marTop w:val="0"/>
                      <w:marBottom w:val="0"/>
                      <w:divBdr>
                        <w:top w:val="none" w:sz="0" w:space="0" w:color="auto"/>
                        <w:left w:val="none" w:sz="0" w:space="0" w:color="auto"/>
                        <w:bottom w:val="none" w:sz="0" w:space="0" w:color="auto"/>
                        <w:right w:val="none" w:sz="0" w:space="0" w:color="auto"/>
                      </w:divBdr>
                      <w:divsChild>
                        <w:div w:id="454754541">
                          <w:marLeft w:val="0"/>
                          <w:marRight w:val="0"/>
                          <w:marTop w:val="0"/>
                          <w:marBottom w:val="0"/>
                          <w:divBdr>
                            <w:top w:val="none" w:sz="0" w:space="0" w:color="auto"/>
                            <w:left w:val="none" w:sz="0" w:space="0" w:color="auto"/>
                            <w:bottom w:val="none" w:sz="0" w:space="0" w:color="auto"/>
                            <w:right w:val="none" w:sz="0" w:space="0" w:color="auto"/>
                          </w:divBdr>
                          <w:divsChild>
                            <w:div w:id="626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600142">
      <w:bodyDiv w:val="1"/>
      <w:marLeft w:val="0"/>
      <w:marRight w:val="0"/>
      <w:marTop w:val="0"/>
      <w:marBottom w:val="0"/>
      <w:divBdr>
        <w:top w:val="none" w:sz="0" w:space="0" w:color="auto"/>
        <w:left w:val="none" w:sz="0" w:space="0" w:color="auto"/>
        <w:bottom w:val="none" w:sz="0" w:space="0" w:color="auto"/>
        <w:right w:val="none" w:sz="0" w:space="0" w:color="auto"/>
      </w:divBdr>
    </w:div>
    <w:div w:id="609434986">
      <w:bodyDiv w:val="1"/>
      <w:marLeft w:val="0"/>
      <w:marRight w:val="0"/>
      <w:marTop w:val="0"/>
      <w:marBottom w:val="0"/>
      <w:divBdr>
        <w:top w:val="none" w:sz="0" w:space="0" w:color="auto"/>
        <w:left w:val="none" w:sz="0" w:space="0" w:color="auto"/>
        <w:bottom w:val="none" w:sz="0" w:space="0" w:color="auto"/>
        <w:right w:val="none" w:sz="0" w:space="0" w:color="auto"/>
      </w:divBdr>
    </w:div>
    <w:div w:id="610434053">
      <w:bodyDiv w:val="1"/>
      <w:marLeft w:val="0"/>
      <w:marRight w:val="0"/>
      <w:marTop w:val="0"/>
      <w:marBottom w:val="0"/>
      <w:divBdr>
        <w:top w:val="none" w:sz="0" w:space="0" w:color="auto"/>
        <w:left w:val="none" w:sz="0" w:space="0" w:color="auto"/>
        <w:bottom w:val="none" w:sz="0" w:space="0" w:color="auto"/>
        <w:right w:val="none" w:sz="0" w:space="0" w:color="auto"/>
      </w:divBdr>
      <w:divsChild>
        <w:div w:id="379136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70405">
      <w:bodyDiv w:val="1"/>
      <w:marLeft w:val="0"/>
      <w:marRight w:val="0"/>
      <w:marTop w:val="0"/>
      <w:marBottom w:val="0"/>
      <w:divBdr>
        <w:top w:val="none" w:sz="0" w:space="0" w:color="auto"/>
        <w:left w:val="none" w:sz="0" w:space="0" w:color="auto"/>
        <w:bottom w:val="none" w:sz="0" w:space="0" w:color="auto"/>
        <w:right w:val="none" w:sz="0" w:space="0" w:color="auto"/>
      </w:divBdr>
    </w:div>
    <w:div w:id="625508145">
      <w:bodyDiv w:val="1"/>
      <w:marLeft w:val="0"/>
      <w:marRight w:val="0"/>
      <w:marTop w:val="0"/>
      <w:marBottom w:val="0"/>
      <w:divBdr>
        <w:top w:val="none" w:sz="0" w:space="0" w:color="auto"/>
        <w:left w:val="none" w:sz="0" w:space="0" w:color="auto"/>
        <w:bottom w:val="none" w:sz="0" w:space="0" w:color="auto"/>
        <w:right w:val="none" w:sz="0" w:space="0" w:color="auto"/>
      </w:divBdr>
    </w:div>
    <w:div w:id="629940039">
      <w:bodyDiv w:val="1"/>
      <w:marLeft w:val="0"/>
      <w:marRight w:val="0"/>
      <w:marTop w:val="0"/>
      <w:marBottom w:val="0"/>
      <w:divBdr>
        <w:top w:val="none" w:sz="0" w:space="0" w:color="auto"/>
        <w:left w:val="none" w:sz="0" w:space="0" w:color="auto"/>
        <w:bottom w:val="none" w:sz="0" w:space="0" w:color="auto"/>
        <w:right w:val="none" w:sz="0" w:space="0" w:color="auto"/>
      </w:divBdr>
    </w:div>
    <w:div w:id="632370547">
      <w:bodyDiv w:val="1"/>
      <w:marLeft w:val="0"/>
      <w:marRight w:val="0"/>
      <w:marTop w:val="0"/>
      <w:marBottom w:val="0"/>
      <w:divBdr>
        <w:top w:val="none" w:sz="0" w:space="0" w:color="auto"/>
        <w:left w:val="none" w:sz="0" w:space="0" w:color="auto"/>
        <w:bottom w:val="none" w:sz="0" w:space="0" w:color="auto"/>
        <w:right w:val="none" w:sz="0" w:space="0" w:color="auto"/>
      </w:divBdr>
    </w:div>
    <w:div w:id="693195387">
      <w:bodyDiv w:val="1"/>
      <w:marLeft w:val="0"/>
      <w:marRight w:val="0"/>
      <w:marTop w:val="0"/>
      <w:marBottom w:val="0"/>
      <w:divBdr>
        <w:top w:val="none" w:sz="0" w:space="0" w:color="auto"/>
        <w:left w:val="none" w:sz="0" w:space="0" w:color="auto"/>
        <w:bottom w:val="none" w:sz="0" w:space="0" w:color="auto"/>
        <w:right w:val="none" w:sz="0" w:space="0" w:color="auto"/>
      </w:divBdr>
    </w:div>
    <w:div w:id="700856784">
      <w:bodyDiv w:val="1"/>
      <w:marLeft w:val="0"/>
      <w:marRight w:val="0"/>
      <w:marTop w:val="0"/>
      <w:marBottom w:val="0"/>
      <w:divBdr>
        <w:top w:val="none" w:sz="0" w:space="0" w:color="auto"/>
        <w:left w:val="none" w:sz="0" w:space="0" w:color="auto"/>
        <w:bottom w:val="none" w:sz="0" w:space="0" w:color="auto"/>
        <w:right w:val="none" w:sz="0" w:space="0" w:color="auto"/>
      </w:divBdr>
    </w:div>
    <w:div w:id="704525841">
      <w:bodyDiv w:val="1"/>
      <w:marLeft w:val="0"/>
      <w:marRight w:val="0"/>
      <w:marTop w:val="0"/>
      <w:marBottom w:val="0"/>
      <w:divBdr>
        <w:top w:val="none" w:sz="0" w:space="0" w:color="auto"/>
        <w:left w:val="none" w:sz="0" w:space="0" w:color="auto"/>
        <w:bottom w:val="none" w:sz="0" w:space="0" w:color="auto"/>
        <w:right w:val="none" w:sz="0" w:space="0" w:color="auto"/>
      </w:divBdr>
      <w:divsChild>
        <w:div w:id="475493855">
          <w:marLeft w:val="0"/>
          <w:marRight w:val="0"/>
          <w:marTop w:val="0"/>
          <w:marBottom w:val="0"/>
          <w:divBdr>
            <w:top w:val="none" w:sz="0" w:space="0" w:color="auto"/>
            <w:left w:val="none" w:sz="0" w:space="0" w:color="auto"/>
            <w:bottom w:val="none" w:sz="0" w:space="0" w:color="auto"/>
            <w:right w:val="none" w:sz="0" w:space="0" w:color="auto"/>
          </w:divBdr>
          <w:divsChild>
            <w:div w:id="43717111">
              <w:marLeft w:val="0"/>
              <w:marRight w:val="0"/>
              <w:marTop w:val="0"/>
              <w:marBottom w:val="0"/>
              <w:divBdr>
                <w:top w:val="none" w:sz="0" w:space="0" w:color="auto"/>
                <w:left w:val="none" w:sz="0" w:space="0" w:color="auto"/>
                <w:bottom w:val="none" w:sz="0" w:space="0" w:color="auto"/>
                <w:right w:val="none" w:sz="0" w:space="0" w:color="auto"/>
              </w:divBdr>
              <w:divsChild>
                <w:div w:id="829709192">
                  <w:marLeft w:val="0"/>
                  <w:marRight w:val="0"/>
                  <w:marTop w:val="0"/>
                  <w:marBottom w:val="0"/>
                  <w:divBdr>
                    <w:top w:val="none" w:sz="0" w:space="0" w:color="auto"/>
                    <w:left w:val="none" w:sz="0" w:space="0" w:color="auto"/>
                    <w:bottom w:val="none" w:sz="0" w:space="0" w:color="auto"/>
                    <w:right w:val="none" w:sz="0" w:space="0" w:color="auto"/>
                  </w:divBdr>
                  <w:divsChild>
                    <w:div w:id="1147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6866">
              <w:marLeft w:val="0"/>
              <w:marRight w:val="0"/>
              <w:marTop w:val="0"/>
              <w:marBottom w:val="0"/>
              <w:divBdr>
                <w:top w:val="none" w:sz="0" w:space="0" w:color="auto"/>
                <w:left w:val="none" w:sz="0" w:space="0" w:color="auto"/>
                <w:bottom w:val="none" w:sz="0" w:space="0" w:color="auto"/>
                <w:right w:val="none" w:sz="0" w:space="0" w:color="auto"/>
              </w:divBdr>
              <w:divsChild>
                <w:div w:id="10577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99739">
      <w:bodyDiv w:val="1"/>
      <w:marLeft w:val="0"/>
      <w:marRight w:val="0"/>
      <w:marTop w:val="0"/>
      <w:marBottom w:val="0"/>
      <w:divBdr>
        <w:top w:val="none" w:sz="0" w:space="0" w:color="auto"/>
        <w:left w:val="none" w:sz="0" w:space="0" w:color="auto"/>
        <w:bottom w:val="none" w:sz="0" w:space="0" w:color="auto"/>
        <w:right w:val="none" w:sz="0" w:space="0" w:color="auto"/>
      </w:divBdr>
    </w:div>
    <w:div w:id="786003364">
      <w:bodyDiv w:val="1"/>
      <w:marLeft w:val="0"/>
      <w:marRight w:val="0"/>
      <w:marTop w:val="0"/>
      <w:marBottom w:val="0"/>
      <w:divBdr>
        <w:top w:val="none" w:sz="0" w:space="0" w:color="auto"/>
        <w:left w:val="none" w:sz="0" w:space="0" w:color="auto"/>
        <w:bottom w:val="none" w:sz="0" w:space="0" w:color="auto"/>
        <w:right w:val="none" w:sz="0" w:space="0" w:color="auto"/>
      </w:divBdr>
    </w:div>
    <w:div w:id="791094790">
      <w:bodyDiv w:val="1"/>
      <w:marLeft w:val="0"/>
      <w:marRight w:val="0"/>
      <w:marTop w:val="0"/>
      <w:marBottom w:val="0"/>
      <w:divBdr>
        <w:top w:val="none" w:sz="0" w:space="0" w:color="auto"/>
        <w:left w:val="none" w:sz="0" w:space="0" w:color="auto"/>
        <w:bottom w:val="none" w:sz="0" w:space="0" w:color="auto"/>
        <w:right w:val="none" w:sz="0" w:space="0" w:color="auto"/>
      </w:divBdr>
    </w:div>
    <w:div w:id="818616794">
      <w:bodyDiv w:val="1"/>
      <w:marLeft w:val="0"/>
      <w:marRight w:val="0"/>
      <w:marTop w:val="0"/>
      <w:marBottom w:val="0"/>
      <w:divBdr>
        <w:top w:val="none" w:sz="0" w:space="0" w:color="auto"/>
        <w:left w:val="none" w:sz="0" w:space="0" w:color="auto"/>
        <w:bottom w:val="none" w:sz="0" w:space="0" w:color="auto"/>
        <w:right w:val="none" w:sz="0" w:space="0" w:color="auto"/>
      </w:divBdr>
    </w:div>
    <w:div w:id="826748262">
      <w:bodyDiv w:val="1"/>
      <w:marLeft w:val="0"/>
      <w:marRight w:val="0"/>
      <w:marTop w:val="0"/>
      <w:marBottom w:val="0"/>
      <w:divBdr>
        <w:top w:val="none" w:sz="0" w:space="0" w:color="auto"/>
        <w:left w:val="none" w:sz="0" w:space="0" w:color="auto"/>
        <w:bottom w:val="none" w:sz="0" w:space="0" w:color="auto"/>
        <w:right w:val="none" w:sz="0" w:space="0" w:color="auto"/>
      </w:divBdr>
    </w:div>
    <w:div w:id="832912370">
      <w:bodyDiv w:val="1"/>
      <w:marLeft w:val="0"/>
      <w:marRight w:val="0"/>
      <w:marTop w:val="0"/>
      <w:marBottom w:val="0"/>
      <w:divBdr>
        <w:top w:val="none" w:sz="0" w:space="0" w:color="auto"/>
        <w:left w:val="none" w:sz="0" w:space="0" w:color="auto"/>
        <w:bottom w:val="none" w:sz="0" w:space="0" w:color="auto"/>
        <w:right w:val="none" w:sz="0" w:space="0" w:color="auto"/>
      </w:divBdr>
    </w:div>
    <w:div w:id="857548780">
      <w:bodyDiv w:val="1"/>
      <w:marLeft w:val="0"/>
      <w:marRight w:val="0"/>
      <w:marTop w:val="0"/>
      <w:marBottom w:val="0"/>
      <w:divBdr>
        <w:top w:val="none" w:sz="0" w:space="0" w:color="auto"/>
        <w:left w:val="none" w:sz="0" w:space="0" w:color="auto"/>
        <w:bottom w:val="none" w:sz="0" w:space="0" w:color="auto"/>
        <w:right w:val="none" w:sz="0" w:space="0" w:color="auto"/>
      </w:divBdr>
    </w:div>
    <w:div w:id="859899093">
      <w:bodyDiv w:val="1"/>
      <w:marLeft w:val="0"/>
      <w:marRight w:val="0"/>
      <w:marTop w:val="0"/>
      <w:marBottom w:val="0"/>
      <w:divBdr>
        <w:top w:val="none" w:sz="0" w:space="0" w:color="auto"/>
        <w:left w:val="none" w:sz="0" w:space="0" w:color="auto"/>
        <w:bottom w:val="none" w:sz="0" w:space="0" w:color="auto"/>
        <w:right w:val="none" w:sz="0" w:space="0" w:color="auto"/>
      </w:divBdr>
    </w:div>
    <w:div w:id="861359758">
      <w:bodyDiv w:val="1"/>
      <w:marLeft w:val="0"/>
      <w:marRight w:val="0"/>
      <w:marTop w:val="0"/>
      <w:marBottom w:val="0"/>
      <w:divBdr>
        <w:top w:val="none" w:sz="0" w:space="0" w:color="auto"/>
        <w:left w:val="none" w:sz="0" w:space="0" w:color="auto"/>
        <w:bottom w:val="none" w:sz="0" w:space="0" w:color="auto"/>
        <w:right w:val="none" w:sz="0" w:space="0" w:color="auto"/>
      </w:divBdr>
    </w:div>
    <w:div w:id="874654328">
      <w:bodyDiv w:val="1"/>
      <w:marLeft w:val="0"/>
      <w:marRight w:val="0"/>
      <w:marTop w:val="0"/>
      <w:marBottom w:val="0"/>
      <w:divBdr>
        <w:top w:val="none" w:sz="0" w:space="0" w:color="auto"/>
        <w:left w:val="none" w:sz="0" w:space="0" w:color="auto"/>
        <w:bottom w:val="none" w:sz="0" w:space="0" w:color="auto"/>
        <w:right w:val="none" w:sz="0" w:space="0" w:color="auto"/>
      </w:divBdr>
    </w:div>
    <w:div w:id="887258547">
      <w:bodyDiv w:val="1"/>
      <w:marLeft w:val="0"/>
      <w:marRight w:val="0"/>
      <w:marTop w:val="0"/>
      <w:marBottom w:val="0"/>
      <w:divBdr>
        <w:top w:val="none" w:sz="0" w:space="0" w:color="auto"/>
        <w:left w:val="none" w:sz="0" w:space="0" w:color="auto"/>
        <w:bottom w:val="none" w:sz="0" w:space="0" w:color="auto"/>
        <w:right w:val="none" w:sz="0" w:space="0" w:color="auto"/>
      </w:divBdr>
    </w:div>
    <w:div w:id="906185909">
      <w:bodyDiv w:val="1"/>
      <w:marLeft w:val="0"/>
      <w:marRight w:val="0"/>
      <w:marTop w:val="0"/>
      <w:marBottom w:val="0"/>
      <w:divBdr>
        <w:top w:val="none" w:sz="0" w:space="0" w:color="auto"/>
        <w:left w:val="none" w:sz="0" w:space="0" w:color="auto"/>
        <w:bottom w:val="none" w:sz="0" w:space="0" w:color="auto"/>
        <w:right w:val="none" w:sz="0" w:space="0" w:color="auto"/>
      </w:divBdr>
    </w:div>
    <w:div w:id="909925845">
      <w:bodyDiv w:val="1"/>
      <w:marLeft w:val="0"/>
      <w:marRight w:val="0"/>
      <w:marTop w:val="0"/>
      <w:marBottom w:val="0"/>
      <w:divBdr>
        <w:top w:val="none" w:sz="0" w:space="0" w:color="auto"/>
        <w:left w:val="none" w:sz="0" w:space="0" w:color="auto"/>
        <w:bottom w:val="none" w:sz="0" w:space="0" w:color="auto"/>
        <w:right w:val="none" w:sz="0" w:space="0" w:color="auto"/>
      </w:divBdr>
    </w:div>
    <w:div w:id="917859605">
      <w:bodyDiv w:val="1"/>
      <w:marLeft w:val="0"/>
      <w:marRight w:val="0"/>
      <w:marTop w:val="0"/>
      <w:marBottom w:val="0"/>
      <w:divBdr>
        <w:top w:val="none" w:sz="0" w:space="0" w:color="auto"/>
        <w:left w:val="none" w:sz="0" w:space="0" w:color="auto"/>
        <w:bottom w:val="none" w:sz="0" w:space="0" w:color="auto"/>
        <w:right w:val="none" w:sz="0" w:space="0" w:color="auto"/>
      </w:divBdr>
    </w:div>
    <w:div w:id="919295904">
      <w:bodyDiv w:val="1"/>
      <w:marLeft w:val="0"/>
      <w:marRight w:val="0"/>
      <w:marTop w:val="0"/>
      <w:marBottom w:val="0"/>
      <w:divBdr>
        <w:top w:val="none" w:sz="0" w:space="0" w:color="auto"/>
        <w:left w:val="none" w:sz="0" w:space="0" w:color="auto"/>
        <w:bottom w:val="none" w:sz="0" w:space="0" w:color="auto"/>
        <w:right w:val="none" w:sz="0" w:space="0" w:color="auto"/>
      </w:divBdr>
      <w:divsChild>
        <w:div w:id="1726953998">
          <w:marLeft w:val="0"/>
          <w:marRight w:val="0"/>
          <w:marTop w:val="0"/>
          <w:marBottom w:val="0"/>
          <w:divBdr>
            <w:top w:val="none" w:sz="0" w:space="0" w:color="auto"/>
            <w:left w:val="none" w:sz="0" w:space="0" w:color="auto"/>
            <w:bottom w:val="none" w:sz="0" w:space="0" w:color="auto"/>
            <w:right w:val="none" w:sz="0" w:space="0" w:color="auto"/>
          </w:divBdr>
          <w:divsChild>
            <w:div w:id="1516966481">
              <w:marLeft w:val="0"/>
              <w:marRight w:val="0"/>
              <w:marTop w:val="0"/>
              <w:marBottom w:val="0"/>
              <w:divBdr>
                <w:top w:val="none" w:sz="0" w:space="0" w:color="auto"/>
                <w:left w:val="none" w:sz="0" w:space="0" w:color="auto"/>
                <w:bottom w:val="none" w:sz="0" w:space="0" w:color="auto"/>
                <w:right w:val="none" w:sz="0" w:space="0" w:color="auto"/>
              </w:divBdr>
              <w:divsChild>
                <w:div w:id="1860653110">
                  <w:marLeft w:val="0"/>
                  <w:marRight w:val="0"/>
                  <w:marTop w:val="0"/>
                  <w:marBottom w:val="0"/>
                  <w:divBdr>
                    <w:top w:val="none" w:sz="0" w:space="0" w:color="auto"/>
                    <w:left w:val="none" w:sz="0" w:space="0" w:color="auto"/>
                    <w:bottom w:val="none" w:sz="0" w:space="0" w:color="auto"/>
                    <w:right w:val="none" w:sz="0" w:space="0" w:color="auto"/>
                  </w:divBdr>
                  <w:divsChild>
                    <w:div w:id="3673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440">
              <w:marLeft w:val="0"/>
              <w:marRight w:val="0"/>
              <w:marTop w:val="0"/>
              <w:marBottom w:val="0"/>
              <w:divBdr>
                <w:top w:val="none" w:sz="0" w:space="0" w:color="auto"/>
                <w:left w:val="none" w:sz="0" w:space="0" w:color="auto"/>
                <w:bottom w:val="none" w:sz="0" w:space="0" w:color="auto"/>
                <w:right w:val="none" w:sz="0" w:space="0" w:color="auto"/>
              </w:divBdr>
              <w:divsChild>
                <w:div w:id="6056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3104">
      <w:bodyDiv w:val="1"/>
      <w:marLeft w:val="0"/>
      <w:marRight w:val="0"/>
      <w:marTop w:val="0"/>
      <w:marBottom w:val="0"/>
      <w:divBdr>
        <w:top w:val="none" w:sz="0" w:space="0" w:color="auto"/>
        <w:left w:val="none" w:sz="0" w:space="0" w:color="auto"/>
        <w:bottom w:val="none" w:sz="0" w:space="0" w:color="auto"/>
        <w:right w:val="none" w:sz="0" w:space="0" w:color="auto"/>
      </w:divBdr>
    </w:div>
    <w:div w:id="949436573">
      <w:bodyDiv w:val="1"/>
      <w:marLeft w:val="0"/>
      <w:marRight w:val="0"/>
      <w:marTop w:val="0"/>
      <w:marBottom w:val="0"/>
      <w:divBdr>
        <w:top w:val="none" w:sz="0" w:space="0" w:color="auto"/>
        <w:left w:val="none" w:sz="0" w:space="0" w:color="auto"/>
        <w:bottom w:val="none" w:sz="0" w:space="0" w:color="auto"/>
        <w:right w:val="none" w:sz="0" w:space="0" w:color="auto"/>
      </w:divBdr>
    </w:div>
    <w:div w:id="951471666">
      <w:bodyDiv w:val="1"/>
      <w:marLeft w:val="0"/>
      <w:marRight w:val="0"/>
      <w:marTop w:val="0"/>
      <w:marBottom w:val="0"/>
      <w:divBdr>
        <w:top w:val="none" w:sz="0" w:space="0" w:color="auto"/>
        <w:left w:val="none" w:sz="0" w:space="0" w:color="auto"/>
        <w:bottom w:val="none" w:sz="0" w:space="0" w:color="auto"/>
        <w:right w:val="none" w:sz="0" w:space="0" w:color="auto"/>
      </w:divBdr>
    </w:div>
    <w:div w:id="957420116">
      <w:bodyDiv w:val="1"/>
      <w:marLeft w:val="0"/>
      <w:marRight w:val="0"/>
      <w:marTop w:val="0"/>
      <w:marBottom w:val="0"/>
      <w:divBdr>
        <w:top w:val="none" w:sz="0" w:space="0" w:color="auto"/>
        <w:left w:val="none" w:sz="0" w:space="0" w:color="auto"/>
        <w:bottom w:val="none" w:sz="0" w:space="0" w:color="auto"/>
        <w:right w:val="none" w:sz="0" w:space="0" w:color="auto"/>
      </w:divBdr>
    </w:div>
    <w:div w:id="961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9922464">
          <w:marLeft w:val="0"/>
          <w:marRight w:val="0"/>
          <w:marTop w:val="0"/>
          <w:marBottom w:val="0"/>
          <w:divBdr>
            <w:top w:val="none" w:sz="0" w:space="0" w:color="auto"/>
            <w:left w:val="none" w:sz="0" w:space="0" w:color="auto"/>
            <w:bottom w:val="none" w:sz="0" w:space="0" w:color="auto"/>
            <w:right w:val="none" w:sz="0" w:space="0" w:color="auto"/>
          </w:divBdr>
          <w:divsChild>
            <w:div w:id="1180580987">
              <w:marLeft w:val="0"/>
              <w:marRight w:val="0"/>
              <w:marTop w:val="0"/>
              <w:marBottom w:val="0"/>
              <w:divBdr>
                <w:top w:val="none" w:sz="0" w:space="0" w:color="auto"/>
                <w:left w:val="none" w:sz="0" w:space="0" w:color="auto"/>
                <w:bottom w:val="none" w:sz="0" w:space="0" w:color="auto"/>
                <w:right w:val="none" w:sz="0" w:space="0" w:color="auto"/>
              </w:divBdr>
              <w:divsChild>
                <w:div w:id="1569265300">
                  <w:marLeft w:val="0"/>
                  <w:marRight w:val="0"/>
                  <w:marTop w:val="0"/>
                  <w:marBottom w:val="0"/>
                  <w:divBdr>
                    <w:top w:val="none" w:sz="0" w:space="0" w:color="auto"/>
                    <w:left w:val="none" w:sz="0" w:space="0" w:color="auto"/>
                    <w:bottom w:val="none" w:sz="0" w:space="0" w:color="auto"/>
                    <w:right w:val="none" w:sz="0" w:space="0" w:color="auto"/>
                  </w:divBdr>
                  <w:divsChild>
                    <w:div w:id="1293439204">
                      <w:marLeft w:val="0"/>
                      <w:marRight w:val="0"/>
                      <w:marTop w:val="0"/>
                      <w:marBottom w:val="0"/>
                      <w:divBdr>
                        <w:top w:val="none" w:sz="0" w:space="0" w:color="auto"/>
                        <w:left w:val="none" w:sz="0" w:space="0" w:color="auto"/>
                        <w:bottom w:val="none" w:sz="0" w:space="0" w:color="auto"/>
                        <w:right w:val="none" w:sz="0" w:space="0" w:color="auto"/>
                      </w:divBdr>
                      <w:divsChild>
                        <w:div w:id="2013675490">
                          <w:marLeft w:val="0"/>
                          <w:marRight w:val="0"/>
                          <w:marTop w:val="0"/>
                          <w:marBottom w:val="0"/>
                          <w:divBdr>
                            <w:top w:val="none" w:sz="0" w:space="0" w:color="auto"/>
                            <w:left w:val="none" w:sz="0" w:space="0" w:color="auto"/>
                            <w:bottom w:val="none" w:sz="0" w:space="0" w:color="auto"/>
                            <w:right w:val="none" w:sz="0" w:space="0" w:color="auto"/>
                          </w:divBdr>
                          <w:divsChild>
                            <w:div w:id="90781840">
                              <w:marLeft w:val="0"/>
                              <w:marRight w:val="0"/>
                              <w:marTop w:val="0"/>
                              <w:marBottom w:val="0"/>
                              <w:divBdr>
                                <w:top w:val="none" w:sz="0" w:space="0" w:color="auto"/>
                                <w:left w:val="none" w:sz="0" w:space="0" w:color="auto"/>
                                <w:bottom w:val="none" w:sz="0" w:space="0" w:color="auto"/>
                                <w:right w:val="none" w:sz="0" w:space="0" w:color="auto"/>
                              </w:divBdr>
                              <w:divsChild>
                                <w:div w:id="2048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5333">
          <w:marLeft w:val="0"/>
          <w:marRight w:val="0"/>
          <w:marTop w:val="0"/>
          <w:marBottom w:val="0"/>
          <w:divBdr>
            <w:top w:val="none" w:sz="0" w:space="0" w:color="auto"/>
            <w:left w:val="none" w:sz="0" w:space="0" w:color="auto"/>
            <w:bottom w:val="none" w:sz="0" w:space="0" w:color="auto"/>
            <w:right w:val="none" w:sz="0" w:space="0" w:color="auto"/>
          </w:divBdr>
          <w:divsChild>
            <w:div w:id="684285964">
              <w:marLeft w:val="0"/>
              <w:marRight w:val="0"/>
              <w:marTop w:val="0"/>
              <w:marBottom w:val="0"/>
              <w:divBdr>
                <w:top w:val="none" w:sz="0" w:space="0" w:color="auto"/>
                <w:left w:val="none" w:sz="0" w:space="0" w:color="auto"/>
                <w:bottom w:val="none" w:sz="0" w:space="0" w:color="auto"/>
                <w:right w:val="none" w:sz="0" w:space="0" w:color="auto"/>
              </w:divBdr>
              <w:divsChild>
                <w:div w:id="1752660811">
                  <w:marLeft w:val="0"/>
                  <w:marRight w:val="0"/>
                  <w:marTop w:val="0"/>
                  <w:marBottom w:val="0"/>
                  <w:divBdr>
                    <w:top w:val="none" w:sz="0" w:space="0" w:color="auto"/>
                    <w:left w:val="none" w:sz="0" w:space="0" w:color="auto"/>
                    <w:bottom w:val="none" w:sz="0" w:space="0" w:color="auto"/>
                    <w:right w:val="none" w:sz="0" w:space="0" w:color="auto"/>
                  </w:divBdr>
                  <w:divsChild>
                    <w:div w:id="1806119138">
                      <w:marLeft w:val="0"/>
                      <w:marRight w:val="0"/>
                      <w:marTop w:val="0"/>
                      <w:marBottom w:val="0"/>
                      <w:divBdr>
                        <w:top w:val="none" w:sz="0" w:space="0" w:color="auto"/>
                        <w:left w:val="none" w:sz="0" w:space="0" w:color="auto"/>
                        <w:bottom w:val="none" w:sz="0" w:space="0" w:color="auto"/>
                        <w:right w:val="none" w:sz="0" w:space="0" w:color="auto"/>
                      </w:divBdr>
                      <w:divsChild>
                        <w:div w:id="2089114346">
                          <w:marLeft w:val="0"/>
                          <w:marRight w:val="0"/>
                          <w:marTop w:val="0"/>
                          <w:marBottom w:val="0"/>
                          <w:divBdr>
                            <w:top w:val="none" w:sz="0" w:space="0" w:color="auto"/>
                            <w:left w:val="none" w:sz="0" w:space="0" w:color="auto"/>
                            <w:bottom w:val="none" w:sz="0" w:space="0" w:color="auto"/>
                            <w:right w:val="none" w:sz="0" w:space="0" w:color="auto"/>
                          </w:divBdr>
                          <w:divsChild>
                            <w:div w:id="16423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4582">
      <w:bodyDiv w:val="1"/>
      <w:marLeft w:val="0"/>
      <w:marRight w:val="0"/>
      <w:marTop w:val="0"/>
      <w:marBottom w:val="0"/>
      <w:divBdr>
        <w:top w:val="none" w:sz="0" w:space="0" w:color="auto"/>
        <w:left w:val="none" w:sz="0" w:space="0" w:color="auto"/>
        <w:bottom w:val="none" w:sz="0" w:space="0" w:color="auto"/>
        <w:right w:val="none" w:sz="0" w:space="0" w:color="auto"/>
      </w:divBdr>
    </w:div>
    <w:div w:id="1013655628">
      <w:bodyDiv w:val="1"/>
      <w:marLeft w:val="0"/>
      <w:marRight w:val="0"/>
      <w:marTop w:val="0"/>
      <w:marBottom w:val="0"/>
      <w:divBdr>
        <w:top w:val="none" w:sz="0" w:space="0" w:color="auto"/>
        <w:left w:val="none" w:sz="0" w:space="0" w:color="auto"/>
        <w:bottom w:val="none" w:sz="0" w:space="0" w:color="auto"/>
        <w:right w:val="none" w:sz="0" w:space="0" w:color="auto"/>
      </w:divBdr>
    </w:div>
    <w:div w:id="1037506023">
      <w:bodyDiv w:val="1"/>
      <w:marLeft w:val="0"/>
      <w:marRight w:val="0"/>
      <w:marTop w:val="0"/>
      <w:marBottom w:val="0"/>
      <w:divBdr>
        <w:top w:val="none" w:sz="0" w:space="0" w:color="auto"/>
        <w:left w:val="none" w:sz="0" w:space="0" w:color="auto"/>
        <w:bottom w:val="none" w:sz="0" w:space="0" w:color="auto"/>
        <w:right w:val="none" w:sz="0" w:space="0" w:color="auto"/>
      </w:divBdr>
    </w:div>
    <w:div w:id="1045834317">
      <w:bodyDiv w:val="1"/>
      <w:marLeft w:val="0"/>
      <w:marRight w:val="0"/>
      <w:marTop w:val="0"/>
      <w:marBottom w:val="0"/>
      <w:divBdr>
        <w:top w:val="none" w:sz="0" w:space="0" w:color="auto"/>
        <w:left w:val="none" w:sz="0" w:space="0" w:color="auto"/>
        <w:bottom w:val="none" w:sz="0" w:space="0" w:color="auto"/>
        <w:right w:val="none" w:sz="0" w:space="0" w:color="auto"/>
      </w:divBdr>
    </w:div>
    <w:div w:id="1048843823">
      <w:bodyDiv w:val="1"/>
      <w:marLeft w:val="0"/>
      <w:marRight w:val="0"/>
      <w:marTop w:val="0"/>
      <w:marBottom w:val="0"/>
      <w:divBdr>
        <w:top w:val="none" w:sz="0" w:space="0" w:color="auto"/>
        <w:left w:val="none" w:sz="0" w:space="0" w:color="auto"/>
        <w:bottom w:val="none" w:sz="0" w:space="0" w:color="auto"/>
        <w:right w:val="none" w:sz="0" w:space="0" w:color="auto"/>
      </w:divBdr>
    </w:div>
    <w:div w:id="1078676329">
      <w:bodyDiv w:val="1"/>
      <w:marLeft w:val="0"/>
      <w:marRight w:val="0"/>
      <w:marTop w:val="0"/>
      <w:marBottom w:val="0"/>
      <w:divBdr>
        <w:top w:val="none" w:sz="0" w:space="0" w:color="auto"/>
        <w:left w:val="none" w:sz="0" w:space="0" w:color="auto"/>
        <w:bottom w:val="none" w:sz="0" w:space="0" w:color="auto"/>
        <w:right w:val="none" w:sz="0" w:space="0" w:color="auto"/>
      </w:divBdr>
    </w:div>
    <w:div w:id="1104544297">
      <w:bodyDiv w:val="1"/>
      <w:marLeft w:val="0"/>
      <w:marRight w:val="0"/>
      <w:marTop w:val="0"/>
      <w:marBottom w:val="0"/>
      <w:divBdr>
        <w:top w:val="none" w:sz="0" w:space="0" w:color="auto"/>
        <w:left w:val="none" w:sz="0" w:space="0" w:color="auto"/>
        <w:bottom w:val="none" w:sz="0" w:space="0" w:color="auto"/>
        <w:right w:val="none" w:sz="0" w:space="0" w:color="auto"/>
      </w:divBdr>
    </w:div>
    <w:div w:id="1113206768">
      <w:bodyDiv w:val="1"/>
      <w:marLeft w:val="0"/>
      <w:marRight w:val="0"/>
      <w:marTop w:val="0"/>
      <w:marBottom w:val="0"/>
      <w:divBdr>
        <w:top w:val="none" w:sz="0" w:space="0" w:color="auto"/>
        <w:left w:val="none" w:sz="0" w:space="0" w:color="auto"/>
        <w:bottom w:val="none" w:sz="0" w:space="0" w:color="auto"/>
        <w:right w:val="none" w:sz="0" w:space="0" w:color="auto"/>
      </w:divBdr>
    </w:div>
    <w:div w:id="1121730995">
      <w:bodyDiv w:val="1"/>
      <w:marLeft w:val="0"/>
      <w:marRight w:val="0"/>
      <w:marTop w:val="0"/>
      <w:marBottom w:val="0"/>
      <w:divBdr>
        <w:top w:val="none" w:sz="0" w:space="0" w:color="auto"/>
        <w:left w:val="none" w:sz="0" w:space="0" w:color="auto"/>
        <w:bottom w:val="none" w:sz="0" w:space="0" w:color="auto"/>
        <w:right w:val="none" w:sz="0" w:space="0" w:color="auto"/>
      </w:divBdr>
    </w:div>
    <w:div w:id="1138259948">
      <w:bodyDiv w:val="1"/>
      <w:marLeft w:val="0"/>
      <w:marRight w:val="0"/>
      <w:marTop w:val="0"/>
      <w:marBottom w:val="0"/>
      <w:divBdr>
        <w:top w:val="none" w:sz="0" w:space="0" w:color="auto"/>
        <w:left w:val="none" w:sz="0" w:space="0" w:color="auto"/>
        <w:bottom w:val="none" w:sz="0" w:space="0" w:color="auto"/>
        <w:right w:val="none" w:sz="0" w:space="0" w:color="auto"/>
      </w:divBdr>
    </w:div>
    <w:div w:id="1145125809">
      <w:bodyDiv w:val="1"/>
      <w:marLeft w:val="0"/>
      <w:marRight w:val="0"/>
      <w:marTop w:val="0"/>
      <w:marBottom w:val="0"/>
      <w:divBdr>
        <w:top w:val="none" w:sz="0" w:space="0" w:color="auto"/>
        <w:left w:val="none" w:sz="0" w:space="0" w:color="auto"/>
        <w:bottom w:val="none" w:sz="0" w:space="0" w:color="auto"/>
        <w:right w:val="none" w:sz="0" w:space="0" w:color="auto"/>
      </w:divBdr>
    </w:div>
    <w:div w:id="1151362748">
      <w:bodyDiv w:val="1"/>
      <w:marLeft w:val="0"/>
      <w:marRight w:val="0"/>
      <w:marTop w:val="0"/>
      <w:marBottom w:val="0"/>
      <w:divBdr>
        <w:top w:val="none" w:sz="0" w:space="0" w:color="auto"/>
        <w:left w:val="none" w:sz="0" w:space="0" w:color="auto"/>
        <w:bottom w:val="none" w:sz="0" w:space="0" w:color="auto"/>
        <w:right w:val="none" w:sz="0" w:space="0" w:color="auto"/>
      </w:divBdr>
    </w:div>
    <w:div w:id="1168902803">
      <w:bodyDiv w:val="1"/>
      <w:marLeft w:val="0"/>
      <w:marRight w:val="0"/>
      <w:marTop w:val="0"/>
      <w:marBottom w:val="0"/>
      <w:divBdr>
        <w:top w:val="none" w:sz="0" w:space="0" w:color="auto"/>
        <w:left w:val="none" w:sz="0" w:space="0" w:color="auto"/>
        <w:bottom w:val="none" w:sz="0" w:space="0" w:color="auto"/>
        <w:right w:val="none" w:sz="0" w:space="0" w:color="auto"/>
      </w:divBdr>
    </w:div>
    <w:div w:id="1190921453">
      <w:bodyDiv w:val="1"/>
      <w:marLeft w:val="0"/>
      <w:marRight w:val="0"/>
      <w:marTop w:val="0"/>
      <w:marBottom w:val="0"/>
      <w:divBdr>
        <w:top w:val="none" w:sz="0" w:space="0" w:color="auto"/>
        <w:left w:val="none" w:sz="0" w:space="0" w:color="auto"/>
        <w:bottom w:val="none" w:sz="0" w:space="0" w:color="auto"/>
        <w:right w:val="none" w:sz="0" w:space="0" w:color="auto"/>
      </w:divBdr>
      <w:divsChild>
        <w:div w:id="1635713843">
          <w:marLeft w:val="0"/>
          <w:marRight w:val="0"/>
          <w:marTop w:val="0"/>
          <w:marBottom w:val="0"/>
          <w:divBdr>
            <w:top w:val="none" w:sz="0" w:space="0" w:color="auto"/>
            <w:left w:val="none" w:sz="0" w:space="0" w:color="auto"/>
            <w:bottom w:val="none" w:sz="0" w:space="0" w:color="auto"/>
            <w:right w:val="none" w:sz="0" w:space="0" w:color="auto"/>
          </w:divBdr>
        </w:div>
      </w:divsChild>
    </w:div>
    <w:div w:id="1199272644">
      <w:bodyDiv w:val="1"/>
      <w:marLeft w:val="0"/>
      <w:marRight w:val="0"/>
      <w:marTop w:val="0"/>
      <w:marBottom w:val="0"/>
      <w:divBdr>
        <w:top w:val="none" w:sz="0" w:space="0" w:color="auto"/>
        <w:left w:val="none" w:sz="0" w:space="0" w:color="auto"/>
        <w:bottom w:val="none" w:sz="0" w:space="0" w:color="auto"/>
        <w:right w:val="none" w:sz="0" w:space="0" w:color="auto"/>
      </w:divBdr>
    </w:div>
    <w:div w:id="1202017168">
      <w:bodyDiv w:val="1"/>
      <w:marLeft w:val="0"/>
      <w:marRight w:val="0"/>
      <w:marTop w:val="0"/>
      <w:marBottom w:val="0"/>
      <w:divBdr>
        <w:top w:val="none" w:sz="0" w:space="0" w:color="auto"/>
        <w:left w:val="none" w:sz="0" w:space="0" w:color="auto"/>
        <w:bottom w:val="none" w:sz="0" w:space="0" w:color="auto"/>
        <w:right w:val="none" w:sz="0" w:space="0" w:color="auto"/>
      </w:divBdr>
    </w:div>
    <w:div w:id="1209075201">
      <w:bodyDiv w:val="1"/>
      <w:marLeft w:val="0"/>
      <w:marRight w:val="0"/>
      <w:marTop w:val="0"/>
      <w:marBottom w:val="0"/>
      <w:divBdr>
        <w:top w:val="none" w:sz="0" w:space="0" w:color="auto"/>
        <w:left w:val="none" w:sz="0" w:space="0" w:color="auto"/>
        <w:bottom w:val="none" w:sz="0" w:space="0" w:color="auto"/>
        <w:right w:val="none" w:sz="0" w:space="0" w:color="auto"/>
      </w:divBdr>
    </w:div>
    <w:div w:id="1209100349">
      <w:bodyDiv w:val="1"/>
      <w:marLeft w:val="0"/>
      <w:marRight w:val="0"/>
      <w:marTop w:val="0"/>
      <w:marBottom w:val="0"/>
      <w:divBdr>
        <w:top w:val="none" w:sz="0" w:space="0" w:color="auto"/>
        <w:left w:val="none" w:sz="0" w:space="0" w:color="auto"/>
        <w:bottom w:val="none" w:sz="0" w:space="0" w:color="auto"/>
        <w:right w:val="none" w:sz="0" w:space="0" w:color="auto"/>
      </w:divBdr>
    </w:div>
    <w:div w:id="1212810340">
      <w:bodyDiv w:val="1"/>
      <w:marLeft w:val="0"/>
      <w:marRight w:val="0"/>
      <w:marTop w:val="0"/>
      <w:marBottom w:val="0"/>
      <w:divBdr>
        <w:top w:val="none" w:sz="0" w:space="0" w:color="auto"/>
        <w:left w:val="none" w:sz="0" w:space="0" w:color="auto"/>
        <w:bottom w:val="none" w:sz="0" w:space="0" w:color="auto"/>
        <w:right w:val="none" w:sz="0" w:space="0" w:color="auto"/>
      </w:divBdr>
    </w:div>
    <w:div w:id="1214389732">
      <w:bodyDiv w:val="1"/>
      <w:marLeft w:val="0"/>
      <w:marRight w:val="0"/>
      <w:marTop w:val="0"/>
      <w:marBottom w:val="0"/>
      <w:divBdr>
        <w:top w:val="none" w:sz="0" w:space="0" w:color="auto"/>
        <w:left w:val="none" w:sz="0" w:space="0" w:color="auto"/>
        <w:bottom w:val="none" w:sz="0" w:space="0" w:color="auto"/>
        <w:right w:val="none" w:sz="0" w:space="0" w:color="auto"/>
      </w:divBdr>
    </w:div>
    <w:div w:id="1216771286">
      <w:bodyDiv w:val="1"/>
      <w:marLeft w:val="0"/>
      <w:marRight w:val="0"/>
      <w:marTop w:val="0"/>
      <w:marBottom w:val="0"/>
      <w:divBdr>
        <w:top w:val="none" w:sz="0" w:space="0" w:color="auto"/>
        <w:left w:val="none" w:sz="0" w:space="0" w:color="auto"/>
        <w:bottom w:val="none" w:sz="0" w:space="0" w:color="auto"/>
        <w:right w:val="none" w:sz="0" w:space="0" w:color="auto"/>
      </w:divBdr>
    </w:div>
    <w:div w:id="1218010197">
      <w:bodyDiv w:val="1"/>
      <w:marLeft w:val="0"/>
      <w:marRight w:val="0"/>
      <w:marTop w:val="0"/>
      <w:marBottom w:val="0"/>
      <w:divBdr>
        <w:top w:val="none" w:sz="0" w:space="0" w:color="auto"/>
        <w:left w:val="none" w:sz="0" w:space="0" w:color="auto"/>
        <w:bottom w:val="none" w:sz="0" w:space="0" w:color="auto"/>
        <w:right w:val="none" w:sz="0" w:space="0" w:color="auto"/>
      </w:divBdr>
    </w:div>
    <w:div w:id="1286082611">
      <w:bodyDiv w:val="1"/>
      <w:marLeft w:val="0"/>
      <w:marRight w:val="0"/>
      <w:marTop w:val="0"/>
      <w:marBottom w:val="0"/>
      <w:divBdr>
        <w:top w:val="none" w:sz="0" w:space="0" w:color="auto"/>
        <w:left w:val="none" w:sz="0" w:space="0" w:color="auto"/>
        <w:bottom w:val="none" w:sz="0" w:space="0" w:color="auto"/>
        <w:right w:val="none" w:sz="0" w:space="0" w:color="auto"/>
      </w:divBdr>
    </w:div>
    <w:div w:id="1288705134">
      <w:bodyDiv w:val="1"/>
      <w:marLeft w:val="0"/>
      <w:marRight w:val="0"/>
      <w:marTop w:val="0"/>
      <w:marBottom w:val="0"/>
      <w:divBdr>
        <w:top w:val="none" w:sz="0" w:space="0" w:color="auto"/>
        <w:left w:val="none" w:sz="0" w:space="0" w:color="auto"/>
        <w:bottom w:val="none" w:sz="0" w:space="0" w:color="auto"/>
        <w:right w:val="none" w:sz="0" w:space="0" w:color="auto"/>
      </w:divBdr>
    </w:div>
    <w:div w:id="1328898243">
      <w:bodyDiv w:val="1"/>
      <w:marLeft w:val="0"/>
      <w:marRight w:val="0"/>
      <w:marTop w:val="0"/>
      <w:marBottom w:val="0"/>
      <w:divBdr>
        <w:top w:val="none" w:sz="0" w:space="0" w:color="auto"/>
        <w:left w:val="none" w:sz="0" w:space="0" w:color="auto"/>
        <w:bottom w:val="none" w:sz="0" w:space="0" w:color="auto"/>
        <w:right w:val="none" w:sz="0" w:space="0" w:color="auto"/>
      </w:divBdr>
    </w:div>
    <w:div w:id="1336497380">
      <w:bodyDiv w:val="1"/>
      <w:marLeft w:val="0"/>
      <w:marRight w:val="0"/>
      <w:marTop w:val="0"/>
      <w:marBottom w:val="0"/>
      <w:divBdr>
        <w:top w:val="none" w:sz="0" w:space="0" w:color="auto"/>
        <w:left w:val="none" w:sz="0" w:space="0" w:color="auto"/>
        <w:bottom w:val="none" w:sz="0" w:space="0" w:color="auto"/>
        <w:right w:val="none" w:sz="0" w:space="0" w:color="auto"/>
      </w:divBdr>
    </w:div>
    <w:div w:id="1338801114">
      <w:bodyDiv w:val="1"/>
      <w:marLeft w:val="0"/>
      <w:marRight w:val="0"/>
      <w:marTop w:val="0"/>
      <w:marBottom w:val="0"/>
      <w:divBdr>
        <w:top w:val="none" w:sz="0" w:space="0" w:color="auto"/>
        <w:left w:val="none" w:sz="0" w:space="0" w:color="auto"/>
        <w:bottom w:val="none" w:sz="0" w:space="0" w:color="auto"/>
        <w:right w:val="none" w:sz="0" w:space="0" w:color="auto"/>
      </w:divBdr>
    </w:div>
    <w:div w:id="1351836380">
      <w:bodyDiv w:val="1"/>
      <w:marLeft w:val="0"/>
      <w:marRight w:val="0"/>
      <w:marTop w:val="0"/>
      <w:marBottom w:val="0"/>
      <w:divBdr>
        <w:top w:val="none" w:sz="0" w:space="0" w:color="auto"/>
        <w:left w:val="none" w:sz="0" w:space="0" w:color="auto"/>
        <w:bottom w:val="none" w:sz="0" w:space="0" w:color="auto"/>
        <w:right w:val="none" w:sz="0" w:space="0" w:color="auto"/>
      </w:divBdr>
    </w:div>
    <w:div w:id="1352337090">
      <w:bodyDiv w:val="1"/>
      <w:marLeft w:val="0"/>
      <w:marRight w:val="0"/>
      <w:marTop w:val="0"/>
      <w:marBottom w:val="0"/>
      <w:divBdr>
        <w:top w:val="none" w:sz="0" w:space="0" w:color="auto"/>
        <w:left w:val="none" w:sz="0" w:space="0" w:color="auto"/>
        <w:bottom w:val="none" w:sz="0" w:space="0" w:color="auto"/>
        <w:right w:val="none" w:sz="0" w:space="0" w:color="auto"/>
      </w:divBdr>
    </w:div>
    <w:div w:id="1353528350">
      <w:bodyDiv w:val="1"/>
      <w:marLeft w:val="0"/>
      <w:marRight w:val="0"/>
      <w:marTop w:val="0"/>
      <w:marBottom w:val="0"/>
      <w:divBdr>
        <w:top w:val="none" w:sz="0" w:space="0" w:color="auto"/>
        <w:left w:val="none" w:sz="0" w:space="0" w:color="auto"/>
        <w:bottom w:val="none" w:sz="0" w:space="0" w:color="auto"/>
        <w:right w:val="none" w:sz="0" w:space="0" w:color="auto"/>
      </w:divBdr>
    </w:div>
    <w:div w:id="1358774872">
      <w:bodyDiv w:val="1"/>
      <w:marLeft w:val="0"/>
      <w:marRight w:val="0"/>
      <w:marTop w:val="0"/>
      <w:marBottom w:val="0"/>
      <w:divBdr>
        <w:top w:val="none" w:sz="0" w:space="0" w:color="auto"/>
        <w:left w:val="none" w:sz="0" w:space="0" w:color="auto"/>
        <w:bottom w:val="none" w:sz="0" w:space="0" w:color="auto"/>
        <w:right w:val="none" w:sz="0" w:space="0" w:color="auto"/>
      </w:divBdr>
      <w:divsChild>
        <w:div w:id="1177772602">
          <w:marLeft w:val="0"/>
          <w:marRight w:val="0"/>
          <w:marTop w:val="0"/>
          <w:marBottom w:val="0"/>
          <w:divBdr>
            <w:top w:val="none" w:sz="0" w:space="0" w:color="auto"/>
            <w:left w:val="none" w:sz="0" w:space="0" w:color="auto"/>
            <w:bottom w:val="none" w:sz="0" w:space="0" w:color="auto"/>
            <w:right w:val="none" w:sz="0" w:space="0" w:color="auto"/>
          </w:divBdr>
          <w:divsChild>
            <w:div w:id="974985396">
              <w:marLeft w:val="0"/>
              <w:marRight w:val="0"/>
              <w:marTop w:val="0"/>
              <w:marBottom w:val="0"/>
              <w:divBdr>
                <w:top w:val="none" w:sz="0" w:space="0" w:color="auto"/>
                <w:left w:val="none" w:sz="0" w:space="0" w:color="auto"/>
                <w:bottom w:val="none" w:sz="0" w:space="0" w:color="auto"/>
                <w:right w:val="none" w:sz="0" w:space="0" w:color="auto"/>
              </w:divBdr>
              <w:divsChild>
                <w:div w:id="1739399382">
                  <w:marLeft w:val="0"/>
                  <w:marRight w:val="0"/>
                  <w:marTop w:val="0"/>
                  <w:marBottom w:val="0"/>
                  <w:divBdr>
                    <w:top w:val="none" w:sz="0" w:space="0" w:color="auto"/>
                    <w:left w:val="none" w:sz="0" w:space="0" w:color="auto"/>
                    <w:bottom w:val="none" w:sz="0" w:space="0" w:color="auto"/>
                    <w:right w:val="none" w:sz="0" w:space="0" w:color="auto"/>
                  </w:divBdr>
                  <w:divsChild>
                    <w:div w:id="272639812">
                      <w:marLeft w:val="0"/>
                      <w:marRight w:val="0"/>
                      <w:marTop w:val="0"/>
                      <w:marBottom w:val="0"/>
                      <w:divBdr>
                        <w:top w:val="none" w:sz="0" w:space="0" w:color="auto"/>
                        <w:left w:val="none" w:sz="0" w:space="0" w:color="auto"/>
                        <w:bottom w:val="none" w:sz="0" w:space="0" w:color="auto"/>
                        <w:right w:val="none" w:sz="0" w:space="0" w:color="auto"/>
                      </w:divBdr>
                      <w:divsChild>
                        <w:div w:id="866873405">
                          <w:marLeft w:val="0"/>
                          <w:marRight w:val="0"/>
                          <w:marTop w:val="0"/>
                          <w:marBottom w:val="0"/>
                          <w:divBdr>
                            <w:top w:val="none" w:sz="0" w:space="0" w:color="auto"/>
                            <w:left w:val="none" w:sz="0" w:space="0" w:color="auto"/>
                            <w:bottom w:val="none" w:sz="0" w:space="0" w:color="auto"/>
                            <w:right w:val="none" w:sz="0" w:space="0" w:color="auto"/>
                          </w:divBdr>
                          <w:divsChild>
                            <w:div w:id="651524463">
                              <w:marLeft w:val="0"/>
                              <w:marRight w:val="0"/>
                              <w:marTop w:val="0"/>
                              <w:marBottom w:val="0"/>
                              <w:divBdr>
                                <w:top w:val="none" w:sz="0" w:space="0" w:color="auto"/>
                                <w:left w:val="none" w:sz="0" w:space="0" w:color="auto"/>
                                <w:bottom w:val="none" w:sz="0" w:space="0" w:color="auto"/>
                                <w:right w:val="none" w:sz="0" w:space="0" w:color="auto"/>
                              </w:divBdr>
                              <w:divsChild>
                                <w:div w:id="12455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078866">
          <w:marLeft w:val="0"/>
          <w:marRight w:val="0"/>
          <w:marTop w:val="0"/>
          <w:marBottom w:val="0"/>
          <w:divBdr>
            <w:top w:val="none" w:sz="0" w:space="0" w:color="auto"/>
            <w:left w:val="none" w:sz="0" w:space="0" w:color="auto"/>
            <w:bottom w:val="none" w:sz="0" w:space="0" w:color="auto"/>
            <w:right w:val="none" w:sz="0" w:space="0" w:color="auto"/>
          </w:divBdr>
          <w:divsChild>
            <w:div w:id="937103109">
              <w:marLeft w:val="0"/>
              <w:marRight w:val="0"/>
              <w:marTop w:val="0"/>
              <w:marBottom w:val="0"/>
              <w:divBdr>
                <w:top w:val="none" w:sz="0" w:space="0" w:color="auto"/>
                <w:left w:val="none" w:sz="0" w:space="0" w:color="auto"/>
                <w:bottom w:val="none" w:sz="0" w:space="0" w:color="auto"/>
                <w:right w:val="none" w:sz="0" w:space="0" w:color="auto"/>
              </w:divBdr>
              <w:divsChild>
                <w:div w:id="1969966484">
                  <w:marLeft w:val="0"/>
                  <w:marRight w:val="0"/>
                  <w:marTop w:val="0"/>
                  <w:marBottom w:val="0"/>
                  <w:divBdr>
                    <w:top w:val="none" w:sz="0" w:space="0" w:color="auto"/>
                    <w:left w:val="none" w:sz="0" w:space="0" w:color="auto"/>
                    <w:bottom w:val="none" w:sz="0" w:space="0" w:color="auto"/>
                    <w:right w:val="none" w:sz="0" w:space="0" w:color="auto"/>
                  </w:divBdr>
                  <w:divsChild>
                    <w:div w:id="2010061729">
                      <w:marLeft w:val="0"/>
                      <w:marRight w:val="0"/>
                      <w:marTop w:val="0"/>
                      <w:marBottom w:val="0"/>
                      <w:divBdr>
                        <w:top w:val="none" w:sz="0" w:space="0" w:color="auto"/>
                        <w:left w:val="none" w:sz="0" w:space="0" w:color="auto"/>
                        <w:bottom w:val="none" w:sz="0" w:space="0" w:color="auto"/>
                        <w:right w:val="none" w:sz="0" w:space="0" w:color="auto"/>
                      </w:divBdr>
                      <w:divsChild>
                        <w:div w:id="2060203895">
                          <w:marLeft w:val="0"/>
                          <w:marRight w:val="0"/>
                          <w:marTop w:val="0"/>
                          <w:marBottom w:val="0"/>
                          <w:divBdr>
                            <w:top w:val="none" w:sz="0" w:space="0" w:color="auto"/>
                            <w:left w:val="none" w:sz="0" w:space="0" w:color="auto"/>
                            <w:bottom w:val="none" w:sz="0" w:space="0" w:color="auto"/>
                            <w:right w:val="none" w:sz="0" w:space="0" w:color="auto"/>
                          </w:divBdr>
                          <w:divsChild>
                            <w:div w:id="20412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8129">
      <w:bodyDiv w:val="1"/>
      <w:marLeft w:val="0"/>
      <w:marRight w:val="0"/>
      <w:marTop w:val="0"/>
      <w:marBottom w:val="0"/>
      <w:divBdr>
        <w:top w:val="none" w:sz="0" w:space="0" w:color="auto"/>
        <w:left w:val="none" w:sz="0" w:space="0" w:color="auto"/>
        <w:bottom w:val="none" w:sz="0" w:space="0" w:color="auto"/>
        <w:right w:val="none" w:sz="0" w:space="0" w:color="auto"/>
      </w:divBdr>
    </w:div>
    <w:div w:id="1371565083">
      <w:bodyDiv w:val="1"/>
      <w:marLeft w:val="0"/>
      <w:marRight w:val="0"/>
      <w:marTop w:val="0"/>
      <w:marBottom w:val="0"/>
      <w:divBdr>
        <w:top w:val="none" w:sz="0" w:space="0" w:color="auto"/>
        <w:left w:val="none" w:sz="0" w:space="0" w:color="auto"/>
        <w:bottom w:val="none" w:sz="0" w:space="0" w:color="auto"/>
        <w:right w:val="none" w:sz="0" w:space="0" w:color="auto"/>
      </w:divBdr>
    </w:div>
    <w:div w:id="1375882601">
      <w:bodyDiv w:val="1"/>
      <w:marLeft w:val="0"/>
      <w:marRight w:val="0"/>
      <w:marTop w:val="0"/>
      <w:marBottom w:val="0"/>
      <w:divBdr>
        <w:top w:val="none" w:sz="0" w:space="0" w:color="auto"/>
        <w:left w:val="none" w:sz="0" w:space="0" w:color="auto"/>
        <w:bottom w:val="none" w:sz="0" w:space="0" w:color="auto"/>
        <w:right w:val="none" w:sz="0" w:space="0" w:color="auto"/>
      </w:divBdr>
    </w:div>
    <w:div w:id="1386946993">
      <w:bodyDiv w:val="1"/>
      <w:marLeft w:val="0"/>
      <w:marRight w:val="0"/>
      <w:marTop w:val="0"/>
      <w:marBottom w:val="0"/>
      <w:divBdr>
        <w:top w:val="none" w:sz="0" w:space="0" w:color="auto"/>
        <w:left w:val="none" w:sz="0" w:space="0" w:color="auto"/>
        <w:bottom w:val="none" w:sz="0" w:space="0" w:color="auto"/>
        <w:right w:val="none" w:sz="0" w:space="0" w:color="auto"/>
      </w:divBdr>
    </w:div>
    <w:div w:id="1400396933">
      <w:bodyDiv w:val="1"/>
      <w:marLeft w:val="0"/>
      <w:marRight w:val="0"/>
      <w:marTop w:val="0"/>
      <w:marBottom w:val="0"/>
      <w:divBdr>
        <w:top w:val="none" w:sz="0" w:space="0" w:color="auto"/>
        <w:left w:val="none" w:sz="0" w:space="0" w:color="auto"/>
        <w:bottom w:val="none" w:sz="0" w:space="0" w:color="auto"/>
        <w:right w:val="none" w:sz="0" w:space="0" w:color="auto"/>
      </w:divBdr>
    </w:div>
    <w:div w:id="1426540345">
      <w:bodyDiv w:val="1"/>
      <w:marLeft w:val="0"/>
      <w:marRight w:val="0"/>
      <w:marTop w:val="0"/>
      <w:marBottom w:val="0"/>
      <w:divBdr>
        <w:top w:val="none" w:sz="0" w:space="0" w:color="auto"/>
        <w:left w:val="none" w:sz="0" w:space="0" w:color="auto"/>
        <w:bottom w:val="none" w:sz="0" w:space="0" w:color="auto"/>
        <w:right w:val="none" w:sz="0" w:space="0" w:color="auto"/>
      </w:divBdr>
    </w:div>
    <w:div w:id="1438526990">
      <w:bodyDiv w:val="1"/>
      <w:marLeft w:val="0"/>
      <w:marRight w:val="0"/>
      <w:marTop w:val="0"/>
      <w:marBottom w:val="0"/>
      <w:divBdr>
        <w:top w:val="none" w:sz="0" w:space="0" w:color="auto"/>
        <w:left w:val="none" w:sz="0" w:space="0" w:color="auto"/>
        <w:bottom w:val="none" w:sz="0" w:space="0" w:color="auto"/>
        <w:right w:val="none" w:sz="0" w:space="0" w:color="auto"/>
      </w:divBdr>
    </w:div>
    <w:div w:id="1448045540">
      <w:bodyDiv w:val="1"/>
      <w:marLeft w:val="0"/>
      <w:marRight w:val="0"/>
      <w:marTop w:val="0"/>
      <w:marBottom w:val="0"/>
      <w:divBdr>
        <w:top w:val="none" w:sz="0" w:space="0" w:color="auto"/>
        <w:left w:val="none" w:sz="0" w:space="0" w:color="auto"/>
        <w:bottom w:val="none" w:sz="0" w:space="0" w:color="auto"/>
        <w:right w:val="none" w:sz="0" w:space="0" w:color="auto"/>
      </w:divBdr>
    </w:div>
    <w:div w:id="1477599945">
      <w:bodyDiv w:val="1"/>
      <w:marLeft w:val="0"/>
      <w:marRight w:val="0"/>
      <w:marTop w:val="0"/>
      <w:marBottom w:val="0"/>
      <w:divBdr>
        <w:top w:val="none" w:sz="0" w:space="0" w:color="auto"/>
        <w:left w:val="none" w:sz="0" w:space="0" w:color="auto"/>
        <w:bottom w:val="none" w:sz="0" w:space="0" w:color="auto"/>
        <w:right w:val="none" w:sz="0" w:space="0" w:color="auto"/>
      </w:divBdr>
    </w:div>
    <w:div w:id="1481582388">
      <w:bodyDiv w:val="1"/>
      <w:marLeft w:val="0"/>
      <w:marRight w:val="0"/>
      <w:marTop w:val="0"/>
      <w:marBottom w:val="0"/>
      <w:divBdr>
        <w:top w:val="none" w:sz="0" w:space="0" w:color="auto"/>
        <w:left w:val="none" w:sz="0" w:space="0" w:color="auto"/>
        <w:bottom w:val="none" w:sz="0" w:space="0" w:color="auto"/>
        <w:right w:val="none" w:sz="0" w:space="0" w:color="auto"/>
      </w:divBdr>
    </w:div>
    <w:div w:id="1481966877">
      <w:bodyDiv w:val="1"/>
      <w:marLeft w:val="0"/>
      <w:marRight w:val="0"/>
      <w:marTop w:val="0"/>
      <w:marBottom w:val="0"/>
      <w:divBdr>
        <w:top w:val="none" w:sz="0" w:space="0" w:color="auto"/>
        <w:left w:val="none" w:sz="0" w:space="0" w:color="auto"/>
        <w:bottom w:val="none" w:sz="0" w:space="0" w:color="auto"/>
        <w:right w:val="none" w:sz="0" w:space="0" w:color="auto"/>
      </w:divBdr>
    </w:div>
    <w:div w:id="1509056333">
      <w:bodyDiv w:val="1"/>
      <w:marLeft w:val="0"/>
      <w:marRight w:val="0"/>
      <w:marTop w:val="0"/>
      <w:marBottom w:val="0"/>
      <w:divBdr>
        <w:top w:val="none" w:sz="0" w:space="0" w:color="auto"/>
        <w:left w:val="none" w:sz="0" w:space="0" w:color="auto"/>
        <w:bottom w:val="none" w:sz="0" w:space="0" w:color="auto"/>
        <w:right w:val="none" w:sz="0" w:space="0" w:color="auto"/>
      </w:divBdr>
      <w:divsChild>
        <w:div w:id="785539176">
          <w:marLeft w:val="0"/>
          <w:marRight w:val="0"/>
          <w:marTop w:val="0"/>
          <w:marBottom w:val="0"/>
          <w:divBdr>
            <w:top w:val="none" w:sz="0" w:space="0" w:color="auto"/>
            <w:left w:val="none" w:sz="0" w:space="0" w:color="auto"/>
            <w:bottom w:val="none" w:sz="0" w:space="0" w:color="auto"/>
            <w:right w:val="none" w:sz="0" w:space="0" w:color="auto"/>
          </w:divBdr>
        </w:div>
        <w:div w:id="255941687">
          <w:marLeft w:val="0"/>
          <w:marRight w:val="0"/>
          <w:marTop w:val="0"/>
          <w:marBottom w:val="0"/>
          <w:divBdr>
            <w:top w:val="none" w:sz="0" w:space="0" w:color="auto"/>
            <w:left w:val="none" w:sz="0" w:space="0" w:color="auto"/>
            <w:bottom w:val="none" w:sz="0" w:space="0" w:color="auto"/>
            <w:right w:val="none" w:sz="0" w:space="0" w:color="auto"/>
          </w:divBdr>
        </w:div>
      </w:divsChild>
    </w:div>
    <w:div w:id="1510870774">
      <w:bodyDiv w:val="1"/>
      <w:marLeft w:val="0"/>
      <w:marRight w:val="0"/>
      <w:marTop w:val="0"/>
      <w:marBottom w:val="0"/>
      <w:divBdr>
        <w:top w:val="none" w:sz="0" w:space="0" w:color="auto"/>
        <w:left w:val="none" w:sz="0" w:space="0" w:color="auto"/>
        <w:bottom w:val="none" w:sz="0" w:space="0" w:color="auto"/>
        <w:right w:val="none" w:sz="0" w:space="0" w:color="auto"/>
      </w:divBdr>
    </w:div>
    <w:div w:id="1521042581">
      <w:bodyDiv w:val="1"/>
      <w:marLeft w:val="0"/>
      <w:marRight w:val="0"/>
      <w:marTop w:val="0"/>
      <w:marBottom w:val="0"/>
      <w:divBdr>
        <w:top w:val="none" w:sz="0" w:space="0" w:color="auto"/>
        <w:left w:val="none" w:sz="0" w:space="0" w:color="auto"/>
        <w:bottom w:val="none" w:sz="0" w:space="0" w:color="auto"/>
        <w:right w:val="none" w:sz="0" w:space="0" w:color="auto"/>
      </w:divBdr>
    </w:div>
    <w:div w:id="1550334636">
      <w:bodyDiv w:val="1"/>
      <w:marLeft w:val="0"/>
      <w:marRight w:val="0"/>
      <w:marTop w:val="0"/>
      <w:marBottom w:val="0"/>
      <w:divBdr>
        <w:top w:val="none" w:sz="0" w:space="0" w:color="auto"/>
        <w:left w:val="none" w:sz="0" w:space="0" w:color="auto"/>
        <w:bottom w:val="none" w:sz="0" w:space="0" w:color="auto"/>
        <w:right w:val="none" w:sz="0" w:space="0" w:color="auto"/>
      </w:divBdr>
    </w:div>
    <w:div w:id="1561671938">
      <w:bodyDiv w:val="1"/>
      <w:marLeft w:val="0"/>
      <w:marRight w:val="0"/>
      <w:marTop w:val="0"/>
      <w:marBottom w:val="0"/>
      <w:divBdr>
        <w:top w:val="none" w:sz="0" w:space="0" w:color="auto"/>
        <w:left w:val="none" w:sz="0" w:space="0" w:color="auto"/>
        <w:bottom w:val="none" w:sz="0" w:space="0" w:color="auto"/>
        <w:right w:val="none" w:sz="0" w:space="0" w:color="auto"/>
      </w:divBdr>
    </w:div>
    <w:div w:id="1620259481">
      <w:bodyDiv w:val="1"/>
      <w:marLeft w:val="0"/>
      <w:marRight w:val="0"/>
      <w:marTop w:val="0"/>
      <w:marBottom w:val="0"/>
      <w:divBdr>
        <w:top w:val="none" w:sz="0" w:space="0" w:color="auto"/>
        <w:left w:val="none" w:sz="0" w:space="0" w:color="auto"/>
        <w:bottom w:val="none" w:sz="0" w:space="0" w:color="auto"/>
        <w:right w:val="none" w:sz="0" w:space="0" w:color="auto"/>
      </w:divBdr>
    </w:div>
    <w:div w:id="1622808837">
      <w:bodyDiv w:val="1"/>
      <w:marLeft w:val="0"/>
      <w:marRight w:val="0"/>
      <w:marTop w:val="0"/>
      <w:marBottom w:val="0"/>
      <w:divBdr>
        <w:top w:val="none" w:sz="0" w:space="0" w:color="auto"/>
        <w:left w:val="none" w:sz="0" w:space="0" w:color="auto"/>
        <w:bottom w:val="none" w:sz="0" w:space="0" w:color="auto"/>
        <w:right w:val="none" w:sz="0" w:space="0" w:color="auto"/>
      </w:divBdr>
    </w:div>
    <w:div w:id="1627466587">
      <w:bodyDiv w:val="1"/>
      <w:marLeft w:val="0"/>
      <w:marRight w:val="0"/>
      <w:marTop w:val="0"/>
      <w:marBottom w:val="0"/>
      <w:divBdr>
        <w:top w:val="none" w:sz="0" w:space="0" w:color="auto"/>
        <w:left w:val="none" w:sz="0" w:space="0" w:color="auto"/>
        <w:bottom w:val="none" w:sz="0" w:space="0" w:color="auto"/>
        <w:right w:val="none" w:sz="0" w:space="0" w:color="auto"/>
      </w:divBdr>
    </w:div>
    <w:div w:id="1634946355">
      <w:bodyDiv w:val="1"/>
      <w:marLeft w:val="0"/>
      <w:marRight w:val="0"/>
      <w:marTop w:val="0"/>
      <w:marBottom w:val="0"/>
      <w:divBdr>
        <w:top w:val="none" w:sz="0" w:space="0" w:color="auto"/>
        <w:left w:val="none" w:sz="0" w:space="0" w:color="auto"/>
        <w:bottom w:val="none" w:sz="0" w:space="0" w:color="auto"/>
        <w:right w:val="none" w:sz="0" w:space="0" w:color="auto"/>
      </w:divBdr>
    </w:div>
    <w:div w:id="1664352533">
      <w:bodyDiv w:val="1"/>
      <w:marLeft w:val="0"/>
      <w:marRight w:val="0"/>
      <w:marTop w:val="0"/>
      <w:marBottom w:val="0"/>
      <w:divBdr>
        <w:top w:val="none" w:sz="0" w:space="0" w:color="auto"/>
        <w:left w:val="none" w:sz="0" w:space="0" w:color="auto"/>
        <w:bottom w:val="none" w:sz="0" w:space="0" w:color="auto"/>
        <w:right w:val="none" w:sz="0" w:space="0" w:color="auto"/>
      </w:divBdr>
    </w:div>
    <w:div w:id="1688674668">
      <w:bodyDiv w:val="1"/>
      <w:marLeft w:val="0"/>
      <w:marRight w:val="0"/>
      <w:marTop w:val="0"/>
      <w:marBottom w:val="0"/>
      <w:divBdr>
        <w:top w:val="none" w:sz="0" w:space="0" w:color="auto"/>
        <w:left w:val="none" w:sz="0" w:space="0" w:color="auto"/>
        <w:bottom w:val="none" w:sz="0" w:space="0" w:color="auto"/>
        <w:right w:val="none" w:sz="0" w:space="0" w:color="auto"/>
      </w:divBdr>
    </w:div>
    <w:div w:id="1698500437">
      <w:bodyDiv w:val="1"/>
      <w:marLeft w:val="0"/>
      <w:marRight w:val="0"/>
      <w:marTop w:val="0"/>
      <w:marBottom w:val="0"/>
      <w:divBdr>
        <w:top w:val="none" w:sz="0" w:space="0" w:color="auto"/>
        <w:left w:val="none" w:sz="0" w:space="0" w:color="auto"/>
        <w:bottom w:val="none" w:sz="0" w:space="0" w:color="auto"/>
        <w:right w:val="none" w:sz="0" w:space="0" w:color="auto"/>
      </w:divBdr>
    </w:div>
    <w:div w:id="1748965185">
      <w:bodyDiv w:val="1"/>
      <w:marLeft w:val="0"/>
      <w:marRight w:val="0"/>
      <w:marTop w:val="0"/>
      <w:marBottom w:val="0"/>
      <w:divBdr>
        <w:top w:val="none" w:sz="0" w:space="0" w:color="auto"/>
        <w:left w:val="none" w:sz="0" w:space="0" w:color="auto"/>
        <w:bottom w:val="none" w:sz="0" w:space="0" w:color="auto"/>
        <w:right w:val="none" w:sz="0" w:space="0" w:color="auto"/>
      </w:divBdr>
    </w:div>
    <w:div w:id="1773361307">
      <w:bodyDiv w:val="1"/>
      <w:marLeft w:val="0"/>
      <w:marRight w:val="0"/>
      <w:marTop w:val="0"/>
      <w:marBottom w:val="0"/>
      <w:divBdr>
        <w:top w:val="none" w:sz="0" w:space="0" w:color="auto"/>
        <w:left w:val="none" w:sz="0" w:space="0" w:color="auto"/>
        <w:bottom w:val="none" w:sz="0" w:space="0" w:color="auto"/>
        <w:right w:val="none" w:sz="0" w:space="0" w:color="auto"/>
      </w:divBdr>
      <w:divsChild>
        <w:div w:id="382408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37800">
      <w:bodyDiv w:val="1"/>
      <w:marLeft w:val="0"/>
      <w:marRight w:val="0"/>
      <w:marTop w:val="0"/>
      <w:marBottom w:val="0"/>
      <w:divBdr>
        <w:top w:val="none" w:sz="0" w:space="0" w:color="auto"/>
        <w:left w:val="none" w:sz="0" w:space="0" w:color="auto"/>
        <w:bottom w:val="none" w:sz="0" w:space="0" w:color="auto"/>
        <w:right w:val="none" w:sz="0" w:space="0" w:color="auto"/>
      </w:divBdr>
    </w:div>
    <w:div w:id="1804345889">
      <w:bodyDiv w:val="1"/>
      <w:marLeft w:val="0"/>
      <w:marRight w:val="0"/>
      <w:marTop w:val="0"/>
      <w:marBottom w:val="0"/>
      <w:divBdr>
        <w:top w:val="none" w:sz="0" w:space="0" w:color="auto"/>
        <w:left w:val="none" w:sz="0" w:space="0" w:color="auto"/>
        <w:bottom w:val="none" w:sz="0" w:space="0" w:color="auto"/>
        <w:right w:val="none" w:sz="0" w:space="0" w:color="auto"/>
      </w:divBdr>
    </w:div>
    <w:div w:id="1813254442">
      <w:bodyDiv w:val="1"/>
      <w:marLeft w:val="0"/>
      <w:marRight w:val="0"/>
      <w:marTop w:val="0"/>
      <w:marBottom w:val="0"/>
      <w:divBdr>
        <w:top w:val="none" w:sz="0" w:space="0" w:color="auto"/>
        <w:left w:val="none" w:sz="0" w:space="0" w:color="auto"/>
        <w:bottom w:val="none" w:sz="0" w:space="0" w:color="auto"/>
        <w:right w:val="none" w:sz="0" w:space="0" w:color="auto"/>
      </w:divBdr>
      <w:divsChild>
        <w:div w:id="1559634542">
          <w:marLeft w:val="0"/>
          <w:marRight w:val="0"/>
          <w:marTop w:val="0"/>
          <w:marBottom w:val="0"/>
          <w:divBdr>
            <w:top w:val="none" w:sz="0" w:space="0" w:color="auto"/>
            <w:left w:val="none" w:sz="0" w:space="0" w:color="auto"/>
            <w:bottom w:val="none" w:sz="0" w:space="0" w:color="auto"/>
            <w:right w:val="none" w:sz="0" w:space="0" w:color="auto"/>
          </w:divBdr>
        </w:div>
      </w:divsChild>
    </w:div>
    <w:div w:id="1872912725">
      <w:bodyDiv w:val="1"/>
      <w:marLeft w:val="0"/>
      <w:marRight w:val="0"/>
      <w:marTop w:val="0"/>
      <w:marBottom w:val="0"/>
      <w:divBdr>
        <w:top w:val="none" w:sz="0" w:space="0" w:color="auto"/>
        <w:left w:val="none" w:sz="0" w:space="0" w:color="auto"/>
        <w:bottom w:val="none" w:sz="0" w:space="0" w:color="auto"/>
        <w:right w:val="none" w:sz="0" w:space="0" w:color="auto"/>
      </w:divBdr>
    </w:div>
    <w:div w:id="1889104764">
      <w:bodyDiv w:val="1"/>
      <w:marLeft w:val="0"/>
      <w:marRight w:val="0"/>
      <w:marTop w:val="0"/>
      <w:marBottom w:val="0"/>
      <w:divBdr>
        <w:top w:val="none" w:sz="0" w:space="0" w:color="auto"/>
        <w:left w:val="none" w:sz="0" w:space="0" w:color="auto"/>
        <w:bottom w:val="none" w:sz="0" w:space="0" w:color="auto"/>
        <w:right w:val="none" w:sz="0" w:space="0" w:color="auto"/>
      </w:divBdr>
    </w:div>
    <w:div w:id="1895240079">
      <w:bodyDiv w:val="1"/>
      <w:marLeft w:val="0"/>
      <w:marRight w:val="0"/>
      <w:marTop w:val="0"/>
      <w:marBottom w:val="0"/>
      <w:divBdr>
        <w:top w:val="none" w:sz="0" w:space="0" w:color="auto"/>
        <w:left w:val="none" w:sz="0" w:space="0" w:color="auto"/>
        <w:bottom w:val="none" w:sz="0" w:space="0" w:color="auto"/>
        <w:right w:val="none" w:sz="0" w:space="0" w:color="auto"/>
      </w:divBdr>
    </w:div>
    <w:div w:id="1896548242">
      <w:bodyDiv w:val="1"/>
      <w:marLeft w:val="0"/>
      <w:marRight w:val="0"/>
      <w:marTop w:val="0"/>
      <w:marBottom w:val="0"/>
      <w:divBdr>
        <w:top w:val="none" w:sz="0" w:space="0" w:color="auto"/>
        <w:left w:val="none" w:sz="0" w:space="0" w:color="auto"/>
        <w:bottom w:val="none" w:sz="0" w:space="0" w:color="auto"/>
        <w:right w:val="none" w:sz="0" w:space="0" w:color="auto"/>
      </w:divBdr>
    </w:div>
    <w:div w:id="1909460540">
      <w:bodyDiv w:val="1"/>
      <w:marLeft w:val="0"/>
      <w:marRight w:val="0"/>
      <w:marTop w:val="0"/>
      <w:marBottom w:val="0"/>
      <w:divBdr>
        <w:top w:val="none" w:sz="0" w:space="0" w:color="auto"/>
        <w:left w:val="none" w:sz="0" w:space="0" w:color="auto"/>
        <w:bottom w:val="none" w:sz="0" w:space="0" w:color="auto"/>
        <w:right w:val="none" w:sz="0" w:space="0" w:color="auto"/>
      </w:divBdr>
    </w:div>
    <w:div w:id="1911496262">
      <w:bodyDiv w:val="1"/>
      <w:marLeft w:val="0"/>
      <w:marRight w:val="0"/>
      <w:marTop w:val="0"/>
      <w:marBottom w:val="0"/>
      <w:divBdr>
        <w:top w:val="none" w:sz="0" w:space="0" w:color="auto"/>
        <w:left w:val="none" w:sz="0" w:space="0" w:color="auto"/>
        <w:bottom w:val="none" w:sz="0" w:space="0" w:color="auto"/>
        <w:right w:val="none" w:sz="0" w:space="0" w:color="auto"/>
      </w:divBdr>
    </w:div>
    <w:div w:id="1931810420">
      <w:bodyDiv w:val="1"/>
      <w:marLeft w:val="0"/>
      <w:marRight w:val="0"/>
      <w:marTop w:val="0"/>
      <w:marBottom w:val="0"/>
      <w:divBdr>
        <w:top w:val="none" w:sz="0" w:space="0" w:color="auto"/>
        <w:left w:val="none" w:sz="0" w:space="0" w:color="auto"/>
        <w:bottom w:val="none" w:sz="0" w:space="0" w:color="auto"/>
        <w:right w:val="none" w:sz="0" w:space="0" w:color="auto"/>
      </w:divBdr>
    </w:div>
    <w:div w:id="1949435332">
      <w:bodyDiv w:val="1"/>
      <w:marLeft w:val="0"/>
      <w:marRight w:val="0"/>
      <w:marTop w:val="0"/>
      <w:marBottom w:val="0"/>
      <w:divBdr>
        <w:top w:val="none" w:sz="0" w:space="0" w:color="auto"/>
        <w:left w:val="none" w:sz="0" w:space="0" w:color="auto"/>
        <w:bottom w:val="none" w:sz="0" w:space="0" w:color="auto"/>
        <w:right w:val="none" w:sz="0" w:space="0" w:color="auto"/>
      </w:divBdr>
    </w:div>
    <w:div w:id="1953239779">
      <w:bodyDiv w:val="1"/>
      <w:marLeft w:val="0"/>
      <w:marRight w:val="0"/>
      <w:marTop w:val="0"/>
      <w:marBottom w:val="0"/>
      <w:divBdr>
        <w:top w:val="none" w:sz="0" w:space="0" w:color="auto"/>
        <w:left w:val="none" w:sz="0" w:space="0" w:color="auto"/>
        <w:bottom w:val="none" w:sz="0" w:space="0" w:color="auto"/>
        <w:right w:val="none" w:sz="0" w:space="0" w:color="auto"/>
      </w:divBdr>
    </w:div>
    <w:div w:id="1958095518">
      <w:bodyDiv w:val="1"/>
      <w:marLeft w:val="0"/>
      <w:marRight w:val="0"/>
      <w:marTop w:val="0"/>
      <w:marBottom w:val="0"/>
      <w:divBdr>
        <w:top w:val="none" w:sz="0" w:space="0" w:color="auto"/>
        <w:left w:val="none" w:sz="0" w:space="0" w:color="auto"/>
        <w:bottom w:val="none" w:sz="0" w:space="0" w:color="auto"/>
        <w:right w:val="none" w:sz="0" w:space="0" w:color="auto"/>
      </w:divBdr>
    </w:div>
    <w:div w:id="1962032381">
      <w:bodyDiv w:val="1"/>
      <w:marLeft w:val="0"/>
      <w:marRight w:val="0"/>
      <w:marTop w:val="0"/>
      <w:marBottom w:val="0"/>
      <w:divBdr>
        <w:top w:val="none" w:sz="0" w:space="0" w:color="auto"/>
        <w:left w:val="none" w:sz="0" w:space="0" w:color="auto"/>
        <w:bottom w:val="none" w:sz="0" w:space="0" w:color="auto"/>
        <w:right w:val="none" w:sz="0" w:space="0" w:color="auto"/>
      </w:divBdr>
    </w:div>
    <w:div w:id="1967659050">
      <w:bodyDiv w:val="1"/>
      <w:marLeft w:val="0"/>
      <w:marRight w:val="0"/>
      <w:marTop w:val="0"/>
      <w:marBottom w:val="0"/>
      <w:divBdr>
        <w:top w:val="none" w:sz="0" w:space="0" w:color="auto"/>
        <w:left w:val="none" w:sz="0" w:space="0" w:color="auto"/>
        <w:bottom w:val="none" w:sz="0" w:space="0" w:color="auto"/>
        <w:right w:val="none" w:sz="0" w:space="0" w:color="auto"/>
      </w:divBdr>
    </w:div>
    <w:div w:id="1977173137">
      <w:bodyDiv w:val="1"/>
      <w:marLeft w:val="0"/>
      <w:marRight w:val="0"/>
      <w:marTop w:val="0"/>
      <w:marBottom w:val="0"/>
      <w:divBdr>
        <w:top w:val="none" w:sz="0" w:space="0" w:color="auto"/>
        <w:left w:val="none" w:sz="0" w:space="0" w:color="auto"/>
        <w:bottom w:val="none" w:sz="0" w:space="0" w:color="auto"/>
        <w:right w:val="none" w:sz="0" w:space="0" w:color="auto"/>
      </w:divBdr>
    </w:div>
    <w:div w:id="1983073969">
      <w:bodyDiv w:val="1"/>
      <w:marLeft w:val="0"/>
      <w:marRight w:val="0"/>
      <w:marTop w:val="0"/>
      <w:marBottom w:val="0"/>
      <w:divBdr>
        <w:top w:val="none" w:sz="0" w:space="0" w:color="auto"/>
        <w:left w:val="none" w:sz="0" w:space="0" w:color="auto"/>
        <w:bottom w:val="none" w:sz="0" w:space="0" w:color="auto"/>
        <w:right w:val="none" w:sz="0" w:space="0" w:color="auto"/>
      </w:divBdr>
    </w:div>
    <w:div w:id="1987201909">
      <w:bodyDiv w:val="1"/>
      <w:marLeft w:val="0"/>
      <w:marRight w:val="0"/>
      <w:marTop w:val="0"/>
      <w:marBottom w:val="0"/>
      <w:divBdr>
        <w:top w:val="none" w:sz="0" w:space="0" w:color="auto"/>
        <w:left w:val="none" w:sz="0" w:space="0" w:color="auto"/>
        <w:bottom w:val="none" w:sz="0" w:space="0" w:color="auto"/>
        <w:right w:val="none" w:sz="0" w:space="0" w:color="auto"/>
      </w:divBdr>
    </w:div>
    <w:div w:id="1995334162">
      <w:bodyDiv w:val="1"/>
      <w:marLeft w:val="0"/>
      <w:marRight w:val="0"/>
      <w:marTop w:val="0"/>
      <w:marBottom w:val="0"/>
      <w:divBdr>
        <w:top w:val="none" w:sz="0" w:space="0" w:color="auto"/>
        <w:left w:val="none" w:sz="0" w:space="0" w:color="auto"/>
        <w:bottom w:val="none" w:sz="0" w:space="0" w:color="auto"/>
        <w:right w:val="none" w:sz="0" w:space="0" w:color="auto"/>
      </w:divBdr>
    </w:div>
    <w:div w:id="2008359456">
      <w:bodyDiv w:val="1"/>
      <w:marLeft w:val="0"/>
      <w:marRight w:val="0"/>
      <w:marTop w:val="0"/>
      <w:marBottom w:val="0"/>
      <w:divBdr>
        <w:top w:val="none" w:sz="0" w:space="0" w:color="auto"/>
        <w:left w:val="none" w:sz="0" w:space="0" w:color="auto"/>
        <w:bottom w:val="none" w:sz="0" w:space="0" w:color="auto"/>
        <w:right w:val="none" w:sz="0" w:space="0" w:color="auto"/>
      </w:divBdr>
    </w:div>
    <w:div w:id="2014381260">
      <w:bodyDiv w:val="1"/>
      <w:marLeft w:val="0"/>
      <w:marRight w:val="0"/>
      <w:marTop w:val="0"/>
      <w:marBottom w:val="0"/>
      <w:divBdr>
        <w:top w:val="none" w:sz="0" w:space="0" w:color="auto"/>
        <w:left w:val="none" w:sz="0" w:space="0" w:color="auto"/>
        <w:bottom w:val="none" w:sz="0" w:space="0" w:color="auto"/>
        <w:right w:val="none" w:sz="0" w:space="0" w:color="auto"/>
      </w:divBdr>
    </w:div>
    <w:div w:id="2015498026">
      <w:bodyDiv w:val="1"/>
      <w:marLeft w:val="0"/>
      <w:marRight w:val="0"/>
      <w:marTop w:val="0"/>
      <w:marBottom w:val="0"/>
      <w:divBdr>
        <w:top w:val="none" w:sz="0" w:space="0" w:color="auto"/>
        <w:left w:val="none" w:sz="0" w:space="0" w:color="auto"/>
        <w:bottom w:val="none" w:sz="0" w:space="0" w:color="auto"/>
        <w:right w:val="none" w:sz="0" w:space="0" w:color="auto"/>
      </w:divBdr>
      <w:divsChild>
        <w:div w:id="792986013">
          <w:marLeft w:val="0"/>
          <w:marRight w:val="0"/>
          <w:marTop w:val="0"/>
          <w:marBottom w:val="0"/>
          <w:divBdr>
            <w:top w:val="none" w:sz="0" w:space="0" w:color="auto"/>
            <w:left w:val="none" w:sz="0" w:space="0" w:color="auto"/>
            <w:bottom w:val="none" w:sz="0" w:space="0" w:color="auto"/>
            <w:right w:val="none" w:sz="0" w:space="0" w:color="auto"/>
          </w:divBdr>
        </w:div>
        <w:div w:id="1898734779">
          <w:marLeft w:val="0"/>
          <w:marRight w:val="0"/>
          <w:marTop w:val="0"/>
          <w:marBottom w:val="0"/>
          <w:divBdr>
            <w:top w:val="none" w:sz="0" w:space="0" w:color="auto"/>
            <w:left w:val="none" w:sz="0" w:space="0" w:color="auto"/>
            <w:bottom w:val="none" w:sz="0" w:space="0" w:color="auto"/>
            <w:right w:val="none" w:sz="0" w:space="0" w:color="auto"/>
          </w:divBdr>
        </w:div>
      </w:divsChild>
    </w:div>
    <w:div w:id="2029595519">
      <w:bodyDiv w:val="1"/>
      <w:marLeft w:val="0"/>
      <w:marRight w:val="0"/>
      <w:marTop w:val="0"/>
      <w:marBottom w:val="0"/>
      <w:divBdr>
        <w:top w:val="none" w:sz="0" w:space="0" w:color="auto"/>
        <w:left w:val="none" w:sz="0" w:space="0" w:color="auto"/>
        <w:bottom w:val="none" w:sz="0" w:space="0" w:color="auto"/>
        <w:right w:val="none" w:sz="0" w:space="0" w:color="auto"/>
      </w:divBdr>
    </w:div>
    <w:div w:id="2057046277">
      <w:bodyDiv w:val="1"/>
      <w:marLeft w:val="0"/>
      <w:marRight w:val="0"/>
      <w:marTop w:val="0"/>
      <w:marBottom w:val="0"/>
      <w:divBdr>
        <w:top w:val="none" w:sz="0" w:space="0" w:color="auto"/>
        <w:left w:val="none" w:sz="0" w:space="0" w:color="auto"/>
        <w:bottom w:val="none" w:sz="0" w:space="0" w:color="auto"/>
        <w:right w:val="none" w:sz="0" w:space="0" w:color="auto"/>
      </w:divBdr>
    </w:div>
    <w:div w:id="2067025651">
      <w:bodyDiv w:val="1"/>
      <w:marLeft w:val="0"/>
      <w:marRight w:val="0"/>
      <w:marTop w:val="0"/>
      <w:marBottom w:val="0"/>
      <w:divBdr>
        <w:top w:val="none" w:sz="0" w:space="0" w:color="auto"/>
        <w:left w:val="none" w:sz="0" w:space="0" w:color="auto"/>
        <w:bottom w:val="none" w:sz="0" w:space="0" w:color="auto"/>
        <w:right w:val="none" w:sz="0" w:space="0" w:color="auto"/>
      </w:divBdr>
    </w:div>
    <w:div w:id="2093351979">
      <w:bodyDiv w:val="1"/>
      <w:marLeft w:val="0"/>
      <w:marRight w:val="0"/>
      <w:marTop w:val="0"/>
      <w:marBottom w:val="0"/>
      <w:divBdr>
        <w:top w:val="none" w:sz="0" w:space="0" w:color="auto"/>
        <w:left w:val="none" w:sz="0" w:space="0" w:color="auto"/>
        <w:bottom w:val="none" w:sz="0" w:space="0" w:color="auto"/>
        <w:right w:val="none" w:sz="0" w:space="0" w:color="auto"/>
      </w:divBdr>
    </w:div>
    <w:div w:id="2107263984">
      <w:bodyDiv w:val="1"/>
      <w:marLeft w:val="0"/>
      <w:marRight w:val="0"/>
      <w:marTop w:val="0"/>
      <w:marBottom w:val="0"/>
      <w:divBdr>
        <w:top w:val="none" w:sz="0" w:space="0" w:color="auto"/>
        <w:left w:val="none" w:sz="0" w:space="0" w:color="auto"/>
        <w:bottom w:val="none" w:sz="0" w:space="0" w:color="auto"/>
        <w:right w:val="none" w:sz="0" w:space="0" w:color="auto"/>
      </w:divBdr>
    </w:div>
    <w:div w:id="213551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2-01-3736" TargetMode="External"/><Relationship Id="rId18" Type="http://schemas.openxmlformats.org/officeDocument/2006/relationships/hyperlink" Target="https://www.uradni-list.si/glasilo-uradni-list-rs/vsebina/2021-01-3695" TargetMode="External"/><Relationship Id="rId3" Type="http://schemas.openxmlformats.org/officeDocument/2006/relationships/customXml" Target="../customXml/item3.xml"/><Relationship Id="rId21" Type="http://schemas.openxmlformats.org/officeDocument/2006/relationships/hyperlink" Target="mailto:mf.unp@gov.si"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uradni-list.si/glasilo-uradni-list-rs/vsebina/2023-01-3596"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3-01-2674"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3-01-2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adni-list.si/glasilo-uradni-list-rs/vsebina/2023-01-11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088" TargetMode="External"/><Relationship Id="rId22" Type="http://schemas.openxmlformats.org/officeDocument/2006/relationships/hyperlink" Target="mailto:gp.mvzi@gov.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5-01-1575" TargetMode="External"/><Relationship Id="rId13" Type="http://schemas.openxmlformats.org/officeDocument/2006/relationships/hyperlink" Target="https://www.uradni-list.si/glasilo-uradni-list-rs/vsebina/2008-01-2761" TargetMode="External"/><Relationship Id="rId18" Type="http://schemas.openxmlformats.org/officeDocument/2006/relationships/hyperlink" Target="https://www.uradni-list.si/glasilo-uradni-list-rs/vsebina/2016-01-1693" TargetMode="External"/><Relationship Id="rId3" Type="http://schemas.openxmlformats.org/officeDocument/2006/relationships/hyperlink" Target="https://www.uradni-list.si/glasilo-uradni-list-rs/vsebina/2025-01-0860" TargetMode="External"/><Relationship Id="rId21" Type="http://schemas.openxmlformats.org/officeDocument/2006/relationships/hyperlink" Target="https://www.uradni-list.si/glasilo-uradni-list-rs/vsebina/2017-01-1924" TargetMode="External"/><Relationship Id="rId7" Type="http://schemas.openxmlformats.org/officeDocument/2006/relationships/hyperlink" Target="https://www.uradni-list.si/glasilo-uradni-list-rs/vsebina/2024-01-3202" TargetMode="External"/><Relationship Id="rId12" Type="http://schemas.openxmlformats.org/officeDocument/2006/relationships/hyperlink" Target="https://www.uradni-list.si/glasilo-uradni-list-rs/vsebina/2024-01-3332" TargetMode="External"/><Relationship Id="rId17" Type="http://schemas.openxmlformats.org/officeDocument/2006/relationships/hyperlink" Target="https://www.uradni-list.si/glasilo-uradni-list-rs/vsebina/2013-01-0358" TargetMode="External"/><Relationship Id="rId2" Type="http://schemas.openxmlformats.org/officeDocument/2006/relationships/hyperlink" Target="https://www.uradni-list.si/glasilo-uradni-list-rs/vsebina/2023-01-2386" TargetMode="External"/><Relationship Id="rId16" Type="http://schemas.openxmlformats.org/officeDocument/2006/relationships/hyperlink" Target="https://www.uradni-list.si/glasilo-uradni-list-rs/vsebina/2012-01-2590" TargetMode="External"/><Relationship Id="rId20" Type="http://schemas.openxmlformats.org/officeDocument/2006/relationships/hyperlink" Target="https://www.uradni-list.si/glasilo-uradni-list-rs/vsebina/2025-01-2265" TargetMode="External"/><Relationship Id="rId1" Type="http://schemas.openxmlformats.org/officeDocument/2006/relationships/hyperlink" Target="https://www.uradni-list.si/glasilo-uradni-list-rs/vsebina/2023-01-0348" TargetMode="External"/><Relationship Id="rId6" Type="http://schemas.openxmlformats.org/officeDocument/2006/relationships/hyperlink" Target="https://www.uradni-list.si/glasilo-uradni-list-rs/vsebina/2023-01-1129" TargetMode="External"/><Relationship Id="rId11" Type="http://schemas.openxmlformats.org/officeDocument/2006/relationships/hyperlink" Target="https://www.uradni-list.si/glasilo-uradni-list-rs/vsebina/2023-01-3762" TargetMode="External"/><Relationship Id="rId24" Type="http://schemas.openxmlformats.org/officeDocument/2006/relationships/hyperlink" Target="https://www.uradni-list.si/glasilo-uradni-list-rs/vsebina/2023-01-1851" TargetMode="External"/><Relationship Id="rId5" Type="http://schemas.openxmlformats.org/officeDocument/2006/relationships/hyperlink" Target="https://www.uradni-list.si/glasilo-uradni-list-rs/vsebina/2021-01-3695" TargetMode="External"/><Relationship Id="rId15" Type="http://schemas.openxmlformats.org/officeDocument/2006/relationships/hyperlink" Target="https://www.uradni-list.si/glasilo-uradni-list-rs/vsebina/2011-01-0271" TargetMode="External"/><Relationship Id="rId23" Type="http://schemas.openxmlformats.org/officeDocument/2006/relationships/hyperlink" Target="https://www.uradni-list.si/glasilo-uradni-list-rs/vsebina/2022-01-1536" TargetMode="External"/><Relationship Id="rId10" Type="http://schemas.openxmlformats.org/officeDocument/2006/relationships/hyperlink" Target="https://www.uradni-list.si/glasilo-uradni-list-rs/vsebina/2024-01-2764" TargetMode="External"/><Relationship Id="rId19" Type="http://schemas.openxmlformats.org/officeDocument/2006/relationships/hyperlink" Target="https://www.uradni-list.si/glasilo-uradni-list-rs/vsebina/2017-01-1924" TargetMode="External"/><Relationship Id="rId4" Type="http://schemas.openxmlformats.org/officeDocument/2006/relationships/hyperlink" Target="https://www.uradni-list.si/glasilo-uradni-list-rs/vsebina/2025-01-1479" TargetMode="External"/><Relationship Id="rId9" Type="http://schemas.openxmlformats.org/officeDocument/2006/relationships/hyperlink" Target="https://www.uradni-list.si/glasilo-uradni-list-rs/vsebina/2022-01-4279" TargetMode="External"/><Relationship Id="rId14" Type="http://schemas.openxmlformats.org/officeDocument/2006/relationships/hyperlink" Target="https://www.uradni-list.si/glasilo-uradni-list-rs/vsebina/2022-01-0984" TargetMode="External"/><Relationship Id="rId22" Type="http://schemas.openxmlformats.org/officeDocument/2006/relationships/hyperlink" Target="https://www.uradni-list.si/glasilo-uradni-list-rs/vsebina/2019-01-103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customXml/itemProps2.xml><?xml version="1.0" encoding="utf-8"?>
<ds:datastoreItem xmlns:ds="http://schemas.openxmlformats.org/officeDocument/2006/customXml" ds:itemID="{A1B6467A-1F0B-48CA-B8D8-36A3080AFD0B}"/>
</file>

<file path=customXml/itemProps3.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4.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MF UNP_slo dopis 2024 (2)</Template>
  <TotalTime>0</TotalTime>
  <Pages>27</Pages>
  <Words>13054</Words>
  <Characters>74412</Characters>
  <Application>Microsoft Office Word</Application>
  <DocSecurity>0</DocSecurity>
  <Lines>620</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2025-12-16T09:58:00Z</dcterms:created>
  <dcterms:modified xsi:type="dcterms:W3CDTF">2025-12-16T11:06:00Z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