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3A083D4A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8E3691">
        <w:rPr>
          <w:sz w:val="22"/>
          <w:szCs w:val="22"/>
        </w:rPr>
        <w:t xml:space="preserve">Koper – Postojna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 w:rsidR="008E3691">
        <w:rPr>
          <w:sz w:val="22"/>
          <w:szCs w:val="22"/>
        </w:rPr>
        <w:t>37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14018D51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E946F3" w:rsidRPr="00E946F3">
        <w:t>19</w:t>
      </w:r>
      <w:r w:rsidR="00606730" w:rsidRPr="00E946F3">
        <w:t>/</w:t>
      </w:r>
      <w:r w:rsidRPr="00E946F3">
        <w:t>202</w:t>
      </w:r>
      <w:r w:rsidR="00A072BD" w:rsidRPr="00E946F3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9100D1">
              <w:rPr>
                <w:rFonts w:eastAsia="Batang" w:cs="Arial"/>
                <w:lang w:eastAsia="ko-KR"/>
              </w:rPr>
            </w:r>
            <w:r w:rsidR="009100D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49630884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8E3691">
        <w:rPr>
          <w:rFonts w:eastAsia="Calibri" w:cs="Arial"/>
          <w:b/>
        </w:rPr>
        <w:t>Koper- Postojna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8E3691">
        <w:rPr>
          <w:rFonts w:eastAsia="Calibri" w:cs="Arial"/>
          <w:b/>
        </w:rPr>
        <w:t>37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77777777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379E13EE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>v obrazcu »Prijava za delovno mesto inšpektor v Tržnem inšpektoratu RS, v Območni enoti Koper- Postojna (št. DM 137)«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77777777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EA46D9F4-EA72-427B-A830-3BA48D556532}"/>
    <w:embedBold r:id="rId2" w:fontKey="{CBB19AEB-94FB-42C0-AEF9-344554C4927F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526246"/>
    <w:rsid w:val="00533FE4"/>
    <w:rsid w:val="00540C9A"/>
    <w:rsid w:val="005512E7"/>
    <w:rsid w:val="00560EBD"/>
    <w:rsid w:val="00567106"/>
    <w:rsid w:val="0058783C"/>
    <w:rsid w:val="005A1361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0D1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A4E22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735</Words>
  <Characters>5684</Characters>
  <Application>Microsoft Office Word</Application>
  <DocSecurity>4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2010-07-05T09:38:00Z</cp:lastPrinted>
  <dcterms:created xsi:type="dcterms:W3CDTF">2023-10-17T12:26:00Z</dcterms:created>
  <dcterms:modified xsi:type="dcterms:W3CDTF">2023-10-17T12:26:00Z</dcterms:modified>
</cp:coreProperties>
</file>