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bookmarkStart w:id="0" w:name="_GoBack"/>
      <w:bookmarkEnd w:id="0"/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Štev.: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Datum: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>(izpolni MIRS)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4B23B5">
        <w:rPr>
          <w:rFonts w:cs="Arial"/>
          <w:sz w:val="22"/>
          <w:szCs w:val="22"/>
          <w:lang w:val="sl-SI"/>
        </w:rPr>
        <w:t xml:space="preserve">, </w:t>
      </w:r>
      <w:r w:rsidRPr="00B00D35">
        <w:rPr>
          <w:rFonts w:cs="Arial"/>
          <w:sz w:val="22"/>
          <w:szCs w:val="22"/>
          <w:lang w:val="sl-SI"/>
        </w:rPr>
        <w:t>64/08</w:t>
      </w:r>
      <w:r w:rsidR="004B23B5">
        <w:rPr>
          <w:rFonts w:cs="Arial"/>
          <w:sz w:val="22"/>
          <w:szCs w:val="22"/>
          <w:lang w:val="sl-SI"/>
        </w:rPr>
        <w:t xml:space="preserve"> in 27/17</w:t>
      </w:r>
      <w:r w:rsidRPr="00B00D35">
        <w:rPr>
          <w:rFonts w:cs="Arial"/>
          <w:sz w:val="22"/>
          <w:szCs w:val="22"/>
          <w:lang w:val="sl-SI"/>
        </w:rPr>
        <w:t xml:space="preserve">) </w:t>
      </w: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VLOŽNIK (firma in sedež): </w:t>
      </w: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davčna številka: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telefon, faks: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7974FE" w:rsidRPr="00B00D35" w:rsidRDefault="00A962A4" w:rsidP="007974FE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974FE" w:rsidRPr="00B00D35">
        <w:rPr>
          <w:rFonts w:cs="Arial"/>
          <w:sz w:val="22"/>
          <w:szCs w:val="22"/>
          <w:lang w:val="sl-SI"/>
        </w:rPr>
        <w:t xml:space="preserve">e-naslov: </w:t>
      </w:r>
      <w:r w:rsidR="007974FE"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253A62" w:rsidRPr="00B00D35" w:rsidRDefault="00253A62" w:rsidP="007974FE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A962A4" w:rsidP="007974FE">
      <w:pPr>
        <w:ind w:left="-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3610C" w:rsidRPr="00B00D35">
        <w:rPr>
          <w:rFonts w:cs="Arial"/>
          <w:sz w:val="22"/>
          <w:szCs w:val="22"/>
          <w:lang w:val="sl-SI"/>
        </w:rPr>
        <w:t>podaja</w:t>
      </w:r>
    </w:p>
    <w:p w:rsidR="00CF129F" w:rsidRPr="00B00D35" w:rsidRDefault="00CF129F" w:rsidP="0002025A">
      <w:pPr>
        <w:pStyle w:val="Naslov1"/>
        <w:rPr>
          <w:rFonts w:cs="Arial"/>
          <w:sz w:val="22"/>
          <w:szCs w:val="22"/>
        </w:rPr>
      </w:pPr>
    </w:p>
    <w:p w:rsidR="0073610C" w:rsidRPr="00B00D35" w:rsidRDefault="0073610C" w:rsidP="0002025A">
      <w:pPr>
        <w:pStyle w:val="Naslov1"/>
        <w:rPr>
          <w:rFonts w:cs="Arial"/>
          <w:sz w:val="22"/>
          <w:szCs w:val="22"/>
        </w:rPr>
      </w:pPr>
      <w:r w:rsidRPr="00B00D35">
        <w:rPr>
          <w:rFonts w:cs="Arial"/>
          <w:sz w:val="22"/>
          <w:szCs w:val="22"/>
        </w:rPr>
        <w:t>ZAHTEVO ZA IMENOVANJE</w:t>
      </w:r>
    </w:p>
    <w:p w:rsidR="00CF129F" w:rsidRPr="00B00D35" w:rsidRDefault="00CF129F" w:rsidP="00CF129F">
      <w:pPr>
        <w:rPr>
          <w:rFonts w:cs="Arial"/>
          <w:sz w:val="22"/>
          <w:szCs w:val="22"/>
          <w:lang w:val="sl-SI" w:eastAsia="sl-SI"/>
        </w:rPr>
      </w:pPr>
    </w:p>
    <w:p w:rsidR="00253A62" w:rsidRPr="00B00D35" w:rsidRDefault="00253A62" w:rsidP="00253A62">
      <w:pPr>
        <w:rPr>
          <w:rFonts w:cs="Arial"/>
          <w:sz w:val="22"/>
          <w:szCs w:val="22"/>
          <w:lang w:val="sl-SI" w:eastAsia="sl-SI"/>
        </w:rPr>
      </w:pP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za izvajanje</w:t>
      </w:r>
      <w:r w:rsidR="007974FE" w:rsidRPr="00B00D35">
        <w:rPr>
          <w:rFonts w:cs="Arial"/>
          <w:sz w:val="22"/>
          <w:szCs w:val="22"/>
          <w:lang w:val="sl-SI"/>
        </w:rPr>
        <w:t xml:space="preserve"> (</w:t>
      </w:r>
      <w:r w:rsidR="007974FE" w:rsidRPr="00B00D35">
        <w:rPr>
          <w:rFonts w:cs="Arial"/>
          <w:i/>
          <w:sz w:val="22"/>
          <w:szCs w:val="22"/>
          <w:lang w:val="sl-SI"/>
        </w:rPr>
        <w:t>ustrezno označiti</w:t>
      </w:r>
      <w:r w:rsidR="007974FE" w:rsidRPr="00B00D35">
        <w:rPr>
          <w:rFonts w:cs="Arial"/>
          <w:sz w:val="22"/>
          <w:szCs w:val="22"/>
          <w:lang w:val="sl-SI"/>
        </w:rPr>
        <w:t>)</w:t>
      </w:r>
      <w:r w:rsidRPr="00B00D35">
        <w:rPr>
          <w:rFonts w:cs="Arial"/>
          <w:sz w:val="22"/>
          <w:szCs w:val="22"/>
          <w:lang w:val="sl-SI"/>
        </w:rPr>
        <w:t>:</w:t>
      </w:r>
    </w:p>
    <w:p w:rsidR="000969EA" w:rsidRPr="00B00D35" w:rsidRDefault="000969EA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prvih overitev </w:t>
      </w:r>
    </w:p>
    <w:p w:rsidR="005E0E63" w:rsidRPr="00B00D35" w:rsidRDefault="005E0E63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EEC prvih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rednih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izrednih overitev </w:t>
      </w:r>
    </w:p>
    <w:p w:rsidR="0073610C" w:rsidRPr="00B00D35" w:rsidRDefault="0073610C" w:rsidP="000969EA">
      <w:pPr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1. Obseg, za katerega se imenovanje zahteva (vrste meril, obseg merjene veličine, razred</w:t>
      </w:r>
      <w:r w:rsidR="00E67F22">
        <w:rPr>
          <w:rFonts w:cs="Arial"/>
          <w:sz w:val="22"/>
          <w:szCs w:val="22"/>
          <w:lang w:val="sl-SI"/>
        </w:rPr>
        <w:t xml:space="preserve"> </w:t>
      </w:r>
      <w:r w:rsidRPr="00B00D35">
        <w:rPr>
          <w:rFonts w:cs="Arial"/>
          <w:sz w:val="22"/>
          <w:szCs w:val="22"/>
          <w:lang w:val="sl-SI"/>
        </w:rPr>
        <w:t>točnosti):</w:t>
      </w:r>
    </w:p>
    <w:p w:rsidR="0073610C" w:rsidRPr="00B00D35" w:rsidRDefault="0002025A" w:rsidP="0073610C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974FE" w:rsidRPr="00B00D35" w:rsidRDefault="007974FE" w:rsidP="007974FE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ind w:left="-10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2. Predpis, ki določa meroslovne zahteve za merila, za katera se imenovanje zahteva: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974FE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b/>
          <w:sz w:val="22"/>
          <w:szCs w:val="22"/>
          <w:lang w:val="sl-SI"/>
        </w:rPr>
      </w:pPr>
      <w:r w:rsidRPr="00B00D35">
        <w:rPr>
          <w:rFonts w:cs="Arial"/>
          <w:b/>
          <w:sz w:val="22"/>
          <w:szCs w:val="22"/>
          <w:lang w:val="sl-SI"/>
        </w:rPr>
        <w:br w:type="page"/>
      </w:r>
      <w:r w:rsidRPr="00B00D35">
        <w:rPr>
          <w:rFonts w:cs="Arial"/>
          <w:b/>
          <w:sz w:val="22"/>
          <w:szCs w:val="22"/>
          <w:lang w:val="sl-SI"/>
        </w:rPr>
        <w:lastRenderedPageBreak/>
        <w:t>PRILOGE (</w:t>
      </w:r>
      <w:r w:rsidRPr="00B00D35">
        <w:rPr>
          <w:rFonts w:cs="Arial"/>
          <w:b/>
          <w:i/>
          <w:sz w:val="22"/>
          <w:szCs w:val="22"/>
          <w:lang w:val="sl-SI"/>
        </w:rPr>
        <w:t>ustrezno označiti</w:t>
      </w:r>
      <w:r w:rsidRPr="00B00D35">
        <w:rPr>
          <w:rFonts w:cs="Arial"/>
          <w:b/>
          <w:sz w:val="22"/>
          <w:szCs w:val="22"/>
          <w:lang w:val="sl-SI"/>
        </w:rPr>
        <w:t>):</w:t>
      </w:r>
    </w:p>
    <w:p w:rsidR="005E0E63" w:rsidRPr="00B00D35" w:rsidRDefault="005E0E63" w:rsidP="007974FE">
      <w:pPr>
        <w:ind w:left="-1000"/>
        <w:rPr>
          <w:rFonts w:cs="Arial"/>
          <w:b/>
          <w:sz w:val="22"/>
          <w:szCs w:val="22"/>
          <w:lang w:val="sl-SI"/>
        </w:rPr>
      </w:pPr>
    </w:p>
    <w:p w:rsidR="005E0E63" w:rsidRPr="00B00D35" w:rsidRDefault="005E0E63" w:rsidP="005E0E63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</w:t>
      </w:r>
      <w:r w:rsidR="000969EA" w:rsidRPr="00B00D35">
        <w:rPr>
          <w:rFonts w:ascii="Arial" w:hAnsi="Arial" w:cs="Arial"/>
          <w:sz w:val="22"/>
          <w:szCs w:val="22"/>
        </w:rPr>
        <w:t>)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5E0E63" w:rsidRPr="00B00D35">
        <w:rPr>
          <w:rFonts w:cs="Arial"/>
          <w:sz w:val="22"/>
          <w:szCs w:val="22"/>
          <w:lang w:val="sl-SI"/>
        </w:rPr>
        <w:t xml:space="preserve">okumentacijo prilagamo </w:t>
      </w:r>
    </w:p>
    <w:p w:rsidR="005E0E63" w:rsidRPr="00B00D35" w:rsidRDefault="005E0E63" w:rsidP="005E0E63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5E0E63" w:rsidRPr="00B00D35" w:rsidRDefault="005E0E63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5E0E63" w:rsidRPr="00B00D35" w:rsidRDefault="000969EA" w:rsidP="00CD555E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p</w:t>
      </w:r>
      <w:r w:rsidR="006B247D" w:rsidRPr="00B00D35">
        <w:rPr>
          <w:rFonts w:cs="Arial"/>
          <w:sz w:val="22"/>
          <w:szCs w:val="22"/>
          <w:lang w:val="sl-SI"/>
        </w:rPr>
        <w:t>rilo</w:t>
      </w:r>
      <w:r w:rsidR="005E0E63" w:rsidRPr="00B00D35">
        <w:rPr>
          <w:rFonts w:cs="Arial"/>
          <w:sz w:val="22"/>
          <w:szCs w:val="22"/>
          <w:lang w:val="sl-SI"/>
        </w:rPr>
        <w:t xml:space="preserve">ga k akreditacijski listini se nahaja na spletnih straneh SA 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l</w:t>
      </w:r>
      <w:r w:rsidR="00CD555E" w:rsidRPr="00B00D35">
        <w:rPr>
          <w:rFonts w:cs="Arial"/>
          <w:sz w:val="22"/>
          <w:szCs w:val="22"/>
          <w:lang w:val="sl-SI"/>
        </w:rPr>
        <w:t xml:space="preserve">istino s prilogo prilagamo </w:t>
      </w:r>
    </w:p>
    <w:p w:rsidR="000969EA" w:rsidRPr="00B00D35" w:rsidRDefault="000969EA" w:rsidP="000969E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Seznam mor</w:t>
      </w:r>
      <w:r w:rsidR="000969EA" w:rsidRPr="00B00D35">
        <w:rPr>
          <w:rFonts w:ascii="Arial" w:hAnsi="Arial" w:cs="Arial"/>
          <w:sz w:val="22"/>
          <w:szCs w:val="22"/>
        </w:rPr>
        <w:t>e</w:t>
      </w:r>
      <w:r w:rsidRPr="00B00D35">
        <w:rPr>
          <w:rFonts w:ascii="Arial" w:hAnsi="Arial" w:cs="Arial"/>
          <w:sz w:val="22"/>
          <w:szCs w:val="22"/>
        </w:rPr>
        <w:t>bitnih podpogodbenikov in dokazil o njihovi usposobljenosti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</w:t>
      </w:r>
      <w:r w:rsidR="006B247D" w:rsidRPr="00B00D35">
        <w:rPr>
          <w:rFonts w:cs="Arial"/>
          <w:sz w:val="22"/>
          <w:szCs w:val="22"/>
          <w:lang w:val="sl-SI"/>
        </w:rPr>
        <w:t xml:space="preserve">rganizacija pri svojem delu ne sodeluje s podpogodbeniki 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</w:t>
      </w:r>
      <w:r w:rsidR="006B247D" w:rsidRPr="00B00D35">
        <w:rPr>
          <w:rFonts w:cs="Arial"/>
          <w:sz w:val="22"/>
          <w:szCs w:val="22"/>
          <w:lang w:val="sl-SI"/>
        </w:rPr>
        <w:t>eznam in dokazila prilagamo</w:t>
      </w:r>
    </w:p>
    <w:p w:rsidR="006B247D" w:rsidRPr="00B00D35" w:rsidRDefault="006B247D" w:rsidP="006B247D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ni relevantno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spisek organizacij z opisom njihove dejavnosti ter seznamom njihovega osebja in opreme.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6B247D" w:rsidRPr="00B00D35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or</w:t>
      </w:r>
      <w:r w:rsidR="006B247D" w:rsidRPr="00B00D35">
        <w:rPr>
          <w:rFonts w:cs="Arial"/>
          <w:sz w:val="22"/>
          <w:szCs w:val="22"/>
          <w:lang w:val="sl-SI"/>
        </w:rPr>
        <w:t>ganigram organizacije, iz katere so razvidna pooblastila za načrtovanje, proizvodnjo, dobavo montažo, uporabo ali v</w:t>
      </w:r>
      <w:r w:rsidRPr="00B00D35">
        <w:rPr>
          <w:rFonts w:cs="Arial"/>
          <w:sz w:val="22"/>
          <w:szCs w:val="22"/>
          <w:lang w:val="sl-SI"/>
        </w:rPr>
        <w:t>z</w:t>
      </w:r>
      <w:r w:rsidR="006B247D" w:rsidRPr="00B00D35">
        <w:rPr>
          <w:rFonts w:cs="Arial"/>
          <w:sz w:val="22"/>
          <w:szCs w:val="22"/>
          <w:lang w:val="sl-SI"/>
        </w:rPr>
        <w:t>drževanje meril</w:t>
      </w:r>
    </w:p>
    <w:p w:rsidR="007974FE" w:rsidRPr="00B00D35" w:rsidRDefault="007974FE" w:rsidP="007974F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7974FE" w:rsidRPr="00B00D35" w:rsidRDefault="00CF129F" w:rsidP="007974FE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I</w:t>
      </w:r>
      <w:r w:rsidR="007974FE" w:rsidRPr="00B00D35">
        <w:rPr>
          <w:rFonts w:ascii="Arial" w:hAnsi="Arial" w:cs="Arial"/>
          <w:sz w:val="22"/>
          <w:szCs w:val="22"/>
        </w:rPr>
        <w:t>zjav</w:t>
      </w:r>
      <w:r w:rsidRPr="00B00D35">
        <w:rPr>
          <w:rFonts w:ascii="Arial" w:hAnsi="Arial" w:cs="Arial"/>
          <w:sz w:val="22"/>
          <w:szCs w:val="22"/>
        </w:rPr>
        <w:t>lj</w:t>
      </w:r>
      <w:r w:rsidR="007974FE" w:rsidRPr="00B00D35">
        <w:rPr>
          <w:rFonts w:ascii="Arial" w:hAnsi="Arial" w:cs="Arial"/>
          <w:sz w:val="22"/>
          <w:szCs w:val="22"/>
        </w:rPr>
        <w:t>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>, da v obsegu svoje akreditirane meroslovne dejavnosti izdaja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 xml:space="preserve"> samo akreditirana poročila o opravljenih meritvah</w:t>
      </w: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0969EA" w:rsidRPr="00B00D35" w:rsidRDefault="009030FA" w:rsidP="007974FE">
      <w:pPr>
        <w:ind w:left="-1000"/>
        <w:rPr>
          <w:rFonts w:cs="Arial"/>
          <w:sz w:val="22"/>
          <w:szCs w:val="22"/>
          <w:lang w:val="sl-SI"/>
        </w:rPr>
      </w:pPr>
      <w:r w:rsidRPr="009030FA">
        <w:rPr>
          <w:rFonts w:cs="Arial"/>
          <w:sz w:val="22"/>
          <w:szCs w:val="22"/>
          <w:lang w:val="sl-SI"/>
        </w:rPr>
        <w:t>Za plačilo takse za to vlogo in takse za odločbo po tar. št. 1 in 3 Zakona o upravnih taksah bo izdan poseben račun</w:t>
      </w:r>
      <w:r w:rsidR="00A35A1D" w:rsidRPr="00B00D35">
        <w:rPr>
          <w:rFonts w:cs="Arial"/>
          <w:sz w:val="22"/>
          <w:szCs w:val="22"/>
          <w:lang w:val="sl-SI"/>
        </w:rPr>
        <w:t>.</w:t>
      </w: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D75CF" w:rsidRPr="00B00D35" w:rsidRDefault="007D75CF" w:rsidP="00D228F1">
      <w:pPr>
        <w:rPr>
          <w:rFonts w:cs="Arial"/>
          <w:sz w:val="22"/>
          <w:szCs w:val="22"/>
          <w:lang w:val="sl-SI"/>
        </w:rPr>
      </w:pPr>
    </w:p>
    <w:sectPr w:rsidR="007D75CF" w:rsidRPr="00B00D35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6E" w:rsidRDefault="00471F6E">
      <w:r>
        <w:separator/>
      </w:r>
    </w:p>
  </w:endnote>
  <w:endnote w:type="continuationSeparator" w:id="0">
    <w:p w:rsidR="00471F6E" w:rsidRDefault="0047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1C" w:rsidRPr="00C347CF" w:rsidRDefault="00322424" w:rsidP="005B371C">
    <w:pPr>
      <w:pStyle w:val="Noga"/>
      <w:rPr>
        <w:lang w:val="sl-SI"/>
      </w:rPr>
    </w:pPr>
    <w:r>
      <w:rPr>
        <w:lang w:val="sl-SI"/>
      </w:rPr>
      <w:tab/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PAGE </w:instrText>
    </w:r>
    <w:r w:rsidR="005B371C">
      <w:rPr>
        <w:rStyle w:val="tevilkastrani"/>
      </w:rPr>
      <w:fldChar w:fldCharType="separate"/>
    </w:r>
    <w:r w:rsidR="000B0217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>/</w:t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NUMPAGES </w:instrText>
    </w:r>
    <w:r w:rsidR="005B371C">
      <w:rPr>
        <w:rStyle w:val="tevilkastrani"/>
      </w:rPr>
      <w:fldChar w:fldCharType="separate"/>
    </w:r>
    <w:r w:rsidR="009030FA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ab/>
    </w:r>
    <w:r w:rsidR="005B371C" w:rsidRPr="0051672D">
      <w:rPr>
        <w:rFonts w:ascii="Arial Narrow" w:hAnsi="Arial Narrow"/>
        <w:sz w:val="16"/>
        <w:szCs w:val="16"/>
        <w:lang w:val="sl-SI"/>
      </w:rPr>
      <w:t>OB-</w:t>
    </w:r>
    <w:r w:rsidR="005B371C">
      <w:rPr>
        <w:rFonts w:ascii="Arial Narrow" w:hAnsi="Arial Narrow"/>
        <w:sz w:val="16"/>
        <w:szCs w:val="16"/>
        <w:lang w:val="sl-SI"/>
      </w:rPr>
      <w:t>IO 4.4-01 v0</w:t>
    </w:r>
    <w:r w:rsidR="009030FA">
      <w:rPr>
        <w:rFonts w:ascii="Arial Narrow" w:hAnsi="Arial Narrow"/>
        <w:sz w:val="16"/>
        <w:szCs w:val="16"/>
        <w:lang w:val="sl-SI"/>
      </w:rPr>
      <w:t>9</w:t>
    </w:r>
  </w:p>
  <w:p w:rsidR="00322424" w:rsidRPr="00322424" w:rsidRDefault="00322424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CF" w:rsidRPr="00C347CF" w:rsidRDefault="00C347CF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B0217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030F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  <w:r w:rsidRPr="0051672D">
      <w:rPr>
        <w:rFonts w:ascii="Arial Narrow" w:hAnsi="Arial Narrow"/>
        <w:sz w:val="16"/>
        <w:szCs w:val="16"/>
        <w:lang w:val="sl-SI"/>
      </w:rPr>
      <w:t>OB-</w:t>
    </w:r>
    <w:r>
      <w:rPr>
        <w:rFonts w:ascii="Arial Narrow" w:hAnsi="Arial Narrow"/>
        <w:sz w:val="16"/>
        <w:szCs w:val="16"/>
        <w:lang w:val="sl-SI"/>
      </w:rPr>
      <w:t>IO 4.4-01 v0</w:t>
    </w:r>
    <w:r w:rsidR="009030FA">
      <w:rPr>
        <w:rFonts w:ascii="Arial Narrow" w:hAnsi="Arial Narrow"/>
        <w:sz w:val="16"/>
        <w:szCs w:val="16"/>
        <w:lang w:val="sl-S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6E" w:rsidRDefault="00471F6E">
      <w:r>
        <w:separator/>
      </w:r>
    </w:p>
  </w:footnote>
  <w:footnote w:type="continuationSeparator" w:id="0">
    <w:p w:rsidR="00471F6E" w:rsidRDefault="0047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D5" w:rsidRPr="003F201C" w:rsidRDefault="00103ED5" w:rsidP="00103ED5">
    <w:pPr>
      <w:autoSpaceDE w:val="0"/>
      <w:autoSpaceDN w:val="0"/>
      <w:adjustRightInd w:val="0"/>
      <w:spacing w:line="240" w:lineRule="auto"/>
      <w:rPr>
        <w:rFonts w:ascii="Republika" w:hAnsi="Republika"/>
        <w:lang w:val="it-IT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0288" behindDoc="0" locked="0" layoutInCell="1" allowOverlap="1" wp14:anchorId="6626EB66" wp14:editId="7E218D5B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38CC13" wp14:editId="65F9E40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66586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EAD7BF8" wp14:editId="20799F0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E1A1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D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NUOc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3F201C">
      <w:rPr>
        <w:rFonts w:ascii="Republika" w:hAnsi="Republika"/>
        <w:lang w:val="it-IT"/>
      </w:rPr>
      <w:t>REPUBLIKA SLOVENIJA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3F201C">
      <w:rPr>
        <w:rFonts w:ascii="Republika" w:hAnsi="Republika"/>
        <w:b/>
        <w:caps/>
        <w:lang w:val="it-IT"/>
      </w:rPr>
      <w:t>MinIstrstvo za gospodarstvo, turizem in šport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it-IT"/>
      </w:rPr>
    </w:pPr>
    <w:r w:rsidRPr="003F201C">
      <w:rPr>
        <w:rFonts w:ascii="Republika" w:hAnsi="Republika"/>
        <w:caps/>
        <w:lang w:val="it-IT"/>
      </w:rPr>
      <w:t>URAD RS za meroslovje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>Tkalska ulica 15, 3000 Celje</w:t>
    </w:r>
    <w:r w:rsidRPr="003F201C">
      <w:rPr>
        <w:rFonts w:cs="Arial"/>
        <w:sz w:val="16"/>
        <w:lang w:val="it-IT"/>
      </w:rPr>
      <w:tab/>
      <w:t>T: 03 428 07 50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ab/>
      <w:t>E: gp.mirs@gov.si</w:t>
    </w:r>
  </w:p>
  <w:p w:rsidR="00103ED5" w:rsidRPr="008F3500" w:rsidRDefault="00103ED5" w:rsidP="00103E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3F201C">
      <w:rPr>
        <w:rFonts w:cs="Arial"/>
        <w:sz w:val="16"/>
        <w:lang w:val="it-IT"/>
      </w:rPr>
      <w:tab/>
    </w:r>
    <w:r>
      <w:rPr>
        <w:rFonts w:cs="Arial"/>
        <w:sz w:val="16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C"/>
    <w:rsid w:val="00016278"/>
    <w:rsid w:val="0002025A"/>
    <w:rsid w:val="00020579"/>
    <w:rsid w:val="00023A88"/>
    <w:rsid w:val="000969EA"/>
    <w:rsid w:val="000A3D3E"/>
    <w:rsid w:val="000A7238"/>
    <w:rsid w:val="000B0217"/>
    <w:rsid w:val="000D0989"/>
    <w:rsid w:val="000D517B"/>
    <w:rsid w:val="00103ED5"/>
    <w:rsid w:val="001357B2"/>
    <w:rsid w:val="001B20C6"/>
    <w:rsid w:val="001C5AD7"/>
    <w:rsid w:val="00202A77"/>
    <w:rsid w:val="0021675C"/>
    <w:rsid w:val="00253A62"/>
    <w:rsid w:val="00271CE5"/>
    <w:rsid w:val="002720B5"/>
    <w:rsid w:val="00282020"/>
    <w:rsid w:val="002A3807"/>
    <w:rsid w:val="00322424"/>
    <w:rsid w:val="00352837"/>
    <w:rsid w:val="003636BF"/>
    <w:rsid w:val="00363966"/>
    <w:rsid w:val="0037479F"/>
    <w:rsid w:val="00375C41"/>
    <w:rsid w:val="003845B4"/>
    <w:rsid w:val="00387B1A"/>
    <w:rsid w:val="00392E7B"/>
    <w:rsid w:val="003E1C74"/>
    <w:rsid w:val="003E3040"/>
    <w:rsid w:val="0040572B"/>
    <w:rsid w:val="00444610"/>
    <w:rsid w:val="0047145E"/>
    <w:rsid w:val="00471F6E"/>
    <w:rsid w:val="00476BD2"/>
    <w:rsid w:val="00491E90"/>
    <w:rsid w:val="004B23B5"/>
    <w:rsid w:val="004B5244"/>
    <w:rsid w:val="004C47A2"/>
    <w:rsid w:val="00502E41"/>
    <w:rsid w:val="005067C9"/>
    <w:rsid w:val="00526246"/>
    <w:rsid w:val="00537C34"/>
    <w:rsid w:val="00555390"/>
    <w:rsid w:val="00567106"/>
    <w:rsid w:val="005B371C"/>
    <w:rsid w:val="005B48DC"/>
    <w:rsid w:val="005E0E63"/>
    <w:rsid w:val="005E1D3C"/>
    <w:rsid w:val="005E7866"/>
    <w:rsid w:val="00632253"/>
    <w:rsid w:val="00642714"/>
    <w:rsid w:val="006455CE"/>
    <w:rsid w:val="00651FCC"/>
    <w:rsid w:val="00660971"/>
    <w:rsid w:val="00690D03"/>
    <w:rsid w:val="00693D9B"/>
    <w:rsid w:val="006A5BEA"/>
    <w:rsid w:val="006A6FC6"/>
    <w:rsid w:val="006B247D"/>
    <w:rsid w:val="006C01FC"/>
    <w:rsid w:val="006D42D9"/>
    <w:rsid w:val="00717870"/>
    <w:rsid w:val="00733017"/>
    <w:rsid w:val="0073610C"/>
    <w:rsid w:val="00754B40"/>
    <w:rsid w:val="007744D4"/>
    <w:rsid w:val="00783310"/>
    <w:rsid w:val="00790879"/>
    <w:rsid w:val="007974FE"/>
    <w:rsid w:val="007A4A6D"/>
    <w:rsid w:val="007A709B"/>
    <w:rsid w:val="007A7CDF"/>
    <w:rsid w:val="007D1BCF"/>
    <w:rsid w:val="007D75CF"/>
    <w:rsid w:val="007E6DC5"/>
    <w:rsid w:val="00814213"/>
    <w:rsid w:val="00827D83"/>
    <w:rsid w:val="0083426E"/>
    <w:rsid w:val="008451CC"/>
    <w:rsid w:val="0088043C"/>
    <w:rsid w:val="008906C9"/>
    <w:rsid w:val="008A3E3F"/>
    <w:rsid w:val="008C5738"/>
    <w:rsid w:val="008D04F0"/>
    <w:rsid w:val="008D504E"/>
    <w:rsid w:val="008F3500"/>
    <w:rsid w:val="009030FA"/>
    <w:rsid w:val="00924E3C"/>
    <w:rsid w:val="00946C49"/>
    <w:rsid w:val="009612BB"/>
    <w:rsid w:val="009C49DD"/>
    <w:rsid w:val="00A032B3"/>
    <w:rsid w:val="00A125C5"/>
    <w:rsid w:val="00A35A1D"/>
    <w:rsid w:val="00A5039D"/>
    <w:rsid w:val="00A62C6F"/>
    <w:rsid w:val="00A65EE7"/>
    <w:rsid w:val="00A70133"/>
    <w:rsid w:val="00A81F5D"/>
    <w:rsid w:val="00A962A4"/>
    <w:rsid w:val="00AC651C"/>
    <w:rsid w:val="00B00D35"/>
    <w:rsid w:val="00B03033"/>
    <w:rsid w:val="00B17141"/>
    <w:rsid w:val="00B21E64"/>
    <w:rsid w:val="00B31575"/>
    <w:rsid w:val="00B3289B"/>
    <w:rsid w:val="00B8547D"/>
    <w:rsid w:val="00B91A09"/>
    <w:rsid w:val="00C016AD"/>
    <w:rsid w:val="00C250D5"/>
    <w:rsid w:val="00C347CF"/>
    <w:rsid w:val="00C92898"/>
    <w:rsid w:val="00CC4F46"/>
    <w:rsid w:val="00CD555E"/>
    <w:rsid w:val="00CE4BB9"/>
    <w:rsid w:val="00CE7514"/>
    <w:rsid w:val="00CF129F"/>
    <w:rsid w:val="00CF3556"/>
    <w:rsid w:val="00D228F1"/>
    <w:rsid w:val="00D248DE"/>
    <w:rsid w:val="00D31518"/>
    <w:rsid w:val="00D8469E"/>
    <w:rsid w:val="00D8542D"/>
    <w:rsid w:val="00DC6A71"/>
    <w:rsid w:val="00DE5B46"/>
    <w:rsid w:val="00DF77A6"/>
    <w:rsid w:val="00E0357D"/>
    <w:rsid w:val="00E24EC2"/>
    <w:rsid w:val="00E37922"/>
    <w:rsid w:val="00E44978"/>
    <w:rsid w:val="00E67F22"/>
    <w:rsid w:val="00E7150D"/>
    <w:rsid w:val="00EB230A"/>
    <w:rsid w:val="00EF2262"/>
    <w:rsid w:val="00F21A42"/>
    <w:rsid w:val="00F240BB"/>
    <w:rsid w:val="00F46724"/>
    <w:rsid w:val="00F57FED"/>
    <w:rsid w:val="00F715A4"/>
    <w:rsid w:val="00FB50E6"/>
    <w:rsid w:val="00FD3538"/>
    <w:rsid w:val="00FD6532"/>
    <w:rsid w:val="00FE245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D3E14EA-282C-49C4-865F-A5C5328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610C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02025A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73610C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73610C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73610C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C347CF"/>
  </w:style>
  <w:style w:type="paragraph" w:styleId="Besedilooblaka">
    <w:name w:val="Balloon Text"/>
    <w:basedOn w:val="Navaden"/>
    <w:semiHidden/>
    <w:rsid w:val="003528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12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2</cp:revision>
  <cp:lastPrinted>2012-12-13T10:58:00Z</cp:lastPrinted>
  <dcterms:created xsi:type="dcterms:W3CDTF">2023-11-03T07:03:00Z</dcterms:created>
  <dcterms:modified xsi:type="dcterms:W3CDTF">2023-11-03T07:03:00Z</dcterms:modified>
</cp:coreProperties>
</file>