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7245" w14:textId="1D874A1F" w:rsidR="00187B6A" w:rsidRPr="00260464" w:rsidRDefault="008B06E1" w:rsidP="00260464">
      <w:pPr>
        <w:jc w:val="both"/>
        <w:rPr>
          <w:b/>
          <w:bCs/>
          <w:lang w:eastAsia="sl-SI"/>
        </w:rPr>
      </w:pPr>
      <w:r w:rsidRPr="00260464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D7C7435" wp14:editId="1A4BC1E6">
            <wp:simplePos x="0" y="0"/>
            <wp:positionH relativeFrom="column">
              <wp:posOffset>-320865</wp:posOffset>
            </wp:positionH>
            <wp:positionV relativeFrom="paragraph">
              <wp:posOffset>283239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F86D4" w14:textId="77777777" w:rsidR="00187B6A" w:rsidRPr="00260464" w:rsidRDefault="00187B6A" w:rsidP="00260464">
      <w:pPr>
        <w:jc w:val="both"/>
        <w:rPr>
          <w:b/>
          <w:bCs/>
          <w:lang w:eastAsia="sl-SI"/>
        </w:rPr>
      </w:pPr>
    </w:p>
    <w:p w14:paraId="0A3FC7A3" w14:textId="575F0B00" w:rsidR="00660AAE" w:rsidRPr="00260464" w:rsidRDefault="008B06E1" w:rsidP="00260464">
      <w:pPr>
        <w:jc w:val="both"/>
        <w:rPr>
          <w:bCs/>
          <w:lang w:eastAsia="sl-SI"/>
        </w:rPr>
      </w:pPr>
      <w:r w:rsidRPr="0026046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D25E67" wp14:editId="6E882B99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09B55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E03CD12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2DEE010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B46AC50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14D657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13B199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351A40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E0D6E7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452A1B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25E6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2F709B55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E03CD12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2DEE010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B46AC50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14D657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13B199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351A40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E0D6E7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452A1B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A530C" w:rsidRPr="00260464">
        <w:rPr>
          <w:bCs/>
          <w:lang w:eastAsia="sl-SI"/>
        </w:rPr>
        <w:t xml:space="preserve">Številka: </w:t>
      </w:r>
      <w:r w:rsidR="00660AAE" w:rsidRPr="00260464">
        <w:rPr>
          <w:bCs/>
          <w:lang w:eastAsia="sl-SI"/>
        </w:rPr>
        <w:t>06182-1859/2020-22</w:t>
      </w:r>
    </w:p>
    <w:p w14:paraId="4BDA61E0" w14:textId="77777777" w:rsidR="00660AAE" w:rsidRPr="00260464" w:rsidRDefault="00660AAE" w:rsidP="00260464">
      <w:pPr>
        <w:jc w:val="both"/>
        <w:rPr>
          <w:bCs/>
          <w:lang w:eastAsia="sl-SI"/>
        </w:rPr>
      </w:pPr>
      <w:r w:rsidRPr="00260464">
        <w:rPr>
          <w:bCs/>
          <w:lang w:eastAsia="sl-SI"/>
        </w:rPr>
        <w:t>Datum: 21. 12. 2022</w:t>
      </w:r>
    </w:p>
    <w:p w14:paraId="1B548BCB" w14:textId="13E9A7EB" w:rsidR="004A530C" w:rsidRPr="00260464" w:rsidRDefault="004A530C" w:rsidP="00260464">
      <w:pPr>
        <w:jc w:val="both"/>
        <w:rPr>
          <w:bCs/>
          <w:lang w:eastAsia="sl-SI"/>
        </w:rPr>
      </w:pPr>
    </w:p>
    <w:p w14:paraId="1583A737" w14:textId="77777777" w:rsidR="00E22A66" w:rsidRPr="00260464" w:rsidRDefault="004A530C" w:rsidP="00260464">
      <w:pPr>
        <w:jc w:val="both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 xml:space="preserve">POROČILO O REDNEM INŠPEKCIJSKEM PREGLEDU NAPRAVE, KI LAHKO POVZROČI </w:t>
      </w:r>
      <w:r w:rsidR="00E22A66" w:rsidRPr="00260464">
        <w:rPr>
          <w:b/>
          <w:bCs/>
          <w:lang w:eastAsia="sl-SI"/>
        </w:rPr>
        <w:t>ONESNAŽEVANJE OKOLJA VEČJEGA OBSEGA</w:t>
      </w:r>
    </w:p>
    <w:p w14:paraId="7C793E61" w14:textId="77777777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E7C0B45" w14:textId="7F214037" w:rsidR="00D55EEF" w:rsidRPr="00260464" w:rsidRDefault="004711F2" w:rsidP="00260464">
      <w:pPr>
        <w:autoSpaceDE w:val="0"/>
        <w:autoSpaceDN w:val="0"/>
        <w:adjustRightInd w:val="0"/>
        <w:jc w:val="both"/>
      </w:pPr>
      <w:r w:rsidRPr="00260464">
        <w:rPr>
          <w:b/>
          <w:bCs/>
          <w:lang w:eastAsia="sl-SI"/>
        </w:rPr>
        <w:t xml:space="preserve">Zavezanec: </w:t>
      </w:r>
      <w:r w:rsidR="00660AAE" w:rsidRPr="00260464">
        <w:rPr>
          <w:bCs/>
          <w:color w:val="000000"/>
        </w:rPr>
        <w:t>Perutnina Ptuj d.o.o., Potrčeva cesta 10</w:t>
      </w:r>
      <w:r w:rsidR="00660AAE" w:rsidRPr="00260464">
        <w:t>, 2250 Ptuj</w:t>
      </w:r>
    </w:p>
    <w:p w14:paraId="1709E4F7" w14:textId="77777777" w:rsidR="00D55EEF" w:rsidRPr="00260464" w:rsidRDefault="00D55EEF" w:rsidP="00260464">
      <w:pPr>
        <w:autoSpaceDE w:val="0"/>
        <w:autoSpaceDN w:val="0"/>
        <w:adjustRightInd w:val="0"/>
        <w:jc w:val="both"/>
      </w:pPr>
    </w:p>
    <w:p w14:paraId="2F0C8518" w14:textId="6661DC71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</w:rPr>
      </w:pPr>
      <w:r w:rsidRPr="00260464">
        <w:rPr>
          <w:b/>
        </w:rPr>
        <w:t>Naprava / lokacija:</w:t>
      </w:r>
      <w:r w:rsidR="00D6487A" w:rsidRPr="00260464">
        <w:rPr>
          <w:b/>
        </w:rPr>
        <w:t xml:space="preserve"> </w:t>
      </w:r>
      <w:r w:rsidR="00D55EEF" w:rsidRPr="00260464">
        <w:t>Klavnica in z njo neposredno tehnično povezane dejavnosti proizvodnje živil iz živalskih surovin na lokaciji Hladilniška pot 37, 1000 Ljubljana</w:t>
      </w:r>
    </w:p>
    <w:p w14:paraId="0E5AC2D0" w14:textId="77777777" w:rsidR="004711F2" w:rsidRPr="00260464" w:rsidRDefault="004711F2" w:rsidP="00260464">
      <w:pPr>
        <w:pStyle w:val="datumtevilka"/>
        <w:jc w:val="both"/>
        <w:rPr>
          <w:rFonts w:cs="Arial"/>
          <w:b/>
        </w:rPr>
      </w:pPr>
    </w:p>
    <w:p w14:paraId="4AF057EA" w14:textId="2F188039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>Datum pregleda:</w:t>
      </w:r>
      <w:r w:rsidR="00D6487A" w:rsidRPr="00260464">
        <w:rPr>
          <w:b/>
          <w:bCs/>
          <w:lang w:eastAsia="sl-SI"/>
        </w:rPr>
        <w:t xml:space="preserve"> </w:t>
      </w:r>
      <w:r w:rsidR="00660AAE" w:rsidRPr="00260464">
        <w:t>4. 8. 2022</w:t>
      </w:r>
    </w:p>
    <w:p w14:paraId="01698840" w14:textId="77777777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89CA35E" w14:textId="298EDC59" w:rsidR="004711F2" w:rsidRPr="00260464" w:rsidRDefault="004711F2" w:rsidP="00260464">
      <w:pPr>
        <w:jc w:val="both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>Okoljevarstveno dovoljenje (OVD) številka:</w:t>
      </w:r>
      <w:r w:rsidR="00D6487A" w:rsidRPr="00260464">
        <w:rPr>
          <w:b/>
          <w:bCs/>
          <w:lang w:eastAsia="sl-SI"/>
        </w:rPr>
        <w:t xml:space="preserve"> </w:t>
      </w:r>
      <w:r w:rsidR="00D55EEF" w:rsidRPr="00260464">
        <w:t>35407-123/2006-13 z dne 3.</w:t>
      </w:r>
      <w:r w:rsidR="007A1D41">
        <w:t xml:space="preserve"> </w:t>
      </w:r>
      <w:r w:rsidR="00D55EEF" w:rsidRPr="00260464">
        <w:t>6.</w:t>
      </w:r>
      <w:r w:rsidR="007A1D41">
        <w:t xml:space="preserve"> </w:t>
      </w:r>
      <w:r w:rsidR="00D55EEF" w:rsidRPr="00260464">
        <w:t>2009 s spremembami (v nadaljevanju: OVD</w:t>
      </w:r>
      <w:r w:rsidR="00260464" w:rsidRPr="00260464">
        <w:t>)</w:t>
      </w:r>
    </w:p>
    <w:p w14:paraId="353372CB" w14:textId="1B277FC7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583CF91" w14:textId="77777777" w:rsidR="00D6487A" w:rsidRPr="00260464" w:rsidRDefault="00D6487A" w:rsidP="00260464">
      <w:pPr>
        <w:jc w:val="both"/>
        <w:rPr>
          <w:lang w:eastAsia="sl-SI"/>
        </w:rPr>
      </w:pPr>
      <w:r w:rsidRPr="00260464">
        <w:rPr>
          <w:b/>
        </w:rPr>
        <w:t xml:space="preserve">Usklajenost z OVD: </w:t>
      </w:r>
      <w:r w:rsidRPr="00260464">
        <w:t>DA</w:t>
      </w:r>
    </w:p>
    <w:p w14:paraId="72219E4A" w14:textId="77777777" w:rsidR="00D55EEF" w:rsidRPr="00260464" w:rsidRDefault="00D55EEF" w:rsidP="00260464">
      <w:pPr>
        <w:pStyle w:val="Telobesedila"/>
        <w:jc w:val="both"/>
        <w:rPr>
          <w:rFonts w:eastAsia="Times New Roman"/>
          <w:b/>
          <w:lang w:eastAsia="sl-SI"/>
        </w:rPr>
      </w:pPr>
    </w:p>
    <w:p w14:paraId="0EC272C0" w14:textId="705F1F24" w:rsidR="00D55EEF" w:rsidRPr="00260464" w:rsidRDefault="00D55EEF" w:rsidP="00260464">
      <w:pPr>
        <w:jc w:val="both"/>
        <w:rPr>
          <w:rFonts w:eastAsia="Times New Roman"/>
          <w:lang w:eastAsia="sl-SI"/>
        </w:rPr>
      </w:pPr>
      <w:r w:rsidRPr="00260464">
        <w:t xml:space="preserve">V okviru inšpekcijskega pregleda naprave v zvezi z izpolnjevanjem določb pridobljenega OVD, ki so bile predmet nadzora na kraju naprave, </w:t>
      </w:r>
      <w:r w:rsidR="007A1D41">
        <w:t>ni</w:t>
      </w:r>
      <w:r w:rsidRPr="00260464">
        <w:t xml:space="preserve">so bile ugotovljene nepravilnosti, kršitve zakonsko določenih predpisov, ki so bili predmet inšpekcijskega nadzora ter </w:t>
      </w:r>
      <w:r w:rsidR="007A1D41">
        <w:t xml:space="preserve">niso bile ugotovljene </w:t>
      </w:r>
      <w:r w:rsidRPr="00260464">
        <w:t>kršitve določil OVD</w:t>
      </w:r>
      <w:r w:rsidR="007A1D41">
        <w:t>.</w:t>
      </w:r>
    </w:p>
    <w:p w14:paraId="6A2D84F7" w14:textId="77777777" w:rsidR="007A1D41" w:rsidRDefault="007A1D41" w:rsidP="007A1D41">
      <w:pPr>
        <w:tabs>
          <w:tab w:val="left" w:pos="1104"/>
        </w:tabs>
        <w:jc w:val="both"/>
      </w:pPr>
    </w:p>
    <w:p w14:paraId="1C15CBFF" w14:textId="35E4137D" w:rsidR="00260464" w:rsidRPr="00260464" w:rsidRDefault="00D55EEF" w:rsidP="007A1D41">
      <w:pPr>
        <w:tabs>
          <w:tab w:val="left" w:pos="1104"/>
        </w:tabs>
        <w:jc w:val="both"/>
      </w:pPr>
      <w:r w:rsidRPr="00260464">
        <w:t xml:space="preserve">V zvezi z </w:t>
      </w:r>
      <w:r w:rsidRPr="00260464">
        <w:rPr>
          <w:u w:val="single"/>
        </w:rPr>
        <w:t>emisijami snovi v vode</w:t>
      </w:r>
      <w:r w:rsidRPr="00260464">
        <w:t xml:space="preserve"> je bilo ugotovljeno, da zavezanec na dveh iz</w:t>
      </w:r>
      <w:r w:rsidR="007A1D41">
        <w:t xml:space="preserve">pustih </w:t>
      </w:r>
      <w:r w:rsidRPr="00260464">
        <w:t>iz naprave izvaja obratovalni monitoring s strani pooblaščenca</w:t>
      </w:r>
      <w:r w:rsidR="001716E2">
        <w:t>.</w:t>
      </w:r>
      <w:r w:rsidR="00260464" w:rsidRPr="00260464">
        <w:t xml:space="preserve"> </w:t>
      </w:r>
      <w:r w:rsidR="007A1D41">
        <w:t>V</w:t>
      </w:r>
      <w:r w:rsidR="00260464" w:rsidRPr="00260464">
        <w:t xml:space="preserve"> zvezi z izvršitvijo ukrepov iz izdane ureditvene odločbe in sklepa o dovolitvi izvršbe</w:t>
      </w:r>
      <w:r w:rsidR="007A1D41">
        <w:t xml:space="preserve"> je bilo ugotovljeno, da si je zavezanec s</w:t>
      </w:r>
      <w:r w:rsidR="00260464" w:rsidRPr="00260464">
        <w:t xml:space="preserve"> strani ministrstva pridobil </w:t>
      </w:r>
      <w:r w:rsidR="007A1D41">
        <w:t>o</w:t>
      </w:r>
      <w:r w:rsidR="00260464" w:rsidRPr="00260464">
        <w:t xml:space="preserve">dločbo </w:t>
      </w:r>
      <w:r w:rsidR="007A1D41">
        <w:t>o spremembi veljavnega OVD</w:t>
      </w:r>
      <w:r w:rsidR="00260464" w:rsidRPr="00260464">
        <w:t xml:space="preserve">, iz katere je med drugim razvidno, da so se povečale letno dovoljene količine komunalnih odpadnih voda na odtoku V2-2 iz podjetja, ki se preko iztoka V2 odvajajo v javno kanalizacijo. Iz </w:t>
      </w:r>
      <w:r w:rsidR="00260464" w:rsidRPr="00260464">
        <w:rPr>
          <w:bCs/>
        </w:rPr>
        <w:t>Poročila o obratovalnem monitoringu odpadnih vod za podjetje</w:t>
      </w:r>
      <w:r w:rsidR="00260464" w:rsidRPr="00260464">
        <w:rPr>
          <w:b/>
          <w:bCs/>
        </w:rPr>
        <w:t xml:space="preserve"> </w:t>
      </w:r>
      <w:r w:rsidR="00260464" w:rsidRPr="00260464">
        <w:rPr>
          <w:bCs/>
        </w:rPr>
        <w:t>za leto 2021, k</w:t>
      </w:r>
      <w:r w:rsidR="00260464" w:rsidRPr="00260464">
        <w:t xml:space="preserve">i ga je izdelal pooblaščenec je med drugim razvidno, da je v družbi v letu 2021 nastala </w:t>
      </w:r>
      <w:r w:rsidR="009D7E13">
        <w:t xml:space="preserve">dovoljena </w:t>
      </w:r>
      <w:r w:rsidR="00260464" w:rsidRPr="00260464">
        <w:t>količina odpadnih voda, da vse odpadne vode z zavezančeve lokacije odtekajo v javni kanalizacijski sistem, ki je zaključen z ČN Zalog</w:t>
      </w:r>
      <w:r w:rsidR="009D7E13">
        <w:t xml:space="preserve"> in</w:t>
      </w:r>
      <w:r w:rsidR="00260464" w:rsidRPr="00260464">
        <w:t xml:space="preserve"> da so se na obeh izpustih izvedla vzorčenja po veljavnem OVD, za komunalne in hladilne vode pa meritve niso predvidene. Iz poročila je tudi razvidno, da so merjeni vsi parametri določeni v OVD, da na obeh merjenih virih vrednosti parametrov niso presežene glede na mejne vrednosti ter da se na obeh virih ne ugotavlja čezmerna obremenitev okolja z merjenimi emisijami snovi v vode. Celotna naprava ne obremenjuje okolja čezmerno. Glede na navedeno je zavezanec izpolnil vse ukrepe iz izdane ureditvene odločbe in sklepa o dovolitvi izvršbe in ni razloga za nadaljevanje postopka.</w:t>
      </w:r>
    </w:p>
    <w:p w14:paraId="11C79BE2" w14:textId="0B3FB734" w:rsidR="004711F2" w:rsidRPr="00260464" w:rsidRDefault="004711F2" w:rsidP="00260464">
      <w:pPr>
        <w:jc w:val="both"/>
        <w:rPr>
          <w:b/>
          <w:bCs/>
          <w:lang w:eastAsia="sl-SI"/>
        </w:rPr>
      </w:pPr>
    </w:p>
    <w:p w14:paraId="31B3E12E" w14:textId="4DF5DC24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>Zaključki / naslednje aktivnosti:</w:t>
      </w:r>
      <w:r w:rsidR="00D6487A" w:rsidRPr="00260464">
        <w:rPr>
          <w:b/>
          <w:bCs/>
          <w:lang w:eastAsia="sl-SI"/>
        </w:rPr>
        <w:t xml:space="preserve"> </w:t>
      </w:r>
      <w:r w:rsidR="00D55EEF" w:rsidRPr="00260464">
        <w:t xml:space="preserve">Naslednji </w:t>
      </w:r>
      <w:r w:rsidR="001716E2">
        <w:t xml:space="preserve">redni </w:t>
      </w:r>
      <w:r w:rsidR="00D55EEF" w:rsidRPr="00260464">
        <w:t xml:space="preserve">inšpekcijski pregled na terenu bo opravljen </w:t>
      </w:r>
      <w:r w:rsidR="00260464" w:rsidRPr="00260464">
        <w:t xml:space="preserve">v okviru letnega plana. </w:t>
      </w:r>
      <w:r w:rsidR="00D55EEF" w:rsidRPr="00260464">
        <w:t>Naslednji izredni inšpekcijski pregled bo opravljen po potrebi.</w:t>
      </w:r>
    </w:p>
    <w:sectPr w:rsidR="004711F2" w:rsidRPr="00260464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A838" w14:textId="77777777" w:rsidR="00611722" w:rsidRDefault="00611722">
      <w:r>
        <w:separator/>
      </w:r>
    </w:p>
  </w:endnote>
  <w:endnote w:type="continuationSeparator" w:id="0">
    <w:p w14:paraId="579D2BA6" w14:textId="77777777" w:rsidR="00611722" w:rsidRDefault="0061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FE2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691B80D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5EAF" w14:textId="77777777" w:rsidR="00611722" w:rsidRDefault="00611722">
      <w:r>
        <w:separator/>
      </w:r>
    </w:p>
  </w:footnote>
  <w:footnote w:type="continuationSeparator" w:id="0">
    <w:p w14:paraId="37D1D4F3" w14:textId="77777777" w:rsidR="00611722" w:rsidRDefault="00611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16E2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5721"/>
    <w:rsid w:val="00237643"/>
    <w:rsid w:val="00260464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3C9F"/>
    <w:rsid w:val="00335E7C"/>
    <w:rsid w:val="00342E11"/>
    <w:rsid w:val="00347739"/>
    <w:rsid w:val="0034793E"/>
    <w:rsid w:val="0035247D"/>
    <w:rsid w:val="00353C1C"/>
    <w:rsid w:val="00362307"/>
    <w:rsid w:val="00364173"/>
    <w:rsid w:val="00365385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38E4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07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722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AAE"/>
    <w:rsid w:val="00660F57"/>
    <w:rsid w:val="00661A96"/>
    <w:rsid w:val="00662598"/>
    <w:rsid w:val="006658E4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1D41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06E1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D7E13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0"/>
    <w:rsid w:val="00CD06FA"/>
    <w:rsid w:val="00CD07D8"/>
    <w:rsid w:val="00CD2F8F"/>
    <w:rsid w:val="00CD3BD6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55EEF"/>
    <w:rsid w:val="00D6487A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91EC1"/>
  <w15:chartTrackingRefBased/>
  <w15:docId w15:val="{70CC81E7-57B0-4CBC-8D85-22198897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Teloodloebe">
    <w:name w:val="Telo odloebe"/>
    <w:basedOn w:val="Navaden"/>
    <w:rsid w:val="00260464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2022-12-21T13:13:00Z</cp:lastPrinted>
  <dcterms:created xsi:type="dcterms:W3CDTF">2023-01-20T09:47:00Z</dcterms:created>
  <dcterms:modified xsi:type="dcterms:W3CDTF">2023-01-20T09:47:00Z</dcterms:modified>
</cp:coreProperties>
</file>