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F0716" w:rsidRDefault="00F86595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F07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F0716" w:rsidRDefault="002F0AF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37237BB8" w14:textId="77777777" w:rsidR="00AF2D9E" w:rsidRDefault="00AF2D9E" w:rsidP="00AF2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FA36F5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95EEF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661B3C2E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 xml:space="preserve">PZP </w:t>
      </w:r>
      <w:proofErr w:type="spellStart"/>
      <w:r w:rsidRPr="00395EEF">
        <w:rPr>
          <w:rFonts w:ascii="Arial" w:hAnsi="Arial" w:cs="Arial"/>
          <w:sz w:val="20"/>
          <w:szCs w:val="20"/>
        </w:rPr>
        <w:t>z.o.o</w:t>
      </w:r>
      <w:proofErr w:type="spellEnd"/>
      <w:r w:rsidRPr="00395EEF">
        <w:rPr>
          <w:rFonts w:ascii="Arial" w:hAnsi="Arial" w:cs="Arial"/>
          <w:sz w:val="20"/>
          <w:szCs w:val="20"/>
        </w:rPr>
        <w:t>., Spodnja Hajdina 17, 2288 Hajdina</w:t>
      </w:r>
    </w:p>
    <w:p w14:paraId="3DE08F1F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ADF6D01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95EEF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865A9EA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Naprava za intenzivno rejo perutnine s proizvodno zmogljivostjo 130.000 mest – za farmo reje</w:t>
      </w:r>
    </w:p>
    <w:p w14:paraId="0F3434E0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 xml:space="preserve">perutnine Hajnsko na zemljišču s </w:t>
      </w:r>
      <w:proofErr w:type="spellStart"/>
      <w:r w:rsidRPr="00395EEF">
        <w:rPr>
          <w:rFonts w:ascii="Arial" w:hAnsi="Arial" w:cs="Arial"/>
          <w:sz w:val="20"/>
          <w:szCs w:val="20"/>
        </w:rPr>
        <w:t>parc</w:t>
      </w:r>
      <w:proofErr w:type="spellEnd"/>
      <w:r w:rsidRPr="00395EEF">
        <w:rPr>
          <w:rFonts w:ascii="Arial" w:hAnsi="Arial" w:cs="Arial"/>
          <w:sz w:val="20"/>
          <w:szCs w:val="20"/>
        </w:rPr>
        <w:t xml:space="preserve">. št. 154 in 159/2 </w:t>
      </w:r>
      <w:proofErr w:type="spellStart"/>
      <w:r w:rsidRPr="00395EEF">
        <w:rPr>
          <w:rFonts w:ascii="Arial" w:hAnsi="Arial" w:cs="Arial"/>
          <w:sz w:val="20"/>
          <w:szCs w:val="20"/>
        </w:rPr>
        <w:t>k.o</w:t>
      </w:r>
      <w:proofErr w:type="spellEnd"/>
      <w:r w:rsidRPr="00395EEF">
        <w:rPr>
          <w:rFonts w:ascii="Arial" w:hAnsi="Arial" w:cs="Arial"/>
          <w:sz w:val="20"/>
          <w:szCs w:val="20"/>
        </w:rPr>
        <w:t>. Hajnsko</w:t>
      </w:r>
    </w:p>
    <w:p w14:paraId="60DD380F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1BC8A9E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95EEF">
        <w:rPr>
          <w:rFonts w:ascii="Arial" w:hAnsi="Arial" w:cs="Arial"/>
          <w:b/>
          <w:bCs/>
          <w:sz w:val="20"/>
          <w:szCs w:val="20"/>
        </w:rPr>
        <w:t xml:space="preserve">Datum rednega pregleda: </w:t>
      </w:r>
    </w:p>
    <w:p w14:paraId="591E89D7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24.7.2020</w:t>
      </w:r>
    </w:p>
    <w:p w14:paraId="039AF106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A1D2694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95EEF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7B5DECD4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35407-139/2006-5 z dne 12.8.2009 in</w:t>
      </w:r>
    </w:p>
    <w:p w14:paraId="5D5384E3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odločbo o spremembi okoljevarstvenega dovoljenja št. 35406-71/2015-8 z dne 20.2.2017 ( v</w:t>
      </w:r>
    </w:p>
    <w:p w14:paraId="681DECAD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nadaljevanju OVD).</w:t>
      </w:r>
    </w:p>
    <w:p w14:paraId="5F0D9E7C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885DBA2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95EEF">
        <w:rPr>
          <w:rFonts w:ascii="Arial" w:hAnsi="Arial" w:cs="Arial"/>
          <w:b/>
          <w:bCs/>
          <w:sz w:val="20"/>
          <w:szCs w:val="20"/>
        </w:rPr>
        <w:t xml:space="preserve">Usklajenost z OVD: da </w:t>
      </w:r>
      <w:r w:rsidRPr="00395EEF">
        <w:rPr>
          <w:rFonts w:ascii="Arial" w:hAnsi="Arial" w:cs="Arial"/>
          <w:sz w:val="20"/>
          <w:szCs w:val="20"/>
        </w:rPr>
        <w:t>(navedi):</w:t>
      </w:r>
    </w:p>
    <w:p w14:paraId="76FCB7BF" w14:textId="6D02D6A5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Inšpektorica za okolje je pri zavezancu opravila redni pregled po OVD. Zavezanec je na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Agencijo RS za okolje oddal predpisano Oceno o letnih emisijah snovi v zrak za leto 2019. V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vseh hlevih se izvaja umetno prezračevanje s podtlakom. Odpadne vode nastajajo pri pranju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hlevov in dvorišča, ki ga izvajajo z visokotlačnimi aparati izključno z vodo. Pranje hlevov se</w:t>
      </w:r>
      <w:r>
        <w:rPr>
          <w:rFonts w:ascii="Arial" w:hAnsi="Arial" w:cs="Arial"/>
          <w:sz w:val="20"/>
          <w:szCs w:val="20"/>
        </w:rPr>
        <w:t xml:space="preserve"> i</w:t>
      </w:r>
      <w:r w:rsidRPr="00395EEF">
        <w:rPr>
          <w:rFonts w:ascii="Arial" w:hAnsi="Arial" w:cs="Arial"/>
          <w:sz w:val="20"/>
          <w:szCs w:val="20"/>
        </w:rPr>
        <w:t>zvaja tako, da se te odpadne vode zbirajo v 10 PVC zbiralnikih in jo tako kot gnoj odvažajo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kmetovalci na svoje kmetijskem površine. Komunalne odpadne vode se zbirajo v greznici na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praznjenje. Po OVD je zavezanec oproščen izvajanja obratovalnega monitoringa hrupa za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napravo, zato ne rabi izvajati periodičnih meritev hrupa , ki jih povzroča dejavnost reje v okolju.</w:t>
      </w:r>
    </w:p>
    <w:p w14:paraId="00627560" w14:textId="5A128C2E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Prazno embalažo od zdravil oz. cepiv z vodenimi evidencami vračajo veterinarski službi, ki za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njih izvaja zdravstveno varstvo živali, poginule živali odvaža s farme veterinarsko higienska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služba, komunalne odpadke pa predajajo izvajalcu javne službe zbiranja teh odpadkov. Za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potrebe reje uporablja zavezanec na farmi Hajnsko vodo iz javnega vodovoda, lastnega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vodnjaka nima. Vodo rabijo za pitje živali, sanitarne namene in tehnološki namen. Za rabo vode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za tehnološki namen, to je za čiščenje hlevov, dvorišča, silosov, polnjenje dezinfekcijskih barier,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dezinfekcijo vseh objektov reje in za pršenje – hlajenje objektov reje v poletnih mesecih, ima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zavezanec pridobljeno vodno dovoljenje. Zavezanec ima na farmi Hajnsko izdelan požarni red,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 xml:space="preserve">v vsakem objektu reje so vgrajena tipala za </w:t>
      </w:r>
      <w:r w:rsidRPr="00395EEF">
        <w:rPr>
          <w:rFonts w:ascii="Arial" w:hAnsi="Arial" w:cs="Arial"/>
          <w:sz w:val="20"/>
          <w:szCs w:val="20"/>
        </w:rPr>
        <w:lastRenderedPageBreak/>
        <w:t>nadzor temperature, ki zaznavajo odstopanje od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pričakovanih vrednosti, izvedena je računalniška in telefonska signalizacija, ki služi za javljanje</w:t>
      </w:r>
      <w:r>
        <w:rPr>
          <w:rFonts w:ascii="Arial" w:hAnsi="Arial" w:cs="Arial"/>
          <w:sz w:val="20"/>
          <w:szCs w:val="20"/>
        </w:rPr>
        <w:t xml:space="preserve"> </w:t>
      </w:r>
      <w:r w:rsidRPr="00395EEF">
        <w:rPr>
          <w:rFonts w:ascii="Arial" w:hAnsi="Arial" w:cs="Arial"/>
          <w:sz w:val="20"/>
          <w:szCs w:val="20"/>
        </w:rPr>
        <w:t>izpadov temperatur, vode, elektrike vseh 24 ur.</w:t>
      </w:r>
    </w:p>
    <w:p w14:paraId="5C3D9028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0D035C9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95EEF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EAC2D6C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Inšpektorica ob pregledu ni ugotovila nepravilnosti, zato je izdala sklep o ustavitvi postopka,</w:t>
      </w:r>
    </w:p>
    <w:p w14:paraId="7E57540F" w14:textId="77777777" w:rsidR="00395EEF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naslednji inšpekcijski pregled je predviden v skladu s planom Inšpektorata, izredni po potrebi</w:t>
      </w:r>
    </w:p>
    <w:p w14:paraId="393E491F" w14:textId="7740BCC1" w:rsidR="00AF2D9E" w:rsidRPr="00395EEF" w:rsidRDefault="00395EEF" w:rsidP="00395EE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5EEF">
        <w:rPr>
          <w:rFonts w:ascii="Arial" w:hAnsi="Arial" w:cs="Arial"/>
          <w:sz w:val="20"/>
          <w:szCs w:val="20"/>
        </w:rPr>
        <w:t>prej.</w:t>
      </w:r>
    </w:p>
    <w:sectPr w:rsidR="00AF2D9E" w:rsidRPr="0039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87160"/>
    <w:rsid w:val="001D4A7A"/>
    <w:rsid w:val="001F2728"/>
    <w:rsid w:val="00207CC5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95EEF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A21A0C"/>
    <w:rsid w:val="00A57B3D"/>
    <w:rsid w:val="00A97D9E"/>
    <w:rsid w:val="00AA2221"/>
    <w:rsid w:val="00AE1983"/>
    <w:rsid w:val="00AF2D9E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2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2021-03-17T17:11:00Z</dcterms:created>
  <dcterms:modified xsi:type="dcterms:W3CDTF">2021-03-17T17:15:00Z</dcterms:modified>
</cp:coreProperties>
</file>