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B97583" w:rsidRDefault="00F86595" w:rsidP="00B975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97583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B97583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B97583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97583" w:rsidRDefault="00072BB8" w:rsidP="00B975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B97583" w:rsidRDefault="006E22B6" w:rsidP="00B975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97583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B97583" w:rsidRDefault="006E22B6" w:rsidP="00B975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97583">
        <w:rPr>
          <w:b/>
          <w:bCs/>
          <w:color w:val="auto"/>
          <w:sz w:val="20"/>
          <w:szCs w:val="20"/>
        </w:rPr>
        <w:t>ONESNAŽEVANJE OKOLJA VEČJEGA OBSEGA</w:t>
      </w:r>
    </w:p>
    <w:p w14:paraId="63F2D9A2" w14:textId="77777777" w:rsidR="00AF50E4" w:rsidRPr="00B97583" w:rsidRDefault="00AF50E4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6E62639" w14:textId="77777777" w:rsidR="00AF50E4" w:rsidRPr="00B97583" w:rsidRDefault="00AF50E4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82809DE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97583">
        <w:rPr>
          <w:rFonts w:ascii="Arial" w:hAnsi="Arial" w:cs="Arial"/>
          <w:b/>
          <w:bCs/>
          <w:sz w:val="20"/>
          <w:szCs w:val="20"/>
        </w:rPr>
        <w:t>Zavezanec:</w:t>
      </w:r>
    </w:p>
    <w:p w14:paraId="030F5089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 xml:space="preserve">PALFINGER proizvodnja </w:t>
      </w:r>
      <w:proofErr w:type="spellStart"/>
      <w:r w:rsidRPr="00B97583">
        <w:rPr>
          <w:rFonts w:ascii="Arial" w:hAnsi="Arial" w:cs="Arial"/>
          <w:sz w:val="20"/>
          <w:szCs w:val="20"/>
        </w:rPr>
        <w:t>d.o.o</w:t>
      </w:r>
      <w:proofErr w:type="spellEnd"/>
      <w:r w:rsidRPr="00B97583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B97583">
        <w:rPr>
          <w:rFonts w:ascii="Arial" w:hAnsi="Arial" w:cs="Arial"/>
          <w:sz w:val="20"/>
          <w:szCs w:val="20"/>
        </w:rPr>
        <w:t>Jaskova</w:t>
      </w:r>
      <w:proofErr w:type="spellEnd"/>
      <w:r w:rsidRPr="00B97583">
        <w:rPr>
          <w:rFonts w:ascii="Arial" w:hAnsi="Arial" w:cs="Arial"/>
          <w:sz w:val="20"/>
          <w:szCs w:val="20"/>
        </w:rPr>
        <w:t xml:space="preserve"> ulica 18, 2000 Maribor, MŠ: 5785596000</w:t>
      </w:r>
    </w:p>
    <w:p w14:paraId="6972CD59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D9144CC" w14:textId="28EEBA6E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97583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49094CAF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2.6 naprava za površinsko obdelavo kovin z uporabo elektrolitskih ali kemičnih</w:t>
      </w:r>
    </w:p>
    <w:p w14:paraId="04CFA8D3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postopkov z volumnom delovnih kadi (brez izpiranja ) 100 m3 .</w:t>
      </w:r>
    </w:p>
    <w:p w14:paraId="5A09E26D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D8C5290" w14:textId="743CC2CB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b/>
          <w:bCs/>
          <w:sz w:val="20"/>
          <w:szCs w:val="20"/>
        </w:rPr>
        <w:t>Datum pregleda</w:t>
      </w:r>
      <w:r w:rsidRPr="00B97583">
        <w:rPr>
          <w:rFonts w:ascii="Arial" w:hAnsi="Arial" w:cs="Arial"/>
          <w:sz w:val="20"/>
          <w:szCs w:val="20"/>
        </w:rPr>
        <w:t>:</w:t>
      </w:r>
    </w:p>
    <w:p w14:paraId="7B4822B8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3.9.2020</w:t>
      </w:r>
    </w:p>
    <w:p w14:paraId="66BE0ECE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968E6D4" w14:textId="48E33A8F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97583">
        <w:rPr>
          <w:rFonts w:ascii="Arial" w:hAnsi="Arial" w:cs="Arial"/>
          <w:b/>
          <w:bCs/>
          <w:sz w:val="20"/>
          <w:szCs w:val="20"/>
        </w:rPr>
        <w:t>Okoljevarstveno dovoljenje (OVD), številka:</w:t>
      </w:r>
    </w:p>
    <w:p w14:paraId="686C21C3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 Okoljevarstveno dovoljenje št. 35407-59/2006-13 z dne 3.6. 2008 (OVD)</w:t>
      </w:r>
    </w:p>
    <w:p w14:paraId="17583260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 Sprememba OVD št. 35406-19/2013-9 z dne 20. 5. 2014 ( OVD1)</w:t>
      </w:r>
    </w:p>
    <w:p w14:paraId="2D913C02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 št: 35406-56/2017-10 z dne 20.9.2017 (OVD2)</w:t>
      </w:r>
    </w:p>
    <w:p w14:paraId="37B7D5DE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 Št: 35406-16/2018-5 z dne 19.3.2020 ( OVD3 )</w:t>
      </w:r>
    </w:p>
    <w:p w14:paraId="51B0B18B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29487E2" w14:textId="504A6926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97583">
        <w:rPr>
          <w:rFonts w:ascii="Arial" w:hAnsi="Arial" w:cs="Arial"/>
          <w:b/>
          <w:bCs/>
          <w:sz w:val="20"/>
          <w:szCs w:val="20"/>
        </w:rPr>
        <w:t>Ugotovitve:</w:t>
      </w:r>
    </w:p>
    <w:p w14:paraId="372DA199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97583">
        <w:rPr>
          <w:rFonts w:ascii="Arial" w:hAnsi="Arial" w:cs="Arial"/>
          <w:sz w:val="20"/>
          <w:szCs w:val="20"/>
          <w:u w:val="single"/>
        </w:rPr>
        <w:t>Ravnanje z odpadki, ki nastanejo zaradi dejavnosti</w:t>
      </w:r>
    </w:p>
    <w:p w14:paraId="6C9D42C5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-Pri ogledu obrata je bilo ugotovljeno, da so odpadki skladiščeni skladno z zahtevami uredbe.</w:t>
      </w:r>
    </w:p>
    <w:p w14:paraId="6759E813" w14:textId="1B61061D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Skladiščeni so ločeno v skladu z Načrtom gospodarjenja z odpadki. Odpadki se ne kopičijo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pooblaščeni zbiralci jih odvažajo tedensko vsaki ponedeljek.</w:t>
      </w:r>
    </w:p>
    <w:p w14:paraId="64EE1CC0" w14:textId="175117D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 Načrt gospodarjenja z odpadki je izdelan v letu 2016 za obdobje 2016-2020 je pa trenutno v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pripravi novi načrt gospodarjenja z odpadki.</w:t>
      </w:r>
    </w:p>
    <w:p w14:paraId="1DD1DD20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– Letno poročilo o nastajanju odpadkov in ravnanju z njimi je bilo posredovano na ARSO.</w:t>
      </w:r>
    </w:p>
    <w:p w14:paraId="171CD345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97583">
        <w:rPr>
          <w:rFonts w:ascii="Arial" w:hAnsi="Arial" w:cs="Arial"/>
          <w:sz w:val="20"/>
          <w:szCs w:val="20"/>
          <w:u w:val="single"/>
        </w:rPr>
        <w:t>Ravnanje z embalažo in odpadno embalažo</w:t>
      </w:r>
    </w:p>
    <w:p w14:paraId="47E1ABD9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Ravnanje z odpadno embalažo zagotavlja zavezanec sam. Nastopa kot pridobitelj.</w:t>
      </w:r>
    </w:p>
    <w:p w14:paraId="6F337BE7" w14:textId="6567C08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Kot pridobitelj embaliranega blaga imajo pridobljeno Potrdilo o vpisu v evidenco individualnih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sistemov ravnanja z odpadno embalažo pod številko 7. Številka potrdila 35473-231/2019-6 z dne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5.5.2020.</w:t>
      </w:r>
    </w:p>
    <w:p w14:paraId="25253E23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Letno poročilo končnega uporabnika je poslano na ARSO dne 14.5.2020.</w:t>
      </w:r>
    </w:p>
    <w:p w14:paraId="20CD89E0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Izdelan je načrt gospodarjenja z odpadno embalažo.</w:t>
      </w:r>
    </w:p>
    <w:p w14:paraId="082F22F5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97583">
        <w:rPr>
          <w:rFonts w:ascii="Arial" w:hAnsi="Arial" w:cs="Arial"/>
          <w:sz w:val="20"/>
          <w:szCs w:val="20"/>
          <w:u w:val="single"/>
        </w:rPr>
        <w:t>Emisije snovi in toplote v vode</w:t>
      </w:r>
    </w:p>
    <w:p w14:paraId="135CB68C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97583">
        <w:rPr>
          <w:rFonts w:ascii="Arial" w:hAnsi="Arial" w:cs="Arial"/>
          <w:sz w:val="20"/>
          <w:szCs w:val="20"/>
          <w:u w:val="single"/>
        </w:rPr>
        <w:t>Industrijske odpadne vode</w:t>
      </w:r>
    </w:p>
    <w:p w14:paraId="72A6C112" w14:textId="7A150A13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lastRenderedPageBreak/>
        <w:t>Trenutno sta aktivna dva odtoka in sicer V1-A in V1-1.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Odtok V1-D ni aktiven od 2013 ko so bile opravljene zadnje meritve, voda se uporabi v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tehnološkem procesu, in potrebe po izpustu ni več, je pa kljub temu še naveden v OVD3. V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obrazložitvi OVD3 na strani 8 je navedeno, da ne glede na to , da se na odtoku V1-D odpadna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voda že nekaj časa ne odvaja, upravljalec zaproša, da se v dovoljenju ohrani odtok V1-D in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možnost odvajanja odpadne vode preko tega odtoka za primer ko upravljalec vse odpadne vode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iz VE izpiranja ne more nikjer uporabiti in jo mora zavreči. Prisotna pove, da od leta 2013 ni bilo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izpusta na tem iztoku.</w:t>
      </w:r>
    </w:p>
    <w:p w14:paraId="6215BBFA" w14:textId="1FBC517E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Odtok V1-1E je upravljalec prijavil v vlogi iz leta 2017 in ker je bil OVD3 za omenjeno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spremembo prepozno izdan ( 2020 ) so investicijska sredstva porabili v druge namene.</w:t>
      </w:r>
    </w:p>
    <w:p w14:paraId="099CA5DB" w14:textId="07254520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 xml:space="preserve">Vodo oddajajo še vedno kot odpadek pooblaščenemu prevzemniku </w:t>
      </w:r>
      <w:proofErr w:type="spellStart"/>
      <w:r w:rsidRPr="00B97583">
        <w:rPr>
          <w:rFonts w:ascii="Arial" w:hAnsi="Arial" w:cs="Arial"/>
          <w:sz w:val="20"/>
          <w:szCs w:val="20"/>
        </w:rPr>
        <w:t>Saubermacher</w:t>
      </w:r>
      <w:proofErr w:type="spellEnd"/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 xml:space="preserve">Slovenija, kot </w:t>
      </w:r>
      <w:proofErr w:type="spellStart"/>
      <w:r w:rsidRPr="00B97583">
        <w:rPr>
          <w:rFonts w:ascii="Arial" w:hAnsi="Arial" w:cs="Arial"/>
          <w:sz w:val="20"/>
          <w:szCs w:val="20"/>
        </w:rPr>
        <w:t>koncetrat</w:t>
      </w:r>
      <w:proofErr w:type="spellEnd"/>
      <w:r w:rsidRPr="00B97583">
        <w:rPr>
          <w:rFonts w:ascii="Arial" w:hAnsi="Arial" w:cs="Arial"/>
          <w:sz w:val="20"/>
          <w:szCs w:val="20"/>
        </w:rPr>
        <w:t xml:space="preserve"> s šifro 11 01 98.</w:t>
      </w:r>
    </w:p>
    <w:p w14:paraId="080495E1" w14:textId="2368F368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 xml:space="preserve">Poročilo o obratovalnem monitoringu za leto 2019 izdelovalca IKEMA </w:t>
      </w:r>
      <w:proofErr w:type="spellStart"/>
      <w:r w:rsidRPr="00B97583">
        <w:rPr>
          <w:rFonts w:ascii="Arial" w:hAnsi="Arial" w:cs="Arial"/>
          <w:sz w:val="20"/>
          <w:szCs w:val="20"/>
        </w:rPr>
        <w:t>d.o.o</w:t>
      </w:r>
      <w:proofErr w:type="spellEnd"/>
      <w:r w:rsidRPr="00B97583">
        <w:rPr>
          <w:rFonts w:ascii="Arial" w:hAnsi="Arial" w:cs="Arial"/>
          <w:sz w:val="20"/>
          <w:szCs w:val="20"/>
        </w:rPr>
        <w:t>. Ptuj št.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PALFINGER_19 z dne 19.3.2020 je bilo poslano na ARSO ni preseganj mejnih vrednosti.</w:t>
      </w:r>
    </w:p>
    <w:p w14:paraId="32F681E0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 xml:space="preserve">Mulj iz oljnega lovilca se izčrpa enkrat letno in ga odpelje podjetje </w:t>
      </w:r>
      <w:proofErr w:type="spellStart"/>
      <w:r w:rsidRPr="00B97583">
        <w:rPr>
          <w:rFonts w:ascii="Arial" w:hAnsi="Arial" w:cs="Arial"/>
          <w:sz w:val="20"/>
          <w:szCs w:val="20"/>
        </w:rPr>
        <w:t>Saubermacher</w:t>
      </w:r>
      <w:proofErr w:type="spellEnd"/>
      <w:r w:rsidRPr="00B97583">
        <w:rPr>
          <w:rFonts w:ascii="Arial" w:hAnsi="Arial" w:cs="Arial"/>
          <w:sz w:val="20"/>
          <w:szCs w:val="20"/>
        </w:rPr>
        <w:t xml:space="preserve"> Slovenija </w:t>
      </w:r>
      <w:proofErr w:type="spellStart"/>
      <w:r w:rsidRPr="00B97583">
        <w:rPr>
          <w:rFonts w:ascii="Arial" w:hAnsi="Arial" w:cs="Arial"/>
          <w:sz w:val="20"/>
          <w:szCs w:val="20"/>
        </w:rPr>
        <w:t>d.o.o</w:t>
      </w:r>
      <w:proofErr w:type="spellEnd"/>
      <w:r w:rsidRPr="00B97583">
        <w:rPr>
          <w:rFonts w:ascii="Arial" w:hAnsi="Arial" w:cs="Arial"/>
          <w:sz w:val="20"/>
          <w:szCs w:val="20"/>
        </w:rPr>
        <w:t>.</w:t>
      </w:r>
    </w:p>
    <w:p w14:paraId="35E13D80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97583">
        <w:rPr>
          <w:rFonts w:ascii="Arial" w:hAnsi="Arial" w:cs="Arial"/>
          <w:sz w:val="20"/>
          <w:szCs w:val="20"/>
          <w:u w:val="single"/>
        </w:rPr>
        <w:t>Emisije snovi v zrak</w:t>
      </w:r>
    </w:p>
    <w:p w14:paraId="1D012A26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Predložen je Seznam izpuhov z evidenco monitoringov.</w:t>
      </w:r>
    </w:p>
    <w:p w14:paraId="50BAB4B1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Predložena je letna ocena emisij snovi v zrak, ni preseganj mejnih vrednosti.</w:t>
      </w:r>
    </w:p>
    <w:p w14:paraId="25B2CFAE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Novi viri – navedeni v spremembi OVD 2</w:t>
      </w:r>
    </w:p>
    <w:p w14:paraId="57D616D5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 Lakirno sušilna komora 1 z dvema izpustoma (Z41, Z42)</w:t>
      </w:r>
    </w:p>
    <w:p w14:paraId="4B36D44D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 Lakirno sušilna komora 2 z dvema izpustoma (Z45, Z46)</w:t>
      </w:r>
    </w:p>
    <w:p w14:paraId="117B6F88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 Lakirno sušilna komora 3 z dvema izpustoma (Z49, Z50)</w:t>
      </w:r>
    </w:p>
    <w:p w14:paraId="47727AEA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 Srednja kurilna naprava (moč: 1100 kW) z oznako izpusta (Z51)</w:t>
      </w:r>
    </w:p>
    <w:p w14:paraId="0DE239EE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 Mala kurilna naprava (moč 246 kW) z oznako izpusta (Z52)</w:t>
      </w:r>
    </w:p>
    <w:p w14:paraId="3AD5078C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- Dve mešalni komori, vsaka s po dvema izpustoma (Z43, Z44, Z47, Z48)</w:t>
      </w:r>
    </w:p>
    <w:p w14:paraId="198F6685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Prve meritve so bile na izpustih (Z41, Z42, Z45, Z46, Z49, Z50) opravljene v letu 2018.</w:t>
      </w:r>
    </w:p>
    <w:p w14:paraId="4967748C" w14:textId="3952A0F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Predložene meritve št:0010-05-18-EMIS z dne 31.7.2018. Iz meritev izhaja, da koncentracije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merjenih emitiranih snovi ne presegajo mejne vrednosti koncentracij z veljavno zakonodajo. Ker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je obratovalni monitoring potrebno izvajati na tri leta, so naslednje meritve planirane v letu 2021.</w:t>
      </w:r>
    </w:p>
    <w:p w14:paraId="20EF036A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97583">
        <w:rPr>
          <w:rFonts w:ascii="Arial" w:hAnsi="Arial" w:cs="Arial"/>
          <w:sz w:val="20"/>
          <w:szCs w:val="20"/>
          <w:u w:val="single"/>
        </w:rPr>
        <w:t>Klimatske naprave</w:t>
      </w:r>
    </w:p>
    <w:p w14:paraId="0C62CA36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 xml:space="preserve">Trenutno sta nameščena dva </w:t>
      </w:r>
      <w:proofErr w:type="spellStart"/>
      <w:r w:rsidRPr="00B97583">
        <w:rPr>
          <w:rFonts w:ascii="Arial" w:hAnsi="Arial" w:cs="Arial"/>
          <w:sz w:val="20"/>
          <w:szCs w:val="20"/>
        </w:rPr>
        <w:t>klimata</w:t>
      </w:r>
      <w:proofErr w:type="spellEnd"/>
      <w:r w:rsidRPr="00B97583">
        <w:rPr>
          <w:rFonts w:ascii="Arial" w:hAnsi="Arial" w:cs="Arial"/>
          <w:sz w:val="20"/>
          <w:szCs w:val="20"/>
        </w:rPr>
        <w:t>.</w:t>
      </w:r>
    </w:p>
    <w:p w14:paraId="44F41EC8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V skladu s točko 2.3.16 je bila nepremična oprema prijavljena na ARSO dne 29.9.2016.</w:t>
      </w:r>
    </w:p>
    <w:p w14:paraId="1535AB9B" w14:textId="426FD9D8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Dodatno je bila prijavljena tudi toplotna črpalka, ki je v novi lakirnici Marine in vsebuje več kot 3</w:t>
      </w:r>
      <w:r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kg hladilnega plina ( R410a v količini 12,4 kg ).</w:t>
      </w:r>
    </w:p>
    <w:p w14:paraId="47050657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97583">
        <w:rPr>
          <w:rFonts w:ascii="Arial" w:hAnsi="Arial" w:cs="Arial"/>
          <w:sz w:val="20"/>
          <w:szCs w:val="20"/>
          <w:u w:val="single"/>
        </w:rPr>
        <w:t>Kurilne naprave</w:t>
      </w:r>
    </w:p>
    <w:p w14:paraId="3E8B6918" w14:textId="797BA0F3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na lokaciji je nameščene ena srednja kurilna naprave na zemeljski plin z izpustom 1,1 MW Z51</w:t>
      </w:r>
      <w:r w:rsidR="00454B1F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v lakirnici Marine.</w:t>
      </w:r>
    </w:p>
    <w:p w14:paraId="054B9218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Ostale so male kurilne naprave vse na zemeljski plin in sicer 8 komadov od tega je ena neaktivna.</w:t>
      </w:r>
    </w:p>
    <w:p w14:paraId="3F304410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97583">
        <w:rPr>
          <w:rFonts w:ascii="Arial" w:hAnsi="Arial" w:cs="Arial"/>
          <w:sz w:val="20"/>
          <w:szCs w:val="20"/>
          <w:u w:val="single"/>
        </w:rPr>
        <w:t>Emisije HOS</w:t>
      </w:r>
    </w:p>
    <w:p w14:paraId="2D290A98" w14:textId="595B8892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Bilanca topil za celotno lokacijo za leto 2019 je narejena in oddana ( masa trdnih snovi 80.135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kg, faktor 1.5 , odstotek 0,25– ciljna emisija 30.050 kg dejanska emisija 20.194 kg ).</w:t>
      </w:r>
    </w:p>
    <w:p w14:paraId="74AD3438" w14:textId="56039D00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Koncentracije celokupnega organskega ogljika na odvodu iz sežigalne naprave ( Z5) NE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presegajo mejne vrednosti koncentracije, določene z veljavno zakonodajo.</w:t>
      </w:r>
    </w:p>
    <w:p w14:paraId="33B939F0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B97583">
        <w:rPr>
          <w:rFonts w:ascii="Arial" w:hAnsi="Arial" w:cs="Arial"/>
          <w:sz w:val="20"/>
          <w:szCs w:val="20"/>
          <w:u w:val="single"/>
        </w:rPr>
        <w:t>Emisije hrupa</w:t>
      </w:r>
    </w:p>
    <w:p w14:paraId="43CA7FCC" w14:textId="648B8A11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Točka 5.3.1.a OVD2 pravi, da mora upravljalec prvo ocenjevanje hrupa za napravo iz točke 1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izreka dovoljenja izvesti v času poskusnega obratovanja oz. po vzpostavitvi stabilnih obratovalnih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razmer. Zadnje Poročilo strokovne ocene obremenitve okolja s hrupom je bilo opravljeno v letu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2017 za projekt nova lakirnica št. Poročila CEVO – 342/2017 izvedene s strani IVD Maribor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izmerjene vrednosti so pod mejo. Občasne meritve se izvajajo vsako tretje leto, zadnje izvedene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 xml:space="preserve">v letu 2017 št: 0180-11-17 HRUP Dodatek z dne 1.12.2017 izvajalca </w:t>
      </w:r>
      <w:proofErr w:type="spellStart"/>
      <w:r w:rsidRPr="00B97583">
        <w:rPr>
          <w:rFonts w:ascii="Arial" w:hAnsi="Arial" w:cs="Arial"/>
          <w:sz w:val="20"/>
          <w:szCs w:val="20"/>
        </w:rPr>
        <w:t>Ekosystem</w:t>
      </w:r>
      <w:proofErr w:type="spellEnd"/>
      <w:r w:rsidRPr="00B975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7583">
        <w:rPr>
          <w:rFonts w:ascii="Arial" w:hAnsi="Arial" w:cs="Arial"/>
          <w:sz w:val="20"/>
          <w:szCs w:val="20"/>
        </w:rPr>
        <w:t>d.o.o</w:t>
      </w:r>
      <w:proofErr w:type="spellEnd"/>
      <w:r w:rsidRPr="00B97583">
        <w:rPr>
          <w:rFonts w:ascii="Arial" w:hAnsi="Arial" w:cs="Arial"/>
          <w:sz w:val="20"/>
          <w:szCs w:val="20"/>
        </w:rPr>
        <w:t>..</w:t>
      </w:r>
    </w:p>
    <w:p w14:paraId="1EAC6EF2" w14:textId="25EE1914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Točka 8.2. OVD se spremeni v OVD 2- primer požara točka 25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Upravljalec zagotavlja dve lokaciji, kjer se skladišči penilno sredstvo, da se v primeru požara gasi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s peno. Dogovor imajo sklenjen s poklicno gasilsko enoto Maribor in enkrat letno opravijo skupno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gasilsko vajo na območju lakirnice. Alarmiranje je urejeno s poklicno gasilsko enoto Maribor.</w:t>
      </w:r>
    </w:p>
    <w:p w14:paraId="0FD5D9A8" w14:textId="1B9A10EF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lastRenderedPageBreak/>
        <w:t>Zavezanec izpolnjuje obveznosti iz OVD, razen investicije ionskega izmenjevalca, ki pa ni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bil izveden. Vlogo so podali na ARSO v letu 2017, dovoljenje ( OVD3 ) je bilo izdano šele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marca 2020, zaradi tega investicije niso izvajali. V zvezi z izvedbo ionskega izmenjevalca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je bila izdana odločba.</w:t>
      </w:r>
    </w:p>
    <w:p w14:paraId="1C3A9367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832DC53" w14:textId="05F9552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b/>
          <w:bCs/>
          <w:sz w:val="20"/>
          <w:szCs w:val="20"/>
        </w:rPr>
        <w:t>Zavezanec izpolnjuje obveznosti iz OVD, razen investicije ionskega izmenjevalca, ki pa ni</w:t>
      </w:r>
      <w:r w:rsidR="00B97583" w:rsidRPr="00B975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7583">
        <w:rPr>
          <w:rFonts w:ascii="Arial" w:hAnsi="Arial" w:cs="Arial"/>
          <w:b/>
          <w:bCs/>
          <w:sz w:val="20"/>
          <w:szCs w:val="20"/>
        </w:rPr>
        <w:t>bil izveden. Vlogo so podali na ARSO v letu 2017, dovoljenje ( OVD3 ) je bilo izdano šele</w:t>
      </w:r>
      <w:r w:rsidR="00B97583" w:rsidRPr="00B975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7583">
        <w:rPr>
          <w:rFonts w:ascii="Arial" w:hAnsi="Arial" w:cs="Arial"/>
          <w:b/>
          <w:bCs/>
          <w:sz w:val="20"/>
          <w:szCs w:val="20"/>
        </w:rPr>
        <w:t xml:space="preserve">marca </w:t>
      </w:r>
      <w:r w:rsidR="00B97583">
        <w:rPr>
          <w:rFonts w:ascii="Arial" w:hAnsi="Arial" w:cs="Arial"/>
          <w:b/>
          <w:bCs/>
          <w:sz w:val="20"/>
          <w:szCs w:val="20"/>
        </w:rPr>
        <w:t>2</w:t>
      </w:r>
      <w:r w:rsidRPr="00B97583">
        <w:rPr>
          <w:rFonts w:ascii="Arial" w:hAnsi="Arial" w:cs="Arial"/>
          <w:b/>
          <w:bCs/>
          <w:sz w:val="20"/>
          <w:szCs w:val="20"/>
        </w:rPr>
        <w:t>020, zaradi tega investicije niso izvajali. V zvezi z izvedbo ionskega izmenjevalca</w:t>
      </w:r>
      <w:r w:rsidR="00B97583" w:rsidRPr="00B975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7583">
        <w:rPr>
          <w:rFonts w:ascii="Arial" w:hAnsi="Arial" w:cs="Arial"/>
          <w:b/>
          <w:bCs/>
          <w:sz w:val="20"/>
          <w:szCs w:val="20"/>
        </w:rPr>
        <w:t>je bila izdana odločba.</w:t>
      </w:r>
    </w:p>
    <w:p w14:paraId="523B6439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97583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4B80B327" w14:textId="77777777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Naslednji redni inšpekcijski pregledi bodo pri zavezancu opravljeni po preteku roka iz odločbe, v</w:t>
      </w:r>
    </w:p>
    <w:p w14:paraId="0D35880A" w14:textId="16C9428A" w:rsidR="0035170A" w:rsidRPr="00B97583" w:rsidRDefault="0035170A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97583">
        <w:rPr>
          <w:rFonts w:ascii="Arial" w:hAnsi="Arial" w:cs="Arial"/>
          <w:sz w:val="20"/>
          <w:szCs w:val="20"/>
        </w:rPr>
        <w:t>skladu s planom Inšpektorata.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Naslednji redni inšpekcijski pregledi bodo pri zavezancu opravljeni po preteku roka iz odločbe, v</w:t>
      </w:r>
      <w:r w:rsidR="00B97583" w:rsidRPr="00B97583">
        <w:rPr>
          <w:rFonts w:ascii="Arial" w:hAnsi="Arial" w:cs="Arial"/>
          <w:sz w:val="20"/>
          <w:szCs w:val="20"/>
        </w:rPr>
        <w:t xml:space="preserve"> </w:t>
      </w:r>
      <w:r w:rsidRPr="00B97583">
        <w:rPr>
          <w:rFonts w:ascii="Arial" w:hAnsi="Arial" w:cs="Arial"/>
          <w:sz w:val="20"/>
          <w:szCs w:val="20"/>
        </w:rPr>
        <w:t>skladu s planom Inšpektorata.</w:t>
      </w:r>
    </w:p>
    <w:p w14:paraId="06042CEC" w14:textId="38655F75" w:rsidR="00CD48FD" w:rsidRPr="00B97583" w:rsidRDefault="00CD48FD" w:rsidP="00B9758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CD48FD" w:rsidRPr="00B97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1758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264E9"/>
    <w:rsid w:val="00245757"/>
    <w:rsid w:val="0027194F"/>
    <w:rsid w:val="002A12F0"/>
    <w:rsid w:val="002A72F7"/>
    <w:rsid w:val="002E0FD3"/>
    <w:rsid w:val="0033379D"/>
    <w:rsid w:val="00333801"/>
    <w:rsid w:val="00342783"/>
    <w:rsid w:val="0035170A"/>
    <w:rsid w:val="00386FB2"/>
    <w:rsid w:val="00390E80"/>
    <w:rsid w:val="00390ED0"/>
    <w:rsid w:val="00392133"/>
    <w:rsid w:val="0039672E"/>
    <w:rsid w:val="003B0849"/>
    <w:rsid w:val="003B6A98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4B1F"/>
    <w:rsid w:val="00460C36"/>
    <w:rsid w:val="004715AF"/>
    <w:rsid w:val="0047472F"/>
    <w:rsid w:val="00483182"/>
    <w:rsid w:val="00492927"/>
    <w:rsid w:val="00495F9B"/>
    <w:rsid w:val="004977D6"/>
    <w:rsid w:val="004A0CF7"/>
    <w:rsid w:val="004A2189"/>
    <w:rsid w:val="004A44D8"/>
    <w:rsid w:val="004C1644"/>
    <w:rsid w:val="004C4C03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B7A24"/>
    <w:rsid w:val="005C0745"/>
    <w:rsid w:val="005C20FD"/>
    <w:rsid w:val="005C4407"/>
    <w:rsid w:val="005E4825"/>
    <w:rsid w:val="00620545"/>
    <w:rsid w:val="00624EE9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2773C"/>
    <w:rsid w:val="008751B7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AF50E4"/>
    <w:rsid w:val="00B13580"/>
    <w:rsid w:val="00B20262"/>
    <w:rsid w:val="00B62287"/>
    <w:rsid w:val="00B81816"/>
    <w:rsid w:val="00B87CE0"/>
    <w:rsid w:val="00B87DD5"/>
    <w:rsid w:val="00B97583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86D95"/>
    <w:rsid w:val="00C915FB"/>
    <w:rsid w:val="00CB18A8"/>
    <w:rsid w:val="00CC3D41"/>
    <w:rsid w:val="00CC5F80"/>
    <w:rsid w:val="00CD48FD"/>
    <w:rsid w:val="00CE4409"/>
    <w:rsid w:val="00CF2EB3"/>
    <w:rsid w:val="00CF4184"/>
    <w:rsid w:val="00CF7C83"/>
    <w:rsid w:val="00D01D82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C4156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5507</Characters>
  <Application>Microsoft Office Word</Application>
  <DocSecurity>2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2021-03-16T15:53:00Z</dcterms:created>
  <dcterms:modified xsi:type="dcterms:W3CDTF">2021-03-16T16:01:00Z</dcterms:modified>
</cp:coreProperties>
</file>