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43BEBA9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3FEB3DD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 xml:space="preserve">Zavezanec: </w:t>
      </w:r>
    </w:p>
    <w:p w14:paraId="19CC9467" w14:textId="60D12ED6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 xml:space="preserve">Lek </w:t>
      </w:r>
      <w:proofErr w:type="spellStart"/>
      <w:r w:rsidRPr="00B62287">
        <w:rPr>
          <w:color w:val="auto"/>
          <w:sz w:val="20"/>
          <w:szCs w:val="20"/>
        </w:rPr>
        <w:t>d.d</w:t>
      </w:r>
      <w:proofErr w:type="spellEnd"/>
      <w:r w:rsidRPr="00B62287">
        <w:rPr>
          <w:color w:val="auto"/>
          <w:sz w:val="20"/>
          <w:szCs w:val="20"/>
        </w:rPr>
        <w:t>., Verovškova ulica 57, 1526 Ljubljana, PE Proizvodnja Mengeš</w:t>
      </w:r>
    </w:p>
    <w:p w14:paraId="61A91436" w14:textId="77777777" w:rsid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7D0FC3A3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 xml:space="preserve">Naprava / lokacija: </w:t>
      </w:r>
    </w:p>
    <w:p w14:paraId="5865FD5F" w14:textId="2E794318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Kolodvorska cesta 27, 1234 Mengeš</w:t>
      </w:r>
    </w:p>
    <w:p w14:paraId="337B21C6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800784C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 xml:space="preserve">Datum pregleda: </w:t>
      </w:r>
    </w:p>
    <w:p w14:paraId="5BB60A10" w14:textId="15CB6C25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28. 3. 2019</w:t>
      </w:r>
    </w:p>
    <w:p w14:paraId="0AB9ADAC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8BC5C6B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71ACFEDF" w14:textId="5525CE0C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35407-171/2006 – 24 z dne 14. 5. 2010 spremenjeno z odločbami 35407-22/2010-8 z</w:t>
      </w:r>
    </w:p>
    <w:p w14:paraId="14BAA2E8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dne 28.12.2010, 35407-54/2011-5 z dne 16. 05. 2012, 35406-24/2012-3 z dne 23. 08. 2012,</w:t>
      </w:r>
    </w:p>
    <w:p w14:paraId="5708555A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35406-25/2013-6 z dne 11. 11. 2013, 35406-42/2014-4 z dne 10. 09. 2014, 35406-7/2015-7 z</w:t>
      </w:r>
    </w:p>
    <w:p w14:paraId="75BF4AF0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dne 20. 4. 2015, 35406-33/2015-20 z dne 9.2.2016, 35406-43/2016-8 z dne 30.3.2017 in</w:t>
      </w:r>
    </w:p>
    <w:p w14:paraId="46AAD2F2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35406-77/2017-5 z dne 15.11.2018</w:t>
      </w:r>
    </w:p>
    <w:p w14:paraId="5854592F" w14:textId="77777777" w:rsid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226B6E33" w14:textId="6D47033E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>Usklajenost z OVD:</w:t>
      </w:r>
    </w:p>
    <w:p w14:paraId="0E6F5DAB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>DA</w:t>
      </w:r>
      <w:r w:rsidRPr="00B62287">
        <w:rPr>
          <w:color w:val="auto"/>
          <w:sz w:val="20"/>
          <w:szCs w:val="20"/>
        </w:rPr>
        <w:t>. Inšpekcijski pregled zavezanca je bil opravljen po področjih, kot so navedena v</w:t>
      </w:r>
    </w:p>
    <w:p w14:paraId="61691301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okoljevarstvenem dovoljenju (emisije snovi v zrak, emisije snovi in toplote v vode, emisije hrupa,</w:t>
      </w:r>
    </w:p>
    <w:p w14:paraId="170AFBCF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ravnanje z odpadki, skladiščenje nevarnih tekočin v nepremičnih skladiščnih rezervoarjih in</w:t>
      </w:r>
    </w:p>
    <w:p w14:paraId="1B6B0400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drugi pogoji). Zahteve iz OVD zavezanec izpolnjuje ter z obratovanjem naprave na citirani</w:t>
      </w:r>
    </w:p>
    <w:p w14:paraId="738538A2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lokaciji ne obremenjuje okolja čezmerno z emisijami v zrak, vode in hrupom. Obratovalne</w:t>
      </w:r>
    </w:p>
    <w:p w14:paraId="58DA8760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monitoringe na izpustih v zrak, v vode in hrupa izvaja redno, letna poročila o izvedenih</w:t>
      </w:r>
    </w:p>
    <w:p w14:paraId="528856B3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monitoringih pravočasno posreduje na ARSO. Z odpadki ravna skladno z zahtevami OVD.</w:t>
      </w:r>
    </w:p>
    <w:p w14:paraId="5372EF49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Odpadki so shranjeni v embalaži iz materiala, ki je odporen proti učinkovanju shranjenih</w:t>
      </w:r>
    </w:p>
    <w:p w14:paraId="7B52B0B0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odpadkov, saj iz skladiščnih posod z odpadki ni opaziti iztekanja odpadkov. Z nevarnimi</w:t>
      </w:r>
    </w:p>
    <w:p w14:paraId="2E5142BB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tekočinami v nepremičnih skladiščnih posodah ravna skladno z zahtevami iz OVD. Pregledi</w:t>
      </w:r>
    </w:p>
    <w:p w14:paraId="7E79BDE5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nepremičnih skladiščnih posod (med obratovanjem in izpraznjene) se izvajajo redno, skladiščne</w:t>
      </w:r>
    </w:p>
    <w:p w14:paraId="1F7702B7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posode so ustrezno opremljene z napravami za varno obratovanje. Za rabo tehnološke vode</w:t>
      </w:r>
    </w:p>
    <w:p w14:paraId="33AFD829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ima pridobljeno vodno dovoljenje, katerega glede opremljenosti in odvzetih količin vode</w:t>
      </w:r>
    </w:p>
    <w:p w14:paraId="7C0460C7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spoštuje.</w:t>
      </w:r>
    </w:p>
    <w:p w14:paraId="4F01A1DC" w14:textId="77777777" w:rsidR="00B62287" w:rsidRPr="00B62287" w:rsidRDefault="00B62287" w:rsidP="00B6228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62287">
        <w:rPr>
          <w:b/>
          <w:bCs/>
          <w:color w:val="auto"/>
          <w:sz w:val="20"/>
          <w:szCs w:val="20"/>
        </w:rPr>
        <w:t>Zaključki / naslednje aktivnosti:</w:t>
      </w:r>
    </w:p>
    <w:p w14:paraId="0CAB6099" w14:textId="77777777" w:rsidR="00B62287" w:rsidRPr="00B62287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lastRenderedPageBreak/>
        <w:t>Ni bilo ugotovljenih kršitev predpisov, zato bo naslednji pregled predvidoma izveden najkasneje</w:t>
      </w:r>
    </w:p>
    <w:p w14:paraId="5583BB9C" w14:textId="25A581BC" w:rsidR="00ED7EAA" w:rsidRPr="002A12F0" w:rsidRDefault="00B62287" w:rsidP="00B62287">
      <w:pPr>
        <w:pStyle w:val="Default"/>
        <w:spacing w:line="260" w:lineRule="exact"/>
        <w:rPr>
          <w:color w:val="auto"/>
          <w:sz w:val="20"/>
          <w:szCs w:val="20"/>
        </w:rPr>
      </w:pPr>
      <w:r w:rsidRPr="00B62287">
        <w:rPr>
          <w:color w:val="auto"/>
          <w:sz w:val="20"/>
          <w:szCs w:val="20"/>
        </w:rPr>
        <w:t>v treh letih.</w:t>
      </w:r>
    </w:p>
    <w:sectPr w:rsidR="00ED7EAA" w:rsidRPr="002A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357A8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2021-03-16T14:02:00Z</dcterms:created>
  <dcterms:modified xsi:type="dcterms:W3CDTF">2021-03-16T14:04:00Z</dcterms:modified>
</cp:coreProperties>
</file>