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5583BB9C" w14:textId="77777777" w:rsidR="00ED7EAA" w:rsidRDefault="00ED7EAA" w:rsidP="005B1628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3E23383" w14:textId="77777777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17DED15B" w14:textId="77777777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>Zavezanec:</w:t>
      </w:r>
    </w:p>
    <w:p w14:paraId="5A123C57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KOVINOPLASTIKA LOŽ d. o. o., Cesta 19. oktobra 57, 1386 Stari trg pri Ložu</w:t>
      </w:r>
    </w:p>
    <w:p w14:paraId="44ADCE84" w14:textId="77777777" w:rsid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8A1BCDC" w14:textId="2DAC43B2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>Naprava / lokacija:</w:t>
      </w:r>
    </w:p>
    <w:p w14:paraId="3FD702F0" w14:textId="77777777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>Naprave:</w:t>
      </w:r>
    </w:p>
    <w:p w14:paraId="369881D0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 xml:space="preserve">- za površinsko obdelavo kovin z uporabo elektrolitskih ali kemičnih procesov – </w:t>
      </w:r>
      <w:proofErr w:type="spellStart"/>
      <w:r w:rsidRPr="007B592F">
        <w:rPr>
          <w:color w:val="auto"/>
          <w:sz w:val="20"/>
          <w:szCs w:val="20"/>
        </w:rPr>
        <w:t>galvano</w:t>
      </w:r>
      <w:proofErr w:type="spellEnd"/>
      <w:r w:rsidRPr="007B592F">
        <w:rPr>
          <w:color w:val="auto"/>
          <w:sz w:val="20"/>
          <w:szCs w:val="20"/>
        </w:rPr>
        <w:t xml:space="preserve"> z</w:t>
      </w:r>
    </w:p>
    <w:p w14:paraId="13B8CD20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volumnom delovnih kadi (brez izpiranja) 252,37m3,</w:t>
      </w:r>
    </w:p>
    <w:p w14:paraId="33A1FFD2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- za taljenje cinkovih zlitin s talilno zmogljivostjo 11 ton/dan (livarna) in</w:t>
      </w:r>
    </w:p>
    <w:p w14:paraId="68DFE1CB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 xml:space="preserve">- za proizvodnjo izdelkov iz nerjaveče pločevine s proizvodno zmogljivostjo 0,8 ton/uro (PC </w:t>
      </w:r>
      <w:proofErr w:type="spellStart"/>
      <w:r w:rsidRPr="007B592F">
        <w:rPr>
          <w:color w:val="auto"/>
          <w:sz w:val="20"/>
          <w:szCs w:val="20"/>
        </w:rPr>
        <w:t>Inox</w:t>
      </w:r>
      <w:proofErr w:type="spellEnd"/>
      <w:r w:rsidRPr="007B592F">
        <w:rPr>
          <w:color w:val="auto"/>
          <w:sz w:val="20"/>
          <w:szCs w:val="20"/>
        </w:rPr>
        <w:t>),</w:t>
      </w:r>
    </w:p>
    <w:p w14:paraId="6FE62606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 xml:space="preserve">se nahajajo na lokaciji Cesta 19. oktobra 57 v Starem trgu pri Ložu, na zemljiščih s </w:t>
      </w:r>
      <w:proofErr w:type="spellStart"/>
      <w:r w:rsidRPr="007B592F">
        <w:rPr>
          <w:color w:val="auto"/>
          <w:sz w:val="20"/>
          <w:szCs w:val="20"/>
        </w:rPr>
        <w:t>parc</w:t>
      </w:r>
      <w:proofErr w:type="spellEnd"/>
      <w:r w:rsidRPr="007B592F">
        <w:rPr>
          <w:color w:val="auto"/>
          <w:sz w:val="20"/>
          <w:szCs w:val="20"/>
        </w:rPr>
        <w:t>. št.</w:t>
      </w:r>
    </w:p>
    <w:p w14:paraId="6B4DA8FE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1567/4, 1568/2, 1571/2, 1583, 1584, 1587/1, 1587/3, 1595/2, 1598/1, 1598/2, 1598/6, 1598/8,</w:t>
      </w:r>
    </w:p>
    <w:p w14:paraId="1D58F902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1598/11,1651/2, 1651/3, 1651/8, 1651/12, 1652, 1653/1, 1653/2, 1653/3, 1656/3, 1656/4, 1656/6.</w:t>
      </w:r>
    </w:p>
    <w:p w14:paraId="79558861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1656/7. 1656/8, 1656/9, 2258/3, vse k. o. Lož.</w:t>
      </w:r>
    </w:p>
    <w:p w14:paraId="401BFA07" w14:textId="77777777" w:rsid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15DFC74" w14:textId="5AD88966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>Datum pregleda:</w:t>
      </w:r>
    </w:p>
    <w:p w14:paraId="6DAADADC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24.4.2019</w:t>
      </w:r>
    </w:p>
    <w:p w14:paraId="22932AF7" w14:textId="77777777" w:rsid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B442CA6" w14:textId="77777777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2F251C8C" w14:textId="0DF32E54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35407-5/2006 – 22 z dne 20.6.2007 spremenjeno z odločbami št. 35407-25/2010-9 z dne</w:t>
      </w:r>
    </w:p>
    <w:p w14:paraId="3DC4EE57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22.2.2011, št. 35406-25/2014-5 z dne18.6.2014, št. 35406-57/2015-12 z dne 22.6.2016 in št.</w:t>
      </w:r>
    </w:p>
    <w:p w14:paraId="46F86462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35406-68/2017-12 z dne 2.4.2019, v nadaljevanju OVD.</w:t>
      </w:r>
    </w:p>
    <w:p w14:paraId="1480F936" w14:textId="77777777" w:rsid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E9B8D0F" w14:textId="607F738E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>Usklajenost z OVD:</w:t>
      </w:r>
    </w:p>
    <w:p w14:paraId="422FE934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Pri pregledu je ugotovljeno, da zavezanec zagotavlja izvajanje predpisanih obratovalnih</w:t>
      </w:r>
    </w:p>
    <w:p w14:paraId="5C0D06A4" w14:textId="795B424E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monitoringov emisij snovi v okolje za zrak, odpadne vode, hrup, in zagotavlja predpisano ravnanje</w:t>
      </w:r>
      <w:r w:rsidRPr="007B592F">
        <w:rPr>
          <w:color w:val="auto"/>
          <w:sz w:val="20"/>
          <w:szCs w:val="20"/>
        </w:rPr>
        <w:t xml:space="preserve"> </w:t>
      </w:r>
      <w:r w:rsidRPr="007B592F">
        <w:rPr>
          <w:color w:val="auto"/>
          <w:sz w:val="20"/>
          <w:szCs w:val="20"/>
        </w:rPr>
        <w:t>z odpadki, ki nastajajo pri obratovanju naprave ter ima urejeno skladiščenje odpadkov in nevarnih</w:t>
      </w:r>
      <w:r w:rsidRPr="007B592F">
        <w:rPr>
          <w:color w:val="auto"/>
          <w:sz w:val="20"/>
          <w:szCs w:val="20"/>
        </w:rPr>
        <w:t xml:space="preserve"> </w:t>
      </w:r>
      <w:r w:rsidRPr="007B592F">
        <w:rPr>
          <w:color w:val="auto"/>
          <w:sz w:val="20"/>
          <w:szCs w:val="20"/>
        </w:rPr>
        <w:t>snovi.</w:t>
      </w:r>
    </w:p>
    <w:p w14:paraId="7AC4A3E1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Glede na izkazana poročila o obratovalnem monitoringu emisij snovi v okolje za zrak, odpadne</w:t>
      </w:r>
    </w:p>
    <w:p w14:paraId="64CFFAED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vode in meritvah hrupa v okolju ni bilo ugotovljenih preseganj mejnih vrednosti.</w:t>
      </w:r>
    </w:p>
    <w:p w14:paraId="19DA509C" w14:textId="77777777" w:rsidR="007B592F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O vseh opravljenih meritvah in o ravnanju z odpadki zavezanec pravočasno poroča.</w:t>
      </w:r>
    </w:p>
    <w:p w14:paraId="02BFCBB6" w14:textId="77777777" w:rsid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67532379" w14:textId="3D0BA4D8" w:rsidR="007B592F" w:rsidRPr="007B592F" w:rsidRDefault="007B592F" w:rsidP="007B592F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B592F">
        <w:rPr>
          <w:b/>
          <w:bCs/>
          <w:color w:val="auto"/>
          <w:sz w:val="20"/>
          <w:szCs w:val="20"/>
        </w:rPr>
        <w:t>Zaključki / naslednje aktivnosti:</w:t>
      </w:r>
    </w:p>
    <w:p w14:paraId="448A3F6E" w14:textId="7B84B8A3" w:rsidR="00ED7EAA" w:rsidRPr="007B592F" w:rsidRDefault="007B592F" w:rsidP="007B592F">
      <w:pPr>
        <w:pStyle w:val="Default"/>
        <w:spacing w:line="260" w:lineRule="exact"/>
        <w:rPr>
          <w:color w:val="auto"/>
          <w:sz w:val="20"/>
          <w:szCs w:val="20"/>
        </w:rPr>
      </w:pPr>
      <w:r w:rsidRPr="007B592F">
        <w:rPr>
          <w:color w:val="auto"/>
          <w:sz w:val="20"/>
          <w:szCs w:val="20"/>
        </w:rPr>
        <w:t>Naslednji redni inšpekcijski pregled je predviden v skladu s planom Inšpektorata.</w:t>
      </w:r>
    </w:p>
    <w:sectPr w:rsidR="00ED7EAA" w:rsidRPr="007B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A059C"/>
    <w:rsid w:val="009A45C1"/>
    <w:rsid w:val="00A57B3D"/>
    <w:rsid w:val="00AA2221"/>
    <w:rsid w:val="00AE1983"/>
    <w:rsid w:val="00B13580"/>
    <w:rsid w:val="00B20262"/>
    <w:rsid w:val="00B87CE0"/>
    <w:rsid w:val="00BB072E"/>
    <w:rsid w:val="00C06B2C"/>
    <w:rsid w:val="00C325EE"/>
    <w:rsid w:val="00C4052B"/>
    <w:rsid w:val="00C40639"/>
    <w:rsid w:val="00C42460"/>
    <w:rsid w:val="00C4472B"/>
    <w:rsid w:val="00C915FB"/>
    <w:rsid w:val="00CB18A8"/>
    <w:rsid w:val="00CC3D41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D7EAA"/>
    <w:rsid w:val="00EF2683"/>
    <w:rsid w:val="00F00618"/>
    <w:rsid w:val="00F107E8"/>
    <w:rsid w:val="00F86595"/>
    <w:rsid w:val="00F907B6"/>
    <w:rsid w:val="00FC0B40"/>
    <w:rsid w:val="00FC1D10"/>
    <w:rsid w:val="00FC1D5F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2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2021-03-16T13:19:00Z</dcterms:created>
  <dcterms:modified xsi:type="dcterms:W3CDTF">2021-03-16T13:21:00Z</dcterms:modified>
</cp:coreProperties>
</file>