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9297C" w14:textId="4B19E683" w:rsidR="00072BB8" w:rsidRDefault="00F86595" w:rsidP="00FC1D10">
      <w:pPr>
        <w:pStyle w:val="Default"/>
        <w:spacing w:line="260" w:lineRule="exact"/>
        <w:rPr>
          <w:b/>
          <w:bCs/>
          <w:color w:val="auto"/>
          <w:sz w:val="20"/>
          <w:szCs w:val="20"/>
        </w:rPr>
      </w:pPr>
      <w:r w:rsidRPr="00CC5F80">
        <w:rPr>
          <w:noProof/>
          <w:sz w:val="20"/>
          <w:szCs w:val="20"/>
          <w:highlight w:val="yellow"/>
          <w:lang w:eastAsia="sl-SI"/>
        </w:rPr>
        <mc:AlternateContent>
          <mc:Choice Requires="wps">
            <w:drawing>
              <wp:anchor distT="0" distB="0" distL="114300" distR="114300" simplePos="0" relativeHeight="251659264" behindDoc="1" locked="0" layoutInCell="1" allowOverlap="1" wp14:anchorId="1CE599E3" wp14:editId="38A1F979">
                <wp:simplePos x="0" y="0"/>
                <wp:positionH relativeFrom="column">
                  <wp:posOffset>-71120</wp:posOffset>
                </wp:positionH>
                <wp:positionV relativeFrom="paragraph">
                  <wp:posOffset>214630</wp:posOffset>
                </wp:positionV>
                <wp:extent cx="6172200" cy="2419350"/>
                <wp:effectExtent l="0" t="0" r="0" b="0"/>
                <wp:wrapThrough wrapText="bothSides">
                  <wp:wrapPolygon edited="0">
                    <wp:start x="0" y="0"/>
                    <wp:lineTo x="0" y="21430"/>
                    <wp:lineTo x="21533" y="21430"/>
                    <wp:lineTo x="21533" y="0"/>
                    <wp:lineTo x="0" y="0"/>
                  </wp:wrapPolygon>
                </wp:wrapThrough>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41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B87CE0">
                            <w:pPr>
                              <w:tabs>
                                <w:tab w:val="left" w:pos="6120"/>
                              </w:tabs>
                              <w:spacing w:line="260" w:lineRule="exact"/>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599E3" id="_x0000_t202" coordsize="21600,21600" o:spt="202" path="m,l,21600r21600,l21600,xe">
                <v:stroke joinstyle="miter"/>
                <v:path gradientshapeok="t" o:connecttype="rect"/>
              </v:shapetype>
              <v:shape id="Polje z besedilom 1" o:spid="_x0000_s1026" type="#_x0000_t202" alt="&quot;&quot;" style="position:absolute;margin-left:-5.6pt;margin-top:16.9pt;width:486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" stroked="f">
                <v:textbo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B87CE0">
                      <w:pPr>
                        <w:tabs>
                          <w:tab w:val="left" w:pos="6120"/>
                        </w:tabs>
                        <w:spacing w:line="260" w:lineRule="exact"/>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v:textbox>
                <w10:wrap type="through"/>
              </v:shape>
            </w:pict>
          </mc:Fallback>
        </mc:AlternateContent>
      </w:r>
      <w:r w:rsidRPr="00CC5F80">
        <w:rPr>
          <w:noProof/>
          <w:sz w:val="20"/>
          <w:szCs w:val="20"/>
          <w:highlight w:val="yellow"/>
          <w:lang w:eastAsia="sl-SI"/>
        </w:rPr>
        <w:drawing>
          <wp:anchor distT="0" distB="0" distL="114300" distR="114300" simplePos="0" relativeHeight="251660288" behindDoc="1" locked="0" layoutInCell="1" allowOverlap="1" wp14:anchorId="3C327CD2" wp14:editId="79FDBF5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00187160" w:rsidRPr="00187160">
        <w:rPr>
          <w:b/>
          <w:bCs/>
          <w:sz w:val="20"/>
          <w:szCs w:val="20"/>
        </w:rPr>
        <w:t xml:space="preserve"> </w:t>
      </w:r>
    </w:p>
    <w:p w14:paraId="21EC4F74" w14:textId="01B0E279" w:rsidR="00072BB8" w:rsidRPr="00B87CE0" w:rsidRDefault="00072BB8" w:rsidP="00FC1D10">
      <w:pPr>
        <w:pStyle w:val="Default"/>
        <w:spacing w:line="260" w:lineRule="exact"/>
        <w:rPr>
          <w:b/>
          <w:bCs/>
          <w:color w:val="auto"/>
          <w:sz w:val="20"/>
          <w:szCs w:val="20"/>
        </w:rPr>
      </w:pPr>
    </w:p>
    <w:p w14:paraId="4CB644DF" w14:textId="77777777" w:rsidR="006E22B6" w:rsidRPr="006E22B6" w:rsidRDefault="006E22B6" w:rsidP="00FC1D10">
      <w:pPr>
        <w:pStyle w:val="Default"/>
        <w:spacing w:line="260" w:lineRule="exact"/>
        <w:rPr>
          <w:b/>
          <w:bCs/>
          <w:color w:val="auto"/>
          <w:sz w:val="20"/>
          <w:szCs w:val="20"/>
        </w:rPr>
      </w:pPr>
      <w:r w:rsidRPr="006E22B6">
        <w:rPr>
          <w:b/>
          <w:bCs/>
          <w:color w:val="auto"/>
          <w:sz w:val="20"/>
          <w:szCs w:val="20"/>
        </w:rPr>
        <w:t>POROČILO O REDNEM INŠPEKCIJSKEM PREGLEDU NAPRAVE, KI LAHKO POVZROČI</w:t>
      </w:r>
    </w:p>
    <w:p w14:paraId="077D0584" w14:textId="77777777" w:rsidR="006E22B6" w:rsidRPr="006E22B6" w:rsidRDefault="006E22B6" w:rsidP="00FC1D10">
      <w:pPr>
        <w:pStyle w:val="Default"/>
        <w:spacing w:line="260" w:lineRule="exact"/>
        <w:rPr>
          <w:b/>
          <w:bCs/>
          <w:color w:val="auto"/>
          <w:sz w:val="20"/>
          <w:szCs w:val="20"/>
        </w:rPr>
      </w:pPr>
      <w:r w:rsidRPr="006E22B6">
        <w:rPr>
          <w:b/>
          <w:bCs/>
          <w:color w:val="auto"/>
          <w:sz w:val="20"/>
          <w:szCs w:val="20"/>
        </w:rPr>
        <w:t>ONESNAŽEVANJE OKOLJA VEČJEGA OBSEGA</w:t>
      </w:r>
    </w:p>
    <w:p w14:paraId="72DF1E36" w14:textId="77777777" w:rsidR="00FE7050" w:rsidRDefault="00FE7050" w:rsidP="002004E6">
      <w:pPr>
        <w:pStyle w:val="Default"/>
        <w:spacing w:line="260" w:lineRule="exact"/>
        <w:rPr>
          <w:b/>
          <w:bCs/>
          <w:color w:val="auto"/>
          <w:sz w:val="20"/>
          <w:szCs w:val="20"/>
        </w:rPr>
      </w:pPr>
    </w:p>
    <w:p w14:paraId="5EFEB9C2" w14:textId="77777777" w:rsidR="00FE7050" w:rsidRDefault="00FE7050" w:rsidP="002004E6">
      <w:pPr>
        <w:pStyle w:val="Default"/>
        <w:spacing w:line="260" w:lineRule="exact"/>
        <w:rPr>
          <w:b/>
          <w:bCs/>
          <w:color w:val="auto"/>
          <w:sz w:val="20"/>
          <w:szCs w:val="20"/>
        </w:rPr>
      </w:pPr>
    </w:p>
    <w:p w14:paraId="2792FFA8" w14:textId="77777777" w:rsidR="00F00618" w:rsidRPr="00F00618" w:rsidRDefault="00F00618" w:rsidP="00F00618">
      <w:pPr>
        <w:pStyle w:val="Default"/>
        <w:spacing w:line="260" w:lineRule="exact"/>
        <w:rPr>
          <w:b/>
          <w:bCs/>
          <w:color w:val="auto"/>
          <w:sz w:val="20"/>
          <w:szCs w:val="20"/>
        </w:rPr>
      </w:pPr>
      <w:r w:rsidRPr="00F00618">
        <w:rPr>
          <w:b/>
          <w:bCs/>
          <w:color w:val="auto"/>
          <w:sz w:val="20"/>
          <w:szCs w:val="20"/>
        </w:rPr>
        <w:t>Zavezanec:</w:t>
      </w:r>
    </w:p>
    <w:p w14:paraId="4D668EBF" w14:textId="77777777" w:rsidR="00F00618" w:rsidRPr="00F00618" w:rsidRDefault="00F00618" w:rsidP="00F00618">
      <w:pPr>
        <w:pStyle w:val="Default"/>
        <w:spacing w:line="260" w:lineRule="exact"/>
        <w:rPr>
          <w:color w:val="auto"/>
          <w:sz w:val="20"/>
          <w:szCs w:val="20"/>
        </w:rPr>
      </w:pPr>
      <w:r w:rsidRPr="00F00618">
        <w:rPr>
          <w:color w:val="auto"/>
          <w:sz w:val="20"/>
          <w:szCs w:val="20"/>
        </w:rPr>
        <w:t xml:space="preserve">KEMIS </w:t>
      </w:r>
      <w:proofErr w:type="spellStart"/>
      <w:r w:rsidRPr="00F00618">
        <w:rPr>
          <w:color w:val="auto"/>
          <w:sz w:val="20"/>
          <w:szCs w:val="20"/>
        </w:rPr>
        <w:t>d.o.o</w:t>
      </w:r>
      <w:proofErr w:type="spellEnd"/>
      <w:r w:rsidRPr="00F00618">
        <w:rPr>
          <w:color w:val="auto"/>
          <w:sz w:val="20"/>
          <w:szCs w:val="20"/>
        </w:rPr>
        <w:t xml:space="preserve">., Pot na </w:t>
      </w:r>
      <w:proofErr w:type="spellStart"/>
      <w:r w:rsidRPr="00F00618">
        <w:rPr>
          <w:color w:val="auto"/>
          <w:sz w:val="20"/>
          <w:szCs w:val="20"/>
        </w:rPr>
        <w:t>Tojnice</w:t>
      </w:r>
      <w:proofErr w:type="spellEnd"/>
      <w:r w:rsidRPr="00F00618">
        <w:rPr>
          <w:color w:val="auto"/>
          <w:sz w:val="20"/>
          <w:szCs w:val="20"/>
        </w:rPr>
        <w:t xml:space="preserve"> 42, 1360 Vrhnika</w:t>
      </w:r>
    </w:p>
    <w:p w14:paraId="216A6688" w14:textId="77777777" w:rsidR="00F00618" w:rsidRDefault="00F00618" w:rsidP="00F00618">
      <w:pPr>
        <w:pStyle w:val="Default"/>
        <w:spacing w:line="260" w:lineRule="exact"/>
        <w:rPr>
          <w:color w:val="auto"/>
          <w:sz w:val="20"/>
          <w:szCs w:val="20"/>
        </w:rPr>
      </w:pPr>
    </w:p>
    <w:p w14:paraId="727F107F" w14:textId="30D97501" w:rsidR="00F00618" w:rsidRPr="00F00618" w:rsidRDefault="00F00618" w:rsidP="00F00618">
      <w:pPr>
        <w:pStyle w:val="Default"/>
        <w:spacing w:line="260" w:lineRule="exact"/>
        <w:rPr>
          <w:b/>
          <w:bCs/>
          <w:color w:val="auto"/>
          <w:sz w:val="20"/>
          <w:szCs w:val="20"/>
        </w:rPr>
      </w:pPr>
      <w:r w:rsidRPr="00F00618">
        <w:rPr>
          <w:b/>
          <w:bCs/>
          <w:color w:val="auto"/>
          <w:sz w:val="20"/>
          <w:szCs w:val="20"/>
        </w:rPr>
        <w:t>Naprava / lokacija:</w:t>
      </w:r>
    </w:p>
    <w:p w14:paraId="0FA8D38C" w14:textId="77777777" w:rsidR="00F00618" w:rsidRPr="00F00618" w:rsidRDefault="00F00618" w:rsidP="00F00618">
      <w:pPr>
        <w:pStyle w:val="Default"/>
        <w:spacing w:line="260" w:lineRule="exact"/>
        <w:rPr>
          <w:color w:val="auto"/>
          <w:sz w:val="20"/>
          <w:szCs w:val="20"/>
        </w:rPr>
      </w:pPr>
      <w:r w:rsidRPr="00F00618">
        <w:rPr>
          <w:color w:val="auto"/>
          <w:sz w:val="20"/>
          <w:szCs w:val="20"/>
        </w:rPr>
        <w:t xml:space="preserve">naprava na zemljišču </w:t>
      </w:r>
      <w:proofErr w:type="spellStart"/>
      <w:r w:rsidRPr="00F00618">
        <w:rPr>
          <w:color w:val="auto"/>
          <w:sz w:val="20"/>
          <w:szCs w:val="20"/>
        </w:rPr>
        <w:t>parc</w:t>
      </w:r>
      <w:proofErr w:type="spellEnd"/>
      <w:r w:rsidRPr="00F00618">
        <w:rPr>
          <w:color w:val="auto"/>
          <w:sz w:val="20"/>
          <w:szCs w:val="20"/>
        </w:rPr>
        <w:t>. št. 2718/25 in 2718/26 K.O. 2002 Vrhnika, v kateri se izvaja dejavnost predelave ali odstranjevanja odpadkov po postopkih D9, D13, R2, R12 in R13</w:t>
      </w:r>
    </w:p>
    <w:p w14:paraId="43B821A0" w14:textId="77777777" w:rsidR="00F00618" w:rsidRDefault="00F00618" w:rsidP="00F00618">
      <w:pPr>
        <w:pStyle w:val="Default"/>
        <w:spacing w:line="260" w:lineRule="exact"/>
        <w:rPr>
          <w:color w:val="auto"/>
          <w:sz w:val="20"/>
          <w:szCs w:val="20"/>
        </w:rPr>
      </w:pPr>
    </w:p>
    <w:p w14:paraId="5AC85BA1" w14:textId="09EC279B" w:rsidR="00F00618" w:rsidRPr="00F00618" w:rsidRDefault="00F00618" w:rsidP="00F00618">
      <w:pPr>
        <w:pStyle w:val="Default"/>
        <w:spacing w:line="260" w:lineRule="exact"/>
        <w:rPr>
          <w:b/>
          <w:bCs/>
          <w:color w:val="auto"/>
          <w:sz w:val="20"/>
          <w:szCs w:val="20"/>
        </w:rPr>
      </w:pPr>
      <w:r w:rsidRPr="00F00618">
        <w:rPr>
          <w:b/>
          <w:bCs/>
          <w:color w:val="auto"/>
          <w:sz w:val="20"/>
          <w:szCs w:val="20"/>
        </w:rPr>
        <w:t>Datum pregleda:</w:t>
      </w:r>
    </w:p>
    <w:p w14:paraId="53700B0D" w14:textId="77777777" w:rsidR="00F00618" w:rsidRPr="00F00618" w:rsidRDefault="00F00618" w:rsidP="00F00618">
      <w:pPr>
        <w:pStyle w:val="Default"/>
        <w:spacing w:line="260" w:lineRule="exact"/>
        <w:rPr>
          <w:color w:val="auto"/>
          <w:sz w:val="20"/>
          <w:szCs w:val="20"/>
        </w:rPr>
      </w:pPr>
      <w:r w:rsidRPr="00F00618">
        <w:rPr>
          <w:color w:val="auto"/>
          <w:sz w:val="20"/>
          <w:szCs w:val="20"/>
        </w:rPr>
        <w:t>29.7.2020</w:t>
      </w:r>
    </w:p>
    <w:p w14:paraId="2B1836CA" w14:textId="77777777" w:rsidR="00F00618" w:rsidRDefault="00F00618" w:rsidP="00F00618">
      <w:pPr>
        <w:pStyle w:val="Default"/>
        <w:spacing w:line="260" w:lineRule="exact"/>
        <w:rPr>
          <w:color w:val="auto"/>
          <w:sz w:val="20"/>
          <w:szCs w:val="20"/>
        </w:rPr>
      </w:pPr>
    </w:p>
    <w:p w14:paraId="0C64CA37" w14:textId="09EED96F" w:rsidR="00F00618" w:rsidRPr="00F00618" w:rsidRDefault="00F00618" w:rsidP="00F00618">
      <w:pPr>
        <w:pStyle w:val="Default"/>
        <w:spacing w:line="260" w:lineRule="exact"/>
        <w:rPr>
          <w:b/>
          <w:bCs/>
          <w:color w:val="auto"/>
          <w:sz w:val="20"/>
          <w:szCs w:val="20"/>
        </w:rPr>
      </w:pPr>
      <w:r w:rsidRPr="00F00618">
        <w:rPr>
          <w:b/>
          <w:bCs/>
          <w:color w:val="auto"/>
          <w:sz w:val="20"/>
          <w:szCs w:val="20"/>
        </w:rPr>
        <w:t>Usklajenost z OVD:</w:t>
      </w:r>
    </w:p>
    <w:p w14:paraId="11AE6751" w14:textId="77777777" w:rsidR="00F00618" w:rsidRPr="00F00618" w:rsidRDefault="00F00618" w:rsidP="00F00618">
      <w:pPr>
        <w:pStyle w:val="Default"/>
        <w:spacing w:line="260" w:lineRule="exact"/>
        <w:rPr>
          <w:color w:val="auto"/>
          <w:sz w:val="20"/>
          <w:szCs w:val="20"/>
        </w:rPr>
      </w:pPr>
      <w:r w:rsidRPr="00F00618">
        <w:rPr>
          <w:color w:val="auto"/>
          <w:sz w:val="20"/>
          <w:szCs w:val="20"/>
        </w:rPr>
        <w:t xml:space="preserve">Inšpekcijski pregled je bil opravljen zaradi ugotavljanja dejanskega stanja na napravi KEMIS </w:t>
      </w:r>
      <w:proofErr w:type="spellStart"/>
      <w:r w:rsidRPr="00F00618">
        <w:rPr>
          <w:color w:val="auto"/>
          <w:sz w:val="20"/>
          <w:szCs w:val="20"/>
        </w:rPr>
        <w:t>d.o.o</w:t>
      </w:r>
      <w:proofErr w:type="spellEnd"/>
      <w:r w:rsidRPr="00F00618">
        <w:rPr>
          <w:color w:val="auto"/>
          <w:sz w:val="20"/>
          <w:szCs w:val="20"/>
        </w:rPr>
        <w:t xml:space="preserve">., za katero je upravljavec pridobil okoljevarstveno dovoljenje številka 35407-62/2011-23 z dne 7.6.2013, spremenjeno z odločbo št. 35406-52/2015-10, z dne 15.2.2016 in odločbo št. 35407-8/2015-8, z dne 27.10.2016 (v nadaljevanju OVD), v zvezi z navedbami, ki jih je stranski udeleženec podal v svoji izjavi v okviru inšpekcijskega postopka v zadevi »KEMIS </w:t>
      </w:r>
      <w:proofErr w:type="spellStart"/>
      <w:r w:rsidRPr="00F00618">
        <w:rPr>
          <w:color w:val="auto"/>
          <w:sz w:val="20"/>
          <w:szCs w:val="20"/>
        </w:rPr>
        <w:t>d.o.o</w:t>
      </w:r>
      <w:proofErr w:type="spellEnd"/>
      <w:r w:rsidRPr="00F00618">
        <w:rPr>
          <w:color w:val="auto"/>
          <w:sz w:val="20"/>
          <w:szCs w:val="20"/>
        </w:rPr>
        <w:t>. – nadzor izpolnjevanja obveznosti iz OVD«.</w:t>
      </w:r>
    </w:p>
    <w:p w14:paraId="6ABE3EE7" w14:textId="77777777" w:rsidR="00F00618" w:rsidRPr="00F00618" w:rsidRDefault="00F00618" w:rsidP="00F00618">
      <w:pPr>
        <w:pStyle w:val="Default"/>
        <w:spacing w:line="260" w:lineRule="exact"/>
        <w:rPr>
          <w:color w:val="auto"/>
          <w:sz w:val="20"/>
          <w:szCs w:val="20"/>
        </w:rPr>
      </w:pPr>
      <w:r w:rsidRPr="00F00618">
        <w:rPr>
          <w:color w:val="auto"/>
          <w:sz w:val="20"/>
          <w:szCs w:val="20"/>
        </w:rPr>
        <w:t xml:space="preserve">Ugotovljeno je bilo, da je požarna zaščita zagotovljena s sistemom požarnega javljanja in avtomatskim gasilnim sistemom </w:t>
      </w:r>
      <w:proofErr w:type="spellStart"/>
      <w:r w:rsidRPr="00F00618">
        <w:rPr>
          <w:color w:val="auto"/>
          <w:sz w:val="20"/>
          <w:szCs w:val="20"/>
        </w:rPr>
        <w:t>Bonpet</w:t>
      </w:r>
      <w:proofErr w:type="spellEnd"/>
      <w:r w:rsidRPr="00F00618">
        <w:rPr>
          <w:color w:val="auto"/>
          <w:sz w:val="20"/>
          <w:szCs w:val="20"/>
        </w:rPr>
        <w:t xml:space="preserve"> (na delu cisternskega skladišča in v prostoru destilacije) ter s </w:t>
      </w:r>
      <w:proofErr w:type="spellStart"/>
      <w:r w:rsidRPr="00F00618">
        <w:rPr>
          <w:color w:val="auto"/>
          <w:sz w:val="20"/>
          <w:szCs w:val="20"/>
        </w:rPr>
        <w:t>šprinkler</w:t>
      </w:r>
      <w:proofErr w:type="spellEnd"/>
      <w:r w:rsidRPr="00F00618">
        <w:rPr>
          <w:color w:val="auto"/>
          <w:sz w:val="20"/>
          <w:szCs w:val="20"/>
        </w:rPr>
        <w:t xml:space="preserve"> sistemom (na celotnem delu naprave). Sistem javljanja hlapov in tekočin je zagotovljen v lovilni skledi cisternskega skladišča. Zagotovljen je sistem požarnega javljanja z ročnimi in avtomatskimi javljalniki. Avtomatski javljalniki so različnega tipa (plamenski, dimni, termični), glede na območje, ki ga pokrivajo. Javljalniki so nameščeni po celotnem območju naprave. Na območju drobilnika, je kot del tehnološke enote N16, nameščen stacionarni sistem za gašenje s prahom, ki ga sproži operater ročno, v primeru požara. Na celotnem območju naprave je nameščeno večje število (več kot 100 kom) ročnih gasilnikov na prah. Na območju </w:t>
      </w:r>
      <w:proofErr w:type="spellStart"/>
      <w:r w:rsidRPr="00F00618">
        <w:rPr>
          <w:color w:val="auto"/>
          <w:sz w:val="20"/>
          <w:szCs w:val="20"/>
        </w:rPr>
        <w:t>boksnih</w:t>
      </w:r>
      <w:proofErr w:type="spellEnd"/>
      <w:r w:rsidRPr="00F00618">
        <w:rPr>
          <w:color w:val="auto"/>
          <w:sz w:val="20"/>
          <w:szCs w:val="20"/>
        </w:rPr>
        <w:t xml:space="preserve"> skladišč, kjer se skladiščijo baterije, pa je nameščen ročni gasilnik za lahke kovine (prevozen, 50 kg). Za omogočanje gašenja z gasilsko enoto je zagotovljeno zunanje hidrantno omrežje s petimi hidranti. Na delu cisternskega skladišča in delu pretakališč ter v prostoru destilacije je zagotovljeno gašenje z dvema stacionarnima gasilnima sistemoma (sistem </w:t>
      </w:r>
      <w:proofErr w:type="spellStart"/>
      <w:r w:rsidRPr="00F00618">
        <w:rPr>
          <w:color w:val="auto"/>
          <w:sz w:val="20"/>
          <w:szCs w:val="20"/>
        </w:rPr>
        <w:t>Bonpet</w:t>
      </w:r>
      <w:proofErr w:type="spellEnd"/>
      <w:r w:rsidRPr="00F00618">
        <w:rPr>
          <w:color w:val="auto"/>
          <w:sz w:val="20"/>
          <w:szCs w:val="20"/>
        </w:rPr>
        <w:t xml:space="preserve">) in </w:t>
      </w:r>
      <w:proofErr w:type="spellStart"/>
      <w:r w:rsidRPr="00F00618">
        <w:rPr>
          <w:color w:val="auto"/>
          <w:sz w:val="20"/>
          <w:szCs w:val="20"/>
        </w:rPr>
        <w:t>avtomaskim</w:t>
      </w:r>
      <w:proofErr w:type="spellEnd"/>
      <w:r w:rsidRPr="00F00618">
        <w:rPr>
          <w:color w:val="auto"/>
          <w:sz w:val="20"/>
          <w:szCs w:val="20"/>
        </w:rPr>
        <w:t xml:space="preserve"> gasilnim sistemom s peno.</w:t>
      </w:r>
    </w:p>
    <w:p w14:paraId="1F8011C4" w14:textId="77777777" w:rsidR="00F00618" w:rsidRPr="00F00618" w:rsidRDefault="00F00618" w:rsidP="00F00618">
      <w:pPr>
        <w:pStyle w:val="Default"/>
        <w:spacing w:line="260" w:lineRule="exact"/>
        <w:rPr>
          <w:b/>
          <w:bCs/>
          <w:color w:val="auto"/>
          <w:sz w:val="20"/>
          <w:szCs w:val="20"/>
        </w:rPr>
      </w:pPr>
      <w:r w:rsidRPr="00F00618">
        <w:rPr>
          <w:b/>
          <w:bCs/>
          <w:color w:val="auto"/>
          <w:sz w:val="20"/>
          <w:szCs w:val="20"/>
        </w:rPr>
        <w:t>Zaključki / naslednje aktivnosti:</w:t>
      </w:r>
    </w:p>
    <w:p w14:paraId="4E077E00" w14:textId="0F364A9F" w:rsidR="00C40639" w:rsidRPr="00FE7050" w:rsidRDefault="00F00618" w:rsidP="00F00618">
      <w:pPr>
        <w:pStyle w:val="Default"/>
        <w:spacing w:line="260" w:lineRule="exact"/>
        <w:rPr>
          <w:color w:val="auto"/>
          <w:sz w:val="20"/>
          <w:szCs w:val="20"/>
        </w:rPr>
      </w:pPr>
      <w:r w:rsidRPr="00F00618">
        <w:rPr>
          <w:color w:val="auto"/>
          <w:sz w:val="20"/>
          <w:szCs w:val="20"/>
        </w:rPr>
        <w:lastRenderedPageBreak/>
        <w:t xml:space="preserve">V okviru opravljenega nadzora ni bilo ugotovljenih nepravilnosti. V inšpekcijskem postopku številka 06182-1045/2018 v zadevi »KEMIS </w:t>
      </w:r>
      <w:proofErr w:type="spellStart"/>
      <w:r w:rsidRPr="00F00618">
        <w:rPr>
          <w:color w:val="auto"/>
          <w:sz w:val="20"/>
          <w:szCs w:val="20"/>
        </w:rPr>
        <w:t>d.o.o</w:t>
      </w:r>
      <w:proofErr w:type="spellEnd"/>
      <w:r w:rsidRPr="00F00618">
        <w:rPr>
          <w:color w:val="auto"/>
          <w:sz w:val="20"/>
          <w:szCs w:val="20"/>
        </w:rPr>
        <w:t>. – nadzor izpolnjevanja obveznosti iz OVD« je bil izdan sklep o ustavitvi postopka.</w:t>
      </w:r>
    </w:p>
    <w:sectPr w:rsidR="00C40639" w:rsidRPr="00FE70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3F525" w14:textId="77777777" w:rsidR="00495F9B" w:rsidRDefault="00495F9B" w:rsidP="00F907B6">
      <w:pPr>
        <w:spacing w:after="0" w:line="240" w:lineRule="auto"/>
      </w:pPr>
      <w:r>
        <w:separator/>
      </w:r>
    </w:p>
  </w:endnote>
  <w:endnote w:type="continuationSeparator" w:id="0">
    <w:p w14:paraId="53C2EE1C" w14:textId="77777777" w:rsidR="00495F9B" w:rsidRDefault="00495F9B" w:rsidP="00F9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altName w:val="Republika"/>
    <w:panose1 w:val="02000506040000020004"/>
    <w:charset w:val="EE"/>
    <w:family w:val="auto"/>
    <w:pitch w:val="variable"/>
    <w:sig w:usb0="A00000FF" w:usb1="4000205B" w:usb2="00000000" w:usb3="00000000" w:csb0="00000093" w:csb1="00000000"/>
  </w:font>
  <w:font w:name="FranklinGothicMediumCon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5EFA9" w14:textId="77777777" w:rsidR="00495F9B" w:rsidRDefault="00495F9B" w:rsidP="00F907B6">
      <w:pPr>
        <w:spacing w:after="0" w:line="240" w:lineRule="auto"/>
      </w:pPr>
      <w:r>
        <w:separator/>
      </w:r>
    </w:p>
  </w:footnote>
  <w:footnote w:type="continuationSeparator" w:id="0">
    <w:p w14:paraId="573AA4E1" w14:textId="77777777" w:rsidR="00495F9B" w:rsidRDefault="00495F9B" w:rsidP="00F90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4AD6"/>
    <w:multiLevelType w:val="hybridMultilevel"/>
    <w:tmpl w:val="B632221E"/>
    <w:lvl w:ilvl="0" w:tplc="5344BBE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0290C"/>
    <w:multiLevelType w:val="hybridMultilevel"/>
    <w:tmpl w:val="B62C6F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566E23"/>
    <w:multiLevelType w:val="hybridMultilevel"/>
    <w:tmpl w:val="3F4EF8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3653F5"/>
    <w:multiLevelType w:val="hybridMultilevel"/>
    <w:tmpl w:val="48380B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95"/>
    <w:rsid w:val="00072BB8"/>
    <w:rsid w:val="000739F9"/>
    <w:rsid w:val="00083FA5"/>
    <w:rsid w:val="00084F1D"/>
    <w:rsid w:val="00092BBF"/>
    <w:rsid w:val="000C5669"/>
    <w:rsid w:val="000F4688"/>
    <w:rsid w:val="001268F8"/>
    <w:rsid w:val="00143578"/>
    <w:rsid w:val="00187160"/>
    <w:rsid w:val="002004E6"/>
    <w:rsid w:val="0022614D"/>
    <w:rsid w:val="00245757"/>
    <w:rsid w:val="0027194F"/>
    <w:rsid w:val="002A72F7"/>
    <w:rsid w:val="002E0FD3"/>
    <w:rsid w:val="0033379D"/>
    <w:rsid w:val="00333801"/>
    <w:rsid w:val="00390ED0"/>
    <w:rsid w:val="00392133"/>
    <w:rsid w:val="003E77D5"/>
    <w:rsid w:val="00421657"/>
    <w:rsid w:val="00435BB9"/>
    <w:rsid w:val="00444C90"/>
    <w:rsid w:val="004715AF"/>
    <w:rsid w:val="00483182"/>
    <w:rsid w:val="00492927"/>
    <w:rsid w:val="00495F9B"/>
    <w:rsid w:val="004977D6"/>
    <w:rsid w:val="004A0CF7"/>
    <w:rsid w:val="004A44D8"/>
    <w:rsid w:val="004C1644"/>
    <w:rsid w:val="004F2C0D"/>
    <w:rsid w:val="005367FF"/>
    <w:rsid w:val="0057365C"/>
    <w:rsid w:val="005831F1"/>
    <w:rsid w:val="0059224B"/>
    <w:rsid w:val="00597245"/>
    <w:rsid w:val="005C4407"/>
    <w:rsid w:val="005E4825"/>
    <w:rsid w:val="00620545"/>
    <w:rsid w:val="00637885"/>
    <w:rsid w:val="00694064"/>
    <w:rsid w:val="00697BA6"/>
    <w:rsid w:val="006A3057"/>
    <w:rsid w:val="006E22B6"/>
    <w:rsid w:val="006E386A"/>
    <w:rsid w:val="00712D63"/>
    <w:rsid w:val="00741A82"/>
    <w:rsid w:val="00743706"/>
    <w:rsid w:val="007C73E1"/>
    <w:rsid w:val="00800B37"/>
    <w:rsid w:val="00816C00"/>
    <w:rsid w:val="008F1FCF"/>
    <w:rsid w:val="0091604D"/>
    <w:rsid w:val="00932F16"/>
    <w:rsid w:val="00941499"/>
    <w:rsid w:val="0094339A"/>
    <w:rsid w:val="009A059C"/>
    <w:rsid w:val="009A45C1"/>
    <w:rsid w:val="00A57B3D"/>
    <w:rsid w:val="00AA2221"/>
    <w:rsid w:val="00AE1983"/>
    <w:rsid w:val="00B13580"/>
    <w:rsid w:val="00B20262"/>
    <w:rsid w:val="00B87CE0"/>
    <w:rsid w:val="00BB072E"/>
    <w:rsid w:val="00C06B2C"/>
    <w:rsid w:val="00C325EE"/>
    <w:rsid w:val="00C40639"/>
    <w:rsid w:val="00C42460"/>
    <w:rsid w:val="00C4472B"/>
    <w:rsid w:val="00C915FB"/>
    <w:rsid w:val="00CB18A8"/>
    <w:rsid w:val="00CC3D41"/>
    <w:rsid w:val="00CC5F80"/>
    <w:rsid w:val="00CE4409"/>
    <w:rsid w:val="00CF4184"/>
    <w:rsid w:val="00D13136"/>
    <w:rsid w:val="00D83E00"/>
    <w:rsid w:val="00E150F3"/>
    <w:rsid w:val="00E15B43"/>
    <w:rsid w:val="00E32CA9"/>
    <w:rsid w:val="00E83BB9"/>
    <w:rsid w:val="00EC2DA0"/>
    <w:rsid w:val="00EF2683"/>
    <w:rsid w:val="00F00618"/>
    <w:rsid w:val="00F107E8"/>
    <w:rsid w:val="00F86595"/>
    <w:rsid w:val="00F907B6"/>
    <w:rsid w:val="00FC0B40"/>
    <w:rsid w:val="00FC1D10"/>
    <w:rsid w:val="00FC1D5F"/>
    <w:rsid w:val="00FE70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D53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716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86595"/>
    <w:rPr>
      <w:color w:val="0563C1" w:themeColor="hyperlink"/>
      <w:u w:val="single"/>
    </w:rPr>
  </w:style>
  <w:style w:type="character" w:styleId="Nerazreenaomemba">
    <w:name w:val="Unresolved Mention"/>
    <w:basedOn w:val="Privzetapisavaodstavka"/>
    <w:uiPriority w:val="99"/>
    <w:semiHidden/>
    <w:unhideWhenUsed/>
    <w:rsid w:val="00F86595"/>
    <w:rPr>
      <w:color w:val="605E5C"/>
      <w:shd w:val="clear" w:color="auto" w:fill="E1DFDD"/>
    </w:rPr>
  </w:style>
  <w:style w:type="paragraph" w:customStyle="1" w:styleId="Default">
    <w:name w:val="Default"/>
    <w:rsid w:val="002E0FD3"/>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1268F8"/>
    <w:pPr>
      <w:ind w:left="720"/>
      <w:contextualSpacing/>
    </w:pPr>
  </w:style>
  <w:style w:type="table" w:styleId="Tabelamrea">
    <w:name w:val="Table Grid"/>
    <w:basedOn w:val="Navadnatabela"/>
    <w:uiPriority w:val="39"/>
    <w:rsid w:val="0094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4">
    <w:name w:val="Plain Table 4"/>
    <w:basedOn w:val="Navadnatabela"/>
    <w:uiPriority w:val="44"/>
    <w:rsid w:val="009433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lava">
    <w:name w:val="header"/>
    <w:basedOn w:val="Navaden"/>
    <w:link w:val="GlavaZnak"/>
    <w:uiPriority w:val="99"/>
    <w:unhideWhenUsed/>
    <w:rsid w:val="00F907B6"/>
    <w:pPr>
      <w:tabs>
        <w:tab w:val="center" w:pos="4536"/>
        <w:tab w:val="right" w:pos="9072"/>
      </w:tabs>
      <w:spacing w:after="0" w:line="240" w:lineRule="auto"/>
    </w:pPr>
  </w:style>
  <w:style w:type="character" w:customStyle="1" w:styleId="GlavaZnak">
    <w:name w:val="Glava Znak"/>
    <w:basedOn w:val="Privzetapisavaodstavka"/>
    <w:link w:val="Glava"/>
    <w:uiPriority w:val="99"/>
    <w:rsid w:val="00F907B6"/>
  </w:style>
  <w:style w:type="paragraph" w:styleId="Noga">
    <w:name w:val="footer"/>
    <w:basedOn w:val="Navaden"/>
    <w:link w:val="NogaZnak"/>
    <w:uiPriority w:val="99"/>
    <w:unhideWhenUsed/>
    <w:rsid w:val="00F907B6"/>
    <w:pPr>
      <w:tabs>
        <w:tab w:val="center" w:pos="4536"/>
        <w:tab w:val="right" w:pos="9072"/>
      </w:tabs>
      <w:spacing w:after="0" w:line="240" w:lineRule="auto"/>
    </w:pPr>
  </w:style>
  <w:style w:type="character" w:customStyle="1" w:styleId="NogaZnak">
    <w:name w:val="Noga Znak"/>
    <w:basedOn w:val="Privzetapisavaodstavka"/>
    <w:link w:val="Noga"/>
    <w:uiPriority w:val="99"/>
    <w:rsid w:val="00F9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2058</Characters>
  <Application>Microsoft Office Word</Application>
  <DocSecurity>2</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2021-03-16T13:05:00Z</dcterms:created>
  <dcterms:modified xsi:type="dcterms:W3CDTF">2021-03-16T13:07:00Z</dcterms:modified>
</cp:coreProperties>
</file>