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C57" w:rsidRDefault="008F5C57" w:rsidP="008F5C57">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Akcija nadzorov na gradbiščih ter nad delom udeležencev pri graditvi objektov</w:t>
      </w:r>
    </w:p>
    <w:p w:rsidR="008F5C57" w:rsidRDefault="008F5C57" w:rsidP="008F5C57">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 xml:space="preserve"> </w:t>
      </w:r>
    </w:p>
    <w:p w:rsidR="008F5C57" w:rsidRDefault="008F5C57" w:rsidP="008F5C57">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 xml:space="preserve"> </w:t>
      </w:r>
    </w:p>
    <w:p w:rsidR="008F5C57" w:rsidRDefault="008F5C57" w:rsidP="008F5C57">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Gradbena inšpekcija Inšpektorata za okolje in prostor je med 3. februarjem 2020 in 1. septembrom 2020, izvedla 217 inšpekcijskih nadzorov, v katerih je preverjala, ali udeleženci pri graditvi objektov izpolnjujejo z zakonom določene pogoje za opravljanje svojega dela in tudi, ali je bila narejena prijava začetka gradnje, lahko pa so preverili tudi označitev in zaščito gradbišč.</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V akciji je sodelovalo 38 gradbenih inšpektorjev, ki so v sklopu akcije opravili 217 inšpekcijskih pregledov. Uvedli so 136 postopkov, od teh, 135 upravnih inšpekcijskih postopkov in 1 </w:t>
      </w:r>
      <w:proofErr w:type="spellStart"/>
      <w:r>
        <w:rPr>
          <w:rFonts w:ascii="Calibri" w:hAnsi="Calibri" w:cs="Calibri"/>
          <w:color w:val="000000"/>
          <w:sz w:val="24"/>
          <w:szCs w:val="24"/>
        </w:rPr>
        <w:t>prekrškovni</w:t>
      </w:r>
      <w:proofErr w:type="spellEnd"/>
      <w:r>
        <w:rPr>
          <w:rFonts w:ascii="Calibri" w:hAnsi="Calibri" w:cs="Calibri"/>
          <w:color w:val="000000"/>
          <w:sz w:val="24"/>
          <w:szCs w:val="24"/>
        </w:rPr>
        <w:t xml:space="preserve"> postopek, v katerem je bila kršitelju izrečena globa v višini tisoč eurov. Ugotovljeni prekršek se je nanašal na nelegalen objekt. V 66. obravnavanih zadevah pa v času poročanja (10. 11. 2020), še ni bilo odločeno. Postopki se nadaljujejo ne glede na predviden časovni okvir akcije.</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V zadevah, v katerih nepravilnosti niso bile ugotovljene oziroma so bile v času, ko je potekala akcija že odpravljene, je bilo izdanih 48 sklepov o ustavitvi postopkov, 1 sklep o ustavitvi izvršbe in 20 ustavitev postopka na zapisnik.</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V primeru ugotovljenih lažjih nepravilnosti so bili zavezanci v 12. primerih, na podlagi 33. člena Zakona o inšpekcijskem nadzoru, opozorjeni na ugotovljene nepravilnosti. Odrejen jim je bil rok za njihovo odpravo, z opozorilom, da v kolikor nepravilnosti ne bodo odpravljene v navedenem roku, bodo izrečeni drugi ukrepi v skladu z zakonom. </w:t>
      </w:r>
    </w:p>
    <w:p w:rsidR="008F5C57" w:rsidRDefault="008F5C57" w:rsidP="008F5C57">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 xml:space="preserve"> </w:t>
      </w:r>
    </w:p>
    <w:p w:rsidR="008F5C57" w:rsidRDefault="008F5C57" w:rsidP="008F5C57">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Ugotovitve akcije</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V akciji nadzora nad delom udeležencev pri graditvi objektov je bilo skupno izdanih 31 inšpekcijskih odločb. Gradbeni inšpektorji so odkrili tri nelegalne objekte, za katere so gradbeni inšpektorji z odločbami odredili ustavitev gradenj ter rok za odstranitev objektov. Ugotovljen je bil en neskladen objekt, za katerega je bila izdana </w:t>
      </w:r>
      <w:bookmarkStart w:id="0" w:name="_GoBack"/>
      <w:bookmarkEnd w:id="0"/>
      <w:r>
        <w:rPr>
          <w:rFonts w:ascii="Calibri" w:hAnsi="Calibri" w:cs="Calibri"/>
          <w:color w:val="000000"/>
          <w:sz w:val="24"/>
          <w:szCs w:val="24"/>
        </w:rPr>
        <w:t xml:space="preserve">odločba, s katero je inšpektor odredil ustavitev gradnje, dokler investitor ne pridobi spremenjenega gradbenega dovoljenja. </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V zvezi z ugotovljenimi nepravilnostmi v zvezi s prijavo začetka gradnje in izpolnjevanjem bistvenih zahtev so gradbeni inšpektorji izdali tri odločbe za odpravo nepravilnosti. Ugotovljene nepravilnosti so se nanašale na </w:t>
      </w:r>
      <w:proofErr w:type="spellStart"/>
      <w:r>
        <w:rPr>
          <w:rFonts w:ascii="Calibri" w:hAnsi="Calibri" w:cs="Calibri"/>
          <w:color w:val="000000"/>
          <w:sz w:val="24"/>
          <w:szCs w:val="24"/>
        </w:rPr>
        <w:t>neimenovanje</w:t>
      </w:r>
      <w:proofErr w:type="spellEnd"/>
      <w:r>
        <w:rPr>
          <w:rFonts w:ascii="Calibri" w:hAnsi="Calibri" w:cs="Calibri"/>
          <w:color w:val="000000"/>
          <w:sz w:val="24"/>
          <w:szCs w:val="24"/>
        </w:rPr>
        <w:t xml:space="preserve"> nadzornika in nepopolno prijavo začetka gradnje. </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V zvezi z ugotovljenimi nepravilnostmi pri sami gradnji, pa so gradbeni inšpektorji izdali 24 odločb za odpravo nepravilnosti, ki so se nanašale na:</w:t>
      </w:r>
    </w:p>
    <w:p w:rsidR="008F5C57" w:rsidRDefault="008F5C57" w:rsidP="008F5C57">
      <w:pPr>
        <w:numPr>
          <w:ilvl w:val="0"/>
          <w:numId w:val="1"/>
        </w:numPr>
        <w:autoSpaceDE w:val="0"/>
        <w:autoSpaceDN w:val="0"/>
        <w:adjustRightInd w:val="0"/>
        <w:spacing w:after="0" w:line="240" w:lineRule="auto"/>
        <w:ind w:left="720" w:hanging="360"/>
        <w:jc w:val="both"/>
        <w:rPr>
          <w:rFonts w:ascii="Arial" w:hAnsi="Arial" w:cs="Arial"/>
          <w:color w:val="000000"/>
          <w:sz w:val="24"/>
          <w:szCs w:val="24"/>
        </w:rPr>
      </w:pPr>
      <w:r>
        <w:rPr>
          <w:rFonts w:ascii="Arial" w:hAnsi="Arial" w:cs="Arial"/>
          <w:color w:val="000000"/>
          <w:sz w:val="24"/>
          <w:szCs w:val="24"/>
        </w:rPr>
        <w:t xml:space="preserve">nepopolno ograditev gradbišča z ograjo, katera bi preprečevala dostop tretjim osebam na gradbišče; </w:t>
      </w:r>
    </w:p>
    <w:p w:rsidR="008F5C57" w:rsidRDefault="008F5C57" w:rsidP="008F5C57">
      <w:pPr>
        <w:numPr>
          <w:ilvl w:val="0"/>
          <w:numId w:val="1"/>
        </w:numPr>
        <w:autoSpaceDE w:val="0"/>
        <w:autoSpaceDN w:val="0"/>
        <w:adjustRightInd w:val="0"/>
        <w:spacing w:after="0" w:line="240" w:lineRule="auto"/>
        <w:ind w:left="720" w:hanging="360"/>
        <w:jc w:val="both"/>
        <w:rPr>
          <w:rFonts w:ascii="Arial" w:hAnsi="Arial" w:cs="Arial"/>
          <w:color w:val="000000"/>
          <w:sz w:val="24"/>
          <w:szCs w:val="24"/>
        </w:rPr>
      </w:pPr>
      <w:r>
        <w:rPr>
          <w:rFonts w:ascii="Arial" w:hAnsi="Arial" w:cs="Arial"/>
          <w:color w:val="000000"/>
          <w:sz w:val="24"/>
          <w:szCs w:val="24"/>
        </w:rPr>
        <w:t>nepopolno označitev gradbišča s tablo, na kateri so navedeni vsi udeleženci pri graditvi objekta in</w:t>
      </w:r>
    </w:p>
    <w:p w:rsidR="008F5C57" w:rsidRDefault="008F5C57" w:rsidP="008F5C57">
      <w:pPr>
        <w:numPr>
          <w:ilvl w:val="0"/>
          <w:numId w:val="1"/>
        </w:numPr>
        <w:autoSpaceDE w:val="0"/>
        <w:autoSpaceDN w:val="0"/>
        <w:adjustRightInd w:val="0"/>
        <w:spacing w:after="0" w:line="240" w:lineRule="auto"/>
        <w:ind w:left="720" w:hanging="360"/>
        <w:jc w:val="both"/>
        <w:rPr>
          <w:rFonts w:ascii="Arial" w:hAnsi="Arial" w:cs="Arial"/>
          <w:color w:val="000000"/>
          <w:sz w:val="24"/>
          <w:szCs w:val="24"/>
        </w:rPr>
      </w:pPr>
      <w:r>
        <w:rPr>
          <w:rFonts w:ascii="Arial" w:hAnsi="Arial" w:cs="Arial"/>
          <w:color w:val="000000"/>
          <w:sz w:val="24"/>
          <w:szCs w:val="24"/>
        </w:rPr>
        <w:t xml:space="preserve">neobstoj gradbiščne table. </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Inšpektorji so tekom akcije ugotovili, da veliko gradbišč ni oziroma ni ustrezno označenih in ograjenih, vendar so bile pomanjkljivosti tekom akcije v veliki meri odpravljene. </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w:t>
      </w:r>
    </w:p>
    <w:p w:rsidR="008F5C57" w:rsidRDefault="008F5C57" w:rsidP="008F5C57">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lastRenderedPageBreak/>
        <w:t>Udeleženci pri graditvi</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V zvezi z udeleženci (investitor, projektant, nadzornik in izvajalec) pri graditvi objektov je gradbena inšpekcija preverjala, ali udeleženci pri gradnji izpolnjujejo predpisane pogoje in obveznosti. </w:t>
      </w:r>
    </w:p>
    <w:p w:rsidR="008F5C57" w:rsidRDefault="008F5C57" w:rsidP="008F5C5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p>
    <w:p w:rsidR="008F5C57" w:rsidRDefault="008F5C57" w:rsidP="008F5C57">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Prijava začetka gradnje</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V zvezi z izvedbo akcije glede nadzora nad prijavo začetka gradnje so gradbeni inšpektorji preverjali, ali se gradnja, za katero je predpisana prijava začetka gradnje, izvaja na podlagi popolne prijave in predpisane dokumentacije za izvedbo gradnje, kot to določata Gradbeni zakon in Pravilnik o podrobnejši vsebini dokumentacije in obrazcih, povezanih z graditvijo objektov.</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80. člen Gradbenega zakona (GZ), omogoča gradbenemu inšpektorju, da izreče ukrep, s katerim odredi odpravo nepravilnosti ter določi rok za odpravo nepravilnosti in ustavi gradnjo, če: </w:t>
      </w:r>
    </w:p>
    <w:p w:rsidR="008F5C57" w:rsidRDefault="008F5C57" w:rsidP="008F5C57">
      <w:pPr>
        <w:numPr>
          <w:ilvl w:val="0"/>
          <w:numId w:val="1"/>
        </w:numPr>
        <w:autoSpaceDE w:val="0"/>
        <w:autoSpaceDN w:val="0"/>
        <w:adjustRightInd w:val="0"/>
        <w:spacing w:after="0" w:line="240" w:lineRule="auto"/>
        <w:ind w:left="720" w:hanging="360"/>
        <w:rPr>
          <w:rFonts w:ascii="Arial" w:hAnsi="Arial" w:cs="Arial"/>
          <w:color w:val="000000"/>
          <w:sz w:val="24"/>
          <w:szCs w:val="24"/>
        </w:rPr>
      </w:pPr>
      <w:r>
        <w:rPr>
          <w:rFonts w:ascii="Arial" w:hAnsi="Arial" w:cs="Arial"/>
          <w:color w:val="000000"/>
          <w:sz w:val="24"/>
          <w:szCs w:val="24"/>
        </w:rPr>
        <w:t>se gradnja, za katero je predpisana prijava začetka gradnje, izvaja brez popolne prijave;</w:t>
      </w:r>
    </w:p>
    <w:p w:rsidR="008F5C57" w:rsidRDefault="008F5C57" w:rsidP="008F5C57">
      <w:pPr>
        <w:numPr>
          <w:ilvl w:val="0"/>
          <w:numId w:val="1"/>
        </w:numPr>
        <w:autoSpaceDE w:val="0"/>
        <w:autoSpaceDN w:val="0"/>
        <w:adjustRightInd w:val="0"/>
        <w:spacing w:after="0" w:line="240" w:lineRule="auto"/>
        <w:ind w:left="720" w:hanging="360"/>
        <w:rPr>
          <w:rFonts w:ascii="Arial" w:hAnsi="Arial" w:cs="Arial"/>
          <w:color w:val="000000"/>
          <w:sz w:val="24"/>
          <w:szCs w:val="24"/>
        </w:rPr>
      </w:pPr>
      <w:r>
        <w:rPr>
          <w:rFonts w:ascii="Arial" w:hAnsi="Arial" w:cs="Arial"/>
          <w:color w:val="000000"/>
          <w:sz w:val="24"/>
          <w:szCs w:val="24"/>
        </w:rPr>
        <w:t>se gradnja izvaja brez predpisane dokumentacije za izvedbo gradnje;</w:t>
      </w:r>
    </w:p>
    <w:p w:rsidR="008F5C57" w:rsidRDefault="008F5C57" w:rsidP="008F5C57">
      <w:pPr>
        <w:numPr>
          <w:ilvl w:val="0"/>
          <w:numId w:val="1"/>
        </w:numPr>
        <w:autoSpaceDE w:val="0"/>
        <w:autoSpaceDN w:val="0"/>
        <w:adjustRightInd w:val="0"/>
        <w:spacing w:after="0" w:line="240" w:lineRule="auto"/>
        <w:ind w:left="720" w:hanging="360"/>
        <w:rPr>
          <w:rFonts w:ascii="Arial" w:hAnsi="Arial" w:cs="Arial"/>
          <w:color w:val="000000"/>
          <w:sz w:val="24"/>
          <w:szCs w:val="24"/>
        </w:rPr>
      </w:pPr>
      <w:r>
        <w:rPr>
          <w:rFonts w:ascii="Arial" w:hAnsi="Arial" w:cs="Arial"/>
          <w:color w:val="000000"/>
          <w:sz w:val="24"/>
          <w:szCs w:val="24"/>
        </w:rPr>
        <w:t>ni imenovan nadzornik;</w:t>
      </w:r>
    </w:p>
    <w:p w:rsidR="008F5C57" w:rsidRDefault="008F5C57" w:rsidP="008F5C57">
      <w:pPr>
        <w:numPr>
          <w:ilvl w:val="0"/>
          <w:numId w:val="1"/>
        </w:numPr>
        <w:autoSpaceDE w:val="0"/>
        <w:autoSpaceDN w:val="0"/>
        <w:adjustRightInd w:val="0"/>
        <w:spacing w:after="0" w:line="240" w:lineRule="auto"/>
        <w:ind w:left="720" w:hanging="360"/>
        <w:jc w:val="both"/>
        <w:rPr>
          <w:rFonts w:ascii="Arial" w:hAnsi="Arial" w:cs="Arial"/>
          <w:color w:val="000000"/>
          <w:sz w:val="24"/>
          <w:szCs w:val="24"/>
        </w:rPr>
      </w:pPr>
      <w:r>
        <w:rPr>
          <w:rFonts w:ascii="Arial" w:hAnsi="Arial" w:cs="Arial"/>
          <w:color w:val="000000"/>
          <w:sz w:val="24"/>
          <w:szCs w:val="24"/>
        </w:rPr>
        <w:t>ugotovi, da bo zaradi nadaljevanja gradnje ogroženo izpolnjevanje bistvenih zahtev.</w:t>
      </w:r>
    </w:p>
    <w:p w:rsidR="008F5C57" w:rsidRDefault="008F5C57" w:rsidP="008F5C5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GZ določa tudi globo za prekršek investitorja, če ne prijavi začetka gradnje na predpisan način; ne zagotovi zakoličenja objekta; ne imenuje nadzornika, kadar je ta predpisan; v primeru zamenjave vodje nadzora ne odredi ustavitve gradnje, dokler je ne prevzame nov vodja nadzora.</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w:t>
      </w:r>
    </w:p>
    <w:p w:rsidR="008F5C57" w:rsidRDefault="008F5C57" w:rsidP="008F5C57">
      <w:pPr>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Označitev in zaščita gradbišč</w:t>
      </w:r>
    </w:p>
    <w:p w:rsidR="008F5C57" w:rsidRDefault="008F5C57" w:rsidP="008F5C57">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Investitor mora pri gradnji, za katero je predpisano gradbeno dovoljenje do začetka gradnje poskrbeti za ograditev in označitev gradbišča z gradbiščno tablo. V primeru ugotovljenih kršitev gradbeni inšpektor izda odločbo za odpravo nepravilnosti ter odredi rok za njihovo odpravo. </w:t>
      </w:r>
    </w:p>
    <w:p w:rsidR="00A242A1" w:rsidRPr="008F5C57" w:rsidRDefault="008F5C57" w:rsidP="008F5C57">
      <w:r>
        <w:rPr>
          <w:rFonts w:ascii="Calibri" w:hAnsi="Calibri" w:cs="Calibri"/>
          <w:color w:val="000000"/>
          <w:sz w:val="24"/>
          <w:szCs w:val="24"/>
        </w:rPr>
        <w:t>GZ določa tudi globo za prekršek investitorja, če ta ne poskrbi za ograditev in označitev gradbišča z gradbiščno tablo na predpisan način ali če ne poskrbi za načrt organizacije gradbišča, izdelan na predpisan način in globo za izvajalca, če pri izvajanju gradnje ne poskrbi za to, da je zagotovljena varnost objekta, življenje in zdravje ljudi, mimoidočih, prometa, sosednjih objektov in okolice.</w:t>
      </w:r>
    </w:p>
    <w:sectPr w:rsidR="00A242A1" w:rsidRPr="008F5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8544706"/>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F1"/>
    <w:rsid w:val="004367F1"/>
    <w:rsid w:val="008F5C57"/>
    <w:rsid w:val="00A242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D3A1E-7A22-481F-AA77-D6BA1537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4190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Suad Sarajlić</dc:creator>
  <cp:keywords/>
  <dc:description/>
  <cp:lastModifiedBy>Suad Sarajlić</cp:lastModifiedBy>
  <cp:revision>2</cp:revision>
  <dcterms:created xsi:type="dcterms:W3CDTF">2020-11-16T08:19:00Z</dcterms:created>
  <dcterms:modified xsi:type="dcterms:W3CDTF">2020-11-16T08:22:00Z</dcterms:modified>
</cp:coreProperties>
</file>