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4763B" w:rsidRDefault="00F86595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476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4763B" w:rsidRDefault="002F0AF1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4763B" w:rsidRDefault="00BF0C64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4763B" w:rsidRDefault="00BF0C64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76AB4904" w14:textId="3780DBA9" w:rsidR="00BA0A85" w:rsidRPr="0084763B" w:rsidRDefault="00BA0A85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BC3310A" w14:textId="77777777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683A358" w14:textId="702CA502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Zavezanec:</w:t>
      </w:r>
    </w:p>
    <w:p w14:paraId="7DD5D03E" w14:textId="7BF4B9AA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Pivka perutninarstvo d. d. Kal 1, 6257 Pivka</w:t>
      </w:r>
    </w:p>
    <w:p w14:paraId="574834CC" w14:textId="77777777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EA2E12C" w14:textId="3B84233A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02B3C65" w14:textId="14B69523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- za intenzivno rejo perutnine s proizvodno zmogljivostjo 168.560 mest, ki se nahaja na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farmi Neverke, v desetih hlevih z oznakami: 167, 168, 169, 170, 179, 180, 185, 186, 187 in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 xml:space="preserve">188, na zemljišču s </w:t>
      </w:r>
      <w:proofErr w:type="spellStart"/>
      <w:r w:rsidRPr="0084763B">
        <w:rPr>
          <w:rFonts w:ascii="Arial" w:hAnsi="Arial" w:cs="Arial"/>
          <w:sz w:val="20"/>
          <w:szCs w:val="20"/>
        </w:rPr>
        <w:t>parc</w:t>
      </w:r>
      <w:proofErr w:type="spellEnd"/>
      <w:r w:rsidRPr="0084763B">
        <w:rPr>
          <w:rFonts w:ascii="Arial" w:hAnsi="Arial" w:cs="Arial"/>
          <w:sz w:val="20"/>
          <w:szCs w:val="20"/>
        </w:rPr>
        <w:t>. št. 3339/15, 3339/16, 3339/17, 3339/18, 3339/24, 3339/13,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 xml:space="preserve">3339/14, 3339/20, 3339/22, 3449/9, 3449/10, 3449/11, 3449/12, 3449/39, 3449/40, vse </w:t>
      </w:r>
      <w:proofErr w:type="spellStart"/>
      <w:r w:rsidRPr="0084763B">
        <w:rPr>
          <w:rFonts w:ascii="Arial" w:hAnsi="Arial" w:cs="Arial"/>
          <w:sz w:val="20"/>
          <w:szCs w:val="20"/>
        </w:rPr>
        <w:t>k.o</w:t>
      </w:r>
      <w:proofErr w:type="spellEnd"/>
      <w:r w:rsidRPr="0084763B">
        <w:rPr>
          <w:rFonts w:ascii="Arial" w:hAnsi="Arial" w:cs="Arial"/>
          <w:sz w:val="20"/>
          <w:szCs w:val="20"/>
        </w:rPr>
        <w:t>.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Stara Sušica.</w:t>
      </w:r>
    </w:p>
    <w:p w14:paraId="67B5B28E" w14:textId="77777777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D262EA" w14:textId="27BBB905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55B8BEA4" w14:textId="057B64B0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23. 7. 2019</w:t>
      </w:r>
    </w:p>
    <w:p w14:paraId="23F62FAA" w14:textId="77777777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1DFF4B6" w14:textId="77777777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791FCE16" w14:textId="6C4AD2E5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35407-47/2006-18 z dne 21.10. 2009, spremenjeno z odločbo št. 35407-15/2011-5</w:t>
      </w:r>
      <w:r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z dne 28. 2. 2012 in odločbo št. 35406-41/2016-13 z dne 11. 9. 2018</w:t>
      </w:r>
    </w:p>
    <w:p w14:paraId="6CDBF37D" w14:textId="77777777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4320B7E" w14:textId="35AA99D3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FE56ECA" w14:textId="343FFB32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Pri pregledu je ugotovljeno, da zavezanec zagotavlja izvajanje obratovalnega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monitoringa emisij snovi v okolje za zrak ter predpisano ravnanje z odpadki. Odpadna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voda, ki nastaja pri pranju hlevov se odvaja v nepropustne zbiralnike in nato odpelje na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čistilno napravo.</w:t>
      </w:r>
    </w:p>
    <w:p w14:paraId="79340DE1" w14:textId="009F3102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Glede hrupa naprave v okolje se zavezancu, skladno z OVD, dovoli opustitev izvajanja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obratovalnega monitoringa. Glede ravnanja s perutninskim gnojem je ugotovljeno, da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zavezanec ne skladišči gnoja na farmi, ampak ga pogodbeno oddaja drugim kmetijskim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gospodarstvom za namen gnojenja. Zavezancu je izrečeno opozorilo, da mora iz pogodb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o oddaji gnoja izhajati, da prevzemnik z gnojem ravna in ga skladišči v skladu z Uredbo o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varstvu voda pred onesnaženjem z nitrati iz kmetijskih virov.</w:t>
      </w:r>
    </w:p>
    <w:p w14:paraId="3565D851" w14:textId="715C8586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Zavezanec je o letnih emisijah v zrak Agenciji RS za okolje poročal pravočasno ter poslal</w:t>
      </w:r>
      <w:r w:rsidRPr="0084763B">
        <w:rPr>
          <w:rFonts w:ascii="Arial" w:hAnsi="Arial" w:cs="Arial"/>
          <w:sz w:val="20"/>
          <w:szCs w:val="20"/>
        </w:rPr>
        <w:t xml:space="preserve"> </w:t>
      </w:r>
      <w:r w:rsidRPr="0084763B">
        <w:rPr>
          <w:rFonts w:ascii="Arial" w:hAnsi="Arial" w:cs="Arial"/>
          <w:sz w:val="20"/>
          <w:szCs w:val="20"/>
        </w:rPr>
        <w:t>poročilo v Evropski register izpustov in prenosov onesnaževal</w:t>
      </w:r>
      <w:r w:rsidRPr="0084763B">
        <w:rPr>
          <w:rFonts w:ascii="Arial" w:hAnsi="Arial" w:cs="Arial"/>
          <w:b/>
          <w:bCs/>
          <w:sz w:val="20"/>
          <w:szCs w:val="20"/>
        </w:rPr>
        <w:t>.</w:t>
      </w:r>
    </w:p>
    <w:p w14:paraId="673349FF" w14:textId="77777777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F285D11" w14:textId="0B200A2E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6A870D25" w14:textId="77777777" w:rsidR="0084763B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Zavezanec je sledil opozorilu in odpravil nepravilnost. Naslednji redni inšpekcijski</w:t>
      </w:r>
    </w:p>
    <w:p w14:paraId="6577A873" w14:textId="5A103894" w:rsidR="00517F70" w:rsidRPr="0084763B" w:rsidRDefault="0084763B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4763B">
        <w:rPr>
          <w:rFonts w:ascii="Arial" w:hAnsi="Arial" w:cs="Arial"/>
          <w:sz w:val="20"/>
          <w:szCs w:val="20"/>
        </w:rPr>
        <w:t>pregled bo opravljen v skladu z letnim planom dela.</w:t>
      </w:r>
    </w:p>
    <w:sectPr w:rsidR="00517F70" w:rsidRPr="0084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87160"/>
    <w:rsid w:val="001D4A7A"/>
    <w:rsid w:val="001F2728"/>
    <w:rsid w:val="00207CC5"/>
    <w:rsid w:val="0022614D"/>
    <w:rsid w:val="00245757"/>
    <w:rsid w:val="002A2A62"/>
    <w:rsid w:val="002A72F7"/>
    <w:rsid w:val="002E0FD3"/>
    <w:rsid w:val="002F0AF1"/>
    <w:rsid w:val="002F0FEB"/>
    <w:rsid w:val="0033379D"/>
    <w:rsid w:val="00333801"/>
    <w:rsid w:val="00374780"/>
    <w:rsid w:val="0037675B"/>
    <w:rsid w:val="00390ED0"/>
    <w:rsid w:val="00392133"/>
    <w:rsid w:val="00395EEF"/>
    <w:rsid w:val="003E77D5"/>
    <w:rsid w:val="003F27B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7F70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4763B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9F288F"/>
    <w:rsid w:val="00A21A0C"/>
    <w:rsid w:val="00A57B3D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2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2021-03-17T17:33:00Z</dcterms:created>
  <dcterms:modified xsi:type="dcterms:W3CDTF">2021-03-17T17:36:00Z</dcterms:modified>
</cp:coreProperties>
</file>