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4763B" w:rsidRDefault="00F86595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476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4763B" w:rsidRDefault="002F0AF1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27746D1B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B0DD5F" w14:textId="77777777" w:rsidR="001463F5" w:rsidRDefault="001463F5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20FA6B" w14:textId="0BDEE982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6D33C63E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 xml:space="preserve">Pivovarna Laško Union, </w:t>
      </w:r>
      <w:proofErr w:type="spellStart"/>
      <w:r w:rsidRPr="007F30A8">
        <w:rPr>
          <w:rFonts w:ascii="Arial" w:hAnsi="Arial" w:cs="Arial"/>
          <w:sz w:val="20"/>
          <w:szCs w:val="20"/>
        </w:rPr>
        <w:t>d.o.o</w:t>
      </w:r>
      <w:proofErr w:type="spellEnd"/>
      <w:r w:rsidRPr="007F30A8">
        <w:rPr>
          <w:rFonts w:ascii="Arial" w:hAnsi="Arial" w:cs="Arial"/>
          <w:sz w:val="20"/>
          <w:szCs w:val="20"/>
        </w:rPr>
        <w:t>.</w:t>
      </w:r>
    </w:p>
    <w:p w14:paraId="76491D86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9841A2" w14:textId="77777777" w:rsid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DFE982F" w14:textId="1FF0EBF1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Pivovarniška ul. 2, 1000 Ljubljana, lokacija Trubarjeva 28, 3270 Laško</w:t>
      </w:r>
    </w:p>
    <w:p w14:paraId="5B2142AD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07CD94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4665B5E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3.3.2020</w:t>
      </w:r>
    </w:p>
    <w:p w14:paraId="35CBEC42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3361E9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>Okoljevarstveno dovoljenje (OVD) Agencije RS za okolje številka:</w:t>
      </w:r>
    </w:p>
    <w:p w14:paraId="2D4021DB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35407-129/2006-13 z dne 26.02.2009, sprememba odločba št. 35407-59/2011-6 z dne 05.06.2012</w:t>
      </w:r>
    </w:p>
    <w:p w14:paraId="105F8BEE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87D3DF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1D7E482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DA</w:t>
      </w:r>
    </w:p>
    <w:p w14:paraId="1266288B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>NE</w:t>
      </w:r>
      <w:r w:rsidRPr="007F30A8">
        <w:rPr>
          <w:rFonts w:ascii="Arial" w:hAnsi="Arial" w:cs="Arial"/>
          <w:sz w:val="20"/>
          <w:szCs w:val="20"/>
        </w:rPr>
        <w:t xml:space="preserve"> (navedi):</w:t>
      </w:r>
    </w:p>
    <w:p w14:paraId="2451BF14" w14:textId="0FFF16A1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Zavezanec ima izdano integralno okoljevarstveno dovoljenje za obratovanje naprave za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proizvodnjo živil z obdelavo in predelavo surovin rastlinskega izvora, s proizvodno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zmogljivostjo 920 ton končnih izdelkov na dan, in sicer 800 ton piva na dan ter 120 ton vode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na dan. V letu 2020 je bil izveden redni inšpekcijski pregled, predmet pregleda so bile emisije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snovi v zrak. Ugotovljeno je bilo, da zavezanec z izpusti emisij v zrak na izpustih Z7 in Z12 s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parametrom TOC presega mejne vrednosti, določene v okoljevarstvenem dovoljenju. Izdana</w:t>
      </w:r>
      <w:r>
        <w:rPr>
          <w:rFonts w:ascii="Arial" w:hAnsi="Arial" w:cs="Arial"/>
          <w:sz w:val="20"/>
          <w:szCs w:val="20"/>
        </w:rPr>
        <w:t xml:space="preserve"> </w:t>
      </w:r>
      <w:r w:rsidRPr="007F30A8">
        <w:rPr>
          <w:rFonts w:ascii="Arial" w:hAnsi="Arial" w:cs="Arial"/>
          <w:sz w:val="20"/>
          <w:szCs w:val="20"/>
        </w:rPr>
        <w:t>je ureditvena odločba.</w:t>
      </w:r>
    </w:p>
    <w:p w14:paraId="6F1C2D57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0462F6" w14:textId="77777777" w:rsidR="007F30A8" w:rsidRPr="007F30A8" w:rsidRDefault="007F30A8" w:rsidP="007F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0A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6E5530AF" w14:textId="77777777" w:rsidR="007F30A8" w:rsidRPr="007F30A8" w:rsidRDefault="007F30A8" w:rsidP="007F30A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Naslednji redni inšpekcijski pregled bo opravljen po preteku roka iz odločbe, izredni po</w:t>
      </w:r>
    </w:p>
    <w:p w14:paraId="3240CDF7" w14:textId="5539A80D" w:rsidR="00513298" w:rsidRPr="007F30A8" w:rsidRDefault="007F30A8" w:rsidP="007F30A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F30A8">
        <w:rPr>
          <w:rFonts w:ascii="Arial" w:hAnsi="Arial" w:cs="Arial"/>
          <w:sz w:val="20"/>
          <w:szCs w:val="20"/>
        </w:rPr>
        <w:t>potrebi.</w:t>
      </w:r>
    </w:p>
    <w:sectPr w:rsidR="00513298" w:rsidRPr="007F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3473F"/>
    <w:rsid w:val="00374780"/>
    <w:rsid w:val="0037675B"/>
    <w:rsid w:val="00390ED0"/>
    <w:rsid w:val="00392133"/>
    <w:rsid w:val="00395EEF"/>
    <w:rsid w:val="003E77D5"/>
    <w:rsid w:val="003F27B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2021-03-17T17:47:00Z</dcterms:created>
  <dcterms:modified xsi:type="dcterms:W3CDTF">2021-03-17T17:50:00Z</dcterms:modified>
</cp:coreProperties>
</file>