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4763B" w:rsidRDefault="00F86595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476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4763B" w:rsidRDefault="002F0AF1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4763B" w:rsidRDefault="00BF0C64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4763B" w:rsidRDefault="00BF0C64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27746D1B" w14:textId="77777777" w:rsidR="00513298" w:rsidRDefault="00513298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14B0E0A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36CED">
        <w:rPr>
          <w:rFonts w:ascii="Arial" w:hAnsi="Arial" w:cs="Arial"/>
          <w:b/>
          <w:bCs/>
          <w:color w:val="000000"/>
          <w:sz w:val="20"/>
          <w:szCs w:val="20"/>
        </w:rPr>
        <w:t xml:space="preserve">Zavezanec: </w:t>
      </w:r>
    </w:p>
    <w:p w14:paraId="07663F5F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Pivovarna Laško Union d. o. o., Pivovarniška ulica 2, 1000 Ljubljana</w:t>
      </w:r>
    </w:p>
    <w:p w14:paraId="7899D9A7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3FDA12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36CED">
        <w:rPr>
          <w:rFonts w:ascii="Arial" w:hAnsi="Arial" w:cs="Arial"/>
          <w:b/>
          <w:bCs/>
          <w:color w:val="000000"/>
          <w:sz w:val="20"/>
          <w:szCs w:val="20"/>
        </w:rPr>
        <w:t xml:space="preserve">Naprava / lokacija: </w:t>
      </w:r>
    </w:p>
    <w:p w14:paraId="4C1EA3FB" w14:textId="1D908D3A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PE Pivovarna Union, Pivovarniška ulica 2, 1000 Ljubljana: naprava za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proizvodnjo živil za obdelavo in predelavo surovin rastlinskega izvora na lokaciji Pivovarniška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ulica 2, 1000 Ljubljana</w:t>
      </w:r>
    </w:p>
    <w:p w14:paraId="4E85A81A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8ED811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36CED">
        <w:rPr>
          <w:rFonts w:ascii="Arial" w:hAnsi="Arial" w:cs="Arial"/>
          <w:b/>
          <w:bCs/>
          <w:color w:val="000000"/>
          <w:sz w:val="20"/>
          <w:szCs w:val="20"/>
        </w:rPr>
        <w:t xml:space="preserve">Datum pregleda: </w:t>
      </w:r>
    </w:p>
    <w:p w14:paraId="1B03F03A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1. 6. 2020</w:t>
      </w:r>
    </w:p>
    <w:p w14:paraId="012391DA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9F1530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36CED">
        <w:rPr>
          <w:rFonts w:ascii="Arial" w:hAnsi="Arial" w:cs="Arial"/>
          <w:b/>
          <w:bCs/>
          <w:color w:val="000000"/>
          <w:sz w:val="20"/>
          <w:szCs w:val="20"/>
        </w:rPr>
        <w:t xml:space="preserve">Okoljevarstveno dovoljenje (OVD) Agencije RS za okolje številka:  </w:t>
      </w:r>
    </w:p>
    <w:p w14:paraId="0DFCA6BD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35407-65/2006-12 z dne 17. 3. 2008 s spremembami (v nadaljevanju: OVD)</w:t>
      </w:r>
    </w:p>
    <w:p w14:paraId="30954680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69BE6BEC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36CED">
        <w:rPr>
          <w:rFonts w:ascii="Arial" w:hAnsi="Arial" w:cs="Arial"/>
          <w:b/>
          <w:bCs/>
          <w:color w:val="000000"/>
          <w:sz w:val="20"/>
          <w:szCs w:val="20"/>
        </w:rPr>
        <w:t>Usklajenost z OVD: NE</w:t>
      </w:r>
    </w:p>
    <w:p w14:paraId="069EF71E" w14:textId="22DB26B5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V okviru rednega inšpekcijskega pregleda naprave v zvezi z izpolnjevanjem določb pridobljenega OVD, ki so bile predmet nadzora na kraju naprave, so bile ugotovljene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nepravilnosti, kršitve zakonsko določenih predpisov, ki so bili predmet inšpekcijskega nadzora ter kršitve določil OVD. Glede na to bo zavezancu na podlagi 1. odstavka 157. člena Zakona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varstvu okolja (Uradni list RS, št. 39/06) izdana ureditvena odločba s področja emisij snovi v vode.</w:t>
      </w:r>
    </w:p>
    <w:p w14:paraId="31DD15AB" w14:textId="5F74E9E9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V zvezi z emisijami snovi v vode je bilo ugotovljeno, da na lokaciji nastajajo različne odpadne vode in da se izvaja obratovalni monitoring odpadnih vod preko pooblaščenca. Iz Poročila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obratovalnem monitoringu odpadnih vod za podjetje za leto 2019, ki ga je izdelal pooblaščenec je med drugim razvidno, da vse odpadne vode, ki nastanejo v napravi odtekajo v javni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 xml:space="preserve">kanalizacijski sistem, ki je zaključen s Centralno čistilno napravo Ljubljana. Prav tako je razvidno, da sistem za čiščenje odpadne vode predstavlja </w:t>
      </w:r>
      <w:proofErr w:type="spellStart"/>
      <w:r w:rsidRPr="00936CED">
        <w:rPr>
          <w:rFonts w:ascii="Arial" w:hAnsi="Arial" w:cs="Arial"/>
          <w:color w:val="000000"/>
          <w:sz w:val="20"/>
          <w:szCs w:val="20"/>
        </w:rPr>
        <w:t>nevtralizacijska</w:t>
      </w:r>
      <w:proofErr w:type="spellEnd"/>
      <w:r w:rsidRPr="00936CED">
        <w:rPr>
          <w:rFonts w:ascii="Arial" w:hAnsi="Arial" w:cs="Arial"/>
          <w:color w:val="000000"/>
          <w:sz w:val="20"/>
          <w:szCs w:val="20"/>
        </w:rPr>
        <w:t xml:space="preserve"> postaja za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nevtralizacijo tehnoloških odpadnih vod. Iz omenjenega poročila je tudi razvidno, da so v letu 2019 na iztok iz naprave V1 odtekle v veljavnem OVD dovoljene količine odpadne vode, da 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je vzorčenje odpadne vode v letu 2019 izvajalo v skladu s pridobljenim OVD, da so bili v letu 2019 merjeni vsi v OVD določeni parametri in da naprava v letu 2019 na tem iztoku 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 xml:space="preserve">odvajanjem industrijskih odpadnih voda presega mejne vrednosti parametrov, ki so določeni v predmetnem OVD, in sicer za parameter: vsota anionskih in </w:t>
      </w:r>
      <w:proofErr w:type="spellStart"/>
      <w:r w:rsidRPr="00936CED">
        <w:rPr>
          <w:rFonts w:ascii="Arial" w:hAnsi="Arial" w:cs="Arial"/>
          <w:color w:val="000000"/>
          <w:sz w:val="20"/>
          <w:szCs w:val="20"/>
        </w:rPr>
        <w:t>neionskih</w:t>
      </w:r>
      <w:proofErr w:type="spellEnd"/>
      <w:r w:rsidRPr="00936C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6CED">
        <w:rPr>
          <w:rFonts w:ascii="Arial" w:hAnsi="Arial" w:cs="Arial"/>
          <w:color w:val="000000"/>
          <w:sz w:val="20"/>
          <w:szCs w:val="20"/>
        </w:rPr>
        <w:t>tenzidov</w:t>
      </w:r>
      <w:proofErr w:type="spellEnd"/>
      <w:r w:rsidRPr="00936CED">
        <w:rPr>
          <w:rFonts w:ascii="Arial" w:hAnsi="Arial" w:cs="Arial"/>
          <w:color w:val="000000"/>
          <w:sz w:val="20"/>
          <w:szCs w:val="20"/>
        </w:rPr>
        <w:t>. Vsi ostali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merjeni parametri so bili v letu 2019 skladu z veljavnim OVD. Glede na navedeno naprava v letu 2019 na tem iztoku z odvajanjem industrijske odpadne vode obremenjuje okolje čezmerno.</w:t>
      </w:r>
    </w:p>
    <w:p w14:paraId="58C8C81B" w14:textId="553D27C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lastRenderedPageBreak/>
        <w:t>Zadnji opravljeni monitoring odpadne vode, ki je bil izveden v letu 2020 in za katerega je bilo izdelano tudi poročilo pa izkazuje, da merjeni parametri odpadne vode iz pivovarne, ki se odvaja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na iztok V1 in naprej v javni kanalizacijski sistem, ne presega dovoljenih mejnih vrednosti iz veljavnega OVD. Ugotovljeno je bilo tudi, da je na lokaciji naprave več lovilcev olj namenjenih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čiščenju odpadne vode. Za vse se vodi zahtevano dokumentacijo. Stranka na ministrstvo posreduje vsa zahtevana poročila.</w:t>
      </w:r>
    </w:p>
    <w:p w14:paraId="33C8F5FA" w14:textId="6FC91364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Stranka izvaja obratovalni monitoring emisije hrupa v okolje. Iz zaključka Poročila o stanju hrupa v okolju na lokaciji Pivovarniška 2, Ljubljana iz leta 2019, ki ga je izdelal pooblaščenec, 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razvidno, da so ravni hrupa strojev in delovnih naprav, ki pripadajo zavezancu ob upoštevanju določenih omejitev in vrednostnih korekcij v dovoljenih mejah, predpisanih za njihovo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 xml:space="preserve">obratovanje tako v dnevnem, večernem in nočnem času. V času meritev so obratovali vsi viri s polno obremenitvijo. Meritve so se opravile na 10 merilnih mestih. Območje je uvrščeno v III. </w:t>
      </w:r>
      <w:r w:rsidRPr="00936CED">
        <w:rPr>
          <w:rFonts w:ascii="Arial" w:hAnsi="Arial" w:cs="Arial"/>
          <w:color w:val="000000"/>
          <w:sz w:val="20"/>
          <w:szCs w:val="20"/>
        </w:rPr>
        <w:t>I</w:t>
      </w:r>
      <w:r w:rsidRPr="00936CED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 xml:space="preserve">IV. stopnjo varstva pred hrupom. Stranka ima izdelano tudi delovno Poročilo za karte hrupe, ki jih je izdelal pooblaščenec – Ocena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obremenjenosti okolja s hrupom na podlagi modelnega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 xml:space="preserve">izračuna PLU </w:t>
      </w:r>
      <w:proofErr w:type="spellStart"/>
      <w:r w:rsidRPr="00936CED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36CED">
        <w:rPr>
          <w:rFonts w:ascii="Arial" w:hAnsi="Arial" w:cs="Arial"/>
          <w:color w:val="000000"/>
          <w:sz w:val="20"/>
          <w:szCs w:val="20"/>
        </w:rPr>
        <w:t>., Pivovarniška 2, Ljubljana –, iz katerega je razvidno, da naprava ne presega mejnih vrednosti kazalcev hrupa za III. območje varstva pred hrupom pred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obravnavanimi objekti.</w:t>
      </w:r>
    </w:p>
    <w:p w14:paraId="3616631C" w14:textId="698D1FC9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Glede ravnanja z odpadki je bilo ugotovljeno, da stranka izvaja ukrepe za preprečevanje, pripravo za ponovno uporabo, recikliranje in predelavo odpadkov, da nastaja tekom proizvodnje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čim manj odpadkov, da se čim več odpadkov ponovno uporabi, reciklira in predela, da na lokaciji nastajajo različne vrste odpadkov, ki se ločeno zbirajo, da se vodijo evidence o vrsti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količinah odpadkov, da je izdelan Načrt gospodarjenja z odpadki in da se na ministrstvo posreduje vsa zahtevana poročila. Prav tako je bilo ugotovljeno, da so bili vsi ločeno zbrani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odpadki v času pregleda ustrezno označeni.</w:t>
      </w:r>
    </w:p>
    <w:p w14:paraId="1959AD65" w14:textId="526BC430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V zvezi s skladiščenjem nevarnih tekočin v nepremičnih rezervoarjih je bilo ugotovljeno, da ima stranka centralno skladišče kemikalij – skladišče nevarnih snovi – kjer je utrjena površina brez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 xml:space="preserve">iztoka, pod regali so lovilne sklede za primer razlitja. Prav tako je bilo ugotovljeno, da ima na lokaciji rezervoar za HNO3 50%, rezervoar za HCl 33% in rezervoar za </w:t>
      </w:r>
      <w:proofErr w:type="spellStart"/>
      <w:r w:rsidRPr="00936CED">
        <w:rPr>
          <w:rFonts w:ascii="Arial" w:hAnsi="Arial" w:cs="Arial"/>
          <w:color w:val="000000"/>
          <w:sz w:val="20"/>
          <w:szCs w:val="20"/>
        </w:rPr>
        <w:t>NaOH</w:t>
      </w:r>
      <w:proofErr w:type="spellEnd"/>
      <w:r w:rsidRPr="00936CED">
        <w:rPr>
          <w:rFonts w:ascii="Arial" w:hAnsi="Arial" w:cs="Arial"/>
          <w:color w:val="000000"/>
          <w:sz w:val="20"/>
          <w:szCs w:val="20"/>
        </w:rPr>
        <w:t xml:space="preserve"> 50%, da ima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izdelan Načrt ravnanja z nenevarnimi tekočinami, da se vodi evidenca o skladiščenju nevarnih tekočin, da imajo vsi rezervoarji opremo, ki preprečuje njihovo polnitev nad nazivno prostornino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nepremičnega rezervoarja, da imajo vsi rezervoarji zadrževalni sistem za prestrezanje in zadrževanje nevarne tekočine, ki je dovolj velik in nima izpusta v okolje, da so nepremični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6CED">
        <w:rPr>
          <w:rFonts w:ascii="Arial" w:hAnsi="Arial" w:cs="Arial"/>
          <w:color w:val="000000"/>
          <w:sz w:val="20"/>
          <w:szCs w:val="20"/>
        </w:rPr>
        <w:t>rezervoarji med seboj ločeni, da je bilo pretakališče za pretakanje nevarnih snovi, ki se nahaja na dvorišču, v letu 2019 sanirano in prenovljeno ter da je pretakališče povezano 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6CED">
        <w:rPr>
          <w:rFonts w:ascii="Arial" w:hAnsi="Arial" w:cs="Arial"/>
          <w:color w:val="000000"/>
          <w:sz w:val="20"/>
          <w:szCs w:val="20"/>
        </w:rPr>
        <w:t>nevtralizacijsko</w:t>
      </w:r>
      <w:proofErr w:type="spellEnd"/>
      <w:r w:rsidRPr="00936CED">
        <w:rPr>
          <w:rFonts w:ascii="Arial" w:hAnsi="Arial" w:cs="Arial"/>
          <w:color w:val="000000"/>
          <w:sz w:val="20"/>
          <w:szCs w:val="20"/>
        </w:rPr>
        <w:t xml:space="preserve"> postajo – zadrževalni sistem, ki prepreči, da bi nevarna snov prišla v okolje.</w:t>
      </w:r>
    </w:p>
    <w:p w14:paraId="205DCCD7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Sistem ima varovanje, da je ob morebitnih napakah onemogočeno prečrpavanje nevarnih snovi.</w:t>
      </w:r>
    </w:p>
    <w:p w14:paraId="49882314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B6A158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36CED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27584FBD" w14:textId="77777777" w:rsidR="00936CED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Naslednji redni inšpekcijski pregled na terenu bo opravljen skladno s planom inšpektorata,</w:t>
      </w:r>
    </w:p>
    <w:p w14:paraId="39043039" w14:textId="01F7C3EE" w:rsidR="008E310A" w:rsidRPr="00936CED" w:rsidRDefault="00936CED" w:rsidP="00936CE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36CED">
        <w:rPr>
          <w:rFonts w:ascii="Arial" w:hAnsi="Arial" w:cs="Arial"/>
          <w:color w:val="000000"/>
          <w:sz w:val="20"/>
          <w:szCs w:val="20"/>
        </w:rPr>
        <w:t>naslednji izredni inšpekcijski pregled pa po potrebi.</w:t>
      </w:r>
    </w:p>
    <w:sectPr w:rsidR="008E310A" w:rsidRPr="0093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1103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463F5"/>
    <w:rsid w:val="00187160"/>
    <w:rsid w:val="001D4A7A"/>
    <w:rsid w:val="001F2728"/>
    <w:rsid w:val="00207CC5"/>
    <w:rsid w:val="0022614D"/>
    <w:rsid w:val="00245757"/>
    <w:rsid w:val="002A2A62"/>
    <w:rsid w:val="002A72F7"/>
    <w:rsid w:val="002E0FD3"/>
    <w:rsid w:val="002F0AF1"/>
    <w:rsid w:val="002F0FEB"/>
    <w:rsid w:val="0033379D"/>
    <w:rsid w:val="00333801"/>
    <w:rsid w:val="0033473F"/>
    <w:rsid w:val="00374780"/>
    <w:rsid w:val="0037675B"/>
    <w:rsid w:val="00390ED0"/>
    <w:rsid w:val="00392133"/>
    <w:rsid w:val="00395EEF"/>
    <w:rsid w:val="003E77D5"/>
    <w:rsid w:val="003F27B1"/>
    <w:rsid w:val="00412E0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3298"/>
    <w:rsid w:val="00517F70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7F30A8"/>
    <w:rsid w:val="00800B37"/>
    <w:rsid w:val="00836663"/>
    <w:rsid w:val="0084763B"/>
    <w:rsid w:val="0088433A"/>
    <w:rsid w:val="008E310A"/>
    <w:rsid w:val="008F0716"/>
    <w:rsid w:val="008F1FCF"/>
    <w:rsid w:val="00912868"/>
    <w:rsid w:val="00924489"/>
    <w:rsid w:val="00932F16"/>
    <w:rsid w:val="00936CED"/>
    <w:rsid w:val="00941499"/>
    <w:rsid w:val="0094339A"/>
    <w:rsid w:val="00983769"/>
    <w:rsid w:val="009842F6"/>
    <w:rsid w:val="009A059C"/>
    <w:rsid w:val="009F288F"/>
    <w:rsid w:val="00A21A0C"/>
    <w:rsid w:val="00A43652"/>
    <w:rsid w:val="00A57B3D"/>
    <w:rsid w:val="00A91867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318D1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4808</Characters>
  <Application>Microsoft Office Word</Application>
  <DocSecurity>2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2021-03-17T17:53:00Z</dcterms:created>
  <dcterms:modified xsi:type="dcterms:W3CDTF">2021-03-17T17:59:00Z</dcterms:modified>
</cp:coreProperties>
</file>