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Pr="00AC1AFC" w:rsidRDefault="00F86595" w:rsidP="0065474B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AC1AFC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AC1AFC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AC1AFC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AC1AFC" w:rsidRDefault="00072BB8" w:rsidP="0065474B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B644DF" w14:textId="77777777" w:rsidR="006E22B6" w:rsidRPr="00AC1AFC" w:rsidRDefault="006E22B6" w:rsidP="0065474B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AC1AFC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077D0584" w14:textId="1CFCB24F" w:rsidR="006E22B6" w:rsidRPr="00AC1AFC" w:rsidRDefault="006E22B6" w:rsidP="0065474B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AC1AFC">
        <w:rPr>
          <w:b/>
          <w:bCs/>
          <w:color w:val="auto"/>
          <w:sz w:val="20"/>
          <w:szCs w:val="20"/>
        </w:rPr>
        <w:t>ONESNAŽEVANJE OKOLJA VEČJEGA OBSEGA</w:t>
      </w:r>
    </w:p>
    <w:p w14:paraId="0CA4B3E3" w14:textId="661E3D53" w:rsidR="009A2054" w:rsidRDefault="00C317E4" w:rsidP="0065474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F4A4CBD" w14:textId="07BC6617" w:rsidR="002221E8" w:rsidRPr="002221E8" w:rsidRDefault="002221E8" w:rsidP="002221E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</w:t>
      </w:r>
      <w:r w:rsidRPr="002221E8">
        <w:rPr>
          <w:rFonts w:ascii="Arial" w:hAnsi="Arial" w:cs="Arial"/>
          <w:b/>
          <w:bCs/>
          <w:sz w:val="20"/>
          <w:szCs w:val="20"/>
        </w:rPr>
        <w:t xml:space="preserve">avezanec: </w:t>
      </w:r>
    </w:p>
    <w:p w14:paraId="606EE9D7" w14:textId="77777777" w:rsidR="002221E8" w:rsidRPr="002221E8" w:rsidRDefault="002221E8" w:rsidP="002221E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2221E8">
        <w:rPr>
          <w:rFonts w:ascii="Arial" w:hAnsi="Arial" w:cs="Arial"/>
          <w:sz w:val="20"/>
          <w:szCs w:val="20"/>
        </w:rPr>
        <w:t>Meso Kamnik d. d., Korenova cesta 9, 1241 Kamnik</w:t>
      </w:r>
    </w:p>
    <w:p w14:paraId="1A0DCEA0" w14:textId="77777777" w:rsidR="002221E8" w:rsidRPr="002221E8" w:rsidRDefault="002221E8" w:rsidP="002221E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1EBC8AB9" w14:textId="77777777" w:rsidR="002221E8" w:rsidRPr="002221E8" w:rsidRDefault="002221E8" w:rsidP="002221E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2221E8">
        <w:rPr>
          <w:rFonts w:ascii="Arial" w:hAnsi="Arial" w:cs="Arial"/>
          <w:b/>
          <w:bCs/>
          <w:sz w:val="20"/>
          <w:szCs w:val="20"/>
        </w:rPr>
        <w:t xml:space="preserve">Naprava / lokacija: </w:t>
      </w:r>
    </w:p>
    <w:p w14:paraId="42229055" w14:textId="77777777" w:rsidR="002221E8" w:rsidRPr="002221E8" w:rsidRDefault="002221E8" w:rsidP="002221E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2221E8">
        <w:rPr>
          <w:rFonts w:ascii="Arial" w:hAnsi="Arial" w:cs="Arial"/>
          <w:sz w:val="20"/>
          <w:szCs w:val="20"/>
        </w:rPr>
        <w:t>Klavnica in predelava mesa na lokaciji Korenova cesta 9, 1241 Kamnik</w:t>
      </w:r>
    </w:p>
    <w:p w14:paraId="4307DE67" w14:textId="77777777" w:rsidR="002221E8" w:rsidRPr="002221E8" w:rsidRDefault="002221E8" w:rsidP="002221E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1FEBE0DF" w14:textId="77777777" w:rsidR="002221E8" w:rsidRPr="002221E8" w:rsidRDefault="002221E8" w:rsidP="002221E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2221E8">
        <w:rPr>
          <w:rFonts w:ascii="Arial" w:hAnsi="Arial" w:cs="Arial"/>
          <w:b/>
          <w:bCs/>
          <w:sz w:val="20"/>
          <w:szCs w:val="20"/>
        </w:rPr>
        <w:t xml:space="preserve">Datum pregleda: </w:t>
      </w:r>
    </w:p>
    <w:p w14:paraId="371EA17B" w14:textId="77777777" w:rsidR="002221E8" w:rsidRPr="002221E8" w:rsidRDefault="002221E8" w:rsidP="002221E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2221E8">
        <w:rPr>
          <w:rFonts w:ascii="Arial" w:hAnsi="Arial" w:cs="Arial"/>
          <w:sz w:val="20"/>
          <w:szCs w:val="20"/>
        </w:rPr>
        <w:t>16. 9. 2020</w:t>
      </w:r>
    </w:p>
    <w:p w14:paraId="2D25B6B0" w14:textId="77777777" w:rsidR="002221E8" w:rsidRPr="002221E8" w:rsidRDefault="002221E8" w:rsidP="002221E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1ADE50F6" w14:textId="77777777" w:rsidR="002221E8" w:rsidRPr="002221E8" w:rsidRDefault="002221E8" w:rsidP="002221E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2221E8">
        <w:rPr>
          <w:rFonts w:ascii="Arial" w:hAnsi="Arial" w:cs="Arial"/>
          <w:b/>
          <w:bCs/>
          <w:sz w:val="20"/>
          <w:szCs w:val="20"/>
        </w:rPr>
        <w:t xml:space="preserve">Okoljevarstveno dovoljenje (OVD), številka: </w:t>
      </w:r>
    </w:p>
    <w:p w14:paraId="5DD4AABB" w14:textId="77777777" w:rsidR="002221E8" w:rsidRPr="002221E8" w:rsidRDefault="002221E8" w:rsidP="002221E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2221E8">
        <w:rPr>
          <w:rFonts w:ascii="Arial" w:hAnsi="Arial" w:cs="Arial"/>
          <w:sz w:val="20"/>
          <w:szCs w:val="20"/>
        </w:rPr>
        <w:t>35407-151/2006-9 z dne 11. 8. 2009 s spremembami (v nadaljevanju: OVD)</w:t>
      </w:r>
    </w:p>
    <w:p w14:paraId="42A6BF12" w14:textId="77777777" w:rsidR="002221E8" w:rsidRPr="002221E8" w:rsidRDefault="002221E8" w:rsidP="002221E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11FCE80A" w14:textId="77777777" w:rsidR="002221E8" w:rsidRPr="002221E8" w:rsidRDefault="002221E8" w:rsidP="002221E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2221E8">
        <w:rPr>
          <w:rFonts w:ascii="Arial" w:hAnsi="Arial" w:cs="Arial"/>
          <w:b/>
          <w:bCs/>
          <w:sz w:val="20"/>
          <w:szCs w:val="20"/>
        </w:rPr>
        <w:t>Usklajenost z OVD: DA</w:t>
      </w:r>
    </w:p>
    <w:p w14:paraId="2E5E7A96" w14:textId="77777777" w:rsidR="002221E8" w:rsidRPr="002221E8" w:rsidRDefault="002221E8" w:rsidP="002221E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2221E8">
        <w:rPr>
          <w:rFonts w:ascii="Arial" w:hAnsi="Arial" w:cs="Arial"/>
          <w:sz w:val="20"/>
          <w:szCs w:val="20"/>
        </w:rPr>
        <w:t>V okviru inšpekcijskega pregleda naprave v zvezi z izpolnjevanjem določb pridobljenega OVD, ki so bile predmet nadzora na kraju naprave, ni bilo ugotovljenih nepravilnosti.</w:t>
      </w:r>
    </w:p>
    <w:p w14:paraId="621EF0B7" w14:textId="5DE37BA7" w:rsidR="002221E8" w:rsidRPr="002221E8" w:rsidRDefault="002221E8" w:rsidP="002221E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2221E8">
        <w:rPr>
          <w:rFonts w:ascii="Arial" w:hAnsi="Arial" w:cs="Arial"/>
          <w:sz w:val="20"/>
          <w:szCs w:val="20"/>
        </w:rPr>
        <w:t>Glede emisij snovi v zrak je bilo ugotovljeno, da ima stranka štiri naprave z izpusti emisij snovi v zrak. Izpuščanje dimnih plinov v okolje se zagotavlja samo skozi odvodnike, plinov se ne redči,</w:t>
      </w:r>
      <w:r>
        <w:rPr>
          <w:rFonts w:ascii="Arial" w:hAnsi="Arial" w:cs="Arial"/>
          <w:sz w:val="20"/>
          <w:szCs w:val="20"/>
        </w:rPr>
        <w:t xml:space="preserve"> </w:t>
      </w:r>
      <w:r w:rsidRPr="002221E8">
        <w:rPr>
          <w:rFonts w:ascii="Arial" w:hAnsi="Arial" w:cs="Arial"/>
          <w:sz w:val="20"/>
          <w:szCs w:val="20"/>
        </w:rPr>
        <w:t>urejena so stalna merilna mesta. Na lokaciji je tudi nepremični motor z notranjim izgorevanjem, ki obratuje samo za pogon rezervnega ali zasilnega napajanja elektrike. Upravljavec vsako leto</w:t>
      </w:r>
      <w:r>
        <w:rPr>
          <w:rFonts w:ascii="Arial" w:hAnsi="Arial" w:cs="Arial"/>
          <w:sz w:val="20"/>
          <w:szCs w:val="20"/>
        </w:rPr>
        <w:t xml:space="preserve"> </w:t>
      </w:r>
      <w:r w:rsidRPr="002221E8">
        <w:rPr>
          <w:rFonts w:ascii="Arial" w:hAnsi="Arial" w:cs="Arial"/>
          <w:sz w:val="20"/>
          <w:szCs w:val="20"/>
        </w:rPr>
        <w:t xml:space="preserve">na ministrstvo </w:t>
      </w:r>
      <w:r>
        <w:rPr>
          <w:rFonts w:ascii="Arial" w:hAnsi="Arial" w:cs="Arial"/>
          <w:sz w:val="20"/>
          <w:szCs w:val="20"/>
        </w:rPr>
        <w:t>p</w:t>
      </w:r>
      <w:r w:rsidRPr="002221E8">
        <w:rPr>
          <w:rFonts w:ascii="Arial" w:hAnsi="Arial" w:cs="Arial"/>
          <w:sz w:val="20"/>
          <w:szCs w:val="20"/>
        </w:rPr>
        <w:t>osreduje vso predpisano dokumentacijo. Izvaja se obratovalni monitoring emisij snov v zrak na vseh definiranih izpustih. Meritve emisij snovi v zrak na vseh izpustih so bile v</w:t>
      </w:r>
      <w:r>
        <w:rPr>
          <w:rFonts w:ascii="Arial" w:hAnsi="Arial" w:cs="Arial"/>
          <w:sz w:val="20"/>
          <w:szCs w:val="20"/>
        </w:rPr>
        <w:t xml:space="preserve"> </w:t>
      </w:r>
      <w:r w:rsidRPr="002221E8">
        <w:rPr>
          <w:rFonts w:ascii="Arial" w:hAnsi="Arial" w:cs="Arial"/>
          <w:sz w:val="20"/>
          <w:szCs w:val="20"/>
        </w:rPr>
        <w:t>času meritev skladne z normativi v OVD.</w:t>
      </w:r>
    </w:p>
    <w:p w14:paraId="65A72D4D" w14:textId="07F75C95" w:rsidR="002221E8" w:rsidRPr="002221E8" w:rsidRDefault="002221E8" w:rsidP="002221E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2221E8">
        <w:rPr>
          <w:rFonts w:ascii="Arial" w:hAnsi="Arial" w:cs="Arial"/>
          <w:sz w:val="20"/>
          <w:szCs w:val="20"/>
        </w:rPr>
        <w:t xml:space="preserve">Na lokaciji sta dve napravi, ki vsebujeta več kot 3 kg OŠS in FTP oz. več kot 5 ton </w:t>
      </w:r>
      <w:proofErr w:type="spellStart"/>
      <w:r w:rsidRPr="002221E8">
        <w:rPr>
          <w:rFonts w:ascii="Arial" w:hAnsi="Arial" w:cs="Arial"/>
          <w:sz w:val="20"/>
          <w:szCs w:val="20"/>
        </w:rPr>
        <w:t>ekv</w:t>
      </w:r>
      <w:proofErr w:type="spellEnd"/>
      <w:r w:rsidRPr="002221E8">
        <w:rPr>
          <w:rFonts w:ascii="Arial" w:hAnsi="Arial" w:cs="Arial"/>
          <w:sz w:val="20"/>
          <w:szCs w:val="20"/>
        </w:rPr>
        <w:t>. CO2 in sta prijavljeni na ministrstvo. Izvaja se redna kontrola tesnosti ali preverjanje uhajanja s strani</w:t>
      </w:r>
      <w:r>
        <w:rPr>
          <w:rFonts w:ascii="Arial" w:hAnsi="Arial" w:cs="Arial"/>
          <w:sz w:val="20"/>
          <w:szCs w:val="20"/>
        </w:rPr>
        <w:t xml:space="preserve"> </w:t>
      </w:r>
      <w:r w:rsidRPr="002221E8">
        <w:rPr>
          <w:rFonts w:ascii="Arial" w:hAnsi="Arial" w:cs="Arial"/>
          <w:sz w:val="20"/>
          <w:szCs w:val="20"/>
        </w:rPr>
        <w:t>pooblaščenca. Vodijo se ustrezne evidence.</w:t>
      </w:r>
    </w:p>
    <w:p w14:paraId="41B3FA54" w14:textId="06ACB2F8" w:rsidR="002221E8" w:rsidRPr="002221E8" w:rsidRDefault="002221E8" w:rsidP="002221E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2221E8">
        <w:rPr>
          <w:rFonts w:ascii="Arial" w:hAnsi="Arial" w:cs="Arial"/>
          <w:sz w:val="20"/>
          <w:szCs w:val="20"/>
        </w:rPr>
        <w:t>Glede emisije snovi v vode je bilo ugotovljeno, da ima stranka en izpust iz naprave, na katerem se izvaja obratovalni monitoring preko pooblaščenca. Zadnje poročilo izkazuje, da celotna</w:t>
      </w:r>
      <w:r>
        <w:rPr>
          <w:rFonts w:ascii="Arial" w:hAnsi="Arial" w:cs="Arial"/>
          <w:sz w:val="20"/>
          <w:szCs w:val="20"/>
        </w:rPr>
        <w:t xml:space="preserve"> </w:t>
      </w:r>
      <w:r w:rsidRPr="002221E8">
        <w:rPr>
          <w:rFonts w:ascii="Arial" w:hAnsi="Arial" w:cs="Arial"/>
          <w:sz w:val="20"/>
          <w:szCs w:val="20"/>
        </w:rPr>
        <w:t>naprava glede na letne količine onesnaževal ne obremenjuje okolja čezmerno. Prav tako se ne ugotavlja čezmerna obremenitev okolja za celotno napravo. Stranka na ministrstvo posreduje</w:t>
      </w:r>
      <w:r>
        <w:rPr>
          <w:rFonts w:ascii="Arial" w:hAnsi="Arial" w:cs="Arial"/>
          <w:sz w:val="20"/>
          <w:szCs w:val="20"/>
        </w:rPr>
        <w:t xml:space="preserve"> </w:t>
      </w:r>
      <w:r w:rsidRPr="002221E8">
        <w:rPr>
          <w:rFonts w:ascii="Arial" w:hAnsi="Arial" w:cs="Arial"/>
          <w:sz w:val="20"/>
          <w:szCs w:val="20"/>
        </w:rPr>
        <w:t>vsa zahtevana poročila.</w:t>
      </w:r>
    </w:p>
    <w:p w14:paraId="30974820" w14:textId="77777777" w:rsidR="002221E8" w:rsidRPr="002221E8" w:rsidRDefault="002221E8" w:rsidP="002221E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2221E8">
        <w:rPr>
          <w:rFonts w:ascii="Arial" w:hAnsi="Arial" w:cs="Arial"/>
          <w:sz w:val="20"/>
          <w:szCs w:val="20"/>
        </w:rPr>
        <w:t>Glede emisij hrupa v okolje je bilo ugotovljeno, da stranka ni zavezanec za izvajanje obratovalnega monitoringa.</w:t>
      </w:r>
    </w:p>
    <w:p w14:paraId="36B6C4C6" w14:textId="77777777" w:rsidR="002221E8" w:rsidRPr="002221E8" w:rsidRDefault="002221E8" w:rsidP="002221E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2221E8">
        <w:rPr>
          <w:rFonts w:ascii="Arial" w:hAnsi="Arial" w:cs="Arial"/>
          <w:sz w:val="20"/>
          <w:szCs w:val="20"/>
        </w:rPr>
        <w:t>Glede ravnanja z odpadki je bilo ugotovljeno, da stranka različne vrste odpadkov ločeno zbira.</w:t>
      </w:r>
    </w:p>
    <w:p w14:paraId="1CA7AEE8" w14:textId="77777777" w:rsidR="002221E8" w:rsidRPr="002221E8" w:rsidRDefault="002221E8" w:rsidP="002221E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2221E8">
        <w:rPr>
          <w:rFonts w:ascii="Arial" w:hAnsi="Arial" w:cs="Arial"/>
          <w:sz w:val="20"/>
          <w:szCs w:val="20"/>
        </w:rPr>
        <w:lastRenderedPageBreak/>
        <w:t>Odpadki so ustrezno označeni, izdelan je Načrt gospodarjenja z odpadki, vodi se evidenca o ravnanju z odpadki in z ŽSP. Na ministrstvo so posredovana vsa zahtevana poročila.</w:t>
      </w:r>
    </w:p>
    <w:p w14:paraId="67EDBEFD" w14:textId="77777777" w:rsidR="002221E8" w:rsidRPr="002221E8" w:rsidRDefault="002221E8" w:rsidP="002221E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2221E8">
        <w:rPr>
          <w:rFonts w:ascii="Arial" w:hAnsi="Arial" w:cs="Arial"/>
          <w:sz w:val="20"/>
          <w:szCs w:val="20"/>
        </w:rPr>
        <w:t>Glede raba vode je bilo ugotovljeno, da ima stranka pridobljeno vodno dovoljenje in da obratuje v skladu z njim. Na ministrstvo pošilja zahtevano dokumentacijo.</w:t>
      </w:r>
    </w:p>
    <w:p w14:paraId="26C4DF68" w14:textId="77777777" w:rsidR="002221E8" w:rsidRPr="002221E8" w:rsidRDefault="002221E8" w:rsidP="002221E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2221E8">
        <w:rPr>
          <w:rFonts w:ascii="Arial" w:hAnsi="Arial" w:cs="Arial"/>
          <w:sz w:val="20"/>
          <w:szCs w:val="20"/>
        </w:rPr>
        <w:t>Glede skladiščenja nevarnih tekočin v nepremičnih napravah je bilo ugotovljeno, da zavezanec nima naprav za skladiščenje nevarnih snovi, ki bi bile večje od 10 m3.</w:t>
      </w:r>
    </w:p>
    <w:p w14:paraId="69BB570B" w14:textId="77777777" w:rsidR="002221E8" w:rsidRPr="002221E8" w:rsidRDefault="002221E8" w:rsidP="002221E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3073F06" w14:textId="77777777" w:rsidR="002221E8" w:rsidRPr="002221E8" w:rsidRDefault="002221E8" w:rsidP="002221E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2221E8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345B3040" w14:textId="5809B6F3" w:rsidR="00560FE3" w:rsidRPr="002221E8" w:rsidRDefault="002221E8" w:rsidP="002221E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2221E8">
        <w:rPr>
          <w:rFonts w:ascii="Arial" w:hAnsi="Arial" w:cs="Arial"/>
          <w:sz w:val="20"/>
          <w:szCs w:val="20"/>
        </w:rPr>
        <w:t>Naslednji redni inšpekcijski pregled na terenu bo opravljen skladno s planom inšpektorata, izredni pa po potrebi.</w:t>
      </w:r>
    </w:p>
    <w:sectPr w:rsidR="00560FE3" w:rsidRPr="00222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12B61"/>
    <w:rsid w:val="00067C1C"/>
    <w:rsid w:val="00072BB8"/>
    <w:rsid w:val="000739F9"/>
    <w:rsid w:val="00075853"/>
    <w:rsid w:val="00083FA5"/>
    <w:rsid w:val="00084F1D"/>
    <w:rsid w:val="00092BBF"/>
    <w:rsid w:val="000C5669"/>
    <w:rsid w:val="000E0D3B"/>
    <w:rsid w:val="000F4688"/>
    <w:rsid w:val="001268F8"/>
    <w:rsid w:val="00143578"/>
    <w:rsid w:val="00187160"/>
    <w:rsid w:val="002004E6"/>
    <w:rsid w:val="002221E8"/>
    <w:rsid w:val="002255FB"/>
    <w:rsid w:val="0022614D"/>
    <w:rsid w:val="00245757"/>
    <w:rsid w:val="0027194F"/>
    <w:rsid w:val="002A12F0"/>
    <w:rsid w:val="002A72F7"/>
    <w:rsid w:val="002E0FD3"/>
    <w:rsid w:val="0033379D"/>
    <w:rsid w:val="00333801"/>
    <w:rsid w:val="00342783"/>
    <w:rsid w:val="00386FB2"/>
    <w:rsid w:val="00390E80"/>
    <w:rsid w:val="00390ED0"/>
    <w:rsid w:val="00392133"/>
    <w:rsid w:val="003B0849"/>
    <w:rsid w:val="003B717A"/>
    <w:rsid w:val="003E77D5"/>
    <w:rsid w:val="003F0E9F"/>
    <w:rsid w:val="00421657"/>
    <w:rsid w:val="00433AF4"/>
    <w:rsid w:val="00435BB9"/>
    <w:rsid w:val="00444C90"/>
    <w:rsid w:val="00446CD6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E092F"/>
    <w:rsid w:val="004F2C0D"/>
    <w:rsid w:val="00505F6A"/>
    <w:rsid w:val="005367FF"/>
    <w:rsid w:val="00560FE3"/>
    <w:rsid w:val="0057365C"/>
    <w:rsid w:val="005831F1"/>
    <w:rsid w:val="0059224B"/>
    <w:rsid w:val="00597245"/>
    <w:rsid w:val="005B1628"/>
    <w:rsid w:val="005C0745"/>
    <w:rsid w:val="005C20FD"/>
    <w:rsid w:val="005C4407"/>
    <w:rsid w:val="005E4825"/>
    <w:rsid w:val="00620545"/>
    <w:rsid w:val="00637885"/>
    <w:rsid w:val="0065474B"/>
    <w:rsid w:val="00694064"/>
    <w:rsid w:val="00697BA6"/>
    <w:rsid w:val="006A3057"/>
    <w:rsid w:val="006B76CB"/>
    <w:rsid w:val="006E22B6"/>
    <w:rsid w:val="006E386A"/>
    <w:rsid w:val="00703929"/>
    <w:rsid w:val="00712D63"/>
    <w:rsid w:val="00741A82"/>
    <w:rsid w:val="00743706"/>
    <w:rsid w:val="007440FD"/>
    <w:rsid w:val="00781975"/>
    <w:rsid w:val="007A380D"/>
    <w:rsid w:val="007B592F"/>
    <w:rsid w:val="007C73E1"/>
    <w:rsid w:val="00800B37"/>
    <w:rsid w:val="00816C00"/>
    <w:rsid w:val="008A6274"/>
    <w:rsid w:val="008F1FCF"/>
    <w:rsid w:val="0091604D"/>
    <w:rsid w:val="00932F16"/>
    <w:rsid w:val="00941499"/>
    <w:rsid w:val="0094339A"/>
    <w:rsid w:val="00980DAD"/>
    <w:rsid w:val="009A059C"/>
    <w:rsid w:val="009A2054"/>
    <w:rsid w:val="009A45C1"/>
    <w:rsid w:val="009E69D0"/>
    <w:rsid w:val="00A3408D"/>
    <w:rsid w:val="00A3604A"/>
    <w:rsid w:val="00A57B3D"/>
    <w:rsid w:val="00A76C93"/>
    <w:rsid w:val="00AA2221"/>
    <w:rsid w:val="00AC1AFC"/>
    <w:rsid w:val="00AE1983"/>
    <w:rsid w:val="00B13580"/>
    <w:rsid w:val="00B20262"/>
    <w:rsid w:val="00B62287"/>
    <w:rsid w:val="00B81816"/>
    <w:rsid w:val="00B87CE0"/>
    <w:rsid w:val="00BB072E"/>
    <w:rsid w:val="00BD28DE"/>
    <w:rsid w:val="00C06B2C"/>
    <w:rsid w:val="00C317E4"/>
    <w:rsid w:val="00C325EE"/>
    <w:rsid w:val="00C35E5B"/>
    <w:rsid w:val="00C4052B"/>
    <w:rsid w:val="00C40639"/>
    <w:rsid w:val="00C42460"/>
    <w:rsid w:val="00C4472B"/>
    <w:rsid w:val="00C5502F"/>
    <w:rsid w:val="00C660D2"/>
    <w:rsid w:val="00C73F7B"/>
    <w:rsid w:val="00C915FB"/>
    <w:rsid w:val="00CB18A8"/>
    <w:rsid w:val="00CC3D41"/>
    <w:rsid w:val="00CC5F80"/>
    <w:rsid w:val="00CE4409"/>
    <w:rsid w:val="00CF2EB3"/>
    <w:rsid w:val="00CF4184"/>
    <w:rsid w:val="00D13136"/>
    <w:rsid w:val="00D83E00"/>
    <w:rsid w:val="00DF7B46"/>
    <w:rsid w:val="00E150F3"/>
    <w:rsid w:val="00E15B43"/>
    <w:rsid w:val="00E32CA9"/>
    <w:rsid w:val="00E357A8"/>
    <w:rsid w:val="00E772D1"/>
    <w:rsid w:val="00E83BB9"/>
    <w:rsid w:val="00EC2DA0"/>
    <w:rsid w:val="00ED7EAA"/>
    <w:rsid w:val="00EF2683"/>
    <w:rsid w:val="00F00618"/>
    <w:rsid w:val="00F107E8"/>
    <w:rsid w:val="00F11E91"/>
    <w:rsid w:val="00F3136D"/>
    <w:rsid w:val="00F6087E"/>
    <w:rsid w:val="00F86595"/>
    <w:rsid w:val="00F907B6"/>
    <w:rsid w:val="00FC0B40"/>
    <w:rsid w:val="00FC1D10"/>
    <w:rsid w:val="00FC1D5F"/>
    <w:rsid w:val="00FD63AA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2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2021-03-16T15:22:00Z</dcterms:created>
  <dcterms:modified xsi:type="dcterms:W3CDTF">2021-03-16T15:26:00Z</dcterms:modified>
</cp:coreProperties>
</file>