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AC1AFC" w:rsidRDefault="00F86595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C1AF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AC1AF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AC1AFC" w:rsidRDefault="00072BB8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AC1AFC" w:rsidRDefault="006E22B6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AC1AFC" w:rsidRDefault="006E22B6" w:rsidP="0065474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AC1AFC">
        <w:rPr>
          <w:b/>
          <w:bCs/>
          <w:color w:val="auto"/>
          <w:sz w:val="20"/>
          <w:szCs w:val="20"/>
        </w:rPr>
        <w:t>ONESNAŽEVANJE OKOLJA VEČJEGA OBSEGA</w:t>
      </w:r>
    </w:p>
    <w:p w14:paraId="0CA4B3E3" w14:textId="661E3D53" w:rsidR="009A2054" w:rsidRDefault="00C317E4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45B3040" w14:textId="77777777" w:rsidR="00560FE3" w:rsidRDefault="00560FE3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50E39E2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Zavezanec:</w:t>
      </w:r>
    </w:p>
    <w:p w14:paraId="4DCF6BD1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MAHLE </w:t>
      </w:r>
      <w:proofErr w:type="spellStart"/>
      <w:r>
        <w:rPr>
          <w:rFonts w:ascii="Arial" w:hAnsi="Arial" w:cs="Arial"/>
          <w:sz w:val="20"/>
          <w:szCs w:val="20"/>
        </w:rPr>
        <w:t>Electric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Drives</w:t>
      </w:r>
      <w:proofErr w:type="spellEnd"/>
      <w:r>
        <w:rPr>
          <w:rFonts w:ascii="Arial" w:hAnsi="Arial" w:cs="Arial"/>
          <w:sz w:val="20"/>
          <w:szCs w:val="20"/>
        </w:rPr>
        <w:t xml:space="preserve"> Slovenija d. o. o., Polje 15, 5290 Šempeter pri Gorici</w:t>
      </w:r>
    </w:p>
    <w:p w14:paraId="45A68B60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9680D2A" w14:textId="039657EA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5A2BB812" w14:textId="12E6E661" w:rsidR="0065474B" w:rsidRDefault="003B0849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3B0849">
        <w:rPr>
          <w:rFonts w:ascii="Arial" w:hAnsi="Arial" w:cs="Arial"/>
          <w:sz w:val="20"/>
          <w:szCs w:val="20"/>
        </w:rPr>
        <w:t>Naprava se nahaja na parcelnih številkah:</w:t>
      </w:r>
      <w:r>
        <w:rPr>
          <w:rFonts w:ascii="Arial" w:hAnsi="Arial" w:cs="Arial"/>
          <w:sz w:val="20"/>
          <w:szCs w:val="20"/>
        </w:rPr>
        <w:t xml:space="preserve"> 333, 428/19, 341/1, </w:t>
      </w:r>
      <w:r>
        <w:rPr>
          <w:rFonts w:ascii="Arial" w:hAnsi="Arial" w:cs="Arial"/>
          <w:sz w:val="20"/>
          <w:szCs w:val="20"/>
        </w:rPr>
        <w:t>341/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341/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341/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341/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C317E4">
        <w:rPr>
          <w:rFonts w:ascii="Arial" w:hAnsi="Arial" w:cs="Arial"/>
          <w:sz w:val="20"/>
          <w:szCs w:val="20"/>
        </w:rPr>
        <w:t xml:space="preserve"> </w:t>
      </w:r>
      <w:r w:rsidR="00C317E4">
        <w:rPr>
          <w:rFonts w:ascii="Arial" w:hAnsi="Arial" w:cs="Arial"/>
          <w:sz w:val="20"/>
          <w:szCs w:val="20"/>
        </w:rPr>
        <w:t>428/</w:t>
      </w:r>
      <w:r w:rsidR="00C317E4">
        <w:rPr>
          <w:rFonts w:ascii="Arial" w:hAnsi="Arial" w:cs="Arial"/>
          <w:sz w:val="20"/>
          <w:szCs w:val="20"/>
        </w:rPr>
        <w:t>1</w:t>
      </w:r>
      <w:r w:rsidR="00C317E4">
        <w:rPr>
          <w:rFonts w:ascii="Arial" w:hAnsi="Arial" w:cs="Arial"/>
          <w:sz w:val="20"/>
          <w:szCs w:val="20"/>
        </w:rPr>
        <w:t>,</w:t>
      </w:r>
      <w:r w:rsidR="00C317E4" w:rsidRPr="003B0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3136D">
        <w:rPr>
          <w:rFonts w:ascii="Arial" w:hAnsi="Arial" w:cs="Arial"/>
          <w:sz w:val="20"/>
          <w:szCs w:val="20"/>
        </w:rPr>
        <w:t>428/7,</w:t>
      </w:r>
      <w:r w:rsidR="00F3136D" w:rsidRPr="003B0849">
        <w:rPr>
          <w:rFonts w:ascii="Arial" w:hAnsi="Arial" w:cs="Arial"/>
          <w:sz w:val="20"/>
          <w:szCs w:val="20"/>
        </w:rPr>
        <w:t xml:space="preserve"> </w:t>
      </w:r>
      <w:r w:rsidR="00F3136D">
        <w:rPr>
          <w:rFonts w:ascii="Arial" w:hAnsi="Arial" w:cs="Arial"/>
          <w:sz w:val="20"/>
          <w:szCs w:val="20"/>
        </w:rPr>
        <w:t>428/</w:t>
      </w:r>
      <w:r w:rsidR="00F3136D">
        <w:rPr>
          <w:rFonts w:ascii="Arial" w:hAnsi="Arial" w:cs="Arial"/>
          <w:sz w:val="20"/>
          <w:szCs w:val="20"/>
        </w:rPr>
        <w:t>8</w:t>
      </w:r>
      <w:r w:rsidR="00F3136D">
        <w:rPr>
          <w:rFonts w:ascii="Arial" w:hAnsi="Arial" w:cs="Arial"/>
          <w:sz w:val="20"/>
          <w:szCs w:val="20"/>
        </w:rPr>
        <w:t>,</w:t>
      </w:r>
      <w:r w:rsidR="00F3136D">
        <w:rPr>
          <w:rFonts w:ascii="Arial" w:hAnsi="Arial" w:cs="Arial"/>
          <w:sz w:val="20"/>
          <w:szCs w:val="20"/>
        </w:rPr>
        <w:t xml:space="preserve"> </w:t>
      </w:r>
      <w:r w:rsidR="00F3136D">
        <w:rPr>
          <w:rFonts w:ascii="Arial" w:hAnsi="Arial" w:cs="Arial"/>
          <w:sz w:val="20"/>
          <w:szCs w:val="20"/>
        </w:rPr>
        <w:t>428/</w:t>
      </w:r>
      <w:r w:rsidR="00F3136D">
        <w:rPr>
          <w:rFonts w:ascii="Arial" w:hAnsi="Arial" w:cs="Arial"/>
          <w:sz w:val="20"/>
          <w:szCs w:val="20"/>
        </w:rPr>
        <w:t>9</w:t>
      </w:r>
      <w:r w:rsidR="00F3136D">
        <w:rPr>
          <w:rFonts w:ascii="Arial" w:hAnsi="Arial" w:cs="Arial"/>
          <w:sz w:val="20"/>
          <w:szCs w:val="20"/>
        </w:rPr>
        <w:t>,</w:t>
      </w:r>
      <w:r w:rsidR="00F3136D" w:rsidRPr="003B0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428/1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Pr="003B0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428/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1,</w:t>
      </w:r>
      <w:r w:rsidRPr="003B0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428/1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Pr="003B0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428/</w:t>
      </w:r>
      <w:r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,</w:t>
      </w:r>
      <w:r w:rsidRPr="003B0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428/</w:t>
      </w:r>
      <w:r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,</w:t>
      </w:r>
      <w:r w:rsidRPr="003B0849">
        <w:rPr>
          <w:rFonts w:ascii="Arial" w:hAnsi="Arial" w:cs="Arial"/>
          <w:sz w:val="20"/>
          <w:szCs w:val="20"/>
        </w:rPr>
        <w:t xml:space="preserve"> </w:t>
      </w:r>
      <w:r w:rsidR="00C317E4">
        <w:rPr>
          <w:rFonts w:ascii="Arial" w:hAnsi="Arial" w:cs="Arial"/>
          <w:sz w:val="20"/>
          <w:szCs w:val="20"/>
        </w:rPr>
        <w:t>428/18,</w:t>
      </w:r>
      <w:r w:rsidR="00C317E4">
        <w:rPr>
          <w:rFonts w:ascii="Arial" w:hAnsi="Arial" w:cs="Arial"/>
          <w:sz w:val="20"/>
          <w:szCs w:val="20"/>
        </w:rPr>
        <w:t xml:space="preserve"> </w:t>
      </w:r>
      <w:r w:rsidR="00C317E4">
        <w:rPr>
          <w:rFonts w:ascii="Arial" w:hAnsi="Arial" w:cs="Arial"/>
          <w:sz w:val="20"/>
          <w:szCs w:val="20"/>
        </w:rPr>
        <w:t>428/1</w:t>
      </w:r>
      <w:r w:rsidR="00C317E4">
        <w:rPr>
          <w:rFonts w:ascii="Arial" w:hAnsi="Arial" w:cs="Arial"/>
          <w:sz w:val="20"/>
          <w:szCs w:val="20"/>
        </w:rPr>
        <w:t>9,</w:t>
      </w:r>
      <w:r w:rsidR="00460C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428/20, </w:t>
      </w:r>
      <w:r>
        <w:rPr>
          <w:rFonts w:ascii="Arial" w:hAnsi="Arial" w:cs="Arial"/>
          <w:sz w:val="20"/>
          <w:szCs w:val="20"/>
        </w:rPr>
        <w:t>428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1,</w:t>
      </w:r>
      <w:r w:rsidRPr="003B0849">
        <w:rPr>
          <w:rFonts w:ascii="Arial" w:hAnsi="Arial" w:cs="Arial"/>
          <w:sz w:val="20"/>
          <w:szCs w:val="20"/>
        </w:rPr>
        <w:t xml:space="preserve"> </w:t>
      </w:r>
      <w:r w:rsidR="00460C36">
        <w:rPr>
          <w:rFonts w:ascii="Arial" w:hAnsi="Arial" w:cs="Arial"/>
          <w:sz w:val="20"/>
          <w:szCs w:val="20"/>
        </w:rPr>
        <w:t>428/</w:t>
      </w:r>
      <w:r w:rsidR="00460C36">
        <w:rPr>
          <w:rFonts w:ascii="Arial" w:hAnsi="Arial" w:cs="Arial"/>
          <w:sz w:val="20"/>
          <w:szCs w:val="20"/>
        </w:rPr>
        <w:t>22</w:t>
      </w:r>
      <w:r w:rsidR="00460C36">
        <w:rPr>
          <w:rFonts w:ascii="Arial" w:hAnsi="Arial" w:cs="Arial"/>
          <w:sz w:val="20"/>
          <w:szCs w:val="20"/>
        </w:rPr>
        <w:t>,</w:t>
      </w:r>
      <w:r w:rsidR="00460C36" w:rsidRPr="003B0849">
        <w:rPr>
          <w:rFonts w:ascii="Arial" w:hAnsi="Arial" w:cs="Arial"/>
          <w:sz w:val="20"/>
          <w:szCs w:val="20"/>
        </w:rPr>
        <w:t xml:space="preserve"> </w:t>
      </w:r>
      <w:r w:rsidR="00F3136D">
        <w:rPr>
          <w:rFonts w:ascii="Arial" w:hAnsi="Arial" w:cs="Arial"/>
          <w:sz w:val="20"/>
          <w:szCs w:val="20"/>
        </w:rPr>
        <w:t>428/2</w:t>
      </w:r>
      <w:r w:rsidR="00F3136D">
        <w:rPr>
          <w:rFonts w:ascii="Arial" w:hAnsi="Arial" w:cs="Arial"/>
          <w:sz w:val="20"/>
          <w:szCs w:val="20"/>
        </w:rPr>
        <w:t>4</w:t>
      </w:r>
      <w:r w:rsidR="00F3136D">
        <w:rPr>
          <w:rFonts w:ascii="Arial" w:hAnsi="Arial" w:cs="Arial"/>
          <w:sz w:val="20"/>
          <w:szCs w:val="20"/>
        </w:rPr>
        <w:t>,</w:t>
      </w:r>
      <w:r w:rsidR="00F3136D" w:rsidRPr="003B0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428/2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Pr="003B08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428/26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428/</w:t>
      </w:r>
      <w:r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,</w:t>
      </w:r>
      <w:r w:rsidRPr="003B0849">
        <w:rPr>
          <w:rFonts w:ascii="Arial" w:hAnsi="Arial" w:cs="Arial"/>
          <w:sz w:val="20"/>
          <w:szCs w:val="20"/>
        </w:rPr>
        <w:t xml:space="preserve"> </w:t>
      </w:r>
      <w:r w:rsidR="00460C36">
        <w:rPr>
          <w:rFonts w:ascii="Arial" w:hAnsi="Arial" w:cs="Arial"/>
          <w:sz w:val="20"/>
          <w:szCs w:val="20"/>
        </w:rPr>
        <w:t>428/</w:t>
      </w:r>
      <w:r w:rsidR="00460C36">
        <w:rPr>
          <w:rFonts w:ascii="Arial" w:hAnsi="Arial" w:cs="Arial"/>
          <w:sz w:val="20"/>
          <w:szCs w:val="20"/>
        </w:rPr>
        <w:t>28</w:t>
      </w:r>
      <w:r w:rsidR="00460C36">
        <w:rPr>
          <w:rFonts w:ascii="Arial" w:hAnsi="Arial" w:cs="Arial"/>
          <w:sz w:val="20"/>
          <w:szCs w:val="20"/>
        </w:rPr>
        <w:t>,</w:t>
      </w:r>
      <w:r w:rsidR="00460C36" w:rsidRPr="003B0849">
        <w:rPr>
          <w:rFonts w:ascii="Arial" w:hAnsi="Arial" w:cs="Arial"/>
          <w:sz w:val="20"/>
          <w:szCs w:val="20"/>
        </w:rPr>
        <w:t xml:space="preserve"> </w:t>
      </w:r>
      <w:r w:rsidR="00C317E4">
        <w:rPr>
          <w:rFonts w:ascii="Arial" w:hAnsi="Arial" w:cs="Arial"/>
          <w:sz w:val="20"/>
          <w:szCs w:val="20"/>
        </w:rPr>
        <w:t>428/2</w:t>
      </w:r>
      <w:r w:rsidR="00C317E4">
        <w:rPr>
          <w:rFonts w:ascii="Arial" w:hAnsi="Arial" w:cs="Arial"/>
          <w:sz w:val="20"/>
          <w:szCs w:val="20"/>
        </w:rPr>
        <w:t xml:space="preserve">9, </w:t>
      </w:r>
      <w:r>
        <w:rPr>
          <w:rFonts w:ascii="Arial" w:hAnsi="Arial" w:cs="Arial"/>
          <w:sz w:val="20"/>
          <w:szCs w:val="20"/>
        </w:rPr>
        <w:t xml:space="preserve">358/1, 358/2, </w:t>
      </w:r>
      <w:r>
        <w:rPr>
          <w:rFonts w:ascii="Arial" w:hAnsi="Arial" w:cs="Arial"/>
          <w:sz w:val="20"/>
          <w:szCs w:val="20"/>
        </w:rPr>
        <w:t xml:space="preserve">358/3,  </w:t>
      </w:r>
      <w:r>
        <w:rPr>
          <w:rFonts w:ascii="Arial" w:hAnsi="Arial" w:cs="Arial"/>
          <w:sz w:val="20"/>
          <w:szCs w:val="20"/>
        </w:rPr>
        <w:t>358/</w:t>
      </w:r>
      <w:r>
        <w:rPr>
          <w:rFonts w:ascii="Arial" w:hAnsi="Arial" w:cs="Arial"/>
          <w:sz w:val="20"/>
          <w:szCs w:val="20"/>
        </w:rPr>
        <w:t xml:space="preserve">4,  </w:t>
      </w:r>
      <w:r>
        <w:rPr>
          <w:rFonts w:ascii="Arial" w:hAnsi="Arial" w:cs="Arial"/>
          <w:sz w:val="20"/>
          <w:szCs w:val="20"/>
        </w:rPr>
        <w:t>358/</w:t>
      </w:r>
      <w:r>
        <w:rPr>
          <w:rFonts w:ascii="Arial" w:hAnsi="Arial" w:cs="Arial"/>
          <w:sz w:val="20"/>
          <w:szCs w:val="20"/>
        </w:rPr>
        <w:t xml:space="preserve">5, </w:t>
      </w:r>
      <w:r>
        <w:rPr>
          <w:rFonts w:ascii="Arial" w:hAnsi="Arial" w:cs="Arial"/>
          <w:sz w:val="20"/>
          <w:szCs w:val="20"/>
        </w:rPr>
        <w:t>358/</w:t>
      </w:r>
      <w:r>
        <w:rPr>
          <w:rFonts w:ascii="Arial" w:hAnsi="Arial" w:cs="Arial"/>
          <w:sz w:val="20"/>
          <w:szCs w:val="20"/>
        </w:rPr>
        <w:t>6, 359/4</w:t>
      </w:r>
      <w:r w:rsidR="00C317E4">
        <w:rPr>
          <w:rFonts w:ascii="Arial" w:hAnsi="Arial" w:cs="Arial"/>
          <w:sz w:val="20"/>
          <w:szCs w:val="20"/>
        </w:rPr>
        <w:t xml:space="preserve">, 362/3, 354/5, 354/6, 436/1, 341/7, </w:t>
      </w:r>
      <w:r w:rsidR="00460C36">
        <w:rPr>
          <w:rFonts w:ascii="Arial" w:hAnsi="Arial" w:cs="Arial"/>
          <w:sz w:val="20"/>
          <w:szCs w:val="20"/>
        </w:rPr>
        <w:t>vse k. o. Šempeter.</w:t>
      </w:r>
    </w:p>
    <w:p w14:paraId="2D7CDF36" w14:textId="77777777" w:rsidR="00C317E4" w:rsidRDefault="00C317E4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7CDCEBD" w14:textId="213DC7EE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pregleda:</w:t>
      </w:r>
    </w:p>
    <w:p w14:paraId="4D80F144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5. 2019 in 3. 9. 2019</w:t>
      </w:r>
    </w:p>
    <w:p w14:paraId="1C74EF3A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2BFD46E" w14:textId="2F576E28" w:rsidR="0065474B" w:rsidRP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65474B">
        <w:rPr>
          <w:rFonts w:ascii="Arial" w:hAnsi="Arial" w:cs="Arial"/>
          <w:b/>
          <w:bCs/>
          <w:sz w:val="20"/>
          <w:szCs w:val="20"/>
        </w:rPr>
        <w:t>Okoljevarstveno dovoljenje (OVD), številka:</w:t>
      </w:r>
    </w:p>
    <w:p w14:paraId="3934E086" w14:textId="2BBB96C3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35407-54/2006 – 18 z dne 17. 02. 2009, spremenjeno z odločbami št. 35407-31/2010-11 z dne</w:t>
      </w:r>
    </w:p>
    <w:p w14:paraId="3C963977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29.3.2011, št. 35406-12/2012-4 z dne 3.10.2012, št. 35406-8/2013-13 z dne 24.2.2015, št. 35406-</w:t>
      </w:r>
    </w:p>
    <w:p w14:paraId="6A275A54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27/2015-4 z dne 29.5.2015 in 35406-125/2017-2 z dne 18.12.2017, v nadaljevanju OVD.</w:t>
      </w:r>
    </w:p>
    <w:p w14:paraId="16EBA084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0998B1A" w14:textId="0D42D6D7" w:rsidR="0065474B" w:rsidRP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152F86E" w14:textId="382C7FEF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 pregledu je ugotovljeno, da zavezanec zagotavlja izvajanje predpisanih obratovalnih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monitoringov emisij snovi v okolje za zrak, odpadne vode, hrup, in zagotavlja predpisano ravnanje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odpadki, ki nastajajo pri obratovanju naprave ter ima urejeno skladiščenje odpadkov in nevarnih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snovi.</w:t>
      </w:r>
    </w:p>
    <w:p w14:paraId="67115020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na izkazana poročila o obratovalnem monitoringu emisij snovi v okolje za zrak, odpadne</w:t>
      </w:r>
    </w:p>
    <w:p w14:paraId="1E3BD65C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vode in meritvah hrupa v okolju ni bilo ugotovljenih preseganj mejnih vrednosti.</w:t>
      </w:r>
    </w:p>
    <w:p w14:paraId="789B5A97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vseh opravljenih meritvah in o ravnanju z odpadki zavezanec pravočasno poroča.</w:t>
      </w:r>
    </w:p>
    <w:p w14:paraId="7AEF4485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Zavezancu je bilo, zaradi ugotovljenih sprememb pri obratovanju IED naprave, dne 16. 5. 2019</w:t>
      </w:r>
    </w:p>
    <w:p w14:paraId="48249149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izdano opozorilo, da na ARSO prijavi spremembe, ki so se zgodile zaradi novih investicij-izgradnja</w:t>
      </w:r>
    </w:p>
    <w:p w14:paraId="3DE677CF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novih objektov in sicer:</w:t>
      </w:r>
    </w:p>
    <w:p w14:paraId="0531AB75" w14:textId="070DDE04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 zvezi s parcelacijo zemljišč št. 333, 358/5, 424/1, 428/19, 428/14, 428/15, 428/12, 428/7,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436/1, 428/24, 428/28 in 428/18 vse k. o. Šempeter,</w:t>
      </w:r>
    </w:p>
    <w:p w14:paraId="44C6D105" w14:textId="4550E7D5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glede odvajanja odpadne industrijske vode pod točko 3.2.1.1. OVD (javna kanalizacija ki 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zaključi s komunalno čistilno napravo Nova Gorica),</w:t>
      </w:r>
    </w:p>
    <w:p w14:paraId="2D97F128" w14:textId="06046E04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glede oljnega lovilca preko katerega so se odvajale padavinske vode, (investicija v letu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2018),</w:t>
      </w:r>
    </w:p>
    <w:p w14:paraId="390B697E" w14:textId="4BDAC2BA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sprememba OVD odločbe št. 35406-8/2013-13 z dne 24.2.2015 in sicer točke 3.- 2.1.8.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DAD813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(Z118),</w:t>
      </w:r>
    </w:p>
    <w:p w14:paraId="114AA99C" w14:textId="205BF063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sprememba 6. točke odločbe o spremembi OVD št. 35406-12/2012-4 z dne 3.10.2012,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(opustitev poročanja zaradi spremembe predpisa),</w:t>
      </w:r>
    </w:p>
    <w:p w14:paraId="78598F8C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kontrolnem pregledu dne 3. 9. 2019 je bilo ugotovljeno, da je zavezanec nepravilnosti odpravil,</w:t>
      </w:r>
    </w:p>
    <w:p w14:paraId="1EE4F1CF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ARSO prijavil spremembe za izvedene nove investicije in da je glede oljnega lovilca, bila</w:t>
      </w:r>
    </w:p>
    <w:p w14:paraId="501D6718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izvedena kontrola ukrepov za preprečevanje iztekanja nevarnih tekočin iz rezervoarja z oznako R1</w:t>
      </w:r>
    </w:p>
    <w:p w14:paraId="1308D5D8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se le ta lahko uporablja do naslednjega preverjanja ukrepov do 7.5.2022.</w:t>
      </w:r>
    </w:p>
    <w:p w14:paraId="6AC5A44C" w14:textId="77777777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50075F1" w14:textId="1E34CDBE" w:rsidR="0065474B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7CAE3683" w14:textId="0DB97A6B" w:rsidR="009A2054" w:rsidRPr="00560FE3" w:rsidRDefault="0065474B" w:rsidP="0065474B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redni inšpekcijski pregled je predviden v skladu s planom Inšpektorata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sectPr w:rsidR="009A2054" w:rsidRPr="0056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B0849"/>
    <w:rsid w:val="003B717A"/>
    <w:rsid w:val="003E77D5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20545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2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2021-03-16T14:54:00Z</dcterms:created>
  <dcterms:modified xsi:type="dcterms:W3CDTF">2021-03-16T15:21:00Z</dcterms:modified>
</cp:coreProperties>
</file>