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1C9979A0" w14:textId="77777777" w:rsid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538A5C0" w14:textId="77777777" w:rsid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98A5CCA" w14:textId="46DBB196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Zavezanec:</w:t>
      </w:r>
    </w:p>
    <w:p w14:paraId="4C16B089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 xml:space="preserve">Livarna Gorica </w:t>
      </w:r>
      <w:proofErr w:type="spellStart"/>
      <w:r w:rsidRPr="004E092F">
        <w:rPr>
          <w:color w:val="auto"/>
          <w:sz w:val="20"/>
          <w:szCs w:val="20"/>
        </w:rPr>
        <w:t>d.o.o</w:t>
      </w:r>
      <w:proofErr w:type="spellEnd"/>
      <w:r w:rsidRPr="004E092F">
        <w:rPr>
          <w:color w:val="auto"/>
          <w:sz w:val="20"/>
          <w:szCs w:val="20"/>
        </w:rPr>
        <w:t>.</w:t>
      </w:r>
    </w:p>
    <w:p w14:paraId="1D7F5B0D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9D4CF0D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Naprava / lokacija:</w:t>
      </w:r>
    </w:p>
    <w:p w14:paraId="3417EA95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naprava za taljenje in litje sive litine s proizvodno zmogljivostjo taljenja 68 ton na dan</w:t>
      </w:r>
    </w:p>
    <w:p w14:paraId="148F2D33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Cesta IX. korpusa 116, 5250 Solkan</w:t>
      </w:r>
    </w:p>
    <w:p w14:paraId="53C5B38D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28600A3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Datum pregleda:</w:t>
      </w:r>
    </w:p>
    <w:p w14:paraId="49D353F1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27.6.2019</w:t>
      </w:r>
    </w:p>
    <w:p w14:paraId="4B481F83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8EDD210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Okoljevarstveno dovoljenje (OVD), številka:</w:t>
      </w:r>
    </w:p>
    <w:p w14:paraId="46A071C0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35407-37/2006-58 z dne 14.12.2009 spremenjeno z odločbami o spremembi dovoljenja št.</w:t>
      </w:r>
    </w:p>
    <w:p w14:paraId="1438A699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35407-45/2010-27 z dne 20.4.2011, št. 35406-40/2012-2 z dne 29.10.2012, 35406-7/2014-8 z</w:t>
      </w:r>
    </w:p>
    <w:p w14:paraId="5C5BF8DF" w14:textId="77777777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dne 2.10.2014</w:t>
      </w:r>
    </w:p>
    <w:p w14:paraId="4F67732E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EBA8254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Usklajenost z OVD:</w:t>
      </w:r>
    </w:p>
    <w:p w14:paraId="33A7D535" w14:textId="37EDAAFD" w:rsidR="004E092F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 xml:space="preserve">Pri inšpekcijskem pregledu naprave za taljenje in litje sive litine zavezanca Livarna Gorica </w:t>
      </w:r>
      <w:proofErr w:type="spellStart"/>
      <w:r w:rsidRPr="004E092F">
        <w:rPr>
          <w:color w:val="auto"/>
          <w:sz w:val="20"/>
          <w:szCs w:val="20"/>
        </w:rPr>
        <w:t>d.o.o</w:t>
      </w:r>
      <w:proofErr w:type="spellEnd"/>
      <w:r w:rsidRPr="004E092F">
        <w:rPr>
          <w:color w:val="auto"/>
          <w:sz w:val="20"/>
          <w:szCs w:val="20"/>
        </w:rPr>
        <w:t>.</w:t>
      </w:r>
      <w:r w:rsidRPr="004E092F"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je ugotovljeno, da zavezanec preko pooblaščenih izvajalcev zagotavlja izvajanje vseh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predpisanih obratovalnih monitoringov. Iz predloženega poročila meritev monitoringa emisij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snovi v okolje za zrak je razvidno, da vir okolja ne obremenjuje čezmerno, ter da merilno mesto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izpusta odpadnih plinov brušenja v zrak omogoča izvedbo meritev, vendar ni skladno s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standardom SIST EN 15259. Iz predloženih poročil monitoringov hrupa v okolju iz dejavnosti in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elektromagnetnega valovanja je razvidno, da dovoljene vrednosti onesnaževanja okolja niso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presežene. Zavezanec je bil opozorjen na neskladno izpuščanje odpadnih vod hladilnega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 xml:space="preserve">sistema linije </w:t>
      </w:r>
      <w:proofErr w:type="spellStart"/>
      <w:r w:rsidRPr="004E092F">
        <w:rPr>
          <w:color w:val="auto"/>
          <w:sz w:val="20"/>
          <w:szCs w:val="20"/>
        </w:rPr>
        <w:t>formanja</w:t>
      </w:r>
      <w:proofErr w:type="spellEnd"/>
      <w:r w:rsidRPr="004E092F">
        <w:rPr>
          <w:color w:val="auto"/>
          <w:sz w:val="20"/>
          <w:szCs w:val="20"/>
        </w:rPr>
        <w:t>. Zavezanec na talilni peči po postopku R4 - recikliranje kovin in njihovih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spojin kot livarski vložek predeluje odpadke. Odpadke, ki nastajajo pri obratovanju naprave,</w:t>
      </w:r>
      <w:r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ločeno zbira in oddaja pooblaščenim družbam. Večje neskladnosti glede skladiščenje odpadkov</w:t>
      </w:r>
      <w:r w:rsidRPr="004E092F"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in nevarnih snovi niso ugotovljene. Zavezanec je bil opozorjen na pomanjkljivo označevanje in</w:t>
      </w:r>
      <w:r w:rsidRPr="004E092F">
        <w:rPr>
          <w:color w:val="auto"/>
          <w:sz w:val="20"/>
          <w:szCs w:val="20"/>
        </w:rPr>
        <w:t xml:space="preserve"> </w:t>
      </w:r>
      <w:r w:rsidRPr="004E092F">
        <w:rPr>
          <w:color w:val="auto"/>
          <w:sz w:val="20"/>
          <w:szCs w:val="20"/>
        </w:rPr>
        <w:t>evidentiranje začasno skladiščenih odpadkov.</w:t>
      </w:r>
    </w:p>
    <w:p w14:paraId="48AB176A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6AE0A15" w14:textId="77777777" w:rsidR="004E092F" w:rsidRPr="004E092F" w:rsidRDefault="004E092F" w:rsidP="004E0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E092F">
        <w:rPr>
          <w:b/>
          <w:bCs/>
          <w:color w:val="auto"/>
          <w:sz w:val="20"/>
          <w:szCs w:val="20"/>
        </w:rPr>
        <w:t>Zaključki / naslednje aktivnosti:</w:t>
      </w:r>
    </w:p>
    <w:p w14:paraId="48DBDDC6" w14:textId="3DC5B9E5" w:rsidR="002A12F0" w:rsidRPr="004E092F" w:rsidRDefault="004E092F" w:rsidP="004E092F">
      <w:pPr>
        <w:pStyle w:val="Default"/>
        <w:spacing w:line="260" w:lineRule="exact"/>
        <w:rPr>
          <w:color w:val="auto"/>
          <w:sz w:val="20"/>
          <w:szCs w:val="20"/>
        </w:rPr>
      </w:pPr>
      <w:r w:rsidRPr="004E092F">
        <w:rPr>
          <w:color w:val="auto"/>
          <w:sz w:val="20"/>
          <w:szCs w:val="20"/>
        </w:rPr>
        <w:t>Po preteku roka za odpravo neskladnosti, bo opravljen kontrolni pregled.</w:t>
      </w:r>
    </w:p>
    <w:sectPr w:rsidR="002A12F0" w:rsidRPr="004E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81975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3604A"/>
    <w:rsid w:val="00A57B3D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2021-03-16T14:21:00Z</dcterms:created>
  <dcterms:modified xsi:type="dcterms:W3CDTF">2021-03-16T14:23:00Z</dcterms:modified>
</cp:coreProperties>
</file>