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D499A75" w14:textId="77777777" w:rsidR="00C0746A" w:rsidRPr="00C0746A" w:rsidRDefault="00C0746A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F863C48" w14:textId="77777777" w:rsidR="00F61DFC" w:rsidRPr="00F61DFC" w:rsidRDefault="00F61DF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75EB9D9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4731C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180CA74E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 xml:space="preserve">HALDA </w:t>
      </w:r>
      <w:proofErr w:type="spellStart"/>
      <w:r w:rsidRPr="00D4731C">
        <w:rPr>
          <w:rFonts w:ascii="Arial" w:hAnsi="Arial" w:cs="Arial"/>
          <w:sz w:val="20"/>
          <w:szCs w:val="20"/>
        </w:rPr>
        <w:t>okoljski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 inženiring </w:t>
      </w:r>
      <w:proofErr w:type="spellStart"/>
      <w:r w:rsidRPr="00D4731C">
        <w:rPr>
          <w:rFonts w:ascii="Arial" w:hAnsi="Arial" w:cs="Arial"/>
          <w:sz w:val="20"/>
          <w:szCs w:val="20"/>
        </w:rPr>
        <w:t>d.o.o</w:t>
      </w:r>
      <w:proofErr w:type="spellEnd"/>
      <w:r w:rsidRPr="00D4731C">
        <w:rPr>
          <w:rFonts w:ascii="Arial" w:hAnsi="Arial" w:cs="Arial"/>
          <w:sz w:val="20"/>
          <w:szCs w:val="20"/>
        </w:rPr>
        <w:t>., Tovarniška cesta 51, 2342 Ruše</w:t>
      </w:r>
    </w:p>
    <w:p w14:paraId="387B1D46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61EDA46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4731C">
        <w:rPr>
          <w:rFonts w:ascii="Arial" w:hAnsi="Arial" w:cs="Arial"/>
          <w:b/>
          <w:bCs/>
          <w:sz w:val="20"/>
          <w:szCs w:val="20"/>
        </w:rPr>
        <w:t>Naprava:</w:t>
      </w:r>
    </w:p>
    <w:p w14:paraId="061F7CCD" w14:textId="22D76B62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odlagališče za nenevarne odpadke, s skupno zmogljivostjo odložitve 49.000 ton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 xml:space="preserve">· na zemljišču s </w:t>
      </w:r>
      <w:proofErr w:type="spellStart"/>
      <w:r w:rsidRPr="00D4731C">
        <w:rPr>
          <w:rFonts w:ascii="Arial" w:hAnsi="Arial" w:cs="Arial"/>
          <w:sz w:val="20"/>
          <w:szCs w:val="20"/>
        </w:rPr>
        <w:t>parc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. št. 122/2, 126/1, 126/2, 129/3, 130, 132, vse </w:t>
      </w:r>
      <w:proofErr w:type="spellStart"/>
      <w:r w:rsidRPr="00D4731C">
        <w:rPr>
          <w:rFonts w:ascii="Arial" w:hAnsi="Arial" w:cs="Arial"/>
          <w:sz w:val="20"/>
          <w:szCs w:val="20"/>
        </w:rPr>
        <w:t>k.o</w:t>
      </w:r>
      <w:proofErr w:type="spellEnd"/>
      <w:r w:rsidRPr="00D4731C">
        <w:rPr>
          <w:rFonts w:ascii="Arial" w:hAnsi="Arial" w:cs="Arial"/>
          <w:sz w:val="20"/>
          <w:szCs w:val="20"/>
        </w:rPr>
        <w:t>. Ruše</w:t>
      </w:r>
    </w:p>
    <w:p w14:paraId="010374BB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CA1DC82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4731C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6895585E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26. 4. 2019</w:t>
      </w:r>
    </w:p>
    <w:p w14:paraId="446BFE2B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E02804C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4731C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4100EB28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35407-36/2006-23 z dne 24.4.2009 spremenjeno z odločbami:</w:t>
      </w:r>
    </w:p>
    <w:p w14:paraId="5B4A27A2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- št. 35406-1/2012-9 z dne 4.3.2014,</w:t>
      </w:r>
    </w:p>
    <w:p w14:paraId="46DF6458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- št. 35406-1/2012-22 z dne 24.9.2014,</w:t>
      </w:r>
    </w:p>
    <w:p w14:paraId="03194C6E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- št. 35406-11/2015-2 z dne 15.4.2015,</w:t>
      </w:r>
    </w:p>
    <w:p w14:paraId="7C95BDDF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- št. 35406-13/2016-23 z dne 18.8.2017.</w:t>
      </w:r>
    </w:p>
    <w:p w14:paraId="17A210C6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F6A309B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4731C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F41F7B5" w14:textId="13BA53D1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Pri inšpekcijskem pregledu je bilo ugotovljeno, da zavezanec kot upravljavec naprave, ki lahko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povzroča onesnaževanje okolja večjega obsega – odlagališča za nenevarne odpadke, svojo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dejavnost izvaja skladno z izdanim okoljevarstvenim dovoljenjem (št. 35407-36/2006-23 z dne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24.4.2009 in spremenjenimi odločbami) in odpadke odlaga tako, da ni ogroženo človekovo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zdravje in da ravnanje ne povzroča škodljivih vplivov na okolje in čezmerno ne obremenjuje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voda, zraka in tal. Zavezanec ne presega dovoljene letne količine za odlaganje odpadkov po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veljavnem OVD.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8B05F6" w14:textId="2A1A9A75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 xml:space="preserve">Na podlagi prvega ocenjevanja hrupa (št. poročila CEVO-268/2016, IVD Maribor </w:t>
      </w:r>
      <w:proofErr w:type="spellStart"/>
      <w:r w:rsidRPr="00D4731C">
        <w:rPr>
          <w:rFonts w:ascii="Arial" w:hAnsi="Arial" w:cs="Arial"/>
          <w:sz w:val="20"/>
          <w:szCs w:val="20"/>
        </w:rPr>
        <w:t>p.o</w:t>
      </w:r>
      <w:proofErr w:type="spellEnd"/>
      <w:r w:rsidRPr="00D4731C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zavezancu kot upravljavcu vira hrupa, v skladu s 3. odstavkom 4. člena Pravilnika o prvem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ocenjevanju in obratovalnem monitoringu za vire hrupa ter o pogojih za njegovo izvajanje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(Uradni list RS, št. 105/08), ni potrebno zagotoviti obratovalnega monitoringa hrupa.</w:t>
      </w:r>
    </w:p>
    <w:p w14:paraId="2258CFAF" w14:textId="1058A4BD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 xml:space="preserve">Na odlagališču zavezanca ne nastajajo </w:t>
      </w:r>
      <w:proofErr w:type="spellStart"/>
      <w:r w:rsidRPr="00D4731C">
        <w:rPr>
          <w:rFonts w:ascii="Arial" w:hAnsi="Arial" w:cs="Arial"/>
          <w:sz w:val="20"/>
          <w:szCs w:val="20"/>
        </w:rPr>
        <w:t>odlagališčni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 plini, saj gre za odlagališče odpadkov, ki ne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 xml:space="preserve">vsebujejo biološko razgradljivih snovi in pri svojem odlaganju ne sproščajo </w:t>
      </w:r>
      <w:proofErr w:type="spellStart"/>
      <w:r w:rsidRPr="00D4731C">
        <w:rPr>
          <w:rFonts w:ascii="Arial" w:hAnsi="Arial" w:cs="Arial"/>
          <w:sz w:val="20"/>
          <w:szCs w:val="20"/>
        </w:rPr>
        <w:t>odlagališčnih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 plinov.</w:t>
      </w:r>
    </w:p>
    <w:p w14:paraId="7A7897A6" w14:textId="1BC2F6C0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lastRenderedPageBreak/>
        <w:t xml:space="preserve">Posledično odlagališče nima </w:t>
      </w:r>
      <w:proofErr w:type="spellStart"/>
      <w:r w:rsidRPr="00D4731C">
        <w:rPr>
          <w:rFonts w:ascii="Arial" w:hAnsi="Arial" w:cs="Arial"/>
          <w:sz w:val="20"/>
          <w:szCs w:val="20"/>
        </w:rPr>
        <w:t>odplinjevalnega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 sistema in bakle za sežig, zato se tudi ne izvajajo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 xml:space="preserve">meritve </w:t>
      </w:r>
      <w:proofErr w:type="spellStart"/>
      <w:r w:rsidRPr="00D4731C">
        <w:rPr>
          <w:rFonts w:ascii="Arial" w:hAnsi="Arial" w:cs="Arial"/>
          <w:sz w:val="20"/>
          <w:szCs w:val="20"/>
        </w:rPr>
        <w:t>odlagališčnega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 plina. Pri obratovanju odlagališča nastajajo izključno emisije snovi v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zrak zaradi prometa z vozili, ki dovažajo odpadke in emisije snovi v zrak zaradi obratovanja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delovnih strojev za odlaganje.</w:t>
      </w:r>
    </w:p>
    <w:p w14:paraId="6FB9A27E" w14:textId="3BDFFB16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Izcedne vode iz odlagališča se zbirajo v zbirnem bazenu in se neprečiščene vračajo na aktivni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del odlagališča.</w:t>
      </w:r>
    </w:p>
    <w:p w14:paraId="53526A38" w14:textId="197332CD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Zavezanec je pričel z izvedbo obratovalnega monitoringa podzemnih vod v letu 2015. Po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opravljenem prvem monitoringu je ugotovil, da je dosežena opozorilna sprememba nekaterih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indikativnih parametrov onesnaženosti podzemne vode in takoj pričel z izvajanjem ukrepov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zmanjševanja škodljivih vplivov na podzemne vode in o doseganju opozorilne spremembe.</w:t>
      </w:r>
    </w:p>
    <w:p w14:paraId="1BC1D7A3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 xml:space="preserve">Preseganje opozorilne spremembe za posamezne parametre v podzemni vodi </w:t>
      </w:r>
      <w:proofErr w:type="spellStart"/>
      <w:r w:rsidRPr="00D4731C">
        <w:rPr>
          <w:rFonts w:ascii="Arial" w:hAnsi="Arial" w:cs="Arial"/>
          <w:sz w:val="20"/>
          <w:szCs w:val="20"/>
        </w:rPr>
        <w:t>dolvodno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 od</w:t>
      </w:r>
    </w:p>
    <w:p w14:paraId="38C4C684" w14:textId="3AF7A9E2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odlagališča je posledica v preteklosti neustrezno odloženih odpadkov na območju bližnje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industrijske cone, kjer so delovali (in nekateri še delujejo) obrati za proizvodnjo umetnih gnojil,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 xml:space="preserve">fitofarmacevtskih sredstev in </w:t>
      </w:r>
      <w:proofErr w:type="spellStart"/>
      <w:r w:rsidRPr="00D4731C">
        <w:rPr>
          <w:rFonts w:ascii="Arial" w:hAnsi="Arial" w:cs="Arial"/>
          <w:sz w:val="20"/>
          <w:szCs w:val="20"/>
        </w:rPr>
        <w:t>biocidov</w:t>
      </w:r>
      <w:proofErr w:type="spellEnd"/>
      <w:r w:rsidRPr="00D4731C">
        <w:rPr>
          <w:rFonts w:ascii="Arial" w:hAnsi="Arial" w:cs="Arial"/>
          <w:sz w:val="20"/>
          <w:szCs w:val="20"/>
        </w:rPr>
        <w:t xml:space="preserve">, metalurgije, </w:t>
      </w:r>
      <w:proofErr w:type="spellStart"/>
      <w:r w:rsidRPr="00D4731C">
        <w:rPr>
          <w:rFonts w:ascii="Arial" w:hAnsi="Arial" w:cs="Arial"/>
          <w:sz w:val="20"/>
          <w:szCs w:val="20"/>
        </w:rPr>
        <w:t>ferokroma</w:t>
      </w:r>
      <w:proofErr w:type="spellEnd"/>
      <w:r w:rsidRPr="00D4731C">
        <w:rPr>
          <w:rFonts w:ascii="Arial" w:hAnsi="Arial" w:cs="Arial"/>
          <w:sz w:val="20"/>
          <w:szCs w:val="20"/>
        </w:rPr>
        <w:t>, ferosilicija, korunda in kalcijevega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karbida. Na osnovi ocen odpadkov, ki se sedaj odlagajo na odlagališču zavezanca je razvidno,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da odpadki ne vsebujejo snovi, ki bi vplivale na povišanje vrednosti, ki presegajo opozorilne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spremembe za posamezne parametre podzemne vode. Zavezanec v skladu z določbami iz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OVD izvaja ukrepe skladno s potrjenim programom ukrepov v primeru preseganja opozorilne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spremembe za posamezne parametre podzemne vode.</w:t>
      </w:r>
    </w:p>
    <w:p w14:paraId="5E0A9F0B" w14:textId="4152BE5F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Zavezanec redno izvaja predpisane obratovalne monitoringe izcedne vode iz odlagališča in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podzemne vode. O vseh opravljenih meritvah ter o obdelavi odpadkov in ravnanju z njimi, redno</w:t>
      </w:r>
      <w:r>
        <w:rPr>
          <w:rFonts w:ascii="Arial" w:hAnsi="Arial" w:cs="Arial"/>
          <w:sz w:val="20"/>
          <w:szCs w:val="20"/>
        </w:rPr>
        <w:t xml:space="preserve"> </w:t>
      </w:r>
      <w:r w:rsidRPr="00D4731C">
        <w:rPr>
          <w:rFonts w:ascii="Arial" w:hAnsi="Arial" w:cs="Arial"/>
          <w:sz w:val="20"/>
          <w:szCs w:val="20"/>
        </w:rPr>
        <w:t>in v predpisanem roku poroča na ARSO.</w:t>
      </w:r>
    </w:p>
    <w:p w14:paraId="58844FF2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6FBE6C8" w14:textId="77777777" w:rsidR="00D4731C" w:rsidRPr="00D4731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4731C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FE4B09D" w14:textId="68D167C3" w:rsidR="00F61DFC" w:rsidRPr="00F61DFC" w:rsidRDefault="00D4731C" w:rsidP="00D4731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D4731C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F61DFC" w:rsidRPr="00F6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2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2021-03-22T10:11:00Z</dcterms:created>
  <dcterms:modified xsi:type="dcterms:W3CDTF">2021-03-22T10:16:00Z</dcterms:modified>
</cp:coreProperties>
</file>