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483182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19AEA" w14:textId="77777777" w:rsidR="00B46B51" w:rsidRDefault="00B46B51" w:rsidP="00B46B5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DD0DFD9" w14:textId="77777777" w:rsidR="00B46B51" w:rsidRDefault="00B46B51" w:rsidP="00B46B5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21283D55" w14:textId="77777777" w:rsidR="00B46B51" w:rsidRDefault="00B46B51" w:rsidP="00B46B5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1FC5B3E2" w14:textId="77777777" w:rsidR="00B46B51" w:rsidRDefault="00B46B51" w:rsidP="00B46B5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E929BF2" w14:textId="77777777" w:rsidR="00B46B51" w:rsidRDefault="00B46B51" w:rsidP="00B46B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5975919E" w14:textId="77777777" w:rsidR="00B46B51" w:rsidRDefault="00B46B51" w:rsidP="00B46B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0E603A3C" w14:textId="77777777" w:rsidR="00B46B51" w:rsidRDefault="00B46B51" w:rsidP="00B46B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1CA6CF7D" w14:textId="77777777" w:rsidR="00B46B51" w:rsidRDefault="00B46B51" w:rsidP="00B46B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672B105" w14:textId="77777777" w:rsidR="00B46B51" w:rsidRDefault="00B46B51" w:rsidP="00B46B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56F19AEA" w14:textId="77777777" w:rsidR="00B46B51" w:rsidRDefault="00B46B51" w:rsidP="00B46B5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DD0DFD9" w14:textId="77777777" w:rsidR="00B46B51" w:rsidRDefault="00B46B51" w:rsidP="00B46B5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21283D55" w14:textId="77777777" w:rsidR="00B46B51" w:rsidRDefault="00B46B51" w:rsidP="00B46B5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1FC5B3E2" w14:textId="77777777" w:rsidR="00B46B51" w:rsidRDefault="00B46B51" w:rsidP="00B46B5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E929BF2" w14:textId="77777777" w:rsidR="00B46B51" w:rsidRDefault="00B46B51" w:rsidP="00B46B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5975919E" w14:textId="77777777" w:rsidR="00B46B51" w:rsidRDefault="00B46B51" w:rsidP="00B46B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0E603A3C" w14:textId="77777777" w:rsidR="00B46B51" w:rsidRDefault="00B46B51" w:rsidP="00B46B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1CA6CF7D" w14:textId="77777777" w:rsidR="00B46B51" w:rsidRDefault="00B46B51" w:rsidP="00B46B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672B105" w14:textId="77777777" w:rsidR="00B46B51" w:rsidRDefault="00B46B51" w:rsidP="00B46B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483182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B46B51" w:rsidRDefault="00741A82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B46B51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45DCD0A" w14:textId="77777777" w:rsidR="005C4407" w:rsidRPr="00B46B51" w:rsidRDefault="00741A82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46B51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  <w:r w:rsidR="005C4407" w:rsidRPr="00B46B5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CF69B5" w14:textId="77777777" w:rsidR="00620545" w:rsidRPr="00B46B51" w:rsidRDefault="00620545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41CDCDC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46B51">
        <w:rPr>
          <w:rFonts w:ascii="Arial" w:hAnsi="Arial" w:cs="Arial"/>
          <w:b/>
          <w:bCs/>
          <w:sz w:val="20"/>
          <w:szCs w:val="20"/>
        </w:rPr>
        <w:t>Zavezanec:</w:t>
      </w:r>
    </w:p>
    <w:p w14:paraId="4251D058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 xml:space="preserve">Gorenje gospodinjski aparati, </w:t>
      </w:r>
      <w:proofErr w:type="spellStart"/>
      <w:r w:rsidRPr="00B46B51">
        <w:rPr>
          <w:rFonts w:ascii="Arial" w:hAnsi="Arial" w:cs="Arial"/>
          <w:sz w:val="20"/>
          <w:szCs w:val="20"/>
        </w:rPr>
        <w:t>d.o.o</w:t>
      </w:r>
      <w:proofErr w:type="spellEnd"/>
      <w:r w:rsidRPr="00B46B51">
        <w:rPr>
          <w:rFonts w:ascii="Arial" w:hAnsi="Arial" w:cs="Arial"/>
          <w:sz w:val="20"/>
          <w:szCs w:val="20"/>
        </w:rPr>
        <w:t>., Partizanska cesta 12, 3320 Velenje, MŠ: 5163676000</w:t>
      </w:r>
    </w:p>
    <w:p w14:paraId="2F01570B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7B29370" w14:textId="24BE2E42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46B51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78CF16DC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2.6. naprava za površinsko obdelavo kovin z uporabo elektrolitskih ali kemičnih postopkov</w:t>
      </w:r>
    </w:p>
    <w:p w14:paraId="3BACFAB2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z volumnom delovnih kadi (brez izpiranja ) 215,4 m3 .</w:t>
      </w:r>
    </w:p>
    <w:p w14:paraId="327A78D2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61A5368" w14:textId="64C9F2F4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46B51">
        <w:rPr>
          <w:rFonts w:ascii="Arial" w:hAnsi="Arial" w:cs="Arial"/>
          <w:b/>
          <w:bCs/>
          <w:sz w:val="20"/>
          <w:szCs w:val="20"/>
        </w:rPr>
        <w:t>Datum pregleda:</w:t>
      </w:r>
    </w:p>
    <w:p w14:paraId="6AFEA754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11.6.2020</w:t>
      </w:r>
    </w:p>
    <w:p w14:paraId="226B4D6C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66626BE" w14:textId="02BA31F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46B51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57E93026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- štev. 35407-91/2006 – 13 z dne 29. 08. 2008</w:t>
      </w:r>
    </w:p>
    <w:p w14:paraId="27E8F594" w14:textId="3C1B7F90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 xml:space="preserve">- spremenjeno s štev. 35406-17/2014-13 z dne 24. 04. 2015- v nadaljevanju OVD </w:t>
      </w:r>
    </w:p>
    <w:p w14:paraId="2F21E517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- ter spremembo št: 35406-33/2018-10 z dne 9.5.2019 v nadaljevanju OVD1</w:t>
      </w:r>
    </w:p>
    <w:p w14:paraId="3D0D0CF8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25E7148" w14:textId="03A3C6C4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b/>
          <w:bCs/>
          <w:sz w:val="20"/>
          <w:szCs w:val="20"/>
        </w:rPr>
        <w:t>Ugotovitve</w:t>
      </w:r>
      <w:r w:rsidRPr="00B46B51">
        <w:rPr>
          <w:rFonts w:ascii="Arial" w:hAnsi="Arial" w:cs="Arial"/>
          <w:sz w:val="20"/>
          <w:szCs w:val="20"/>
        </w:rPr>
        <w:t>:</w:t>
      </w:r>
    </w:p>
    <w:p w14:paraId="3C2CAD66" w14:textId="05F97EF3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46B51">
        <w:rPr>
          <w:rFonts w:ascii="Arial" w:hAnsi="Arial" w:cs="Arial"/>
          <w:sz w:val="20"/>
          <w:szCs w:val="20"/>
          <w:u w:val="single"/>
        </w:rPr>
        <w:t xml:space="preserve">Ravnanje z odpadki, ki nastanejo zaradi dejavnosti </w:t>
      </w:r>
    </w:p>
    <w:p w14:paraId="2531DEDA" w14:textId="74B2401E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Pri pregledu predloži stranka inšpektorici kopijo letnega poročila o nastajanju odpadkov za leto 2019, ki je bilo pravočasno posredovano na ARSO. Zavezanec razpolaga z Načrtom gospodarjenja z odpadki z dne 15.3.2020.</w:t>
      </w:r>
    </w:p>
    <w:p w14:paraId="57C8F704" w14:textId="13488DA5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Zavezanec vse odpadke, ki nastajajo zaradi industrijske dejavnosti oddaja pooblaščenim ravnalcem z odpadki, kar je razvidno tudi iz letnega poročila. Nastali odpadki se po začasnem skladiščenju (največ 12 mesecev) predajajo pooblaščenim osebam, ki so vpisane v evidenco oseb, ki ravnajo z odpadki.</w:t>
      </w:r>
    </w:p>
    <w:p w14:paraId="0106D25F" w14:textId="6EAC64B0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Upravljavec skladišči odpadke tako, da ni ogroženo človekovo zdravje v za to namenjenih prostorih in v skladu s predpisi, ki urejajo skladiščenje odpadkov, snovi in pripravkov.</w:t>
      </w:r>
    </w:p>
    <w:p w14:paraId="79C625FA" w14:textId="17CBBB08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Predpisane evidence o nastajanju odpadkov se redno vodijo, evidenčni listi pa se shranjujejo centralno v službi za Varstvo okolja ( računalniška evidenca ).</w:t>
      </w:r>
    </w:p>
    <w:p w14:paraId="41ABD418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46B51">
        <w:rPr>
          <w:rFonts w:ascii="Arial" w:hAnsi="Arial" w:cs="Arial"/>
          <w:sz w:val="20"/>
          <w:szCs w:val="20"/>
          <w:u w:val="single"/>
        </w:rPr>
        <w:t>Embalaža in odpadna embalaža</w:t>
      </w:r>
    </w:p>
    <w:p w14:paraId="6E5C5CC2" w14:textId="5096B87E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 xml:space="preserve">Odpadno embalažo, ki ni komunalni odpadek, zavezanec predaja nosilcu sheme za embalažo in odpadno embalažo Surovina </w:t>
      </w:r>
      <w:proofErr w:type="spellStart"/>
      <w:r w:rsidRPr="00B46B51">
        <w:rPr>
          <w:rFonts w:ascii="Arial" w:hAnsi="Arial" w:cs="Arial"/>
          <w:sz w:val="20"/>
          <w:szCs w:val="20"/>
        </w:rPr>
        <w:t>d.o.o</w:t>
      </w:r>
      <w:proofErr w:type="spellEnd"/>
      <w:r w:rsidRPr="00B46B51">
        <w:rPr>
          <w:rFonts w:ascii="Arial" w:hAnsi="Arial" w:cs="Arial"/>
          <w:sz w:val="20"/>
          <w:szCs w:val="20"/>
        </w:rPr>
        <w:t>., s katero ima sklenjeno pogodbo o obveznosti ravnanja z embalažo in odpadno embalažo na DROE. Zavezanec zagotavlja, da se odpadna embalaža ne prepušča ali oddaja izvajalcu javne službe kot mešani komunalni odpadek ali kot ločeno zbrano frakcijo komunalnih odpadkov.</w:t>
      </w:r>
    </w:p>
    <w:p w14:paraId="685F7469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  <w:u w:val="single"/>
        </w:rPr>
        <w:t>V zvezi z ravnanjem z odpadno električno in elektronsko opremo je bilo ugotovljeno</w:t>
      </w:r>
      <w:r w:rsidRPr="00B46B51">
        <w:rPr>
          <w:rFonts w:ascii="Arial" w:hAnsi="Arial" w:cs="Arial"/>
          <w:sz w:val="20"/>
          <w:szCs w:val="20"/>
        </w:rPr>
        <w:t>:</w:t>
      </w:r>
    </w:p>
    <w:p w14:paraId="3597E4A6" w14:textId="340B63C5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lastRenderedPageBreak/>
        <w:t>Da je upravljavec pri Agenciji RS za okolje vpisan v evidenco proizvajalcev in pridobiteljev električne in elektronske opreme pod zaporedno številko 17. Da upravljavec zagotavlja ravnanje z odpadno električno in elektronsko opremo v okviru skupnega načrta ravnanja z odpadki (ZEOS), vpisanega v evidenco načrtov ravnanja z odpadno električno in elektronsko opremo pod zaporedno številko 1.</w:t>
      </w:r>
    </w:p>
    <w:p w14:paraId="1F2B77E4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46B51">
        <w:rPr>
          <w:rFonts w:ascii="Arial" w:hAnsi="Arial" w:cs="Arial"/>
          <w:sz w:val="20"/>
          <w:szCs w:val="20"/>
          <w:u w:val="single"/>
        </w:rPr>
        <w:t>Emisije snovi in toplote v vode</w:t>
      </w:r>
    </w:p>
    <w:p w14:paraId="5BD37430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46B51">
        <w:rPr>
          <w:rFonts w:ascii="Arial" w:hAnsi="Arial" w:cs="Arial"/>
          <w:sz w:val="20"/>
          <w:szCs w:val="20"/>
          <w:u w:val="single"/>
        </w:rPr>
        <w:t>Industrijske odpadne vode</w:t>
      </w:r>
    </w:p>
    <w:p w14:paraId="5A1D3678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Zavezanec ima za čiščenje odpadnih tehnoloških vod zgrajeno lastno čistilno napravo, ki čisti vse</w:t>
      </w:r>
    </w:p>
    <w:p w14:paraId="2DBF7C0D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tehnološke odpadne vode z območja obratovanja naprave.</w:t>
      </w:r>
    </w:p>
    <w:p w14:paraId="6DD1B373" w14:textId="669F9A12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Določena je odgovorna oseba, ki skrbi za obratovanje in vzdrževanje čistilne naprave za čiščenje odpadnih industrijskih vod in lovilce olj, ter vodi za čistilno napravo za čiščenje odpadnih</w:t>
      </w:r>
    </w:p>
    <w:p w14:paraId="08B3F4D5" w14:textId="0F9EBD7A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industrijskih vod in lovilce olj obratovalni dnevnik v skladu s predpisi o emisiji snovi in toplote pri odvajanju odpadnih vod v vode in javno kanalizacijo.</w:t>
      </w:r>
    </w:p>
    <w:p w14:paraId="569339BD" w14:textId="0A0A530E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Za obratovanje lastne čistilne naprave je izdelan Poslovnik in se vodi Obratovalni dnevnika v skladu s predpisi o emisiji snovi in toplote pri odvajanju odpadnih vod v vode in javno kanalizacijo.</w:t>
      </w:r>
    </w:p>
    <w:p w14:paraId="47CDF739" w14:textId="12EFCD2C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Obratovalni dnevnik je izdelan v obliki računalniško vodene evidence. V Poslovniku so tudi navodila o vodenju naprave in odvzemnih vzorcev in ukrepih v primeru ugotovljenih nepravilnosti.</w:t>
      </w:r>
    </w:p>
    <w:p w14:paraId="018C3F5F" w14:textId="4E50065C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 xml:space="preserve">Upravljavec naprave ne presega dopustnih vrednosti parametrov industrijske odpadne vode iz lastne industrijske čistilne naprave na iztoku V1 na merilnem mestu MMV1., ki so določeni v Preglednic 19. Monitoring odpadnih vod se izvaja najmanj 4x letno. Zavezanec predloži inšpektorju poročilo o obratovalnem monitoringu odpadnih vod za podjetje Gorenje </w:t>
      </w:r>
      <w:proofErr w:type="spellStart"/>
      <w:r w:rsidRPr="00B46B51">
        <w:rPr>
          <w:rFonts w:ascii="Arial" w:hAnsi="Arial" w:cs="Arial"/>
          <w:sz w:val="20"/>
          <w:szCs w:val="20"/>
        </w:rPr>
        <w:t>d.o.o</w:t>
      </w:r>
      <w:proofErr w:type="spellEnd"/>
      <w:r w:rsidRPr="00B46B51">
        <w:rPr>
          <w:rFonts w:ascii="Arial" w:hAnsi="Arial" w:cs="Arial"/>
          <w:sz w:val="20"/>
          <w:szCs w:val="20"/>
        </w:rPr>
        <w:t xml:space="preserve">., za leto 2019, ki ga je pod štev. 1/2019 z dne 30. 3. 2020 izdelala Gorenje </w:t>
      </w:r>
      <w:proofErr w:type="spellStart"/>
      <w:r w:rsidRPr="00B46B51">
        <w:rPr>
          <w:rFonts w:ascii="Arial" w:hAnsi="Arial" w:cs="Arial"/>
          <w:sz w:val="20"/>
          <w:szCs w:val="20"/>
        </w:rPr>
        <w:t>d.o.o</w:t>
      </w:r>
      <w:proofErr w:type="spellEnd"/>
      <w:r w:rsidRPr="00B46B51">
        <w:rPr>
          <w:rFonts w:ascii="Arial" w:hAnsi="Arial" w:cs="Arial"/>
          <w:sz w:val="20"/>
          <w:szCs w:val="20"/>
        </w:rPr>
        <w:t>., ki ima ustrezno pooblastilo za izvajanje obratovalnega monitoringa.</w:t>
      </w:r>
    </w:p>
    <w:p w14:paraId="38212E0C" w14:textId="766084AB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Z muljem iz lastne čistilne naprave in z muljem iz oljnih lovilcev se ravna v skladu s predpisi, ki urejajo ravnanje z odpadki in vodi vse predpisane evidence.</w:t>
      </w:r>
    </w:p>
    <w:p w14:paraId="19D02A92" w14:textId="31F9EEB5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Upravljavec naprave zagotavlja, da se padavinska odpadna voda iz utrjenih in tlakovanih površin, ki so opredeljene v Prilogi 3 OVD odvaja preko lovilcev olj in preko iztokov :V3,V4,V5,V6,V7,V8 – vsi z iztokom v Pako in V2 z iztokom v javno kanalizacijo.</w:t>
      </w:r>
    </w:p>
    <w:p w14:paraId="61FDE580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Upravljavec ima na lokaciji naprave 12 lovilcev maščob, ki ustrezajo standardu SIST EN 858-2.</w:t>
      </w:r>
    </w:p>
    <w:p w14:paraId="645A3DC2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Lovilec s štev. 14 je bil opuščen, njegovo prispevno površino pokriva lovilec s štev.15.</w:t>
      </w:r>
    </w:p>
    <w:p w14:paraId="6207CE43" w14:textId="2B836BF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Neustrezni lovilci so bili zamenjani do predpisanega roka 25.11.2014. Lokacija in prispevna površina lovilcev je razvidna iz Priloge 3 OVD Čiščenje usedlin iz lovilcev maščob se izvaja v skladu s poslovnikom najmanj enkrat letno.</w:t>
      </w:r>
    </w:p>
    <w:p w14:paraId="6080C27F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46B51">
        <w:rPr>
          <w:rFonts w:ascii="Arial" w:hAnsi="Arial" w:cs="Arial"/>
          <w:sz w:val="20"/>
          <w:szCs w:val="20"/>
          <w:u w:val="single"/>
        </w:rPr>
        <w:t>Emisije snovi v zrak</w:t>
      </w:r>
    </w:p>
    <w:p w14:paraId="43349ADB" w14:textId="686FBC62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Upravljavec naprave zagotavlja izpuščanje zajetih emisij snovi v zrak preko definiranih izpustov navedenih v točki 2.2.3. OVD in sicer :</w:t>
      </w:r>
    </w:p>
    <w:p w14:paraId="6F8FE7E1" w14:textId="5D6FDBFF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V programu MEKOM je v dovoljenju zapisano preko izpustov z oznakami: Z1, Z2, Z3, Z7, Z8, Z9, Z10, Z11, Z12, Z13, Z14 in Z15, to je skozi 12 emisijskih mest oz. sedaj ja stanje naslednje v vlogi za OVD 2.12. 2019 o kateri še ARSO še ni odločil je stanje naslednje ukinjeni so Z7, Z8 in Z9 Z 15 je pa spremenjen (gorilnik je bil odstranjen ). Stanje sedaj 9 emisijskih mest.</w:t>
      </w:r>
    </w:p>
    <w:p w14:paraId="71E5024E" w14:textId="40F48D9C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V programu HZPA je v dovoljenju zapisano preko izpustov Z16, Z17, Z18, Z19, Z20, Z21, Z22, Z23, Z24, Z25, Z 26, Z 27, Z28, Z29, Z30, Z31, Z36, Z37, Z69, Z74, Z75, Z86, Z87, Z88, Z89 in Z90, to je skozi 26 emisijskih mest. mest oz. sedaj ja stanje naslednje v vlogi za OVD 2.12. 2019, o kateri še ARSO še ni odločil je stanje naslednje ukinjeni so izpusti Z 28, Z 69, Z74, Z75, Z30 in Z31. Stanje sedaj 20 emisijskih mest.</w:t>
      </w:r>
    </w:p>
    <w:p w14:paraId="1B9BB535" w14:textId="144C796F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V programu KA preko izpustov z oznakami : Z38, Z39, Z40, Z41, Z42, Z43, Z53, Z54, Z55, Z56, Z57, Z58, Z60, Z63, Z64, Z65, Z78, Z79, Z80 in Z95, to je skozi 21 emisijskih mest.</w:t>
      </w:r>
    </w:p>
    <w:p w14:paraId="32971DEE" w14:textId="7B1C5FCA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V programu PPA je sedaj PSA preko izpustov Z45, Z46, Z47, Z48, Z49, Z50, Z51 in Z52, to je skozi 8 emisijskih mest.</w:t>
      </w:r>
    </w:p>
    <w:p w14:paraId="18B8B32B" w14:textId="634F0B21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V programu Tehnično povezane dejavnosti TPD preko izpustov: Z81, Z83, Z84, Z85, Z91, Z92, Z93 in Z94 to je skozi 8 emisijskih mest. V isti vlogi na ARSO so dodali še tri kogeneracije.</w:t>
      </w:r>
    </w:p>
    <w:p w14:paraId="00BE3923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Emisijska mesta so definirana v Prilog 4 OVD (preglednica 1).</w:t>
      </w:r>
    </w:p>
    <w:p w14:paraId="1CA2B641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Zadnje meritve emisij snovi v zrak so bile opravljene v oktobru in novembru 2018, ter v letu 2019.</w:t>
      </w:r>
    </w:p>
    <w:p w14:paraId="29369A7B" w14:textId="77777777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Meritve je izvajal IVD Maribor in ERICO Velenje.</w:t>
      </w:r>
    </w:p>
    <w:p w14:paraId="29FFFC77" w14:textId="221E68B6" w:rsidR="00390ED0" w:rsidRPr="00B46B51" w:rsidRDefault="00390ED0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lastRenderedPageBreak/>
        <w:t>Po pooblastilu jim Oceno izdela IVD Maribor, zadnja za leto 2019, ki jo je do 31. 3. 2020 posredoval na ARSO- sami pa tudi pregledajo vse meritve.</w:t>
      </w:r>
    </w:p>
    <w:p w14:paraId="15B8CC7B" w14:textId="185D8353" w:rsidR="00C915FB" w:rsidRPr="00B46B51" w:rsidRDefault="00C915FB" w:rsidP="00B46B5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C915FB" w:rsidRPr="00B4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E52B4" w14:textId="77777777" w:rsidR="001E4AEB" w:rsidRDefault="001E4AEB" w:rsidP="00F907B6">
      <w:pPr>
        <w:spacing w:after="0" w:line="240" w:lineRule="auto"/>
      </w:pPr>
      <w:r>
        <w:separator/>
      </w:r>
    </w:p>
  </w:endnote>
  <w:endnote w:type="continuationSeparator" w:id="0">
    <w:p w14:paraId="3CFBB63F" w14:textId="77777777" w:rsidR="001E4AEB" w:rsidRDefault="001E4AE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F92F4" w14:textId="77777777" w:rsidR="001E4AEB" w:rsidRDefault="001E4AEB" w:rsidP="00F907B6">
      <w:pPr>
        <w:spacing w:after="0" w:line="240" w:lineRule="auto"/>
      </w:pPr>
      <w:r>
        <w:separator/>
      </w:r>
    </w:p>
  </w:footnote>
  <w:footnote w:type="continuationSeparator" w:id="0">
    <w:p w14:paraId="03BAE904" w14:textId="77777777" w:rsidR="001E4AEB" w:rsidRDefault="001E4AE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1E4AEB"/>
    <w:rsid w:val="0022614D"/>
    <w:rsid w:val="00245757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77D6"/>
    <w:rsid w:val="004A0CF7"/>
    <w:rsid w:val="004C1644"/>
    <w:rsid w:val="005831F1"/>
    <w:rsid w:val="00597245"/>
    <w:rsid w:val="005C4407"/>
    <w:rsid w:val="00620545"/>
    <w:rsid w:val="00637885"/>
    <w:rsid w:val="00694064"/>
    <w:rsid w:val="006A3057"/>
    <w:rsid w:val="00741A82"/>
    <w:rsid w:val="00743706"/>
    <w:rsid w:val="007C73E1"/>
    <w:rsid w:val="00800B37"/>
    <w:rsid w:val="008F1FCF"/>
    <w:rsid w:val="00932F16"/>
    <w:rsid w:val="0094339A"/>
    <w:rsid w:val="009A059C"/>
    <w:rsid w:val="00A57B3D"/>
    <w:rsid w:val="00AE1983"/>
    <w:rsid w:val="00B46B51"/>
    <w:rsid w:val="00BB072E"/>
    <w:rsid w:val="00C325EE"/>
    <w:rsid w:val="00C42460"/>
    <w:rsid w:val="00C915FB"/>
    <w:rsid w:val="00CB18A8"/>
    <w:rsid w:val="00CF4184"/>
    <w:rsid w:val="00D83E00"/>
    <w:rsid w:val="00E150F3"/>
    <w:rsid w:val="00E32CA9"/>
    <w:rsid w:val="00EC2DA0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6B5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spacing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5542</Characters>
  <Application>Microsoft Office Word</Application>
  <DocSecurity>2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2021-03-14T19:35:00Z</dcterms:created>
  <dcterms:modified xsi:type="dcterms:W3CDTF">2021-03-16T11:56:00Z</dcterms:modified>
</cp:coreProperties>
</file>