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C74EA" w14:textId="77777777" w:rsidR="00E31BB8" w:rsidRPr="00E31BB8" w:rsidRDefault="00E31BB8" w:rsidP="00E31BB8">
      <w:pPr>
        <w:spacing w:line="260" w:lineRule="exact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E31BB8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7DDD40" wp14:editId="779D821D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543175"/>
                <wp:effectExtent l="0" t="0" r="0" b="9525"/>
                <wp:wrapThrough wrapText="bothSides">
                  <wp:wrapPolygon edited="0">
                    <wp:start x="0" y="0"/>
                    <wp:lineTo x="0" y="21519"/>
                    <wp:lineTo x="21533" y="2151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97849" w14:textId="77777777" w:rsidR="00E31BB8" w:rsidRDefault="00E31BB8" w:rsidP="00E31BB8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DC8522D" w14:textId="77777777" w:rsidR="00E31BB8" w:rsidRDefault="00E31BB8" w:rsidP="00E31BB8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9055107" w14:textId="77777777" w:rsidR="00E31BB8" w:rsidRDefault="00E31BB8" w:rsidP="00E31BB8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6C025AB9" w14:textId="77777777" w:rsidR="00E31BB8" w:rsidRDefault="00E31BB8" w:rsidP="00E31BB8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15F5B9A" w14:textId="77777777" w:rsidR="00E31BB8" w:rsidRDefault="00E31BB8" w:rsidP="00E31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3249E81B" w14:textId="77777777" w:rsidR="00E31BB8" w:rsidRPr="00BF281C" w:rsidRDefault="00E31BB8" w:rsidP="00E31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585A2062" w14:textId="77777777" w:rsidR="00E31BB8" w:rsidRPr="00BF281C" w:rsidRDefault="00E31BB8" w:rsidP="00E31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149941DF" w14:textId="77777777" w:rsidR="00E31BB8" w:rsidRPr="00BF281C" w:rsidRDefault="00E31BB8" w:rsidP="00E31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5680BB90" w14:textId="77777777" w:rsidR="00E31BB8" w:rsidRDefault="00E31BB8" w:rsidP="00E31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23A85BF4" w14:textId="77777777" w:rsidR="00E31BB8" w:rsidRPr="00652CA5" w:rsidRDefault="00E31BB8" w:rsidP="00E31BB8">
                            <w:pPr>
                              <w:tabs>
                                <w:tab w:val="left" w:pos="6120"/>
                              </w:tabs>
                              <w:ind w:left="63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DDD40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2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" stroked="f">
                <v:textbox>
                  <w:txbxContent>
                    <w:p w14:paraId="3E397849" w14:textId="77777777" w:rsidR="00E31BB8" w:rsidRDefault="00E31BB8" w:rsidP="00E31BB8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DC8522D" w14:textId="77777777" w:rsidR="00E31BB8" w:rsidRDefault="00E31BB8" w:rsidP="00E31BB8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9055107" w14:textId="77777777" w:rsidR="00E31BB8" w:rsidRDefault="00E31BB8" w:rsidP="00E31BB8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6C025AB9" w14:textId="77777777" w:rsidR="00E31BB8" w:rsidRDefault="00E31BB8" w:rsidP="00E31BB8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15F5B9A" w14:textId="77777777" w:rsidR="00E31BB8" w:rsidRDefault="00E31BB8" w:rsidP="00E31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3249E81B" w14:textId="77777777" w:rsidR="00E31BB8" w:rsidRPr="00BF281C" w:rsidRDefault="00E31BB8" w:rsidP="00E31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585A2062" w14:textId="77777777" w:rsidR="00E31BB8" w:rsidRPr="00BF281C" w:rsidRDefault="00E31BB8" w:rsidP="00E31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149941DF" w14:textId="77777777" w:rsidR="00E31BB8" w:rsidRPr="00BF281C" w:rsidRDefault="00E31BB8" w:rsidP="00E31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5680BB90" w14:textId="77777777" w:rsidR="00E31BB8" w:rsidRDefault="00E31BB8" w:rsidP="00E31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23A85BF4" w14:textId="77777777" w:rsidR="00E31BB8" w:rsidRPr="00652CA5" w:rsidRDefault="00E31BB8" w:rsidP="00E31BB8">
                      <w:pPr>
                        <w:tabs>
                          <w:tab w:val="left" w:pos="6120"/>
                        </w:tabs>
                        <w:ind w:left="63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31BB8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709596A2" wp14:editId="35C0B339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6B814" w14:textId="77777777" w:rsidR="00F86595" w:rsidRPr="00E31BB8" w:rsidRDefault="00F86595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D51092F" w14:textId="32E5D059" w:rsidR="00F86595" w:rsidRPr="00E31BB8" w:rsidRDefault="00F86595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31BB8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08DA390D" w14:textId="77777777" w:rsidR="00F86595" w:rsidRPr="00E31BB8" w:rsidRDefault="00F86595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31BB8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10E0514C" w14:textId="77777777" w:rsidR="00F86595" w:rsidRPr="00E31BB8" w:rsidRDefault="00F86595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21C99B7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31BB8">
        <w:rPr>
          <w:rFonts w:ascii="Arial" w:hAnsi="Arial" w:cs="Arial"/>
          <w:b/>
          <w:bCs/>
          <w:sz w:val="20"/>
          <w:szCs w:val="20"/>
        </w:rPr>
        <w:t>Zavezanec:</w:t>
      </w:r>
    </w:p>
    <w:p w14:paraId="2081BF36" w14:textId="28DDFB5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 xml:space="preserve">ANOKSIDAL </w:t>
      </w:r>
      <w:proofErr w:type="spellStart"/>
      <w:r w:rsidRPr="00E31BB8">
        <w:rPr>
          <w:rFonts w:ascii="Arial" w:hAnsi="Arial" w:cs="Arial"/>
          <w:sz w:val="20"/>
          <w:szCs w:val="20"/>
        </w:rPr>
        <w:t>d.o.o</w:t>
      </w:r>
      <w:proofErr w:type="spellEnd"/>
      <w:r w:rsidRPr="00E31BB8">
        <w:rPr>
          <w:rFonts w:ascii="Arial" w:hAnsi="Arial" w:cs="Arial"/>
          <w:sz w:val="20"/>
          <w:szCs w:val="20"/>
        </w:rPr>
        <w:t>., Dragonja vas 36, 2326 Cirkovce, na lokaciji Partizanska ulica 38, 2310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Slovenska Bistrica, MŠ 5856914001</w:t>
      </w:r>
    </w:p>
    <w:p w14:paraId="67000B2D" w14:textId="77777777" w:rsidR="001268F8" w:rsidRPr="00E31BB8" w:rsidRDefault="001268F8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C9146BF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31BB8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73F8BC0" w14:textId="731DA10C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2.6. naprava za površinsko obdelavo kovin z uporabo elektrolitskih ali kemičnih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 xml:space="preserve">postopkov z </w:t>
      </w:r>
      <w:r w:rsidR="001268F8" w:rsidRPr="00E31BB8">
        <w:rPr>
          <w:rFonts w:ascii="Arial" w:hAnsi="Arial" w:cs="Arial"/>
          <w:sz w:val="20"/>
          <w:szCs w:val="20"/>
        </w:rPr>
        <w:t>v</w:t>
      </w:r>
      <w:r w:rsidRPr="00E31BB8">
        <w:rPr>
          <w:rFonts w:ascii="Arial" w:hAnsi="Arial" w:cs="Arial"/>
          <w:sz w:val="20"/>
          <w:szCs w:val="20"/>
        </w:rPr>
        <w:t>olumnom delovnih kadi (brez izpiranja ) 304 m3 .</w:t>
      </w:r>
    </w:p>
    <w:p w14:paraId="02751071" w14:textId="77777777" w:rsidR="001268F8" w:rsidRPr="00E31BB8" w:rsidRDefault="001268F8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BE0F4C7" w14:textId="52B8467D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31BB8">
        <w:rPr>
          <w:rFonts w:ascii="Arial" w:hAnsi="Arial" w:cs="Arial"/>
          <w:b/>
          <w:bCs/>
          <w:sz w:val="20"/>
          <w:szCs w:val="20"/>
        </w:rPr>
        <w:t>Datum pregleda:</w:t>
      </w:r>
    </w:p>
    <w:p w14:paraId="001B60B2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24.1.2020</w:t>
      </w:r>
    </w:p>
    <w:p w14:paraId="244326E3" w14:textId="77777777" w:rsidR="001268F8" w:rsidRPr="00E31BB8" w:rsidRDefault="001268F8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5593D72" w14:textId="563427CA" w:rsidR="00421657" w:rsidRPr="00E31BB8" w:rsidRDefault="001268F8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31BB8">
        <w:rPr>
          <w:rFonts w:ascii="Arial" w:hAnsi="Arial" w:cs="Arial"/>
          <w:b/>
          <w:bCs/>
          <w:sz w:val="20"/>
          <w:szCs w:val="20"/>
        </w:rPr>
        <w:t>Okoljevarstveno dovoljenje (</w:t>
      </w:r>
      <w:r w:rsidR="00421657" w:rsidRPr="00E31BB8">
        <w:rPr>
          <w:rFonts w:ascii="Arial" w:hAnsi="Arial" w:cs="Arial"/>
          <w:b/>
          <w:bCs/>
          <w:sz w:val="20"/>
          <w:szCs w:val="20"/>
        </w:rPr>
        <w:t>OVD</w:t>
      </w:r>
      <w:r w:rsidRPr="00E31BB8">
        <w:rPr>
          <w:rFonts w:ascii="Arial" w:hAnsi="Arial" w:cs="Arial"/>
          <w:b/>
          <w:bCs/>
          <w:sz w:val="20"/>
          <w:szCs w:val="20"/>
        </w:rPr>
        <w:t>)</w:t>
      </w:r>
      <w:r w:rsidR="00421657" w:rsidRPr="00E31BB8">
        <w:rPr>
          <w:rFonts w:ascii="Arial" w:hAnsi="Arial" w:cs="Arial"/>
          <w:b/>
          <w:bCs/>
          <w:sz w:val="20"/>
          <w:szCs w:val="20"/>
        </w:rPr>
        <w:t xml:space="preserve"> št.:</w:t>
      </w:r>
    </w:p>
    <w:p w14:paraId="3B96FB68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- št. 35407-12/2005-15 z dne 2.4.2007 (OVD)</w:t>
      </w:r>
    </w:p>
    <w:p w14:paraId="2A37A777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- sprememba OVD št. 35406-70/2014-2 z dne 27.11.2014, (OVD1)</w:t>
      </w:r>
    </w:p>
    <w:p w14:paraId="50313F30" w14:textId="77777777" w:rsidR="001268F8" w:rsidRPr="00E31BB8" w:rsidRDefault="001268F8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4203C2D" w14:textId="3F37868A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31BB8">
        <w:rPr>
          <w:rFonts w:ascii="Arial" w:hAnsi="Arial" w:cs="Arial"/>
          <w:b/>
          <w:bCs/>
          <w:sz w:val="20"/>
          <w:szCs w:val="20"/>
        </w:rPr>
        <w:t>Ugotovitve:</w:t>
      </w:r>
    </w:p>
    <w:p w14:paraId="53B149D0" w14:textId="77777777" w:rsidR="00421657" w:rsidRPr="00E31BB8" w:rsidRDefault="00421657" w:rsidP="00E31BB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Ravnanje z odpadki, ki nastanejo zaradi dejavnosti</w:t>
      </w:r>
    </w:p>
    <w:p w14:paraId="12120D0D" w14:textId="3EECA2EE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odpadke skladiščiti tako, da ni ogroženo človekovo zdravje in brez uporabe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postopkov in metod, ki bi čezmerno obremenjevali okolje.</w:t>
      </w:r>
    </w:p>
    <w:p w14:paraId="5A2CF660" w14:textId="15D0F090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odpadke, ki so namenjeni za predelavo ali odstranjevanje, skladišči ločeno od ostalih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odpadkov in z njimi ravna tako, da izpolnjujejo zahteve za predvideni način predelave ali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odstranjevanja.</w:t>
      </w:r>
    </w:p>
    <w:p w14:paraId="09F49A91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odpadke skladiščiti v za to namenjenih in v skladu s predpisi urejenih napravah.</w:t>
      </w:r>
    </w:p>
    <w:p w14:paraId="07DA706A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Galvanski mulj skladišči v prikolici za odvoz pod nadstrešnico in ga sproti odvaža.</w:t>
      </w:r>
    </w:p>
    <w:p w14:paraId="330F98C5" w14:textId="01BB3729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Količina začasno skladiščenih odpadkov, namenjenih v odstranjevanje, ne presega količine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odpadkov, ki zaradi delovanja ali dejavnosti nastanejo v obdobju dvanajstih mesecev.</w:t>
      </w:r>
    </w:p>
    <w:p w14:paraId="45030E9C" w14:textId="57918CB9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ima načrt gospodarjenja z odpadki z dne 1.3.2019 za obdobje 2019-2022 skladen s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predpisi, ki urejajo ravnanje z odpadki.</w:t>
      </w:r>
    </w:p>
    <w:p w14:paraId="215453CF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Letno poročilo je posredovano na ARSO.</w:t>
      </w:r>
    </w:p>
    <w:p w14:paraId="3B1FFD92" w14:textId="77777777" w:rsidR="00421657" w:rsidRPr="00E31BB8" w:rsidRDefault="00421657" w:rsidP="00E31BB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Emisije snovi in toplote v vode</w:t>
      </w:r>
    </w:p>
    <w:p w14:paraId="554FADEB" w14:textId="77777777" w:rsidR="00421657" w:rsidRPr="00E31BB8" w:rsidRDefault="00421657" w:rsidP="00E31BB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Industrijske odpadne vode</w:t>
      </w:r>
    </w:p>
    <w:p w14:paraId="4E1C3BB5" w14:textId="31707439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lastRenderedPageBreak/>
        <w:t>Iz letnega poročila o obratovalnem monitoringu za leto 2018 št: poročila 127/2019 izdelovalca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 xml:space="preserve">Talum </w:t>
      </w:r>
      <w:proofErr w:type="spellStart"/>
      <w:r w:rsidRPr="00E31BB8">
        <w:rPr>
          <w:rFonts w:ascii="Arial" w:hAnsi="Arial" w:cs="Arial"/>
          <w:sz w:val="20"/>
          <w:szCs w:val="20"/>
        </w:rPr>
        <w:t>d.o.o</w:t>
      </w:r>
      <w:proofErr w:type="spellEnd"/>
      <w:r w:rsidRPr="00E31BB8">
        <w:rPr>
          <w:rFonts w:ascii="Arial" w:hAnsi="Arial" w:cs="Arial"/>
          <w:sz w:val="20"/>
          <w:szCs w:val="20"/>
        </w:rPr>
        <w:t>. izhaja, da celotna naprava ne obremenjuje okolja čezmerno. Po izračunu v prilogi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letne količine nevarnih snovi (baker, AOX, Nikelj ) ne presegajo maksimalno dovoljenih. V letu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2019 so bile opravljene tri meritve.</w:t>
      </w:r>
    </w:p>
    <w:p w14:paraId="39009389" w14:textId="571599C8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 xml:space="preserve">Za parametre navedene v OVD v </w:t>
      </w:r>
      <w:proofErr w:type="spellStart"/>
      <w:r w:rsidRPr="00E31BB8">
        <w:rPr>
          <w:rFonts w:ascii="Arial" w:hAnsi="Arial" w:cs="Arial"/>
          <w:sz w:val="20"/>
          <w:szCs w:val="20"/>
        </w:rPr>
        <w:t>tč</w:t>
      </w:r>
      <w:proofErr w:type="spellEnd"/>
      <w:r w:rsidRPr="00E31BB8">
        <w:rPr>
          <w:rFonts w:ascii="Arial" w:hAnsi="Arial" w:cs="Arial"/>
          <w:sz w:val="20"/>
          <w:szCs w:val="20"/>
        </w:rPr>
        <w:t xml:space="preserve"> 3.3.2. Preglednica št: 5, je zavezanec podal izjavo, izvajalcu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monitoringa, da ne uporablja kemikalij v količinah, ki bi presegale največje dovoljene letne količine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in jih ni bilo potrebno meriti.</w:t>
      </w:r>
    </w:p>
    <w:p w14:paraId="6628B739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Obratovalni monitoring odpadnih vod izvaja pooblaščeni izvajalec, ki o tem izdela letno poročilo.</w:t>
      </w:r>
    </w:p>
    <w:p w14:paraId="708944B9" w14:textId="51A11852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Poročilo o obratovalnem monitoringu odpadnih vod upravljavec predložiti Agenciji RS za okolje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vsako leto najpozneje do 31. marca za preteklo leto.</w:t>
      </w:r>
    </w:p>
    <w:p w14:paraId="7013AC73" w14:textId="1CE5FE93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V letu 2019 so bili s strani ARSA pozvani, da mora izvajalec obratovalnega monitoringa izvesti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popravke in poročilo ustrezno popraviti, kar so tudi storili.</w:t>
      </w:r>
    </w:p>
    <w:p w14:paraId="1B4A8138" w14:textId="3E642119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44C01DC" w14:textId="77777777" w:rsidR="00421657" w:rsidRPr="00E31BB8" w:rsidRDefault="00421657" w:rsidP="00E31BB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Emisije snovi v zrak</w:t>
      </w:r>
    </w:p>
    <w:p w14:paraId="71E196FB" w14:textId="7F6B4202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zagotavlja izpuščanje zajetih emisij snovi v zrak iz naprave iz 1. točke izreka OVD,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in sicer iz linije za eloksiranje preko izpustov Z1 in Z2 in iz male kurilne naprave preko izpusta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Z3.</w:t>
      </w:r>
    </w:p>
    <w:p w14:paraId="5DB54D36" w14:textId="6040F596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naprave zagotavlja preverjanje tesnosti stacionarne opreme iz Preglednice 1 OVD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vsaj enkrat na vsakih šest mesecev.</w:t>
      </w:r>
    </w:p>
    <w:p w14:paraId="5419D769" w14:textId="69823EF1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vodi evidenco o ravnanju z opremo iz prejšnjega odstavka za količino in vrsto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 xml:space="preserve">uporabljenih </w:t>
      </w:r>
      <w:proofErr w:type="spellStart"/>
      <w:r w:rsidRPr="00E31BB8">
        <w:rPr>
          <w:rFonts w:ascii="Arial" w:hAnsi="Arial" w:cs="Arial"/>
          <w:sz w:val="20"/>
          <w:szCs w:val="20"/>
        </w:rPr>
        <w:t>fluoriranih</w:t>
      </w:r>
      <w:proofErr w:type="spellEnd"/>
      <w:r w:rsidRPr="00E31BB8">
        <w:rPr>
          <w:rFonts w:ascii="Arial" w:hAnsi="Arial" w:cs="Arial"/>
          <w:sz w:val="20"/>
          <w:szCs w:val="20"/>
        </w:rPr>
        <w:t xml:space="preserve"> toplogrednih plinov, o dodanih količinah in količini zajeti med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servisiranjem, vzdrževanjem in končno odstranitvijo.</w:t>
      </w:r>
    </w:p>
    <w:p w14:paraId="08B1DE03" w14:textId="4F76E2D9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Prav tako vodi evidenco s podatki o podjetju in osebi, ki je opravila servisiranje ali vzdrževanje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 xml:space="preserve">ter o datumih in rezultatih izvedenih preverjanj uhajanj (preskus tesnosti) (Omega </w:t>
      </w:r>
      <w:proofErr w:type="spellStart"/>
      <w:r w:rsidRPr="00E31BB8">
        <w:rPr>
          <w:rFonts w:ascii="Arial" w:hAnsi="Arial" w:cs="Arial"/>
          <w:sz w:val="20"/>
          <w:szCs w:val="20"/>
        </w:rPr>
        <w:t>Air</w:t>
      </w:r>
      <w:proofErr w:type="spellEnd"/>
      <w:r w:rsidRPr="00E3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1BB8">
        <w:rPr>
          <w:rFonts w:ascii="Arial" w:hAnsi="Arial" w:cs="Arial"/>
          <w:sz w:val="20"/>
          <w:szCs w:val="20"/>
        </w:rPr>
        <w:t>d.o.o</w:t>
      </w:r>
      <w:proofErr w:type="spellEnd"/>
      <w:r w:rsidRPr="00E31BB8">
        <w:rPr>
          <w:rFonts w:ascii="Arial" w:hAnsi="Arial" w:cs="Arial"/>
          <w:sz w:val="20"/>
          <w:szCs w:val="20"/>
        </w:rPr>
        <w:t>.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Ljubljana).</w:t>
      </w:r>
    </w:p>
    <w:p w14:paraId="0CC5C0D5" w14:textId="422BE79A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zagotavlja izvajanje obratovalnega monitoringa emisij snovi v zrak na izpustu Z3 iz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točke 2.2. izreka OVD dovoljenja, skladno s predpisom, ki ureja prve meritve in obratovalni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monitoring emisij snovi v zrak iz nepremičnih virov onesnaževanje ter o pogojih za njegovo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izvajanje.</w:t>
      </w:r>
    </w:p>
    <w:p w14:paraId="51A11D5F" w14:textId="0E08A210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na podlagi poročila o opravljenih občasnih meritvah izdela, oziroma pridobiti letno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poročilo o emisiji snovi v zrak na izpustih Z1 in Z2 in ga vsako leto do 31. marca tekočega leta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za preteklo leto predloži Agenciji RS za okolje.</w:t>
      </w:r>
    </w:p>
    <w:p w14:paraId="390F053B" w14:textId="46DCCCBF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Predložena je bila ocena o letnih emisijah snovi v zrak za leto 2018 izdelovalca ocene EKO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1BB8">
        <w:rPr>
          <w:rFonts w:ascii="Arial" w:hAnsi="Arial" w:cs="Arial"/>
          <w:sz w:val="20"/>
          <w:szCs w:val="20"/>
        </w:rPr>
        <w:t>ekoinženiring</w:t>
      </w:r>
      <w:proofErr w:type="spellEnd"/>
      <w:r w:rsidRPr="00E3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1BB8">
        <w:rPr>
          <w:rFonts w:ascii="Arial" w:hAnsi="Arial" w:cs="Arial"/>
          <w:sz w:val="20"/>
          <w:szCs w:val="20"/>
        </w:rPr>
        <w:t>d.o.o</w:t>
      </w:r>
      <w:proofErr w:type="spellEnd"/>
      <w:r w:rsidRPr="00E31BB8">
        <w:rPr>
          <w:rFonts w:ascii="Arial" w:hAnsi="Arial" w:cs="Arial"/>
          <w:sz w:val="20"/>
          <w:szCs w:val="20"/>
        </w:rPr>
        <w:t>. Koroška c. 14. Iz ocene je razvidno, da so meritve na izpustih Z1 in Z2 bile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izvedene dne 21.11.2018, perioda vsako 3. leto. Na izpustu Z3 dne 3.1.2019.</w:t>
      </w:r>
    </w:p>
    <w:p w14:paraId="104884C0" w14:textId="77777777" w:rsidR="00421657" w:rsidRPr="00E31BB8" w:rsidRDefault="00421657" w:rsidP="00E31BB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Emisije hrupa</w:t>
      </w:r>
    </w:p>
    <w:p w14:paraId="6E6C9718" w14:textId="13AFA071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vira hrupa skladno s predpisom, ki ureja prve meritve in obratovalni monitoring hrupa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za vire hrupa ter pogoje za njegovo izvajanje, zagotavlja izvajanje obratovalnega monitoringa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hrupa za vir hrupa oziroma napravo iz 1. točke izreka tega dovoljenja v stanju njene polne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obremenitve.</w:t>
      </w:r>
    </w:p>
    <w:p w14:paraId="6F11D011" w14:textId="5AC731C3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 xml:space="preserve">Zadnje meritve so z dne 20.1.2020 št: R0063/2020 izvajalca EKOSYSTEM </w:t>
      </w:r>
      <w:proofErr w:type="spellStart"/>
      <w:r w:rsidRPr="00E31BB8">
        <w:rPr>
          <w:rFonts w:ascii="Arial" w:hAnsi="Arial" w:cs="Arial"/>
          <w:sz w:val="20"/>
          <w:szCs w:val="20"/>
        </w:rPr>
        <w:t>d.o.o</w:t>
      </w:r>
      <w:proofErr w:type="spellEnd"/>
      <w:r w:rsidRPr="00E31BB8">
        <w:rPr>
          <w:rFonts w:ascii="Arial" w:hAnsi="Arial" w:cs="Arial"/>
          <w:sz w:val="20"/>
          <w:szCs w:val="20"/>
        </w:rPr>
        <w:t>. iz meritev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izhaja, da so izmerjene vrednosti pod mejo brez upoštevanja merilne negotovosti.</w:t>
      </w:r>
    </w:p>
    <w:p w14:paraId="4880394B" w14:textId="200C4116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Upravljavec mora občasne meritve hrupa iz naprave iz 1. točke izreka tega dovoljenja izvajati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vsako tretje koledarsko leto.</w:t>
      </w:r>
    </w:p>
    <w:p w14:paraId="7A22DF30" w14:textId="77777777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Ugotovljeno je bilo, da zavezanec izpolnjuje obveznosti iz OVD.</w:t>
      </w:r>
    </w:p>
    <w:p w14:paraId="08C586D5" w14:textId="77777777" w:rsidR="001268F8" w:rsidRPr="00E31BB8" w:rsidRDefault="001268F8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6D938B0" w14:textId="1129B9B1" w:rsidR="00421657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31BB8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3C328E8A" w14:textId="4B653906" w:rsidR="002E0FD3" w:rsidRPr="00E31BB8" w:rsidRDefault="00421657" w:rsidP="00E31B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sz w:val="20"/>
          <w:szCs w:val="20"/>
        </w:rPr>
        <w:t>Naslednji redni inšpekcijski pregledi bodo pri zavezancu opravljeni v skladu s planom</w:t>
      </w:r>
      <w:r w:rsidR="001268F8" w:rsidRPr="00E31BB8">
        <w:rPr>
          <w:rFonts w:ascii="Arial" w:hAnsi="Arial" w:cs="Arial"/>
          <w:sz w:val="20"/>
          <w:szCs w:val="20"/>
        </w:rPr>
        <w:t xml:space="preserve"> </w:t>
      </w:r>
      <w:r w:rsidRPr="00E31BB8">
        <w:rPr>
          <w:rFonts w:ascii="Arial" w:hAnsi="Arial" w:cs="Arial"/>
          <w:sz w:val="20"/>
          <w:szCs w:val="20"/>
        </w:rPr>
        <w:t>Inšpektorata.</w:t>
      </w:r>
    </w:p>
    <w:sectPr w:rsidR="002E0FD3" w:rsidRPr="00E3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92BBF"/>
    <w:rsid w:val="001268F8"/>
    <w:rsid w:val="002E0FD3"/>
    <w:rsid w:val="00421657"/>
    <w:rsid w:val="00637885"/>
    <w:rsid w:val="00E31BB8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4</cp:revision>
  <dcterms:created xsi:type="dcterms:W3CDTF">2021-03-12T16:04:00Z</dcterms:created>
  <dcterms:modified xsi:type="dcterms:W3CDTF">2021-03-16T07:48:00Z</dcterms:modified>
</cp:coreProperties>
</file>