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EA8" w:rsidRPr="007E12AC" w:rsidRDefault="00BC5EA8" w:rsidP="00BC5EA8">
      <w:pPr>
        <w:spacing w:line="300" w:lineRule="exact"/>
        <w:jc w:val="both"/>
        <w:rPr>
          <w:rFonts w:eastAsia="Times New Roman"/>
          <w:b/>
          <w:bCs/>
          <w:lang w:eastAsia="sl-SI"/>
        </w:rPr>
      </w:pPr>
      <w:r w:rsidRPr="007E12AC">
        <w:rPr>
          <w:rFonts w:eastAsia="Times New Roman"/>
          <w:b/>
          <w:bCs/>
          <w:lang w:eastAsia="sl-SI"/>
        </w:rPr>
        <w:t>ZADEVA: Sporočilo za javnost</w:t>
      </w:r>
    </w:p>
    <w:p w:rsidR="00BC5EA8" w:rsidRPr="007E12AC" w:rsidRDefault="00BC5EA8" w:rsidP="008F3B7B">
      <w:pPr>
        <w:spacing w:line="300" w:lineRule="exact"/>
        <w:jc w:val="both"/>
        <w:rPr>
          <w:rFonts w:eastAsia="Times New Roman"/>
          <w:b/>
          <w:bCs/>
          <w:lang w:eastAsia="sl-SI"/>
        </w:rPr>
      </w:pPr>
    </w:p>
    <w:p w:rsidR="0098089B" w:rsidRDefault="0098089B" w:rsidP="008F3B7B">
      <w:pPr>
        <w:spacing w:line="300" w:lineRule="exact"/>
        <w:jc w:val="both"/>
        <w:rPr>
          <w:rFonts w:eastAsia="Times New Roman"/>
          <w:b/>
          <w:bCs/>
          <w:lang w:eastAsia="sl-SI"/>
        </w:rPr>
      </w:pPr>
      <w:r>
        <w:rPr>
          <w:rFonts w:eastAsia="Times New Roman"/>
          <w:b/>
          <w:bCs/>
          <w:lang w:eastAsia="sl-SI"/>
        </w:rPr>
        <w:t xml:space="preserve">Inšpektorji za okolje, </w:t>
      </w:r>
      <w:r w:rsidRPr="007E12AC">
        <w:rPr>
          <w:rFonts w:eastAsia="Times New Roman"/>
          <w:b/>
          <w:bCs/>
          <w:lang w:eastAsia="sl-SI"/>
        </w:rPr>
        <w:t>varstvo pred naravnimi in drugimi nesrečami, energetiko in kemikalije</w:t>
      </w:r>
      <w:r>
        <w:rPr>
          <w:rFonts w:eastAsia="Times New Roman"/>
          <w:b/>
          <w:bCs/>
          <w:lang w:eastAsia="sl-SI"/>
        </w:rPr>
        <w:t xml:space="preserve"> v enem letu izvedli 250 skupnih nadzorov pri imetnikih okoljevarstvenih dovoljenj</w:t>
      </w:r>
    </w:p>
    <w:p w:rsidR="0098089B" w:rsidRPr="007E12AC" w:rsidRDefault="0098089B" w:rsidP="008F3B7B">
      <w:pPr>
        <w:spacing w:line="300" w:lineRule="exact"/>
        <w:jc w:val="both"/>
        <w:rPr>
          <w:rFonts w:eastAsia="Times New Roman"/>
          <w:b/>
          <w:bCs/>
          <w:lang w:eastAsia="sl-SI"/>
        </w:rPr>
      </w:pPr>
    </w:p>
    <w:p w:rsidR="00BE6401" w:rsidRPr="007E12AC" w:rsidRDefault="00AC1BBD" w:rsidP="00F55185">
      <w:pPr>
        <w:spacing w:line="360" w:lineRule="auto"/>
        <w:jc w:val="both"/>
        <w:rPr>
          <w:rFonts w:eastAsia="Times New Roman"/>
          <w:b/>
          <w:bCs/>
          <w:lang w:eastAsia="sl-SI"/>
        </w:rPr>
      </w:pPr>
      <w:r>
        <w:rPr>
          <w:rFonts w:eastAsia="Times New Roman"/>
          <w:b/>
          <w:bCs/>
          <w:lang w:eastAsia="sl-SI"/>
        </w:rPr>
        <w:t>Ljubljana, 28</w:t>
      </w:r>
      <w:r w:rsidR="00F92B4D">
        <w:rPr>
          <w:rFonts w:eastAsia="Times New Roman"/>
          <w:b/>
          <w:bCs/>
          <w:lang w:eastAsia="sl-SI"/>
        </w:rPr>
        <w:t xml:space="preserve">. oktober 2019. </w:t>
      </w:r>
      <w:r w:rsidR="00F64B62" w:rsidRPr="007E12AC">
        <w:rPr>
          <w:rFonts w:eastAsia="Times New Roman"/>
          <w:b/>
          <w:bCs/>
          <w:lang w:eastAsia="sl-SI"/>
        </w:rPr>
        <w:t>Lansko leto, 1. septembra, se</w:t>
      </w:r>
      <w:r w:rsidR="007C5E4E" w:rsidRPr="007E12AC">
        <w:rPr>
          <w:rFonts w:eastAsia="Times New Roman"/>
          <w:b/>
          <w:bCs/>
          <w:lang w:eastAsia="sl-SI"/>
        </w:rPr>
        <w:t xml:space="preserve"> je</w:t>
      </w:r>
      <w:r w:rsidR="00F64B62" w:rsidRPr="007E12AC">
        <w:rPr>
          <w:rFonts w:eastAsia="Times New Roman"/>
          <w:b/>
          <w:bCs/>
          <w:lang w:eastAsia="sl-SI"/>
        </w:rPr>
        <w:t xml:space="preserve"> na pobudo Ministrstva za okolje in prostor začela </w:t>
      </w:r>
      <w:r w:rsidR="0098089B">
        <w:rPr>
          <w:rFonts w:eastAsia="Times New Roman"/>
          <w:b/>
          <w:bCs/>
          <w:lang w:eastAsia="sl-SI"/>
        </w:rPr>
        <w:t xml:space="preserve">usklajena </w:t>
      </w:r>
      <w:r w:rsidR="00F64B62" w:rsidRPr="007E12AC">
        <w:rPr>
          <w:rFonts w:eastAsia="Times New Roman"/>
          <w:b/>
          <w:bCs/>
          <w:lang w:eastAsia="sl-SI"/>
        </w:rPr>
        <w:t>akcija</w:t>
      </w:r>
      <w:r w:rsidR="00F92B4D" w:rsidRPr="00F92B4D">
        <w:rPr>
          <w:rFonts w:eastAsia="Times New Roman"/>
          <w:b/>
          <w:bCs/>
          <w:lang w:eastAsia="sl-SI"/>
        </w:rPr>
        <w:t xml:space="preserve"> </w:t>
      </w:r>
      <w:r w:rsidR="00F92B4D">
        <w:rPr>
          <w:rFonts w:eastAsia="Times New Roman"/>
          <w:b/>
          <w:bCs/>
          <w:lang w:eastAsia="sl-SI"/>
        </w:rPr>
        <w:t>inšpekcijskih nadzorov</w:t>
      </w:r>
      <w:r w:rsidR="00F92B4D" w:rsidRPr="007E12AC">
        <w:rPr>
          <w:rFonts w:eastAsia="Times New Roman"/>
          <w:b/>
          <w:bCs/>
          <w:lang w:eastAsia="sl-SI"/>
        </w:rPr>
        <w:t xml:space="preserve"> </w:t>
      </w:r>
      <w:r>
        <w:rPr>
          <w:rFonts w:eastAsia="Times New Roman"/>
          <w:b/>
          <w:bCs/>
          <w:lang w:eastAsia="sl-SI"/>
        </w:rPr>
        <w:t>nad skladnostjo</w:t>
      </w:r>
      <w:r w:rsidR="00F92B4D" w:rsidRPr="007E12AC">
        <w:rPr>
          <w:rFonts w:eastAsia="Times New Roman"/>
          <w:b/>
          <w:bCs/>
          <w:lang w:eastAsia="sl-SI"/>
        </w:rPr>
        <w:t xml:space="preserve"> delovanja obratov in naprav s predpisi in </w:t>
      </w:r>
      <w:r w:rsidR="00F92B4D" w:rsidRPr="007E12AC">
        <w:rPr>
          <w:b/>
        </w:rPr>
        <w:t>z zahtevami</w:t>
      </w:r>
      <w:r w:rsidR="00F92B4D" w:rsidRPr="007E12AC">
        <w:rPr>
          <w:rFonts w:eastAsia="Times New Roman"/>
          <w:b/>
          <w:bCs/>
          <w:lang w:eastAsia="sl-SI"/>
        </w:rPr>
        <w:t xml:space="preserve"> okoljevarstvenih dovoljenji (OVD). V akciji sodeluje</w:t>
      </w:r>
      <w:r w:rsidR="00F92B4D">
        <w:rPr>
          <w:rFonts w:eastAsia="Times New Roman"/>
          <w:b/>
          <w:bCs/>
          <w:lang w:eastAsia="sl-SI"/>
        </w:rPr>
        <w:t>jo</w:t>
      </w:r>
      <w:r w:rsidR="00F92B4D" w:rsidRPr="007E12AC">
        <w:rPr>
          <w:rFonts w:eastAsia="Times New Roman"/>
          <w:b/>
          <w:bCs/>
          <w:lang w:eastAsia="sl-SI"/>
        </w:rPr>
        <w:t xml:space="preserve"> inšpektorji za okolje, varstvo pred </w:t>
      </w:r>
      <w:r w:rsidR="00F92B4D">
        <w:rPr>
          <w:rFonts w:eastAsia="Times New Roman"/>
          <w:b/>
          <w:bCs/>
          <w:lang w:eastAsia="sl-SI"/>
        </w:rPr>
        <w:t xml:space="preserve">naravnimi in drugimi nesrečami, </w:t>
      </w:r>
      <w:r w:rsidR="00F92B4D" w:rsidRPr="007E12AC">
        <w:rPr>
          <w:rFonts w:eastAsia="Times New Roman"/>
          <w:b/>
          <w:bCs/>
          <w:lang w:eastAsia="sl-SI"/>
        </w:rPr>
        <w:t>energetiko in kemikalije t</w:t>
      </w:r>
      <w:r w:rsidR="00F92B4D">
        <w:rPr>
          <w:rFonts w:eastAsia="Times New Roman"/>
          <w:b/>
          <w:bCs/>
          <w:lang w:eastAsia="sl-SI"/>
        </w:rPr>
        <w:t>er</w:t>
      </w:r>
      <w:r w:rsidR="00F92B4D" w:rsidRPr="007E12AC">
        <w:rPr>
          <w:rFonts w:eastAsia="Times New Roman"/>
          <w:b/>
          <w:bCs/>
          <w:lang w:eastAsia="sl-SI"/>
        </w:rPr>
        <w:t xml:space="preserve"> ARSO, ki imetnikom izdaja OVD.</w:t>
      </w:r>
      <w:r w:rsidR="00F64B62" w:rsidRPr="007E12AC">
        <w:rPr>
          <w:rFonts w:eastAsia="Times New Roman"/>
          <w:b/>
          <w:bCs/>
          <w:lang w:eastAsia="sl-SI"/>
        </w:rPr>
        <w:t xml:space="preserve"> </w:t>
      </w:r>
      <w:r w:rsidRPr="00AC1BBD">
        <w:rPr>
          <w:rFonts w:eastAsia="Times New Roman"/>
          <w:b/>
          <w:bCs/>
          <w:lang w:eastAsia="sl-SI"/>
        </w:rPr>
        <w:t>Inšpektorji za okolje Inšpektorata RS za okolje in prostor</w:t>
      </w:r>
      <w:r w:rsidRPr="00AC1BBD">
        <w:rPr>
          <w:b/>
          <w:bCs/>
        </w:rPr>
        <w:t xml:space="preserve"> </w:t>
      </w:r>
      <w:r w:rsidRPr="00AC1BBD">
        <w:rPr>
          <w:b/>
          <w:bCs/>
          <w:lang w:eastAsia="sl-SI"/>
        </w:rPr>
        <w:t>p</w:t>
      </w:r>
      <w:r w:rsidRPr="00AC1BBD">
        <w:rPr>
          <w:b/>
          <w:lang w:eastAsia="sl-SI"/>
        </w:rPr>
        <w:t>osebno pozornost namenjajo napravam, ki lahko povzročijo onesnaževanje okolja večjega obsega (IED naprave).</w:t>
      </w:r>
    </w:p>
    <w:p w:rsidR="00F55185" w:rsidRPr="007E12AC" w:rsidRDefault="00F55185" w:rsidP="00F55185">
      <w:pPr>
        <w:spacing w:line="360" w:lineRule="auto"/>
        <w:jc w:val="both"/>
        <w:rPr>
          <w:rFonts w:eastAsia="Times New Roman"/>
          <w:bCs/>
          <w:lang w:eastAsia="sl-SI"/>
        </w:rPr>
      </w:pPr>
    </w:p>
    <w:p w:rsidR="006C435A" w:rsidRPr="007E12AC" w:rsidRDefault="007C5E4E" w:rsidP="006C435A">
      <w:pPr>
        <w:pStyle w:val="Default"/>
        <w:spacing w:line="360" w:lineRule="auto"/>
        <w:jc w:val="both"/>
        <w:rPr>
          <w:color w:val="auto"/>
          <w:sz w:val="20"/>
          <w:szCs w:val="20"/>
          <w:lang w:eastAsia="sl-SI"/>
        </w:rPr>
      </w:pPr>
      <w:r w:rsidRPr="007E12AC">
        <w:rPr>
          <w:rFonts w:eastAsia="Times New Roman"/>
          <w:bCs/>
          <w:color w:val="auto"/>
          <w:sz w:val="20"/>
          <w:szCs w:val="20"/>
          <w:lang w:eastAsia="sl-SI"/>
        </w:rPr>
        <w:t>Inšpektorji</w:t>
      </w:r>
      <w:r w:rsidR="00EB5ABB" w:rsidRPr="00EB5ABB">
        <w:rPr>
          <w:rFonts w:eastAsia="Times New Roman"/>
          <w:b/>
          <w:bCs/>
          <w:lang w:eastAsia="sl-SI"/>
        </w:rPr>
        <w:t xml:space="preserve"> </w:t>
      </w:r>
      <w:r w:rsidR="00F92B4D" w:rsidRPr="00F92B4D">
        <w:rPr>
          <w:rFonts w:eastAsia="Times New Roman"/>
          <w:bCs/>
          <w:sz w:val="20"/>
          <w:szCs w:val="20"/>
          <w:lang w:eastAsia="sl-SI"/>
        </w:rPr>
        <w:t xml:space="preserve">za </w:t>
      </w:r>
      <w:r w:rsidR="00F92B4D">
        <w:rPr>
          <w:rFonts w:eastAsia="Times New Roman"/>
          <w:bCs/>
          <w:sz w:val="20"/>
          <w:szCs w:val="20"/>
          <w:lang w:eastAsia="sl-SI"/>
        </w:rPr>
        <w:t>okolje,</w:t>
      </w:r>
      <w:r w:rsidR="00EB5ABB" w:rsidRPr="00EB5ABB">
        <w:rPr>
          <w:rFonts w:eastAsia="Times New Roman"/>
          <w:bCs/>
          <w:sz w:val="20"/>
          <w:szCs w:val="20"/>
          <w:lang w:eastAsia="sl-SI"/>
        </w:rPr>
        <w:t xml:space="preserve"> varstvo pred </w:t>
      </w:r>
      <w:r w:rsidR="00F92B4D">
        <w:rPr>
          <w:rFonts w:eastAsia="Times New Roman"/>
          <w:bCs/>
          <w:sz w:val="20"/>
          <w:szCs w:val="20"/>
          <w:lang w:eastAsia="sl-SI"/>
        </w:rPr>
        <w:t xml:space="preserve">naravnimi in drugimi nesrečami in </w:t>
      </w:r>
      <w:r w:rsidR="00EB5ABB" w:rsidRPr="00EB5ABB">
        <w:rPr>
          <w:rFonts w:eastAsia="Times New Roman"/>
          <w:bCs/>
          <w:sz w:val="20"/>
          <w:szCs w:val="20"/>
          <w:lang w:eastAsia="sl-SI"/>
        </w:rPr>
        <w:t>energetiko</w:t>
      </w:r>
      <w:r w:rsidR="00EB5ABB" w:rsidRPr="00EB5ABB">
        <w:rPr>
          <w:rFonts w:eastAsia="Times New Roman"/>
          <w:bCs/>
          <w:color w:val="auto"/>
          <w:sz w:val="20"/>
          <w:szCs w:val="20"/>
          <w:lang w:eastAsia="sl-SI"/>
        </w:rPr>
        <w:t xml:space="preserve"> </w:t>
      </w:r>
      <w:r w:rsidR="00F64B62" w:rsidRPr="007E12AC">
        <w:rPr>
          <w:rFonts w:eastAsia="Times New Roman"/>
          <w:bCs/>
          <w:color w:val="auto"/>
          <w:sz w:val="20"/>
          <w:szCs w:val="20"/>
          <w:lang w:eastAsia="sl-SI"/>
        </w:rPr>
        <w:t>teden</w:t>
      </w:r>
      <w:r w:rsidRPr="007E12AC">
        <w:rPr>
          <w:rFonts w:eastAsia="Times New Roman"/>
          <w:bCs/>
          <w:color w:val="auto"/>
          <w:sz w:val="20"/>
          <w:szCs w:val="20"/>
          <w:lang w:eastAsia="sl-SI"/>
        </w:rPr>
        <w:t>sko</w:t>
      </w:r>
      <w:r w:rsidR="00F64B62" w:rsidRPr="007E12AC">
        <w:rPr>
          <w:rFonts w:eastAsia="Times New Roman"/>
          <w:bCs/>
          <w:color w:val="auto"/>
          <w:sz w:val="20"/>
          <w:szCs w:val="20"/>
          <w:lang w:eastAsia="sl-SI"/>
        </w:rPr>
        <w:t xml:space="preserve"> izvedejo nadzor pri petih imetnikih </w:t>
      </w:r>
      <w:r w:rsidRPr="007E12AC">
        <w:rPr>
          <w:color w:val="auto"/>
          <w:sz w:val="20"/>
          <w:szCs w:val="20"/>
        </w:rPr>
        <w:t>naprave ali obrata</w:t>
      </w:r>
      <w:r w:rsidR="00BE6401" w:rsidRPr="007E12AC">
        <w:rPr>
          <w:color w:val="auto"/>
          <w:sz w:val="20"/>
          <w:szCs w:val="20"/>
        </w:rPr>
        <w:t xml:space="preserve">, ki </w:t>
      </w:r>
      <w:r w:rsidR="00F92B4D">
        <w:rPr>
          <w:color w:val="auto"/>
          <w:sz w:val="20"/>
          <w:szCs w:val="20"/>
        </w:rPr>
        <w:t>lahko povzročijo okoljsko nesrečo.</w:t>
      </w:r>
      <w:r w:rsidR="006E0ED3" w:rsidRPr="007E12AC">
        <w:rPr>
          <w:color w:val="auto"/>
          <w:sz w:val="20"/>
          <w:szCs w:val="20"/>
        </w:rPr>
        <w:t xml:space="preserve"> </w:t>
      </w:r>
      <w:r w:rsidR="006E0ED3" w:rsidRPr="00BC4F3B">
        <w:rPr>
          <w:color w:val="auto"/>
          <w:sz w:val="20"/>
          <w:szCs w:val="20"/>
        </w:rPr>
        <w:t xml:space="preserve">V </w:t>
      </w:r>
      <w:r w:rsidR="006E0ED3" w:rsidRPr="00BC4F3B">
        <w:rPr>
          <w:rFonts w:eastAsia="Times New Roman"/>
          <w:bCs/>
          <w:color w:val="auto"/>
          <w:sz w:val="20"/>
          <w:szCs w:val="20"/>
          <w:lang w:eastAsia="sl-SI"/>
        </w:rPr>
        <w:t>kolikor gre za objekte, ki se ukvarjajo s kemikalijami, se jim pridružijo še inšpektorji Urada za kemikalije</w:t>
      </w:r>
      <w:r w:rsidR="006E0ED3" w:rsidRPr="007E12AC">
        <w:rPr>
          <w:color w:val="auto"/>
          <w:sz w:val="20"/>
          <w:szCs w:val="20"/>
        </w:rPr>
        <w:t xml:space="preserve">. </w:t>
      </w:r>
      <w:r w:rsidR="00AC1BBD">
        <w:rPr>
          <w:color w:val="auto"/>
          <w:sz w:val="20"/>
          <w:szCs w:val="20"/>
        </w:rPr>
        <w:t xml:space="preserve">V enem letu so </w:t>
      </w:r>
      <w:r w:rsidR="00162A9D" w:rsidRPr="00EB5ABB">
        <w:rPr>
          <w:rFonts w:eastAsia="Times New Roman"/>
          <w:bCs/>
          <w:sz w:val="20"/>
          <w:szCs w:val="20"/>
          <w:lang w:eastAsia="sl-SI"/>
        </w:rPr>
        <w:t>oprav</w:t>
      </w:r>
      <w:r w:rsidR="00162A9D">
        <w:rPr>
          <w:rFonts w:eastAsia="Times New Roman"/>
          <w:bCs/>
          <w:sz w:val="20"/>
          <w:szCs w:val="20"/>
          <w:lang w:eastAsia="sl-SI"/>
        </w:rPr>
        <w:t>ili</w:t>
      </w:r>
      <w:r w:rsidR="00162A9D" w:rsidRPr="00EB5ABB">
        <w:rPr>
          <w:rFonts w:eastAsia="Times New Roman"/>
          <w:bCs/>
          <w:sz w:val="20"/>
          <w:szCs w:val="20"/>
          <w:lang w:eastAsia="sl-SI"/>
        </w:rPr>
        <w:t xml:space="preserve"> </w:t>
      </w:r>
      <w:r w:rsidR="00162A9D">
        <w:rPr>
          <w:rFonts w:eastAsia="Times New Roman"/>
          <w:bCs/>
          <w:sz w:val="20"/>
          <w:szCs w:val="20"/>
          <w:lang w:eastAsia="sl-SI"/>
        </w:rPr>
        <w:t xml:space="preserve">prek </w:t>
      </w:r>
      <w:r w:rsidR="00EB5ABB" w:rsidRPr="00EB5ABB">
        <w:rPr>
          <w:rFonts w:eastAsia="Times New Roman"/>
          <w:bCs/>
          <w:sz w:val="20"/>
          <w:szCs w:val="20"/>
          <w:lang w:eastAsia="sl-SI"/>
        </w:rPr>
        <w:t>250</w:t>
      </w:r>
      <w:r w:rsidR="00162A9D">
        <w:rPr>
          <w:rFonts w:eastAsia="Times New Roman"/>
          <w:bCs/>
          <w:sz w:val="20"/>
          <w:szCs w:val="20"/>
          <w:lang w:eastAsia="sl-SI"/>
        </w:rPr>
        <w:t xml:space="preserve"> nadzorov pri</w:t>
      </w:r>
      <w:r w:rsidR="00EB5ABB" w:rsidRPr="00EB5ABB">
        <w:rPr>
          <w:rFonts w:eastAsia="Times New Roman"/>
          <w:bCs/>
          <w:sz w:val="20"/>
          <w:szCs w:val="20"/>
          <w:lang w:eastAsia="sl-SI"/>
        </w:rPr>
        <w:t xml:space="preserve"> imetnikih okoljevarstvenih dovoljenj.</w:t>
      </w:r>
      <w:r w:rsidR="006C435A" w:rsidRPr="006C435A">
        <w:rPr>
          <w:rFonts w:eastAsia="Times New Roman"/>
          <w:bCs/>
          <w:color w:val="auto"/>
          <w:sz w:val="20"/>
          <w:szCs w:val="20"/>
          <w:lang w:eastAsia="sl-SI"/>
        </w:rPr>
        <w:t xml:space="preserve"> </w:t>
      </w:r>
    </w:p>
    <w:p w:rsidR="006E0ED3" w:rsidRPr="007E12AC" w:rsidRDefault="006E0ED3" w:rsidP="00BD13E5">
      <w:pPr>
        <w:pStyle w:val="Default"/>
        <w:spacing w:line="360" w:lineRule="auto"/>
        <w:jc w:val="both"/>
        <w:rPr>
          <w:rFonts w:eastAsia="Times New Roman"/>
          <w:bCs/>
          <w:color w:val="auto"/>
          <w:sz w:val="20"/>
          <w:szCs w:val="20"/>
          <w:lang w:eastAsia="sl-SI"/>
        </w:rPr>
      </w:pPr>
    </w:p>
    <w:p w:rsidR="00751050" w:rsidRDefault="00841C36" w:rsidP="00751050">
      <w:pPr>
        <w:spacing w:after="160" w:line="300" w:lineRule="exact"/>
        <w:jc w:val="both"/>
      </w:pPr>
      <w:r w:rsidRPr="007E12AC">
        <w:rPr>
          <w:rFonts w:eastAsia="Times New Roman"/>
          <w:bCs/>
          <w:lang w:eastAsia="sl-SI"/>
        </w:rPr>
        <w:t xml:space="preserve">Če strnemo </w:t>
      </w:r>
      <w:r w:rsidRPr="007E12AC">
        <w:rPr>
          <w:rFonts w:eastAsiaTheme="minorHAnsi"/>
          <w:lang w:eastAsia="en-US"/>
        </w:rPr>
        <w:t>dosedanje ugotovitve inšpektorjev lahko rečemo, da je le malo tistih, pri katerih eden ali drug inšpektor ne bi ugotovil nepravilnos</w:t>
      </w:r>
      <w:r w:rsidR="00751050" w:rsidRPr="007E12AC">
        <w:t xml:space="preserve">ti. Pri skoraj dveh tretjinah, </w:t>
      </w:r>
      <w:r w:rsidRPr="007E12AC">
        <w:rPr>
          <w:rFonts w:eastAsiaTheme="minorHAnsi"/>
          <w:lang w:eastAsia="en-US"/>
        </w:rPr>
        <w:t xml:space="preserve">nepravilnosti ugotovijo kar vsi inšpektorati. </w:t>
      </w:r>
      <w:r w:rsidRPr="007E12AC">
        <w:t>Inšpektorji ukrepajo</w:t>
      </w:r>
      <w:r w:rsidR="006E0ED3" w:rsidRPr="007E12AC">
        <w:t xml:space="preserve"> glede na pomen in morebitne posledice ugotovljenih</w:t>
      </w:r>
      <w:r w:rsidR="00B561B0" w:rsidRPr="007E12AC">
        <w:t xml:space="preserve"> </w:t>
      </w:r>
      <w:r w:rsidR="00CF22DC" w:rsidRPr="007E12AC">
        <w:t>kršitev</w:t>
      </w:r>
      <w:r w:rsidR="006E0ED3" w:rsidRPr="007E12AC">
        <w:t xml:space="preserve">. </w:t>
      </w:r>
      <w:r w:rsidRPr="007E12AC">
        <w:t>V primerih, ko zavezanci</w:t>
      </w:r>
      <w:r w:rsidR="00F97CB3" w:rsidRPr="007E12AC">
        <w:t xml:space="preserve"> inšpektorjem niso predložili zahtevanih potrdil, dokazil</w:t>
      </w:r>
      <w:r w:rsidR="00DB1C53" w:rsidRPr="007E12AC">
        <w:t>,</w:t>
      </w:r>
      <w:r w:rsidR="00F97CB3" w:rsidRPr="007E12AC">
        <w:t xml:space="preserve"> </w:t>
      </w:r>
      <w:r w:rsidR="00DB1C53" w:rsidRPr="007E12AC">
        <w:t xml:space="preserve">načrtov </w:t>
      </w:r>
      <w:r w:rsidR="00F97CB3" w:rsidRPr="007E12AC">
        <w:t>in podobnih dokumentov</w:t>
      </w:r>
      <w:r w:rsidR="0013750B" w:rsidRPr="007E12AC">
        <w:t>,</w:t>
      </w:r>
      <w:r w:rsidR="00F97CB3" w:rsidRPr="007E12AC">
        <w:t xml:space="preserve"> so</w:t>
      </w:r>
      <w:r w:rsidRPr="007E12AC">
        <w:t xml:space="preserve"> </w:t>
      </w:r>
      <w:r w:rsidR="00751050" w:rsidRPr="007E12AC">
        <w:t xml:space="preserve">se inšpektorji največkrat odločili za izrek opozorila, v katerem so odredili rok do katerega morajo zadeve urediti. </w:t>
      </w:r>
    </w:p>
    <w:p w:rsidR="00EB5ABB" w:rsidRDefault="00EB5ABB" w:rsidP="006E0479">
      <w:pPr>
        <w:pStyle w:val="Default"/>
        <w:jc w:val="both"/>
        <w:rPr>
          <w:sz w:val="20"/>
          <w:szCs w:val="20"/>
        </w:rPr>
      </w:pPr>
    </w:p>
    <w:p w:rsidR="00751050" w:rsidRDefault="00EB5ABB" w:rsidP="00EB5ABB">
      <w:pPr>
        <w:pStyle w:val="Default"/>
        <w:spacing w:line="300" w:lineRule="exact"/>
        <w:jc w:val="both"/>
        <w:rPr>
          <w:rFonts w:eastAsia="Times New Roman"/>
          <w:bCs/>
          <w:color w:val="auto"/>
          <w:sz w:val="20"/>
          <w:szCs w:val="20"/>
          <w:lang w:eastAsia="sl-SI"/>
        </w:rPr>
      </w:pPr>
      <w:r>
        <w:rPr>
          <w:sz w:val="20"/>
          <w:szCs w:val="20"/>
        </w:rPr>
        <w:t>Nadzori okoljskih inšpektorjev so</w:t>
      </w:r>
      <w:r w:rsidR="00AB4575">
        <w:rPr>
          <w:sz w:val="20"/>
          <w:szCs w:val="20"/>
        </w:rPr>
        <w:t xml:space="preserve"> obsegajo</w:t>
      </w:r>
      <w:r w:rsidR="006E0479">
        <w:rPr>
          <w:sz w:val="20"/>
          <w:szCs w:val="20"/>
        </w:rPr>
        <w:t xml:space="preserve"> podrobno analizo OVD, pregled tehnične dokumentacije ter ogled celotnega proizvodnega procesa na kraju samem. </w:t>
      </w:r>
      <w:r w:rsidR="00751050" w:rsidRPr="007E12AC">
        <w:rPr>
          <w:color w:val="auto"/>
          <w:sz w:val="20"/>
          <w:szCs w:val="20"/>
        </w:rPr>
        <w:t xml:space="preserve">V zvezi z </w:t>
      </w:r>
      <w:r w:rsidR="00EF540B">
        <w:rPr>
          <w:color w:val="auto"/>
          <w:sz w:val="20"/>
          <w:szCs w:val="20"/>
        </w:rPr>
        <w:t>OVD</w:t>
      </w:r>
      <w:r w:rsidR="00751050" w:rsidRPr="007E12AC">
        <w:rPr>
          <w:color w:val="auto"/>
          <w:sz w:val="20"/>
          <w:szCs w:val="20"/>
        </w:rPr>
        <w:t xml:space="preserve"> so oprav</w:t>
      </w:r>
      <w:r w:rsidR="00AB4575">
        <w:rPr>
          <w:color w:val="auto"/>
          <w:sz w:val="20"/>
          <w:szCs w:val="20"/>
        </w:rPr>
        <w:t>lja</w:t>
      </w:r>
      <w:r w:rsidR="00AC1BBD">
        <w:rPr>
          <w:color w:val="auto"/>
          <w:sz w:val="20"/>
          <w:szCs w:val="20"/>
        </w:rPr>
        <w:t>li</w:t>
      </w:r>
      <w:r w:rsidR="00BC4F3B">
        <w:rPr>
          <w:color w:val="auto"/>
          <w:sz w:val="20"/>
          <w:szCs w:val="20"/>
        </w:rPr>
        <w:t xml:space="preserve"> </w:t>
      </w:r>
      <w:r w:rsidR="00751050" w:rsidRPr="007E12AC">
        <w:rPr>
          <w:color w:val="auto"/>
          <w:sz w:val="20"/>
          <w:szCs w:val="20"/>
        </w:rPr>
        <w:t>nadzor</w:t>
      </w:r>
      <w:r w:rsidR="00BC4F3B">
        <w:rPr>
          <w:color w:val="auto"/>
          <w:sz w:val="20"/>
          <w:szCs w:val="20"/>
        </w:rPr>
        <w:t>e</w:t>
      </w:r>
      <w:r w:rsidR="00751050" w:rsidRPr="007E12AC">
        <w:rPr>
          <w:color w:val="auto"/>
          <w:sz w:val="20"/>
          <w:szCs w:val="20"/>
        </w:rPr>
        <w:t xml:space="preserve"> nad ravnanjem z odpadki, embalažo in odpadno embalažo, emisijami hrupa, snovi v vode in zrak, učinkovito rabo vode in energije, </w:t>
      </w:r>
      <w:r w:rsidR="00751050" w:rsidRPr="007E12AC">
        <w:rPr>
          <w:bCs/>
          <w:color w:val="auto"/>
          <w:sz w:val="20"/>
          <w:szCs w:val="20"/>
        </w:rPr>
        <w:t>elektromagnetn</w:t>
      </w:r>
      <w:r w:rsidR="00AB4575">
        <w:rPr>
          <w:bCs/>
          <w:color w:val="auto"/>
          <w:sz w:val="20"/>
          <w:szCs w:val="20"/>
        </w:rPr>
        <w:t>im sevanjem</w:t>
      </w:r>
      <w:r w:rsidR="00751050" w:rsidRPr="007E12AC">
        <w:rPr>
          <w:bCs/>
          <w:color w:val="auto"/>
          <w:sz w:val="20"/>
          <w:szCs w:val="20"/>
        </w:rPr>
        <w:t>, svetlobn</w:t>
      </w:r>
      <w:r w:rsidR="00AB4575">
        <w:rPr>
          <w:bCs/>
          <w:color w:val="auto"/>
          <w:sz w:val="20"/>
          <w:szCs w:val="20"/>
        </w:rPr>
        <w:t>im onesnaževanjem, izpusti</w:t>
      </w:r>
      <w:r w:rsidR="00751050" w:rsidRPr="007E12AC">
        <w:rPr>
          <w:bCs/>
          <w:color w:val="auto"/>
          <w:sz w:val="20"/>
          <w:szCs w:val="20"/>
        </w:rPr>
        <w:t xml:space="preserve"> onesnaževal, napravami, ki vsebujejo ozonu škodljive snovi in </w:t>
      </w:r>
      <w:proofErr w:type="spellStart"/>
      <w:r w:rsidR="00751050" w:rsidRPr="007E12AC">
        <w:rPr>
          <w:bCs/>
          <w:color w:val="auto"/>
          <w:sz w:val="20"/>
          <w:szCs w:val="20"/>
        </w:rPr>
        <w:t>fluorirane</w:t>
      </w:r>
      <w:proofErr w:type="spellEnd"/>
      <w:r w:rsidR="00751050" w:rsidRPr="007E12AC">
        <w:rPr>
          <w:bCs/>
          <w:color w:val="auto"/>
          <w:sz w:val="20"/>
          <w:szCs w:val="20"/>
        </w:rPr>
        <w:t xml:space="preserve"> to</w:t>
      </w:r>
      <w:r w:rsidR="00EF540B">
        <w:rPr>
          <w:bCs/>
          <w:color w:val="auto"/>
          <w:sz w:val="20"/>
          <w:szCs w:val="20"/>
        </w:rPr>
        <w:t>p</w:t>
      </w:r>
      <w:r w:rsidR="00751050" w:rsidRPr="007E12AC">
        <w:rPr>
          <w:bCs/>
          <w:color w:val="auto"/>
          <w:sz w:val="20"/>
          <w:szCs w:val="20"/>
        </w:rPr>
        <w:t xml:space="preserve">logredne pline, </w:t>
      </w:r>
      <w:r w:rsidR="00751050" w:rsidRPr="007E12AC">
        <w:rPr>
          <w:color w:val="auto"/>
          <w:sz w:val="20"/>
          <w:szCs w:val="20"/>
        </w:rPr>
        <w:t>skladi</w:t>
      </w:r>
      <w:r w:rsidR="00AB4575">
        <w:rPr>
          <w:color w:val="auto"/>
          <w:sz w:val="20"/>
          <w:szCs w:val="20"/>
        </w:rPr>
        <w:t>ščenjem nevarnih snovi in drugimi posebnimi</w:t>
      </w:r>
      <w:r w:rsidR="00751050" w:rsidRPr="007E12AC">
        <w:rPr>
          <w:color w:val="auto"/>
          <w:sz w:val="20"/>
          <w:szCs w:val="20"/>
        </w:rPr>
        <w:t xml:space="preserve"> zahtev</w:t>
      </w:r>
      <w:r w:rsidR="00AB4575">
        <w:rPr>
          <w:color w:val="auto"/>
          <w:sz w:val="20"/>
          <w:szCs w:val="20"/>
        </w:rPr>
        <w:t>ami</w:t>
      </w:r>
      <w:r w:rsidR="00751050" w:rsidRPr="007E12AC">
        <w:rPr>
          <w:color w:val="auto"/>
          <w:sz w:val="20"/>
          <w:szCs w:val="20"/>
        </w:rPr>
        <w:t xml:space="preserve"> iz</w:t>
      </w:r>
      <w:r w:rsidR="00AB4575">
        <w:rPr>
          <w:color w:val="auto"/>
          <w:sz w:val="20"/>
          <w:szCs w:val="20"/>
        </w:rPr>
        <w:t xml:space="preserve"> okoljevarstvenih dovoljenj.</w:t>
      </w:r>
    </w:p>
    <w:p w:rsidR="00BC4F3B" w:rsidRPr="007E12AC" w:rsidRDefault="00BC4F3B" w:rsidP="00751050">
      <w:pPr>
        <w:pStyle w:val="Default"/>
        <w:spacing w:line="360" w:lineRule="auto"/>
        <w:jc w:val="both"/>
        <w:rPr>
          <w:rFonts w:eastAsia="Times New Roman"/>
          <w:b/>
          <w:bCs/>
          <w:color w:val="auto"/>
          <w:sz w:val="20"/>
          <w:szCs w:val="20"/>
          <w:lang w:eastAsia="sl-SI"/>
        </w:rPr>
      </w:pPr>
    </w:p>
    <w:p w:rsidR="002F5FD3" w:rsidRDefault="00751050" w:rsidP="00AC1BBD">
      <w:pPr>
        <w:pStyle w:val="Default"/>
        <w:spacing w:line="360" w:lineRule="auto"/>
        <w:jc w:val="both"/>
        <w:rPr>
          <w:sz w:val="20"/>
          <w:szCs w:val="20"/>
        </w:rPr>
      </w:pPr>
      <w:r w:rsidRPr="007E12AC">
        <w:rPr>
          <w:color w:val="auto"/>
          <w:sz w:val="20"/>
          <w:szCs w:val="20"/>
        </w:rPr>
        <w:t xml:space="preserve">Pri </w:t>
      </w:r>
      <w:r w:rsidR="00EB5ABB">
        <w:rPr>
          <w:color w:val="auto"/>
          <w:sz w:val="20"/>
          <w:szCs w:val="20"/>
        </w:rPr>
        <w:t xml:space="preserve">polovici </w:t>
      </w:r>
      <w:r w:rsidRPr="007E12AC">
        <w:rPr>
          <w:color w:val="auto"/>
          <w:sz w:val="20"/>
          <w:szCs w:val="20"/>
        </w:rPr>
        <w:t>zavezancev so okoljski inšpektorji ugotovili neskladnosti in kršitve okoljskih predpisov in zahtev</w:t>
      </w:r>
      <w:r w:rsidRPr="007E12AC">
        <w:rPr>
          <w:rFonts w:eastAsia="Times New Roman"/>
          <w:bCs/>
          <w:color w:val="auto"/>
          <w:sz w:val="20"/>
          <w:szCs w:val="20"/>
          <w:lang w:eastAsia="sl-SI"/>
        </w:rPr>
        <w:t xml:space="preserve"> okoljevarstvenih dovoljenj.</w:t>
      </w:r>
      <w:r w:rsidR="00BC4F3B">
        <w:rPr>
          <w:rFonts w:eastAsia="Times New Roman"/>
          <w:bCs/>
          <w:color w:val="auto"/>
          <w:sz w:val="20"/>
          <w:szCs w:val="20"/>
          <w:lang w:eastAsia="sl-SI"/>
        </w:rPr>
        <w:t xml:space="preserve"> Izdali so </w:t>
      </w:r>
      <w:r w:rsidR="00EB5ABB">
        <w:rPr>
          <w:rFonts w:eastAsia="Times New Roman"/>
          <w:bCs/>
          <w:color w:val="auto"/>
          <w:sz w:val="20"/>
          <w:szCs w:val="20"/>
          <w:lang w:eastAsia="sl-SI"/>
        </w:rPr>
        <w:t xml:space="preserve">jim </w:t>
      </w:r>
      <w:r w:rsidR="00AC1BBD">
        <w:rPr>
          <w:rFonts w:eastAsia="Times New Roman"/>
          <w:b/>
          <w:bCs/>
          <w:color w:val="auto"/>
          <w:sz w:val="20"/>
          <w:szCs w:val="20"/>
          <w:lang w:eastAsia="sl-SI"/>
        </w:rPr>
        <w:t>84</w:t>
      </w:r>
      <w:r w:rsidR="00BC4F3B">
        <w:rPr>
          <w:rFonts w:eastAsia="Times New Roman"/>
          <w:bCs/>
          <w:color w:val="auto"/>
          <w:sz w:val="20"/>
          <w:szCs w:val="20"/>
          <w:lang w:eastAsia="sl-SI"/>
        </w:rPr>
        <w:t xml:space="preserve"> ureditvenih odločb, uvedli </w:t>
      </w:r>
      <w:r w:rsidR="00AC1BBD">
        <w:rPr>
          <w:rFonts w:eastAsia="Times New Roman"/>
          <w:b/>
          <w:bCs/>
          <w:color w:val="auto"/>
          <w:sz w:val="20"/>
          <w:szCs w:val="20"/>
          <w:lang w:eastAsia="sl-SI"/>
        </w:rPr>
        <w:t>11</w:t>
      </w:r>
      <w:r w:rsidR="00BC4F3B">
        <w:rPr>
          <w:rFonts w:eastAsia="Times New Roman"/>
          <w:bCs/>
          <w:color w:val="auto"/>
          <w:sz w:val="20"/>
          <w:szCs w:val="20"/>
          <w:lang w:eastAsia="sl-SI"/>
        </w:rPr>
        <w:t xml:space="preserve"> </w:t>
      </w:r>
      <w:proofErr w:type="spellStart"/>
      <w:r w:rsidR="00BC4F3B">
        <w:rPr>
          <w:rFonts w:eastAsia="Times New Roman"/>
          <w:bCs/>
          <w:color w:val="auto"/>
          <w:sz w:val="20"/>
          <w:szCs w:val="20"/>
          <w:lang w:eastAsia="sl-SI"/>
        </w:rPr>
        <w:t>prekrškovnih</w:t>
      </w:r>
      <w:proofErr w:type="spellEnd"/>
      <w:r w:rsidR="00BC4F3B">
        <w:rPr>
          <w:rFonts w:eastAsia="Times New Roman"/>
          <w:bCs/>
          <w:color w:val="auto"/>
          <w:sz w:val="20"/>
          <w:szCs w:val="20"/>
          <w:lang w:eastAsia="sl-SI"/>
        </w:rPr>
        <w:t xml:space="preserve"> postopkov ter izrekli </w:t>
      </w:r>
      <w:r w:rsidR="00AC1BBD">
        <w:rPr>
          <w:rFonts w:eastAsia="Times New Roman"/>
          <w:b/>
          <w:bCs/>
          <w:color w:val="auto"/>
          <w:sz w:val="20"/>
          <w:szCs w:val="20"/>
          <w:lang w:eastAsia="sl-SI"/>
        </w:rPr>
        <w:t>61</w:t>
      </w:r>
      <w:bookmarkStart w:id="0" w:name="_GoBack"/>
      <w:bookmarkEnd w:id="0"/>
      <w:r w:rsidR="00BC4F3B">
        <w:rPr>
          <w:rFonts w:eastAsia="Times New Roman"/>
          <w:bCs/>
          <w:color w:val="auto"/>
          <w:sz w:val="20"/>
          <w:szCs w:val="20"/>
          <w:lang w:eastAsia="sl-SI"/>
        </w:rPr>
        <w:t xml:space="preserve"> opozoril na zapisnik in izdali dva sklepa o dovolitvi izvršbe. </w:t>
      </w:r>
      <w:r w:rsidR="00AB4575">
        <w:rPr>
          <w:rFonts w:eastAsia="Times New Roman"/>
          <w:bCs/>
          <w:color w:val="auto"/>
          <w:sz w:val="20"/>
          <w:szCs w:val="20"/>
          <w:lang w:eastAsia="sl-SI"/>
        </w:rPr>
        <w:t xml:space="preserve">Zavezanci so kršitve odpravili </w:t>
      </w:r>
      <w:r w:rsidR="002F5FD3">
        <w:rPr>
          <w:rFonts w:eastAsia="Times New Roman"/>
          <w:bCs/>
          <w:color w:val="auto"/>
          <w:sz w:val="20"/>
          <w:szCs w:val="20"/>
          <w:lang w:eastAsia="sl-SI"/>
        </w:rPr>
        <w:t>v določenih rokih</w:t>
      </w:r>
      <w:r w:rsidR="00AB4575">
        <w:rPr>
          <w:rFonts w:eastAsia="Times New Roman"/>
          <w:bCs/>
          <w:color w:val="auto"/>
          <w:sz w:val="20"/>
          <w:szCs w:val="20"/>
          <w:lang w:eastAsia="sl-SI"/>
        </w:rPr>
        <w:t>, nekateri roki pa še niso potekli.</w:t>
      </w:r>
      <w:r w:rsidR="00AC1BBD">
        <w:rPr>
          <w:rFonts w:eastAsia="Times New Roman"/>
          <w:bCs/>
          <w:color w:val="auto"/>
          <w:sz w:val="20"/>
          <w:szCs w:val="20"/>
          <w:lang w:eastAsia="sl-SI"/>
        </w:rPr>
        <w:t xml:space="preserve"> </w:t>
      </w:r>
      <w:r w:rsidR="00AB4575">
        <w:rPr>
          <w:sz w:val="20"/>
          <w:szCs w:val="20"/>
        </w:rPr>
        <w:t xml:space="preserve">Ker </w:t>
      </w:r>
      <w:r w:rsidR="00A30959">
        <w:rPr>
          <w:sz w:val="20"/>
          <w:szCs w:val="20"/>
        </w:rPr>
        <w:t>večkrat</w:t>
      </w:r>
      <w:r w:rsidR="00AB4575">
        <w:rPr>
          <w:sz w:val="20"/>
          <w:szCs w:val="20"/>
        </w:rPr>
        <w:t>ne spremembe otežuje</w:t>
      </w:r>
      <w:r w:rsidR="001217A2">
        <w:rPr>
          <w:sz w:val="20"/>
          <w:szCs w:val="20"/>
        </w:rPr>
        <w:t>jo</w:t>
      </w:r>
      <w:r w:rsidR="00AB4575">
        <w:rPr>
          <w:sz w:val="20"/>
          <w:szCs w:val="20"/>
        </w:rPr>
        <w:t xml:space="preserve"> preglednost</w:t>
      </w:r>
      <w:r w:rsidR="001217A2" w:rsidRPr="001217A2">
        <w:rPr>
          <w:sz w:val="20"/>
          <w:szCs w:val="20"/>
        </w:rPr>
        <w:t xml:space="preserve"> </w:t>
      </w:r>
      <w:r w:rsidR="001217A2">
        <w:rPr>
          <w:sz w:val="20"/>
          <w:szCs w:val="20"/>
        </w:rPr>
        <w:t>določil okoljevarstvenega dovoljenja</w:t>
      </w:r>
      <w:r w:rsidR="00AB4575">
        <w:rPr>
          <w:sz w:val="20"/>
          <w:szCs w:val="20"/>
        </w:rPr>
        <w:t xml:space="preserve">, </w:t>
      </w:r>
      <w:r w:rsidR="00A30959">
        <w:rPr>
          <w:sz w:val="20"/>
          <w:szCs w:val="20"/>
        </w:rPr>
        <w:t xml:space="preserve">inšpektorji predlagajo izdelavo čistopisa, </w:t>
      </w:r>
      <w:r w:rsidR="001217A2">
        <w:rPr>
          <w:sz w:val="20"/>
          <w:szCs w:val="20"/>
        </w:rPr>
        <w:t>oziroma novega dovoljenja</w:t>
      </w:r>
      <w:r w:rsidR="002F5FD3">
        <w:rPr>
          <w:sz w:val="20"/>
          <w:szCs w:val="20"/>
        </w:rPr>
        <w:t>.</w:t>
      </w:r>
    </w:p>
    <w:p w:rsidR="001217A2" w:rsidRDefault="001217A2" w:rsidP="007E12AC">
      <w:pPr>
        <w:pStyle w:val="Default"/>
        <w:spacing w:line="300" w:lineRule="exact"/>
        <w:jc w:val="both"/>
        <w:rPr>
          <w:sz w:val="20"/>
          <w:szCs w:val="20"/>
        </w:rPr>
      </w:pPr>
    </w:p>
    <w:p w:rsidR="007E12AC" w:rsidRPr="007E12AC" w:rsidRDefault="007E12AC" w:rsidP="007E12AC">
      <w:pPr>
        <w:pStyle w:val="Default"/>
        <w:spacing w:line="300" w:lineRule="exact"/>
        <w:jc w:val="both"/>
        <w:rPr>
          <w:color w:val="auto"/>
          <w:sz w:val="20"/>
          <w:szCs w:val="20"/>
        </w:rPr>
      </w:pPr>
      <w:r w:rsidRPr="007E12AC">
        <w:rPr>
          <w:b/>
          <w:bCs/>
          <w:color w:val="auto"/>
          <w:sz w:val="20"/>
          <w:szCs w:val="20"/>
        </w:rPr>
        <w:t xml:space="preserve">Inšpektorat RS za varstvo pred naravnimi in drugimi nesrečami je </w:t>
      </w:r>
      <w:r w:rsidRPr="007E12AC">
        <w:rPr>
          <w:color w:val="auto"/>
          <w:sz w:val="20"/>
          <w:szCs w:val="20"/>
        </w:rPr>
        <w:t xml:space="preserve">nadziral izvajanje določb Zakona o varstvu pred požarom in podzakonskih predpisov predvsem s področja ali imajo izdelan požarni red, evakuacijski načrti, požarni načrt, vzdrževanja sisteme aktivne požarne zaščite, ali izvajajo programe usposabljanja in vaje evakuacije, ali imajo določene odgovorne osebe za izvajanje evakuacije in gašenje </w:t>
      </w:r>
      <w:r w:rsidRPr="007E12AC">
        <w:rPr>
          <w:color w:val="auto"/>
          <w:sz w:val="20"/>
          <w:szCs w:val="20"/>
        </w:rPr>
        <w:lastRenderedPageBreak/>
        <w:t xml:space="preserve">začetnih požarov, kako vzdržujejo hidrantno omrežje  in nameščene gasilnike in podobno. Pri SEVESO obratih, ki so vir večjega tveganja, pa tudi določbe Zakona o varstvu pred naravnimi in drugimi nesrečami, predvsem s področja načrtov zaščite in reševanja za primer večje nesreče. </w:t>
      </w:r>
    </w:p>
    <w:p w:rsidR="007E12AC" w:rsidRPr="007E12AC" w:rsidRDefault="007E12AC" w:rsidP="007E12AC">
      <w:pPr>
        <w:pStyle w:val="Default"/>
        <w:spacing w:line="300" w:lineRule="exact"/>
        <w:jc w:val="both"/>
        <w:rPr>
          <w:color w:val="auto"/>
          <w:sz w:val="20"/>
          <w:szCs w:val="20"/>
        </w:rPr>
      </w:pPr>
      <w:r w:rsidRPr="007E12AC">
        <w:rPr>
          <w:color w:val="auto"/>
          <w:sz w:val="20"/>
          <w:szCs w:val="20"/>
        </w:rPr>
        <w:t>Pri inšpekcijskem nadzoru obeh področij (varstva pred požarom in zaščite in reševanja) ni bilo ugotovljenih večjih kršitev predpisov z nadzorovanega področja.</w:t>
      </w:r>
    </w:p>
    <w:p w:rsidR="007E12AC" w:rsidRPr="007E12AC" w:rsidRDefault="007E12AC" w:rsidP="007E12AC">
      <w:pPr>
        <w:pStyle w:val="Default"/>
        <w:spacing w:line="300" w:lineRule="exact"/>
        <w:jc w:val="both"/>
        <w:rPr>
          <w:color w:val="auto"/>
          <w:sz w:val="20"/>
          <w:szCs w:val="20"/>
        </w:rPr>
      </w:pPr>
      <w:r w:rsidRPr="007E12AC">
        <w:rPr>
          <w:color w:val="auto"/>
          <w:sz w:val="20"/>
          <w:szCs w:val="20"/>
        </w:rPr>
        <w:t>Ugotovljene so bile manjše kršitve, ki pa bistveno ne vplivajo na stanje varstva pred požarom v gospodarski družbi. Za te pomanjkljivosti so zavezancem izrekli opozorilo v zapisniku o rednem inšpekcijskem nadzoru in določili rok za njihov odpravo.</w:t>
      </w:r>
    </w:p>
    <w:p w:rsidR="007E12AC" w:rsidRPr="007E12AC" w:rsidRDefault="007E12AC" w:rsidP="007E12AC">
      <w:pPr>
        <w:autoSpaceDE w:val="0"/>
        <w:autoSpaceDN w:val="0"/>
        <w:adjustRightInd w:val="0"/>
        <w:spacing w:line="300" w:lineRule="exact"/>
        <w:jc w:val="both"/>
        <w:rPr>
          <w:rFonts w:eastAsiaTheme="minorHAnsi"/>
        </w:rPr>
      </w:pPr>
    </w:p>
    <w:p w:rsidR="007E12AC" w:rsidRPr="00BF4C4D" w:rsidRDefault="007E12AC" w:rsidP="007E12AC">
      <w:pPr>
        <w:spacing w:line="300" w:lineRule="exact"/>
        <w:jc w:val="both"/>
      </w:pPr>
      <w:r w:rsidRPr="00BF4C4D">
        <w:rPr>
          <w:rFonts w:eastAsiaTheme="minorHAnsi"/>
          <w:b/>
          <w:bCs/>
        </w:rPr>
        <w:t xml:space="preserve">Energetski inšpektorji Inšpektorata RS za infrastrukturo so </w:t>
      </w:r>
      <w:r w:rsidRPr="00BF4C4D">
        <w:rPr>
          <w:rFonts w:eastAsiaTheme="minorHAnsi"/>
          <w:bCs/>
        </w:rPr>
        <w:t>izvajali nadzor nad upoštevanjem</w:t>
      </w:r>
      <w:r w:rsidRPr="00BF4C4D">
        <w:t xml:space="preserve"> predpisov s področja energetike in v okviru inšpekcijskih pooblastil zagotavljali varno in zanesljivo obratovanja energetskih naprav, napeljav in postrojenj. Nadzore so izvajali energetski inšpektorji za področje</w:t>
      </w:r>
      <w:r w:rsidR="00744D28" w:rsidRPr="00BF4C4D">
        <w:t xml:space="preserve"> elektro </w:t>
      </w:r>
      <w:r w:rsidRPr="00BF4C4D">
        <w:t xml:space="preserve">energetike in energetski inšpektorji za področje strojne energetike, vsak na svojem področju. Največ nepravilnosti je bilo ugotovljenih na področju nizkonapetostnih inštalacij in strelovodne zaščite in na področju strokovne usposobljenosti upravljalcev energetskih naprav. Poleg tega so inšpektorji ugotovili nepravilnosti pri vzdrževanju energetskih inštalacij in pripadajočih transformatorskih postaj, in pregledovanju in preizkušanju opreme pod tlakom. Nepravilnosti so ugotovili tudi na področju Ex-opreme. Glede na težo kršitve so energetski inšpektorji izdali </w:t>
      </w:r>
      <w:r w:rsidR="00744D28" w:rsidRPr="00AC1BBD">
        <w:rPr>
          <w:b/>
        </w:rPr>
        <w:t>85</w:t>
      </w:r>
      <w:r w:rsidRPr="00BF4C4D">
        <w:t xml:space="preserve"> ureditvenih odločb oziroma izrekli </w:t>
      </w:r>
      <w:r w:rsidR="00744D28" w:rsidRPr="00AC1BBD">
        <w:rPr>
          <w:b/>
        </w:rPr>
        <w:t>202</w:t>
      </w:r>
      <w:r w:rsidRPr="00BF4C4D">
        <w:t xml:space="preserve"> opozoril na zapisnik. Pri </w:t>
      </w:r>
      <w:r w:rsidR="00744D28" w:rsidRPr="00AC1BBD">
        <w:rPr>
          <w:b/>
        </w:rPr>
        <w:t>175</w:t>
      </w:r>
      <w:r w:rsidRPr="00BF4C4D">
        <w:t xml:space="preserve"> zavezancih ni bilo ugotovljenih nepravilnosti, zato je bil postopek z zapisnikom ustavljen.</w:t>
      </w:r>
    </w:p>
    <w:p w:rsidR="007E12AC" w:rsidRPr="00BF4C4D" w:rsidRDefault="007E12AC" w:rsidP="007E12AC">
      <w:pPr>
        <w:autoSpaceDE w:val="0"/>
        <w:autoSpaceDN w:val="0"/>
        <w:adjustRightInd w:val="0"/>
        <w:spacing w:line="300" w:lineRule="exact"/>
        <w:jc w:val="both"/>
        <w:rPr>
          <w:rFonts w:eastAsiaTheme="minorHAnsi"/>
        </w:rPr>
      </w:pPr>
    </w:p>
    <w:p w:rsidR="007E12AC" w:rsidRPr="00BF4C4D" w:rsidRDefault="007E12AC" w:rsidP="007E12AC">
      <w:pPr>
        <w:autoSpaceDE w:val="0"/>
        <w:autoSpaceDN w:val="0"/>
        <w:adjustRightInd w:val="0"/>
        <w:spacing w:line="300" w:lineRule="exact"/>
        <w:jc w:val="both"/>
        <w:rPr>
          <w:rFonts w:eastAsiaTheme="minorHAnsi"/>
          <w:bCs/>
        </w:rPr>
      </w:pPr>
      <w:r w:rsidRPr="00BF4C4D">
        <w:rPr>
          <w:rFonts w:eastAsiaTheme="minorHAnsi"/>
          <w:b/>
          <w:bCs/>
        </w:rPr>
        <w:t xml:space="preserve">Inšpekcija za kemikalije  z Urada RS za kemikalije </w:t>
      </w:r>
      <w:r w:rsidRPr="00BF4C4D">
        <w:rPr>
          <w:rFonts w:eastAsiaTheme="minorHAnsi"/>
          <w:bCs/>
        </w:rPr>
        <w:t xml:space="preserve"> je </w:t>
      </w:r>
      <w:r w:rsidR="00B01D22" w:rsidRPr="00BF4C4D">
        <w:rPr>
          <w:rFonts w:eastAsiaTheme="minorHAnsi"/>
          <w:bCs/>
        </w:rPr>
        <w:t xml:space="preserve">v letošnjem letu </w:t>
      </w:r>
      <w:r w:rsidRPr="00BF4C4D">
        <w:rPr>
          <w:rFonts w:eastAsiaTheme="minorHAnsi"/>
          <w:bCs/>
        </w:rPr>
        <w:t xml:space="preserve">sodelovala pri </w:t>
      </w:r>
      <w:r w:rsidR="00B01D22" w:rsidRPr="00BF4C4D">
        <w:rPr>
          <w:rFonts w:eastAsiaTheme="minorHAnsi"/>
          <w:bCs/>
        </w:rPr>
        <w:t>pregledu 35</w:t>
      </w:r>
      <w:r w:rsidRPr="00BF4C4D">
        <w:rPr>
          <w:rFonts w:eastAsiaTheme="minorHAnsi"/>
          <w:bCs/>
        </w:rPr>
        <w:t xml:space="preserve"> zavezanc</w:t>
      </w:r>
      <w:r w:rsidR="00B01D22" w:rsidRPr="00BF4C4D">
        <w:rPr>
          <w:rFonts w:eastAsiaTheme="minorHAnsi"/>
          <w:bCs/>
        </w:rPr>
        <w:t>ev</w:t>
      </w:r>
      <w:r w:rsidRPr="00BF4C4D">
        <w:rPr>
          <w:rFonts w:eastAsiaTheme="minorHAnsi"/>
          <w:bCs/>
        </w:rPr>
        <w:t>.</w:t>
      </w:r>
      <w:r w:rsidRPr="00BF4C4D">
        <w:rPr>
          <w:rFonts w:eastAsiaTheme="minorHAnsi"/>
          <w:b/>
          <w:bCs/>
        </w:rPr>
        <w:t xml:space="preserve"> </w:t>
      </w:r>
      <w:r w:rsidRPr="00BF4C4D">
        <w:rPr>
          <w:rFonts w:eastAsiaTheme="minorHAnsi"/>
          <w:bCs/>
        </w:rPr>
        <w:t>Nadzirali so ali je skladiščenje nevarnih kemikalij</w:t>
      </w:r>
      <w:r w:rsidR="00B01D22" w:rsidRPr="00BF4C4D">
        <w:rPr>
          <w:rFonts w:eastAsiaTheme="minorHAnsi"/>
          <w:bCs/>
        </w:rPr>
        <w:t xml:space="preserve"> </w:t>
      </w:r>
      <w:r w:rsidRPr="00BF4C4D">
        <w:rPr>
          <w:rFonts w:eastAsiaTheme="minorHAnsi"/>
          <w:bCs/>
        </w:rPr>
        <w:t xml:space="preserve">skladno s Pravilnikom o tehničnih in organizacijskih ukrepih za skladiščenje nevarnih kemikalij. Manjše nepravilnosti so bile ugotovljene v </w:t>
      </w:r>
      <w:r w:rsidR="00B01D22" w:rsidRPr="00BF4C4D">
        <w:rPr>
          <w:rFonts w:eastAsiaTheme="minorHAnsi"/>
          <w:bCs/>
        </w:rPr>
        <w:t>dvanajstih</w:t>
      </w:r>
      <w:r w:rsidRPr="00BF4C4D">
        <w:rPr>
          <w:rFonts w:eastAsiaTheme="minorHAnsi"/>
          <w:bCs/>
        </w:rPr>
        <w:t xml:space="preserve"> primerih, vsem podjetjem so inšpektorji izrekli opozorila. </w:t>
      </w:r>
      <w:r w:rsidR="00B01D22" w:rsidRPr="00BF4C4D">
        <w:rPr>
          <w:rFonts w:eastAsiaTheme="minorHAnsi"/>
          <w:bCs/>
        </w:rPr>
        <w:t>Večina opozorjenih</w:t>
      </w:r>
      <w:r w:rsidRPr="00BF4C4D">
        <w:rPr>
          <w:rFonts w:eastAsiaTheme="minorHAnsi"/>
          <w:bCs/>
        </w:rPr>
        <w:t xml:space="preserve"> podjetij je nepravilnosti odpravilo že do </w:t>
      </w:r>
      <w:r w:rsidR="00B01D22" w:rsidRPr="00BF4C4D">
        <w:rPr>
          <w:rFonts w:eastAsiaTheme="minorHAnsi"/>
          <w:bCs/>
        </w:rPr>
        <w:t>začetka oktobra, razen tistih, ki se jim rok za odpravo pomanjkljivosti še ni iztekel.</w:t>
      </w:r>
      <w:r w:rsidRPr="00BF4C4D">
        <w:rPr>
          <w:rFonts w:eastAsiaTheme="minorHAnsi"/>
          <w:bCs/>
        </w:rPr>
        <w:t xml:space="preserve"> </w:t>
      </w:r>
    </w:p>
    <w:p w:rsidR="00751050" w:rsidRPr="007E12AC" w:rsidRDefault="00751050" w:rsidP="00751050">
      <w:pPr>
        <w:spacing w:after="160" w:line="300" w:lineRule="exact"/>
        <w:jc w:val="both"/>
      </w:pPr>
    </w:p>
    <w:p w:rsidR="0013750B" w:rsidRPr="007E12AC" w:rsidRDefault="00751050" w:rsidP="00F55185">
      <w:pPr>
        <w:pStyle w:val="Default"/>
        <w:spacing w:line="360" w:lineRule="auto"/>
        <w:jc w:val="both"/>
        <w:rPr>
          <w:color w:val="auto"/>
          <w:sz w:val="20"/>
          <w:szCs w:val="20"/>
        </w:rPr>
      </w:pPr>
      <w:r w:rsidRPr="007E12AC">
        <w:rPr>
          <w:color w:val="auto"/>
          <w:sz w:val="20"/>
          <w:szCs w:val="20"/>
        </w:rPr>
        <w:t>Z</w:t>
      </w:r>
      <w:r w:rsidR="00BE6401" w:rsidRPr="007E12AC">
        <w:rPr>
          <w:color w:val="auto"/>
          <w:sz w:val="20"/>
          <w:szCs w:val="20"/>
        </w:rPr>
        <w:t xml:space="preserve"> akcijo doseg</w:t>
      </w:r>
      <w:r w:rsidR="0013750B" w:rsidRPr="007E12AC">
        <w:rPr>
          <w:color w:val="auto"/>
          <w:sz w:val="20"/>
          <w:szCs w:val="20"/>
        </w:rPr>
        <w:t>amo</w:t>
      </w:r>
      <w:r w:rsidR="00BE6401" w:rsidRPr="007E12AC">
        <w:rPr>
          <w:color w:val="auto"/>
          <w:sz w:val="20"/>
          <w:szCs w:val="20"/>
        </w:rPr>
        <w:t xml:space="preserve"> pomemben cilj: </w:t>
      </w:r>
      <w:r w:rsidR="00F55185" w:rsidRPr="007E12AC">
        <w:rPr>
          <w:color w:val="auto"/>
          <w:sz w:val="20"/>
          <w:szCs w:val="20"/>
        </w:rPr>
        <w:t xml:space="preserve">in sicer, da </w:t>
      </w:r>
      <w:r w:rsidR="0013750B" w:rsidRPr="007E12AC">
        <w:rPr>
          <w:color w:val="auto"/>
          <w:sz w:val="20"/>
          <w:szCs w:val="20"/>
        </w:rPr>
        <w:t>povečujemo skladnosti delovanja zavezancev s predpisi, in zmanjšujemo možnost tveganja za okolje in človeka.</w:t>
      </w:r>
    </w:p>
    <w:p w:rsidR="00BE6401" w:rsidRPr="007E12AC" w:rsidRDefault="00BE6401" w:rsidP="008F3B7B">
      <w:pPr>
        <w:spacing w:line="300" w:lineRule="exact"/>
        <w:jc w:val="both"/>
      </w:pPr>
    </w:p>
    <w:p w:rsidR="00F31FA8" w:rsidRPr="007E12AC" w:rsidRDefault="00D75AB9" w:rsidP="008F3B7B">
      <w:pPr>
        <w:spacing w:line="300" w:lineRule="exact"/>
        <w:jc w:val="both"/>
        <w:rPr>
          <w:rFonts w:eastAsia="Times New Roman"/>
          <w:b/>
          <w:bCs/>
          <w:lang w:eastAsia="sl-SI"/>
        </w:rPr>
      </w:pPr>
      <w:r w:rsidRPr="007E12AC">
        <w:rPr>
          <w:rFonts w:eastAsia="Times New Roman"/>
          <w:b/>
          <w:bCs/>
          <w:lang w:eastAsia="sl-SI"/>
        </w:rPr>
        <w:t xml:space="preserve">Akcija poostrenega nadzora skladnosti delovanja zavezance s predpisi in okoljevarstvenimi dovoljenji, ki urejajo njihovo delovanje, se bo zaključila septembra 2020. </w:t>
      </w:r>
    </w:p>
    <w:p w:rsidR="0002590C" w:rsidRPr="007E12AC" w:rsidRDefault="0002590C" w:rsidP="008F3B7B">
      <w:pPr>
        <w:spacing w:line="300" w:lineRule="exact"/>
        <w:jc w:val="both"/>
        <w:rPr>
          <w:b/>
          <w:bCs/>
        </w:rPr>
      </w:pPr>
    </w:p>
    <w:p w:rsidR="00EF1C90" w:rsidRPr="007E12AC" w:rsidRDefault="00EF1C90" w:rsidP="00EF1C90">
      <w:pPr>
        <w:spacing w:after="160" w:line="300" w:lineRule="exact"/>
        <w:jc w:val="both"/>
        <w:rPr>
          <w:b/>
        </w:rPr>
      </w:pPr>
    </w:p>
    <w:p w:rsidR="00EF1C90" w:rsidRPr="007E12AC" w:rsidRDefault="00EF1C90" w:rsidP="00EF1C90">
      <w:pPr>
        <w:pStyle w:val="Default"/>
        <w:spacing w:line="300" w:lineRule="exact"/>
        <w:jc w:val="both"/>
        <w:rPr>
          <w:b/>
          <w:color w:val="auto"/>
          <w:sz w:val="20"/>
          <w:szCs w:val="20"/>
        </w:rPr>
      </w:pPr>
    </w:p>
    <w:p w:rsidR="00AA698E" w:rsidRPr="007E12AC" w:rsidRDefault="00AA698E" w:rsidP="00AA698E">
      <w:pPr>
        <w:autoSpaceDE w:val="0"/>
        <w:autoSpaceDN w:val="0"/>
        <w:adjustRightInd w:val="0"/>
        <w:jc w:val="both"/>
        <w:rPr>
          <w:rFonts w:eastAsiaTheme="minorHAnsi"/>
          <w:lang w:eastAsia="en-US"/>
        </w:rPr>
      </w:pPr>
    </w:p>
    <w:sectPr w:rsidR="00AA698E" w:rsidRPr="007E12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6CE61B2"/>
    <w:lvl w:ilvl="0">
      <w:numFmt w:val="bullet"/>
      <w:lvlText w:val="*"/>
      <w:lvlJc w:val="left"/>
    </w:lvl>
  </w:abstractNum>
  <w:abstractNum w:abstractNumId="1" w15:restartNumberingAfterBreak="0">
    <w:nsid w:val="3C0B3C6C"/>
    <w:multiLevelType w:val="hybridMultilevel"/>
    <w:tmpl w:val="3894078C"/>
    <w:lvl w:ilvl="0" w:tplc="30EC3838">
      <w:start w:val="1"/>
      <w:numFmt w:val="decimal"/>
      <w:lvlText w:val="%1."/>
      <w:lvlJc w:val="left"/>
      <w:pPr>
        <w:ind w:left="1145" w:hanging="360"/>
      </w:pPr>
      <w:rPr>
        <w:rFonts w:hint="default"/>
        <w:color w:val="70AD47" w:themeColor="accent6"/>
      </w:rPr>
    </w:lvl>
    <w:lvl w:ilvl="1" w:tplc="04240019" w:tentative="1">
      <w:start w:val="1"/>
      <w:numFmt w:val="lowerLetter"/>
      <w:lvlText w:val="%2."/>
      <w:lvlJc w:val="left"/>
      <w:pPr>
        <w:ind w:left="1865" w:hanging="360"/>
      </w:pPr>
    </w:lvl>
    <w:lvl w:ilvl="2" w:tplc="0424001B">
      <w:start w:val="1"/>
      <w:numFmt w:val="lowerRoman"/>
      <w:lvlText w:val="%3."/>
      <w:lvlJc w:val="right"/>
      <w:pPr>
        <w:ind w:left="2585" w:hanging="180"/>
      </w:pPr>
    </w:lvl>
    <w:lvl w:ilvl="3" w:tplc="0424000F" w:tentative="1">
      <w:start w:val="1"/>
      <w:numFmt w:val="decimal"/>
      <w:lvlText w:val="%4."/>
      <w:lvlJc w:val="left"/>
      <w:pPr>
        <w:ind w:left="3305" w:hanging="360"/>
      </w:pPr>
    </w:lvl>
    <w:lvl w:ilvl="4" w:tplc="04240019" w:tentative="1">
      <w:start w:val="1"/>
      <w:numFmt w:val="lowerLetter"/>
      <w:lvlText w:val="%5."/>
      <w:lvlJc w:val="left"/>
      <w:pPr>
        <w:ind w:left="4025" w:hanging="360"/>
      </w:pPr>
    </w:lvl>
    <w:lvl w:ilvl="5" w:tplc="0424001B" w:tentative="1">
      <w:start w:val="1"/>
      <w:numFmt w:val="lowerRoman"/>
      <w:lvlText w:val="%6."/>
      <w:lvlJc w:val="right"/>
      <w:pPr>
        <w:ind w:left="4745" w:hanging="180"/>
      </w:pPr>
    </w:lvl>
    <w:lvl w:ilvl="6" w:tplc="0424000F" w:tentative="1">
      <w:start w:val="1"/>
      <w:numFmt w:val="decimal"/>
      <w:lvlText w:val="%7."/>
      <w:lvlJc w:val="left"/>
      <w:pPr>
        <w:ind w:left="5465" w:hanging="360"/>
      </w:pPr>
    </w:lvl>
    <w:lvl w:ilvl="7" w:tplc="04240019" w:tentative="1">
      <w:start w:val="1"/>
      <w:numFmt w:val="lowerLetter"/>
      <w:lvlText w:val="%8."/>
      <w:lvlJc w:val="left"/>
      <w:pPr>
        <w:ind w:left="6185" w:hanging="360"/>
      </w:pPr>
    </w:lvl>
    <w:lvl w:ilvl="8" w:tplc="0424001B" w:tentative="1">
      <w:start w:val="1"/>
      <w:numFmt w:val="lowerRoman"/>
      <w:lvlText w:val="%9."/>
      <w:lvlJc w:val="right"/>
      <w:pPr>
        <w:ind w:left="6905" w:hanging="180"/>
      </w:pPr>
    </w:lvl>
  </w:abstractNum>
  <w:abstractNum w:abstractNumId="2" w15:restartNumberingAfterBreak="0">
    <w:nsid w:val="3E5043A0"/>
    <w:multiLevelType w:val="hybridMultilevel"/>
    <w:tmpl w:val="CDE2D352"/>
    <w:lvl w:ilvl="0" w:tplc="A1886E56">
      <w:start w:val="1"/>
      <w:numFmt w:val="decimal"/>
      <w:lvlText w:val="%1."/>
      <w:lvlJc w:val="left"/>
      <w:pPr>
        <w:ind w:left="785" w:hanging="360"/>
      </w:pPr>
      <w:rPr>
        <w:b/>
      </w:rPr>
    </w:lvl>
    <w:lvl w:ilvl="1" w:tplc="04240019">
      <w:start w:val="1"/>
      <w:numFmt w:val="lowerLetter"/>
      <w:lvlText w:val="%2."/>
      <w:lvlJc w:val="left"/>
      <w:pPr>
        <w:ind w:left="1440" w:hanging="360"/>
      </w:pPr>
    </w:lvl>
    <w:lvl w:ilvl="2" w:tplc="C5AC03AC">
      <w:start w:val="6"/>
      <w:numFmt w:val="bullet"/>
      <w:lvlText w:val="·"/>
      <w:lvlJc w:val="left"/>
      <w:pPr>
        <w:ind w:left="2340" w:hanging="360"/>
      </w:pPr>
      <w:rPr>
        <w:rFonts w:ascii="Calibri" w:eastAsiaTheme="minorHAnsi" w:hAnsi="Calibri" w:cstheme="minorBidi"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0"/>
        <w:lvlJc w:val="left"/>
        <w:rPr>
          <w:rFonts w:ascii="Symbol" w:hAnsi="Symbol" w:hint="default"/>
          <w:sz w:val="22"/>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848"/>
    <w:rsid w:val="00000DC6"/>
    <w:rsid w:val="00016AD2"/>
    <w:rsid w:val="0002590C"/>
    <w:rsid w:val="000260B7"/>
    <w:rsid w:val="000327F7"/>
    <w:rsid w:val="000A6D02"/>
    <w:rsid w:val="000D0437"/>
    <w:rsid w:val="000E1733"/>
    <w:rsid w:val="001217A2"/>
    <w:rsid w:val="0013750B"/>
    <w:rsid w:val="00162A9D"/>
    <w:rsid w:val="00166337"/>
    <w:rsid w:val="00173EEA"/>
    <w:rsid w:val="001951A9"/>
    <w:rsid w:val="001E0864"/>
    <w:rsid w:val="001E4BAB"/>
    <w:rsid w:val="0028015E"/>
    <w:rsid w:val="002E3FB4"/>
    <w:rsid w:val="002F5FD3"/>
    <w:rsid w:val="003445B1"/>
    <w:rsid w:val="00371871"/>
    <w:rsid w:val="00376699"/>
    <w:rsid w:val="003B0C56"/>
    <w:rsid w:val="003B1AB6"/>
    <w:rsid w:val="003E263F"/>
    <w:rsid w:val="003F6E52"/>
    <w:rsid w:val="003F7115"/>
    <w:rsid w:val="00401B69"/>
    <w:rsid w:val="00454532"/>
    <w:rsid w:val="004567F0"/>
    <w:rsid w:val="004B1094"/>
    <w:rsid w:val="004C7946"/>
    <w:rsid w:val="004D326C"/>
    <w:rsid w:val="004D3F2B"/>
    <w:rsid w:val="00506358"/>
    <w:rsid w:val="00546816"/>
    <w:rsid w:val="0059203F"/>
    <w:rsid w:val="00592C69"/>
    <w:rsid w:val="005A64D8"/>
    <w:rsid w:val="00607572"/>
    <w:rsid w:val="00650AAE"/>
    <w:rsid w:val="0068537F"/>
    <w:rsid w:val="006B1B54"/>
    <w:rsid w:val="006C435A"/>
    <w:rsid w:val="006D6AA2"/>
    <w:rsid w:val="006E0479"/>
    <w:rsid w:val="006E0ED3"/>
    <w:rsid w:val="006F2369"/>
    <w:rsid w:val="00732938"/>
    <w:rsid w:val="00744D28"/>
    <w:rsid w:val="00751050"/>
    <w:rsid w:val="0076340F"/>
    <w:rsid w:val="007A4C3F"/>
    <w:rsid w:val="007C5E4E"/>
    <w:rsid w:val="007E12AC"/>
    <w:rsid w:val="008173F1"/>
    <w:rsid w:val="00832B8F"/>
    <w:rsid w:val="00841C36"/>
    <w:rsid w:val="00861C4A"/>
    <w:rsid w:val="008953A2"/>
    <w:rsid w:val="008D28F3"/>
    <w:rsid w:val="008F3B7B"/>
    <w:rsid w:val="00946848"/>
    <w:rsid w:val="00947BA3"/>
    <w:rsid w:val="00974A0B"/>
    <w:rsid w:val="0098089B"/>
    <w:rsid w:val="0098436A"/>
    <w:rsid w:val="009A1AC9"/>
    <w:rsid w:val="00A30959"/>
    <w:rsid w:val="00A32080"/>
    <w:rsid w:val="00AA698E"/>
    <w:rsid w:val="00AB4575"/>
    <w:rsid w:val="00AC1BBD"/>
    <w:rsid w:val="00B01D22"/>
    <w:rsid w:val="00B561B0"/>
    <w:rsid w:val="00B73EBE"/>
    <w:rsid w:val="00BA3BB2"/>
    <w:rsid w:val="00BC4F3B"/>
    <w:rsid w:val="00BC5EA8"/>
    <w:rsid w:val="00BD13E5"/>
    <w:rsid w:val="00BE6401"/>
    <w:rsid w:val="00BF3792"/>
    <w:rsid w:val="00BF4C4D"/>
    <w:rsid w:val="00BF4D78"/>
    <w:rsid w:val="00BF6D24"/>
    <w:rsid w:val="00C43897"/>
    <w:rsid w:val="00C83826"/>
    <w:rsid w:val="00CA0E0C"/>
    <w:rsid w:val="00CD2385"/>
    <w:rsid w:val="00CF22DC"/>
    <w:rsid w:val="00D03398"/>
    <w:rsid w:val="00D23157"/>
    <w:rsid w:val="00D74435"/>
    <w:rsid w:val="00D75AB9"/>
    <w:rsid w:val="00D8195C"/>
    <w:rsid w:val="00DA4C13"/>
    <w:rsid w:val="00DB116B"/>
    <w:rsid w:val="00DB1C53"/>
    <w:rsid w:val="00E055CC"/>
    <w:rsid w:val="00E167F0"/>
    <w:rsid w:val="00E1733D"/>
    <w:rsid w:val="00E22929"/>
    <w:rsid w:val="00E73884"/>
    <w:rsid w:val="00EB5ABB"/>
    <w:rsid w:val="00EC235F"/>
    <w:rsid w:val="00EF1C90"/>
    <w:rsid w:val="00EF540B"/>
    <w:rsid w:val="00F17E1A"/>
    <w:rsid w:val="00F31FA8"/>
    <w:rsid w:val="00F55185"/>
    <w:rsid w:val="00F564EB"/>
    <w:rsid w:val="00F64B62"/>
    <w:rsid w:val="00F92B4D"/>
    <w:rsid w:val="00F97CB3"/>
    <w:rsid w:val="00FE072F"/>
    <w:rsid w:val="00FF4C3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DC7652-E37B-4A8D-995F-3E20C303D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46848"/>
    <w:pPr>
      <w:spacing w:after="0" w:line="240" w:lineRule="auto"/>
    </w:pPr>
    <w:rPr>
      <w:rFonts w:ascii="Arial" w:eastAsia="Batang" w:hAnsi="Arial" w:cs="Arial"/>
      <w:sz w:val="20"/>
      <w:szCs w:val="20"/>
      <w:lang w:eastAsia="ko-K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46848"/>
    <w:pPr>
      <w:ind w:left="720"/>
      <w:contextualSpacing/>
    </w:pPr>
  </w:style>
  <w:style w:type="paragraph" w:customStyle="1" w:styleId="Default">
    <w:name w:val="Default"/>
    <w:rsid w:val="00946848"/>
    <w:pPr>
      <w:autoSpaceDE w:val="0"/>
      <w:autoSpaceDN w:val="0"/>
      <w:adjustRightInd w:val="0"/>
      <w:spacing w:after="0" w:line="240" w:lineRule="auto"/>
    </w:pPr>
    <w:rPr>
      <w:rFonts w:ascii="Arial" w:hAnsi="Arial" w:cs="Arial"/>
      <w:color w:val="000000"/>
      <w:sz w:val="24"/>
      <w:szCs w:val="24"/>
    </w:rPr>
  </w:style>
  <w:style w:type="paragraph" w:styleId="Oznaenseznam">
    <w:name w:val="List Bullet"/>
    <w:basedOn w:val="Navaden"/>
    <w:autoRedefine/>
    <w:semiHidden/>
    <w:unhideWhenUsed/>
    <w:rsid w:val="000E1733"/>
    <w:pPr>
      <w:jc w:val="both"/>
    </w:pPr>
    <w:rPr>
      <w:rFonts w:eastAsia="Times New Roman"/>
      <w:bCs/>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746849">
      <w:bodyDiv w:val="1"/>
      <w:marLeft w:val="0"/>
      <w:marRight w:val="0"/>
      <w:marTop w:val="0"/>
      <w:marBottom w:val="0"/>
      <w:divBdr>
        <w:top w:val="none" w:sz="0" w:space="0" w:color="auto"/>
        <w:left w:val="none" w:sz="0" w:space="0" w:color="auto"/>
        <w:bottom w:val="none" w:sz="0" w:space="0" w:color="auto"/>
        <w:right w:val="none" w:sz="0" w:space="0" w:color="auto"/>
      </w:divBdr>
    </w:div>
    <w:div w:id="214439808">
      <w:bodyDiv w:val="1"/>
      <w:marLeft w:val="0"/>
      <w:marRight w:val="0"/>
      <w:marTop w:val="0"/>
      <w:marBottom w:val="0"/>
      <w:divBdr>
        <w:top w:val="none" w:sz="0" w:space="0" w:color="auto"/>
        <w:left w:val="none" w:sz="0" w:space="0" w:color="auto"/>
        <w:bottom w:val="none" w:sz="0" w:space="0" w:color="auto"/>
        <w:right w:val="none" w:sz="0" w:space="0" w:color="auto"/>
      </w:divBdr>
    </w:div>
    <w:div w:id="518661836">
      <w:bodyDiv w:val="1"/>
      <w:marLeft w:val="0"/>
      <w:marRight w:val="0"/>
      <w:marTop w:val="0"/>
      <w:marBottom w:val="0"/>
      <w:divBdr>
        <w:top w:val="none" w:sz="0" w:space="0" w:color="auto"/>
        <w:left w:val="none" w:sz="0" w:space="0" w:color="auto"/>
        <w:bottom w:val="none" w:sz="0" w:space="0" w:color="auto"/>
        <w:right w:val="none" w:sz="0" w:space="0" w:color="auto"/>
      </w:divBdr>
    </w:div>
    <w:div w:id="884223330">
      <w:bodyDiv w:val="1"/>
      <w:marLeft w:val="0"/>
      <w:marRight w:val="0"/>
      <w:marTop w:val="0"/>
      <w:marBottom w:val="0"/>
      <w:divBdr>
        <w:top w:val="none" w:sz="0" w:space="0" w:color="auto"/>
        <w:left w:val="none" w:sz="0" w:space="0" w:color="auto"/>
        <w:bottom w:val="none" w:sz="0" w:space="0" w:color="auto"/>
        <w:right w:val="none" w:sz="0" w:space="0" w:color="auto"/>
      </w:divBdr>
    </w:div>
    <w:div w:id="1742824666">
      <w:bodyDiv w:val="1"/>
      <w:marLeft w:val="0"/>
      <w:marRight w:val="0"/>
      <w:marTop w:val="0"/>
      <w:marBottom w:val="0"/>
      <w:divBdr>
        <w:top w:val="none" w:sz="0" w:space="0" w:color="auto"/>
        <w:left w:val="none" w:sz="0" w:space="0" w:color="auto"/>
        <w:bottom w:val="none" w:sz="0" w:space="0" w:color="auto"/>
        <w:right w:val="none" w:sz="0" w:space="0" w:color="auto"/>
      </w:divBdr>
    </w:div>
    <w:div w:id="1797866556">
      <w:bodyDiv w:val="1"/>
      <w:marLeft w:val="0"/>
      <w:marRight w:val="0"/>
      <w:marTop w:val="0"/>
      <w:marBottom w:val="0"/>
      <w:divBdr>
        <w:top w:val="none" w:sz="0" w:space="0" w:color="auto"/>
        <w:left w:val="none" w:sz="0" w:space="0" w:color="auto"/>
        <w:bottom w:val="none" w:sz="0" w:space="0" w:color="auto"/>
        <w:right w:val="none" w:sz="0" w:space="0" w:color="auto"/>
      </w:divBdr>
    </w:div>
    <w:div w:id="196176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862</Words>
  <Characters>4915</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Company>IRSOP</Company>
  <LinksUpToDate>false</LinksUpToDate>
  <CharactersWithSpaces>5766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Darija Dolenc-Ulčar</dc:creator>
  <cp:lastModifiedBy>Darija Dolenc-Ulčar</cp:lastModifiedBy>
  <cp:revision>2</cp:revision>
  <dcterms:created xsi:type="dcterms:W3CDTF">2019-10-28T07:43:00Z</dcterms:created>
  <dcterms:modified xsi:type="dcterms:W3CDTF">2019-10-28T07:43:00Z</dcterms:modified>
</cp:coreProperties>
</file>