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D20B4">
        <w:rPr>
          <w:sz w:val="24"/>
          <w:szCs w:val="24"/>
          <w:u w:val="none"/>
          <w:lang w:val="sl-SI"/>
        </w:rPr>
        <w:t>172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0EB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10EB5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0EB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10EB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10EB5">
              <w:rPr>
                <w:sz w:val="18"/>
                <w:szCs w:val="18"/>
              </w:rPr>
            </w:r>
            <w:r w:rsidR="00810EB5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10EB5">
              <w:rPr>
                <w:sz w:val="16"/>
                <w:szCs w:val="16"/>
              </w:rPr>
            </w:r>
            <w:r w:rsidR="00810EB5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10EB5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0D20B4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F41C0">
      <w:rPr>
        <w:rFonts w:ascii="Georgia" w:hAnsi="Georgia" w:cs="Courier New"/>
        <w:sz w:val="18"/>
        <w:szCs w:val="18"/>
        <w:u w:val="single"/>
      </w:rPr>
      <w:t>Št. postopka: 110-</w:t>
    </w:r>
    <w:r w:rsidR="000D20B4">
      <w:rPr>
        <w:rFonts w:ascii="Georgia" w:hAnsi="Georgia" w:cs="Courier New"/>
        <w:sz w:val="18"/>
        <w:szCs w:val="18"/>
        <w:u w:val="single"/>
      </w:rPr>
      <w:t>13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CB177A-167E-4928-87C6-54BD51C9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2019-07-22T11:03:00Z</dcterms:created>
  <dcterms:modified xsi:type="dcterms:W3CDTF">2019-07-22T11:03:00Z</dcterms:modified>
</cp:coreProperties>
</file>