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53A7ABB9"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8625EB">
        <w:rPr>
          <w:rFonts w:cs="Arial"/>
          <w:b/>
          <w:szCs w:val="20"/>
          <w:lang w:val="sl-SI" w:eastAsia="sl-SI"/>
        </w:rPr>
        <w:t>1</w:t>
      </w:r>
      <w:r w:rsidR="006C4046">
        <w:rPr>
          <w:rFonts w:cs="Arial"/>
          <w:b/>
          <w:szCs w:val="20"/>
          <w:lang w:val="sl-SI" w:eastAsia="sl-SI"/>
        </w:rPr>
        <w:t>5</w:t>
      </w:r>
      <w:r>
        <w:rPr>
          <w:rFonts w:cs="Arial"/>
          <w:b/>
          <w:szCs w:val="20"/>
          <w:lang w:val="sl-SI" w:eastAsia="sl-SI"/>
        </w:rPr>
        <w:t>. 10. 2024</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41D93E94"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006C4046">
        <w:rPr>
          <w:rFonts w:cs="Arial"/>
          <w:b/>
          <w:iCs/>
          <w:szCs w:val="20"/>
          <w:lang w:eastAsia="sl-SI"/>
        </w:rPr>
        <w:t>Območni enoti Koper – Postojna – Nova Gorica</w:t>
      </w:r>
      <w:r w:rsidR="006C4046">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 xml:space="preserve">šifra delovnega mesta </w:t>
      </w:r>
      <w:r w:rsidR="007126A3">
        <w:rPr>
          <w:rFonts w:cs="Arial"/>
          <w:b/>
          <w:iCs/>
          <w:szCs w:val="20"/>
          <w:lang w:val="sl-SI" w:eastAsia="sl-SI"/>
        </w:rPr>
        <w:t>1</w:t>
      </w:r>
      <w:r w:rsidR="006C4046">
        <w:rPr>
          <w:rFonts w:cs="Arial"/>
          <w:b/>
          <w:iCs/>
          <w:szCs w:val="20"/>
          <w:lang w:val="sl-SI" w:eastAsia="sl-SI"/>
        </w:rPr>
        <w:t>105</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42FB1C65"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00987747" w:rsidRPr="00987747">
        <w:rPr>
          <w:color w:val="000000"/>
          <w:sz w:val="27"/>
          <w:szCs w:val="27"/>
        </w:rPr>
        <w:t xml:space="preserve"> </w:t>
      </w:r>
      <w:r w:rsidR="00987747">
        <w:rPr>
          <w:color w:val="000000"/>
          <w:sz w:val="27"/>
          <w:szCs w:val="27"/>
        </w:rPr>
        <w:t xml:space="preserve">v </w:t>
      </w:r>
      <w:r w:rsidR="00987747" w:rsidRPr="00987747">
        <w:rPr>
          <w:rFonts w:cs="Arial"/>
          <w:szCs w:val="20"/>
          <w:lang w:val="sl-SI" w:eastAsia="sl-SI"/>
        </w:rPr>
        <w:t>Območni enoti Koper – Postojna – Nova Gorica, v pisarni Postojna, Kolodvorska ulica 5a, 6230 Postojn</w:t>
      </w:r>
      <w:r w:rsidR="00987747">
        <w:rPr>
          <w:rFonts w:cs="Arial"/>
          <w:szCs w:val="20"/>
          <w:lang w:val="sl-SI" w:eastAsia="sl-SI"/>
        </w:rPr>
        <w:t>a</w:t>
      </w:r>
      <w:r w:rsidR="004C3BAC" w:rsidRPr="00987747">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4EDCEC45" w14:textId="51D67B89"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opravljanje neposrednega inšpekcijskega nadzorstva</w:t>
      </w:r>
    </w:p>
    <w:p w14:paraId="0C60FCB8" w14:textId="034ED054"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postopkov po ZUP in izrekanje ukrepov v skladu z ZIN, ZID in drugimi predpisi</w:t>
      </w:r>
    </w:p>
    <w:p w14:paraId="7FCBD6A9" w14:textId="5BB4F78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izvajanje ukrepov v skladu z zakonom o prekrških</w:t>
      </w:r>
    </w:p>
    <w:p w14:paraId="49F71DF6" w14:textId="1E265E9C"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vlaganje kazenskih ovadb za kazniva dejanja</w:t>
      </w:r>
    </w:p>
    <w:p w14:paraId="284536EB" w14:textId="6A2C8E1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priprava podlag za izvedbo akcij nadzora</w:t>
      </w:r>
    </w:p>
    <w:p w14:paraId="025892F7" w14:textId="5152299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evidenc in samostojno oblikovanje zahtevnejših poročil in informacij o stanju na področju dejavnosti nadzora</w:t>
      </w:r>
    </w:p>
    <w:p w14:paraId="1B0ACD0C" w14:textId="13186CA1"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sodelovanje v izobraževalnem procesu organa</w:t>
      </w:r>
    </w:p>
    <w:p w14:paraId="08690B80" w14:textId="1BA5AEC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nudenje strokovne pomoči ter drugo delo iz pristojnosti inšpekcije</w:t>
      </w:r>
    </w:p>
    <w:p w14:paraId="585B9EE3" w14:textId="0DC44880"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 xml:space="preserve">opravljanje drugih nalog podobne zahtevnosti. </w:t>
      </w:r>
    </w:p>
    <w:p w14:paraId="714C67DD" w14:textId="2D816710" w:rsidR="005E76C4" w:rsidRPr="00257681" w:rsidRDefault="005E76C4" w:rsidP="00E224D3">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7B8F06F"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CE44A8">
        <w:rPr>
          <w:rFonts w:cs="Arial"/>
          <w:iCs/>
          <w:szCs w:val="20"/>
          <w:lang w:val="sl-SI" w:eastAsia="sl-SI"/>
        </w:rPr>
        <w:t>KP</w:t>
      </w:r>
      <w:r w:rsidR="00F50970">
        <w:rPr>
          <w:rFonts w:cs="Arial"/>
          <w:iCs/>
          <w:szCs w:val="20"/>
          <w:lang w:val="sl-SI" w:eastAsia="sl-SI"/>
        </w:rPr>
        <w:t>-PO-NG</w:t>
      </w:r>
      <w:r w:rsidRPr="00257681">
        <w:rPr>
          <w:rFonts w:cs="Arial"/>
          <w:iCs/>
          <w:szCs w:val="20"/>
          <w:lang w:val="sl-SI" w:eastAsia="sl-SI"/>
        </w:rPr>
        <w:t>,</w:t>
      </w:r>
      <w:r w:rsidR="001077C6">
        <w:rPr>
          <w:rFonts w:cs="Arial"/>
          <w:iCs/>
          <w:szCs w:val="20"/>
          <w:lang w:val="sl-SI" w:eastAsia="sl-SI"/>
        </w:rPr>
        <w:t xml:space="preserve"> </w:t>
      </w:r>
      <w:r w:rsidRPr="00257681">
        <w:rPr>
          <w:rFonts w:cs="Arial"/>
          <w:iCs/>
          <w:szCs w:val="20"/>
          <w:lang w:val="sl-SI" w:eastAsia="sl-SI"/>
        </w:rPr>
        <w:t>DM: 1</w:t>
      </w:r>
      <w:r w:rsidR="00CE44A8">
        <w:rPr>
          <w:rFonts w:cs="Arial"/>
          <w:iCs/>
          <w:szCs w:val="20"/>
          <w:lang w:val="sl-SI" w:eastAsia="sl-SI"/>
        </w:rPr>
        <w:t>105</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r w:rsidRPr="004A77D0">
        <w:rPr>
          <w:rFonts w:cs="Arial"/>
          <w:szCs w:val="20"/>
        </w:rPr>
        <w:t>Informacije o izvedbi javnega natečaja: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62D7D"/>
    <w:multiLevelType w:val="hybridMultilevel"/>
    <w:tmpl w:val="B84E420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DC025B"/>
    <w:multiLevelType w:val="hybridMultilevel"/>
    <w:tmpl w:val="0600964E"/>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792317">
    <w:abstractNumId w:val="2"/>
  </w:num>
  <w:num w:numId="2" w16cid:durableId="2042054150">
    <w:abstractNumId w:val="3"/>
  </w:num>
  <w:num w:numId="3" w16cid:durableId="661660657">
    <w:abstractNumId w:val="0"/>
  </w:num>
  <w:num w:numId="4" w16cid:durableId="291449162">
    <w:abstractNumId w:val="1"/>
  </w:num>
  <w:num w:numId="5" w16cid:durableId="1365015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1077C6"/>
    <w:rsid w:val="00261147"/>
    <w:rsid w:val="00312597"/>
    <w:rsid w:val="00403C2C"/>
    <w:rsid w:val="00486CA7"/>
    <w:rsid w:val="004C3BAC"/>
    <w:rsid w:val="005E76C4"/>
    <w:rsid w:val="0061374D"/>
    <w:rsid w:val="006C4046"/>
    <w:rsid w:val="007126A3"/>
    <w:rsid w:val="007248FA"/>
    <w:rsid w:val="008625EB"/>
    <w:rsid w:val="00987747"/>
    <w:rsid w:val="00A35883"/>
    <w:rsid w:val="00BF59E6"/>
    <w:rsid w:val="00CE44A8"/>
    <w:rsid w:val="00DD0479"/>
    <w:rsid w:val="00E224D3"/>
    <w:rsid w:val="00ED4738"/>
    <w:rsid w:val="00F50970"/>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1146</Words>
  <Characters>6537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7</cp:revision>
  <dcterms:created xsi:type="dcterms:W3CDTF">2024-10-15T07:39:00Z</dcterms:created>
  <dcterms:modified xsi:type="dcterms:W3CDTF">2024-10-15T08:11:00Z</dcterms:modified>
</cp:coreProperties>
</file>