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C18E" w14:textId="77777777" w:rsidR="004931C8" w:rsidRPr="00FD3FBA" w:rsidRDefault="004931C8" w:rsidP="004931C8">
      <w:pPr>
        <w:spacing w:line="240" w:lineRule="auto"/>
      </w:pPr>
    </w:p>
    <w:p w14:paraId="0D141B5D" w14:textId="77777777" w:rsidR="004931C8" w:rsidRPr="00705472" w:rsidRDefault="004931C8" w:rsidP="004931C8">
      <w:pPr>
        <w:spacing w:line="240" w:lineRule="auto"/>
        <w:rPr>
          <w:rFonts w:cs="Arial"/>
          <w:b/>
          <w:szCs w:val="20"/>
        </w:rPr>
      </w:pPr>
    </w:p>
    <w:p w14:paraId="1E299A04" w14:textId="75B3A496" w:rsidR="004931C8" w:rsidRPr="001524D7" w:rsidRDefault="004931C8" w:rsidP="004931C8">
      <w:pPr>
        <w:pStyle w:val="datumtevilka"/>
      </w:pPr>
      <w:r w:rsidRPr="001524D7">
        <w:t xml:space="preserve">Datum:  </w:t>
      </w:r>
      <w:r>
        <w:t>26</w:t>
      </w:r>
      <w:r w:rsidRPr="001524D7">
        <w:t>.</w:t>
      </w:r>
      <w:r>
        <w:t xml:space="preserve"> 4</w:t>
      </w:r>
      <w:r w:rsidRPr="001524D7">
        <w:t>.</w:t>
      </w:r>
      <w:r>
        <w:t xml:space="preserve"> </w:t>
      </w:r>
      <w:r w:rsidRPr="001524D7">
        <w:t>20</w:t>
      </w:r>
      <w:r>
        <w:t>2</w:t>
      </w:r>
      <w:r>
        <w:t>3</w:t>
      </w:r>
    </w:p>
    <w:p w14:paraId="3D065183" w14:textId="77777777" w:rsidR="004931C8" w:rsidRPr="001524D7" w:rsidRDefault="004931C8" w:rsidP="004931C8">
      <w:pPr>
        <w:pStyle w:val="datumtevilka"/>
      </w:pPr>
    </w:p>
    <w:p w14:paraId="3671ED90" w14:textId="77777777" w:rsidR="004931C8" w:rsidRPr="001524D7" w:rsidRDefault="004931C8" w:rsidP="004931C8">
      <w:pPr>
        <w:pStyle w:val="datumtevilka"/>
      </w:pPr>
    </w:p>
    <w:p w14:paraId="4BB37CBC" w14:textId="77777777" w:rsidR="004931C8" w:rsidRPr="006C444D" w:rsidRDefault="004931C8" w:rsidP="004931C8">
      <w:pPr>
        <w:jc w:val="both"/>
        <w:rPr>
          <w:rFonts w:cs="Arial"/>
          <w:b/>
          <w:bCs/>
          <w:sz w:val="24"/>
        </w:rPr>
      </w:pPr>
      <w:bookmarkStart w:id="0" w:name="_Toc65077485"/>
      <w:bookmarkStart w:id="1" w:name="_Toc65137300"/>
      <w:bookmarkStart w:id="2" w:name="_Toc65139185"/>
      <w:bookmarkStart w:id="3" w:name="_Toc97820922"/>
      <w:bookmarkStart w:id="4" w:name="_Hlk69995537"/>
      <w:r w:rsidRPr="006C444D">
        <w:rPr>
          <w:b/>
          <w:bCs/>
          <w:sz w:val="24"/>
        </w:rPr>
        <w:t xml:space="preserve">Sistemski inšpekcijski nadzor </w:t>
      </w:r>
      <w:bookmarkStart w:id="5" w:name="_Toc97820953"/>
      <w:bookmarkEnd w:id="0"/>
      <w:bookmarkEnd w:id="1"/>
      <w:bookmarkEnd w:id="2"/>
      <w:bookmarkEnd w:id="3"/>
      <w:r w:rsidRPr="006C444D">
        <w:rPr>
          <w:b/>
          <w:bCs/>
          <w:sz w:val="24"/>
        </w:rPr>
        <w:t xml:space="preserve">nad </w:t>
      </w:r>
      <w:bookmarkEnd w:id="5"/>
      <w:r w:rsidRPr="006C444D">
        <w:rPr>
          <w:rFonts w:cs="Arial"/>
          <w:b/>
          <w:bCs/>
          <w:sz w:val="24"/>
        </w:rPr>
        <w:t xml:space="preserve">zadnjimi spremembami (novosti), opredeljenih v ZUP in UUP </w:t>
      </w:r>
    </w:p>
    <w:p w14:paraId="3FC526D1" w14:textId="77777777" w:rsidR="004931C8" w:rsidRPr="001524D7" w:rsidRDefault="004931C8" w:rsidP="004931C8">
      <w:pPr>
        <w:pStyle w:val="ZADEVA"/>
        <w:tabs>
          <w:tab w:val="clear" w:pos="1701"/>
          <w:tab w:val="left" w:pos="0"/>
        </w:tabs>
        <w:jc w:val="both"/>
        <w:rPr>
          <w:rFonts w:cs="Arial"/>
          <w:b w:val="0"/>
          <w:szCs w:val="20"/>
          <w:lang w:val="sl-SI"/>
        </w:rPr>
      </w:pPr>
    </w:p>
    <w:p w14:paraId="096EF6B2" w14:textId="77777777" w:rsidR="004931C8" w:rsidRDefault="004931C8" w:rsidP="004931C8">
      <w:pPr>
        <w:jc w:val="both"/>
        <w:rPr>
          <w:rFonts w:cs="Arial"/>
          <w:szCs w:val="20"/>
        </w:rPr>
      </w:pPr>
      <w:bookmarkStart w:id="6" w:name="_Hlk128654513"/>
      <w:bookmarkEnd w:id="4"/>
      <w:r w:rsidRPr="00312564">
        <w:rPr>
          <w:rFonts w:cs="Arial"/>
          <w:szCs w:val="20"/>
        </w:rPr>
        <w:t xml:space="preserve">Upravna inšpekcija je v letu 2022 izvedla </w:t>
      </w:r>
      <w:r>
        <w:rPr>
          <w:rFonts w:cs="Arial"/>
          <w:szCs w:val="20"/>
        </w:rPr>
        <w:t>6</w:t>
      </w:r>
      <w:r w:rsidRPr="00312564">
        <w:rPr>
          <w:rFonts w:cs="Arial"/>
          <w:szCs w:val="20"/>
        </w:rPr>
        <w:t xml:space="preserve"> sistemskih nadzorov</w:t>
      </w:r>
      <w:r>
        <w:rPr>
          <w:rFonts w:cs="Arial"/>
          <w:szCs w:val="20"/>
        </w:rPr>
        <w:t xml:space="preserve"> </w:t>
      </w:r>
      <w:r w:rsidRPr="00312564">
        <w:rPr>
          <w:rFonts w:cs="Arial"/>
          <w:szCs w:val="20"/>
        </w:rPr>
        <w:t>pri naslednjih zavezancih</w:t>
      </w:r>
      <w:r>
        <w:rPr>
          <w:rFonts w:cs="Arial"/>
          <w:szCs w:val="20"/>
        </w:rPr>
        <w:t>:</w:t>
      </w:r>
    </w:p>
    <w:p w14:paraId="00FACB2E" w14:textId="77777777" w:rsidR="004931C8" w:rsidRPr="005C4231" w:rsidRDefault="004931C8" w:rsidP="004931C8">
      <w:pPr>
        <w:jc w:val="both"/>
        <w:rPr>
          <w:rFonts w:cs="Arial"/>
          <w:b/>
          <w:bCs/>
          <w:szCs w:val="20"/>
        </w:rPr>
      </w:pPr>
      <w:r w:rsidRPr="005C4231">
        <w:rPr>
          <w:rFonts w:cs="Arial"/>
          <w:b/>
          <w:bCs/>
          <w:szCs w:val="20"/>
        </w:rPr>
        <w:t>Mestna občina Nova Gorica, Mestna občina Murska Sobota, Upravna enota Grosuplje, Upravna enota Vrhnika, Center za socialno delo Posavje</w:t>
      </w:r>
      <w:r>
        <w:rPr>
          <w:rFonts w:cs="Arial"/>
          <w:b/>
          <w:bCs/>
          <w:szCs w:val="20"/>
        </w:rPr>
        <w:t xml:space="preserve"> in na</w:t>
      </w:r>
      <w:r w:rsidRPr="005C4231">
        <w:rPr>
          <w:rFonts w:cs="Arial"/>
          <w:b/>
          <w:bCs/>
          <w:szCs w:val="20"/>
        </w:rPr>
        <w:t xml:space="preserve"> Center za socialno delo Gorenjske.</w:t>
      </w:r>
    </w:p>
    <w:p w14:paraId="30516640" w14:textId="77777777" w:rsidR="004931C8" w:rsidRDefault="004931C8" w:rsidP="004931C8">
      <w:pPr>
        <w:jc w:val="both"/>
        <w:rPr>
          <w:rFonts w:cs="Arial"/>
          <w:szCs w:val="20"/>
        </w:rPr>
      </w:pPr>
    </w:p>
    <w:p w14:paraId="3DCC641E" w14:textId="77777777" w:rsidR="004931C8" w:rsidRPr="00312564" w:rsidRDefault="004931C8" w:rsidP="004931C8">
      <w:pPr>
        <w:jc w:val="both"/>
        <w:rPr>
          <w:rFonts w:cs="Arial"/>
          <w:szCs w:val="20"/>
        </w:rPr>
      </w:pPr>
      <w:r>
        <w:rPr>
          <w:rFonts w:cs="Arial"/>
          <w:szCs w:val="20"/>
        </w:rPr>
        <w:t xml:space="preserve">Namen je bil </w:t>
      </w:r>
      <w:r w:rsidRPr="00312564">
        <w:rPr>
          <w:rFonts w:cs="Arial"/>
          <w:szCs w:val="20"/>
        </w:rPr>
        <w:t xml:space="preserve">ugotoviti v kolikšni meri organi sledijo novitetam na tem področju in tudi vzpodbuditi organe k čim večjemu obsegu elektronskega poslovanja. </w:t>
      </w:r>
    </w:p>
    <w:p w14:paraId="6529A116" w14:textId="77777777" w:rsidR="004931C8" w:rsidRPr="00312564" w:rsidRDefault="004931C8" w:rsidP="004931C8">
      <w:pPr>
        <w:jc w:val="both"/>
        <w:rPr>
          <w:rFonts w:cs="Arial"/>
          <w:szCs w:val="20"/>
        </w:rPr>
      </w:pPr>
    </w:p>
    <w:p w14:paraId="0915A469" w14:textId="77777777" w:rsidR="004931C8" w:rsidRPr="00312564" w:rsidRDefault="004931C8" w:rsidP="004931C8">
      <w:pPr>
        <w:jc w:val="both"/>
        <w:rPr>
          <w:rFonts w:cs="Arial"/>
          <w:szCs w:val="20"/>
        </w:rPr>
      </w:pPr>
      <w:r w:rsidRPr="00312564">
        <w:rPr>
          <w:rFonts w:cs="Arial"/>
          <w:szCs w:val="20"/>
        </w:rPr>
        <w:t xml:space="preserve">Pravila vročanja dokumentov po ZUP in tudi pravila poslovanja z dokumentarnim gradivom na podlagi UUP, dajejo prednost vročanju dokumentov v elektronski obliki pred vročanjem dokumentov v fizični obliki oziroma prednost elektronskemu pred fizičnim vročanjem. Pri tem ni odločilno, ali se vroča fizični ali pravni osebi, državnemu organu ali občini. Tako sklepanje temelji na celotni spremembi ZUP, ki se je uveljavila z </w:t>
      </w:r>
      <w:proofErr w:type="spellStart"/>
      <w:r w:rsidRPr="00312564">
        <w:rPr>
          <w:rFonts w:cs="Arial"/>
          <w:szCs w:val="20"/>
        </w:rPr>
        <w:t>ZDeb</w:t>
      </w:r>
      <w:proofErr w:type="spellEnd"/>
      <w:r w:rsidRPr="00312564">
        <w:rPr>
          <w:rFonts w:cs="Arial"/>
          <w:szCs w:val="20"/>
        </w:rPr>
        <w:t>, saj je pretežno namenjena prav elektronskemu vročanju. Organ praviloma vroča dokumente v elek</w:t>
      </w:r>
      <w:r>
        <w:rPr>
          <w:rFonts w:cs="Arial"/>
          <w:szCs w:val="20"/>
        </w:rPr>
        <w:t>t</w:t>
      </w:r>
      <w:r w:rsidRPr="00312564">
        <w:rPr>
          <w:rFonts w:cs="Arial"/>
          <w:szCs w:val="20"/>
        </w:rPr>
        <w:t>ronski obliki, če je oseba registrirala elektronski naslov ali če je med postopkom sporočila elektronski naslov. Enako velja, če je med postopkom vložila vlogo v elektronski obliki iz elektronskega naslova ali če je organu iz druge upravne zadeve iz njegove pristojnosti znano, da uporablja določen elektronski naslov. V teh primerih je vročanje pogojeno s predhodnim obvestilom stranki, da se elektronski naslov lahko uporablja za vročanje, če ne bo sporočila drugače.</w:t>
      </w:r>
    </w:p>
    <w:p w14:paraId="1E50F456" w14:textId="77777777" w:rsidR="004931C8" w:rsidRDefault="004931C8" w:rsidP="004931C8">
      <w:pPr>
        <w:jc w:val="both"/>
        <w:rPr>
          <w:rFonts w:cs="Arial"/>
          <w:szCs w:val="20"/>
        </w:rPr>
      </w:pPr>
    </w:p>
    <w:p w14:paraId="22BA56D1" w14:textId="77777777" w:rsidR="004931C8" w:rsidRDefault="004931C8" w:rsidP="004931C8">
      <w:pPr>
        <w:jc w:val="both"/>
        <w:rPr>
          <w:rFonts w:cs="Arial"/>
          <w:szCs w:val="20"/>
        </w:rPr>
      </w:pPr>
      <w:r>
        <w:rPr>
          <w:rFonts w:cs="Arial"/>
          <w:szCs w:val="20"/>
        </w:rPr>
        <w:t>V s</w:t>
      </w:r>
      <w:r w:rsidRPr="00312564">
        <w:rPr>
          <w:rFonts w:cs="Arial"/>
          <w:szCs w:val="20"/>
        </w:rPr>
        <w:t>istemsk</w:t>
      </w:r>
      <w:r>
        <w:rPr>
          <w:rFonts w:cs="Arial"/>
          <w:szCs w:val="20"/>
        </w:rPr>
        <w:t xml:space="preserve">ih nadzorih so bile, glede na tip organa, ugotovljene različne </w:t>
      </w:r>
      <w:r w:rsidRPr="00312564">
        <w:rPr>
          <w:rFonts w:cs="Arial"/>
          <w:szCs w:val="20"/>
        </w:rPr>
        <w:t xml:space="preserve">nepravilnosti </w:t>
      </w:r>
      <w:r>
        <w:rPr>
          <w:rFonts w:cs="Arial"/>
          <w:szCs w:val="20"/>
        </w:rPr>
        <w:t xml:space="preserve">pri </w:t>
      </w:r>
      <w:r w:rsidRPr="00312564">
        <w:rPr>
          <w:rFonts w:cs="Arial"/>
          <w:szCs w:val="20"/>
        </w:rPr>
        <w:t>elektronske</w:t>
      </w:r>
      <w:r>
        <w:rPr>
          <w:rFonts w:cs="Arial"/>
          <w:szCs w:val="20"/>
        </w:rPr>
        <w:t xml:space="preserve">m </w:t>
      </w:r>
      <w:r w:rsidRPr="00312564">
        <w:rPr>
          <w:rFonts w:cs="Arial"/>
          <w:szCs w:val="20"/>
        </w:rPr>
        <w:t xml:space="preserve"> poslovanj</w:t>
      </w:r>
      <w:r>
        <w:rPr>
          <w:rFonts w:cs="Arial"/>
          <w:szCs w:val="20"/>
        </w:rPr>
        <w:t>u.</w:t>
      </w:r>
    </w:p>
    <w:p w14:paraId="61A16604" w14:textId="77777777" w:rsidR="004931C8" w:rsidRDefault="004931C8" w:rsidP="004931C8">
      <w:pPr>
        <w:jc w:val="both"/>
        <w:rPr>
          <w:rFonts w:cs="Arial"/>
          <w:szCs w:val="20"/>
        </w:rPr>
      </w:pPr>
    </w:p>
    <w:p w14:paraId="07D39C58" w14:textId="77777777" w:rsidR="004931C8" w:rsidRPr="00312564" w:rsidRDefault="004931C8" w:rsidP="004931C8">
      <w:pPr>
        <w:jc w:val="both"/>
        <w:rPr>
          <w:rFonts w:cs="Arial"/>
          <w:b/>
          <w:bCs/>
          <w:szCs w:val="20"/>
          <w:u w:val="single"/>
        </w:rPr>
      </w:pPr>
      <w:r w:rsidRPr="00312564">
        <w:rPr>
          <w:rFonts w:cs="Arial"/>
          <w:b/>
          <w:bCs/>
          <w:szCs w:val="20"/>
          <w:u w:val="single"/>
        </w:rPr>
        <w:t>Upravne enote:</w:t>
      </w:r>
    </w:p>
    <w:p w14:paraId="5C219D3B" w14:textId="77777777" w:rsidR="004931C8" w:rsidRPr="00312564" w:rsidRDefault="004931C8" w:rsidP="004931C8">
      <w:pPr>
        <w:jc w:val="both"/>
        <w:rPr>
          <w:rFonts w:cs="Arial"/>
          <w:b/>
          <w:bCs/>
          <w:szCs w:val="20"/>
          <w:u w:val="single"/>
        </w:rPr>
      </w:pPr>
    </w:p>
    <w:p w14:paraId="1099C24B" w14:textId="77777777" w:rsidR="004931C8" w:rsidRPr="00312564" w:rsidRDefault="004931C8" w:rsidP="004931C8">
      <w:pPr>
        <w:jc w:val="both"/>
        <w:rPr>
          <w:rFonts w:cs="Arial"/>
          <w:b/>
          <w:bCs/>
          <w:szCs w:val="20"/>
        </w:rPr>
      </w:pPr>
      <w:r w:rsidRPr="00312564">
        <w:rPr>
          <w:rFonts w:cs="Arial"/>
          <w:b/>
          <w:bCs/>
          <w:szCs w:val="20"/>
        </w:rPr>
        <w:t>Primeri:</w:t>
      </w:r>
    </w:p>
    <w:p w14:paraId="75BF7343" w14:textId="77777777" w:rsidR="004931C8" w:rsidRPr="00312564" w:rsidRDefault="004931C8" w:rsidP="004931C8">
      <w:pPr>
        <w:pStyle w:val="Odstavekseznama"/>
        <w:numPr>
          <w:ilvl w:val="0"/>
          <w:numId w:val="1"/>
        </w:numPr>
        <w:jc w:val="both"/>
        <w:rPr>
          <w:rFonts w:ascii="Arial" w:eastAsia="Times New Roman" w:hAnsi="Arial" w:cs="Arial"/>
          <w:sz w:val="20"/>
          <w:szCs w:val="20"/>
          <w:lang w:val="sl-SI"/>
        </w:rPr>
      </w:pPr>
      <w:r w:rsidRPr="00312564">
        <w:rPr>
          <w:rFonts w:ascii="Arial" w:eastAsia="Times New Roman" w:hAnsi="Arial" w:cs="Arial"/>
          <w:sz w:val="20"/>
          <w:szCs w:val="20"/>
          <w:lang w:val="sl-SI"/>
        </w:rPr>
        <w:t xml:space="preserve">Stranke predhodno ne obveščajo o tem, da jim bodo dokumente lahko vročali po e-pošti, ko so za to izpolnjeni pogoji. </w:t>
      </w:r>
    </w:p>
    <w:p w14:paraId="4CB5BE23" w14:textId="77777777" w:rsidR="004931C8" w:rsidRPr="00312564" w:rsidRDefault="004931C8" w:rsidP="004931C8">
      <w:pPr>
        <w:pStyle w:val="Odstavekseznama"/>
        <w:numPr>
          <w:ilvl w:val="0"/>
          <w:numId w:val="1"/>
        </w:numPr>
        <w:jc w:val="both"/>
        <w:rPr>
          <w:rFonts w:ascii="Arial" w:eastAsia="Times New Roman" w:hAnsi="Arial" w:cs="Arial"/>
          <w:sz w:val="20"/>
          <w:szCs w:val="20"/>
          <w:lang w:val="sl-SI"/>
        </w:rPr>
      </w:pPr>
      <w:r w:rsidRPr="00312564">
        <w:rPr>
          <w:rFonts w:ascii="Arial" w:eastAsia="Times New Roman" w:hAnsi="Arial" w:cs="Arial"/>
          <w:sz w:val="20"/>
          <w:szCs w:val="20"/>
          <w:lang w:val="sl-SI"/>
        </w:rPr>
        <w:t>Fizičnih kopij odločb oz. sklepov v elektronski obliki ne opremljajo s potrdilom o skladnosti kopije z izvirnikom dokumenta in strank ob vročitvi ne poučijo, da lahko zahtevajo, da se jim pošlje izvirnik na elektronski naslov ali potrdi skladnost kopije z izvirnikom, in da uveljavljanje zahteve ne vpliva na pravni položaj oziroma tek roka, ki je začel teči z vročitvijo kopije.</w:t>
      </w:r>
    </w:p>
    <w:p w14:paraId="734C14A9" w14:textId="77777777" w:rsidR="004931C8" w:rsidRPr="00312564" w:rsidRDefault="004931C8" w:rsidP="004931C8">
      <w:pPr>
        <w:pStyle w:val="Odstavekseznama"/>
        <w:numPr>
          <w:ilvl w:val="0"/>
          <w:numId w:val="1"/>
        </w:numPr>
        <w:jc w:val="both"/>
        <w:rPr>
          <w:rFonts w:ascii="Arial" w:eastAsia="Times New Roman" w:hAnsi="Arial" w:cs="Arial"/>
          <w:sz w:val="20"/>
          <w:szCs w:val="20"/>
          <w:lang w:val="sl-SI"/>
        </w:rPr>
      </w:pPr>
      <w:r w:rsidRPr="00312564">
        <w:rPr>
          <w:rFonts w:ascii="Arial" w:eastAsia="Times New Roman" w:hAnsi="Arial" w:cs="Arial"/>
          <w:sz w:val="20"/>
          <w:szCs w:val="20"/>
          <w:lang w:val="sl-SI"/>
        </w:rPr>
        <w:t>E-podpisi ne vsebujejo vseh predpisanih vsebin, in sicer na podpisu na vidnem mestu ni označeno, da je dokument elektronsko podpisan.</w:t>
      </w:r>
    </w:p>
    <w:p w14:paraId="48C19054" w14:textId="77777777" w:rsidR="004931C8" w:rsidRPr="00312564" w:rsidRDefault="004931C8" w:rsidP="004931C8">
      <w:pPr>
        <w:jc w:val="both"/>
        <w:rPr>
          <w:rFonts w:cs="Arial"/>
          <w:szCs w:val="20"/>
        </w:rPr>
      </w:pPr>
    </w:p>
    <w:p w14:paraId="44CAC6F3" w14:textId="77777777" w:rsidR="004931C8" w:rsidRPr="00312564" w:rsidRDefault="004931C8" w:rsidP="004931C8">
      <w:pPr>
        <w:jc w:val="both"/>
        <w:rPr>
          <w:rFonts w:cs="Arial"/>
          <w:b/>
          <w:bCs/>
          <w:szCs w:val="20"/>
          <w:u w:val="single"/>
        </w:rPr>
      </w:pPr>
      <w:r w:rsidRPr="00312564">
        <w:rPr>
          <w:rFonts w:cs="Arial"/>
          <w:b/>
          <w:bCs/>
          <w:szCs w:val="20"/>
          <w:u w:val="single"/>
        </w:rPr>
        <w:t xml:space="preserve">Centri za socialne zadeve: </w:t>
      </w:r>
    </w:p>
    <w:p w14:paraId="323F295A" w14:textId="77777777" w:rsidR="004931C8" w:rsidRPr="00312564" w:rsidRDefault="004931C8" w:rsidP="004931C8">
      <w:pPr>
        <w:jc w:val="both"/>
        <w:rPr>
          <w:rFonts w:cs="Arial"/>
          <w:b/>
          <w:bCs/>
          <w:szCs w:val="20"/>
          <w:u w:val="single"/>
        </w:rPr>
      </w:pPr>
    </w:p>
    <w:p w14:paraId="3C2229B4" w14:textId="77777777" w:rsidR="004931C8" w:rsidRPr="00312564" w:rsidRDefault="004931C8" w:rsidP="004931C8">
      <w:pPr>
        <w:jc w:val="both"/>
        <w:rPr>
          <w:rFonts w:cs="Arial"/>
          <w:b/>
          <w:bCs/>
          <w:szCs w:val="20"/>
        </w:rPr>
      </w:pPr>
      <w:r w:rsidRPr="00312564">
        <w:rPr>
          <w:rFonts w:cs="Arial"/>
          <w:b/>
          <w:bCs/>
          <w:szCs w:val="20"/>
        </w:rPr>
        <w:t>Primeri:</w:t>
      </w:r>
    </w:p>
    <w:p w14:paraId="05A6A73A" w14:textId="77777777" w:rsidR="004931C8" w:rsidRPr="00312564" w:rsidRDefault="004931C8" w:rsidP="004931C8">
      <w:pPr>
        <w:pStyle w:val="Odstavekseznama"/>
        <w:numPr>
          <w:ilvl w:val="0"/>
          <w:numId w:val="1"/>
        </w:numPr>
        <w:jc w:val="both"/>
        <w:rPr>
          <w:rFonts w:ascii="Arial" w:eastAsia="Times New Roman" w:hAnsi="Arial" w:cs="Arial"/>
          <w:sz w:val="20"/>
          <w:szCs w:val="20"/>
          <w:lang w:val="sl-SI"/>
        </w:rPr>
      </w:pPr>
      <w:r w:rsidRPr="00312564">
        <w:rPr>
          <w:rFonts w:ascii="Arial" w:eastAsia="Times New Roman" w:hAnsi="Arial" w:cs="Arial"/>
          <w:sz w:val="20"/>
          <w:szCs w:val="20"/>
          <w:lang w:val="sl-SI"/>
        </w:rPr>
        <w:lastRenderedPageBreak/>
        <w:t>Pri sistemskih inšpekcijskih nadzorih CSD-jev je bilo ugotovljeno, da CSD-ji praktično ne poslujejo po elektronski poti. 37.a člen Zakona o uveljavljanju pravic iz javnih sredstev (Uradni list RS, št. 62/10, 40/11, 40/12–ZUJF, 57/12–ZPCP-2D, 14/13, 56/13–ZŠtip-1, 99/13, 14/15–ZUUJFO, 57/15, 90/15, 38/16–</w:t>
      </w:r>
      <w:proofErr w:type="spellStart"/>
      <w:r w:rsidRPr="00312564">
        <w:rPr>
          <w:rFonts w:ascii="Arial" w:eastAsia="Times New Roman" w:hAnsi="Arial" w:cs="Arial"/>
          <w:sz w:val="20"/>
          <w:szCs w:val="20"/>
          <w:lang w:val="sl-SI"/>
        </w:rPr>
        <w:t>odl</w:t>
      </w:r>
      <w:proofErr w:type="spellEnd"/>
      <w:r w:rsidRPr="00312564">
        <w:rPr>
          <w:rFonts w:ascii="Arial" w:eastAsia="Times New Roman" w:hAnsi="Arial" w:cs="Arial"/>
          <w:sz w:val="20"/>
          <w:szCs w:val="20"/>
          <w:lang w:val="sl-SI"/>
        </w:rPr>
        <w:t>. US, 51/16–</w:t>
      </w:r>
      <w:proofErr w:type="spellStart"/>
      <w:r w:rsidRPr="00312564">
        <w:rPr>
          <w:rFonts w:ascii="Arial" w:eastAsia="Times New Roman" w:hAnsi="Arial" w:cs="Arial"/>
          <w:sz w:val="20"/>
          <w:szCs w:val="20"/>
          <w:lang w:val="sl-SI"/>
        </w:rPr>
        <w:t>odl</w:t>
      </w:r>
      <w:proofErr w:type="spellEnd"/>
      <w:r w:rsidRPr="00312564">
        <w:rPr>
          <w:rFonts w:ascii="Arial" w:eastAsia="Times New Roman" w:hAnsi="Arial" w:cs="Arial"/>
          <w:sz w:val="20"/>
          <w:szCs w:val="20"/>
          <w:lang w:val="sl-SI"/>
        </w:rPr>
        <w:t>. US, 88/16, 61/17–ZUPŠ, 75/17, 77/18, 47/19, 189/20–ZFRO in 54/22–ZUPŠ-1) namreč CSD-jem nalaga, da se odločba, s katero odloči o pravici po tem zakonu, vroča z dostavo v hišni predalčnik. Morebitne dopolnitve vlog in preostala komunikacija s strankami poteka pretežno z osebnim načinom vročanja z vročilnico po 87. členu ZUP, v zadnjem obdobju pa so začeli tudi z izdajo dokumentov v elektronski obliki.</w:t>
      </w:r>
    </w:p>
    <w:p w14:paraId="6569FE76" w14:textId="77777777" w:rsidR="004931C8" w:rsidRPr="00312564" w:rsidRDefault="004931C8" w:rsidP="004931C8">
      <w:pPr>
        <w:jc w:val="both"/>
        <w:rPr>
          <w:rFonts w:cs="Arial"/>
          <w:b/>
          <w:bCs/>
          <w:szCs w:val="20"/>
          <w:u w:val="single"/>
        </w:rPr>
      </w:pPr>
    </w:p>
    <w:p w14:paraId="2E53DD05" w14:textId="77777777" w:rsidR="004931C8" w:rsidRPr="00312564" w:rsidRDefault="004931C8" w:rsidP="004931C8">
      <w:pPr>
        <w:jc w:val="both"/>
        <w:rPr>
          <w:rFonts w:cs="Arial"/>
          <w:b/>
          <w:bCs/>
          <w:szCs w:val="20"/>
          <w:u w:val="single"/>
        </w:rPr>
      </w:pPr>
      <w:r w:rsidRPr="00312564">
        <w:rPr>
          <w:rFonts w:cs="Arial"/>
          <w:b/>
          <w:bCs/>
          <w:szCs w:val="20"/>
          <w:u w:val="single"/>
        </w:rPr>
        <w:t>Občine:</w:t>
      </w:r>
    </w:p>
    <w:p w14:paraId="6252CEB9" w14:textId="77777777" w:rsidR="004931C8" w:rsidRPr="00312564" w:rsidRDefault="004931C8" w:rsidP="004931C8">
      <w:pPr>
        <w:jc w:val="both"/>
        <w:rPr>
          <w:rFonts w:cs="Arial"/>
          <w:b/>
          <w:bCs/>
          <w:szCs w:val="20"/>
          <w:u w:val="single"/>
        </w:rPr>
      </w:pPr>
    </w:p>
    <w:p w14:paraId="1DD17B1B" w14:textId="77777777" w:rsidR="004931C8" w:rsidRPr="00312564" w:rsidRDefault="004931C8" w:rsidP="004931C8">
      <w:pPr>
        <w:jc w:val="both"/>
        <w:rPr>
          <w:rFonts w:cs="Arial"/>
          <w:b/>
          <w:bCs/>
          <w:szCs w:val="20"/>
        </w:rPr>
      </w:pPr>
      <w:r w:rsidRPr="00312564">
        <w:rPr>
          <w:rFonts w:cs="Arial"/>
          <w:b/>
          <w:bCs/>
          <w:szCs w:val="20"/>
        </w:rPr>
        <w:t>Primeri:</w:t>
      </w:r>
    </w:p>
    <w:p w14:paraId="086C83DE" w14:textId="77777777" w:rsidR="004931C8" w:rsidRPr="00312564" w:rsidRDefault="004931C8" w:rsidP="004931C8">
      <w:pPr>
        <w:pStyle w:val="Odstavekseznama"/>
        <w:numPr>
          <w:ilvl w:val="0"/>
          <w:numId w:val="1"/>
        </w:numPr>
        <w:jc w:val="both"/>
        <w:rPr>
          <w:rFonts w:ascii="Arial" w:eastAsia="Times New Roman" w:hAnsi="Arial" w:cs="Arial"/>
          <w:sz w:val="20"/>
          <w:szCs w:val="20"/>
          <w:lang w:val="sl-SI"/>
        </w:rPr>
      </w:pPr>
      <w:r w:rsidRPr="00312564">
        <w:rPr>
          <w:rFonts w:ascii="Arial" w:eastAsia="Times New Roman" w:hAnsi="Arial" w:cs="Arial"/>
          <w:sz w:val="20"/>
          <w:szCs w:val="20"/>
          <w:lang w:val="sl-SI"/>
        </w:rPr>
        <w:t>Nepravilnosti pri izvedbi elektronskega podpisovanja dokumentov (pomanjkljivosti zapisov vizualizacije elektronskega podpisa, dokumenti podpisani s strani dveh uradnih oseb z elektronskim podpisom in istočasno tudi z lastnoročnimi podpisi uradnih oseb, ki so jih izdali).</w:t>
      </w:r>
    </w:p>
    <w:p w14:paraId="460B92F2" w14:textId="77777777" w:rsidR="004931C8" w:rsidRPr="00312564" w:rsidRDefault="004931C8" w:rsidP="004931C8">
      <w:pPr>
        <w:pStyle w:val="Odstavekseznama"/>
        <w:numPr>
          <w:ilvl w:val="0"/>
          <w:numId w:val="1"/>
        </w:numPr>
        <w:jc w:val="both"/>
        <w:rPr>
          <w:rFonts w:ascii="Arial" w:eastAsia="Times New Roman" w:hAnsi="Arial" w:cs="Arial"/>
          <w:sz w:val="20"/>
          <w:szCs w:val="20"/>
          <w:lang w:val="sl-SI"/>
        </w:rPr>
      </w:pPr>
      <w:r w:rsidRPr="00312564">
        <w:rPr>
          <w:rFonts w:ascii="Arial" w:eastAsia="Times New Roman" w:hAnsi="Arial" w:cs="Arial"/>
          <w:sz w:val="20"/>
          <w:szCs w:val="20"/>
          <w:lang w:val="sl-SI"/>
        </w:rPr>
        <w:t xml:space="preserve">Dokumenti izdani v elektronski obliki niso opremljeni s predpisano poučitvijo strankam postopka, kot to določa UUP v 65.b členu.  </w:t>
      </w:r>
    </w:p>
    <w:p w14:paraId="451129B4" w14:textId="77777777" w:rsidR="004931C8" w:rsidRPr="00312564" w:rsidRDefault="004931C8" w:rsidP="004931C8">
      <w:pPr>
        <w:pStyle w:val="Odstavekseznama"/>
        <w:numPr>
          <w:ilvl w:val="0"/>
          <w:numId w:val="1"/>
        </w:numPr>
        <w:jc w:val="both"/>
        <w:rPr>
          <w:rFonts w:ascii="Arial" w:eastAsia="Times New Roman" w:hAnsi="Arial" w:cs="Arial"/>
          <w:sz w:val="20"/>
          <w:szCs w:val="20"/>
          <w:lang w:val="sl-SI"/>
        </w:rPr>
      </w:pPr>
      <w:r w:rsidRPr="00312564">
        <w:rPr>
          <w:rFonts w:ascii="Arial" w:eastAsia="Times New Roman" w:hAnsi="Arial" w:cs="Arial"/>
          <w:sz w:val="20"/>
          <w:szCs w:val="20"/>
          <w:lang w:val="sl-SI"/>
        </w:rPr>
        <w:t>Dokumenti, ki se vročajo osebno in so izdelani v fizični obliki in fizično podpisani, se strankam vročajo tako po elektronski poti kot fizično.</w:t>
      </w:r>
    </w:p>
    <w:bookmarkEnd w:id="6"/>
    <w:p w14:paraId="404CB8B3" w14:textId="77777777" w:rsidR="00890A5B" w:rsidRDefault="00890A5B" w:rsidP="004931C8">
      <w:pPr>
        <w:autoSpaceDE w:val="0"/>
        <w:autoSpaceDN w:val="0"/>
        <w:adjustRightInd w:val="0"/>
        <w:spacing w:line="240" w:lineRule="auto"/>
        <w:jc w:val="both"/>
      </w:pPr>
    </w:p>
    <w:sectPr w:rsidR="00890A5B" w:rsidSect="00783310">
      <w:headerReference w:type="default" r:id="rId5"/>
      <w:footerReference w:type="even" r:id="rId6"/>
      <w:footerReference w:type="default" r:id="rId7"/>
      <w:headerReference w:type="first" r:id="rId8"/>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487A" w14:textId="77777777" w:rsidR="00F04B14"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end"/>
    </w:r>
  </w:p>
  <w:p w14:paraId="0CFB393B" w14:textId="77777777" w:rsidR="00F04B14"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90C6" w14:textId="77777777" w:rsidR="00F04B14"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separate"/>
    </w:r>
    <w:r>
      <w:rPr>
        <w:rStyle w:val="tevilkastrani"/>
        <w:rFonts w:eastAsia="SimSun"/>
        <w:noProof/>
      </w:rPr>
      <w:t>2</w:t>
    </w:r>
    <w:r>
      <w:rPr>
        <w:rStyle w:val="tevilkastrani"/>
        <w:rFonts w:eastAsia="SimSun"/>
        <w:noProof/>
      </w:rPr>
      <w:t>8</w:t>
    </w:r>
    <w:r>
      <w:rPr>
        <w:rStyle w:val="tevilkastrani"/>
        <w:rFonts w:eastAsia="SimSun"/>
      </w:rPr>
      <w:fldChar w:fldCharType="end"/>
    </w:r>
  </w:p>
  <w:p w14:paraId="0B71E894" w14:textId="77777777" w:rsidR="00F04B14" w:rsidRDefault="00000000">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6800" w14:textId="77777777" w:rsidR="00F04B14"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F04B14" w:rsidRPr="008F3500" w14:paraId="440CF105"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30CA81B" w14:textId="77777777" w:rsidR="00F04B14" w:rsidRDefault="00000000"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2799F358" w14:textId="77777777" w:rsidR="00F04B14" w:rsidRPr="006D42D9" w:rsidRDefault="00000000" w:rsidP="006D42D9">
          <w:pPr>
            <w:rPr>
              <w:rFonts w:ascii="Republika" w:hAnsi="Republika"/>
              <w:sz w:val="60"/>
              <w:szCs w:val="60"/>
            </w:rPr>
          </w:pPr>
        </w:p>
        <w:p w14:paraId="58194126" w14:textId="77777777" w:rsidR="00F04B14" w:rsidRPr="006D42D9" w:rsidRDefault="00000000" w:rsidP="006D42D9">
          <w:pPr>
            <w:rPr>
              <w:rFonts w:ascii="Republika" w:hAnsi="Republika"/>
              <w:sz w:val="60"/>
              <w:szCs w:val="60"/>
            </w:rPr>
          </w:pPr>
        </w:p>
        <w:p w14:paraId="5BE521E6" w14:textId="77777777" w:rsidR="00F04B14" w:rsidRPr="006D42D9" w:rsidRDefault="00000000" w:rsidP="006D42D9">
          <w:pPr>
            <w:rPr>
              <w:rFonts w:ascii="Republika" w:hAnsi="Republika"/>
              <w:sz w:val="60"/>
              <w:szCs w:val="60"/>
            </w:rPr>
          </w:pPr>
        </w:p>
        <w:p w14:paraId="00525F42" w14:textId="77777777" w:rsidR="00F04B14" w:rsidRPr="006D42D9" w:rsidRDefault="00000000" w:rsidP="006D42D9">
          <w:pPr>
            <w:rPr>
              <w:rFonts w:ascii="Republika" w:hAnsi="Republika"/>
              <w:sz w:val="60"/>
              <w:szCs w:val="60"/>
            </w:rPr>
          </w:pPr>
        </w:p>
        <w:p w14:paraId="731D0D43" w14:textId="77777777" w:rsidR="00F04B14" w:rsidRPr="006D42D9" w:rsidRDefault="00000000" w:rsidP="006D42D9">
          <w:pPr>
            <w:rPr>
              <w:rFonts w:ascii="Republika" w:hAnsi="Republika"/>
              <w:sz w:val="60"/>
              <w:szCs w:val="60"/>
            </w:rPr>
          </w:pPr>
        </w:p>
        <w:p w14:paraId="3C92BC93" w14:textId="77777777" w:rsidR="00F04B14" w:rsidRPr="006D42D9" w:rsidRDefault="00000000" w:rsidP="006D42D9">
          <w:pPr>
            <w:rPr>
              <w:rFonts w:ascii="Republika" w:hAnsi="Republika"/>
              <w:sz w:val="60"/>
              <w:szCs w:val="60"/>
            </w:rPr>
          </w:pPr>
        </w:p>
        <w:p w14:paraId="64593794" w14:textId="77777777" w:rsidR="00F04B14" w:rsidRPr="006D42D9" w:rsidRDefault="00000000" w:rsidP="006D42D9">
          <w:pPr>
            <w:rPr>
              <w:rFonts w:ascii="Republika" w:hAnsi="Republika"/>
              <w:sz w:val="60"/>
              <w:szCs w:val="60"/>
            </w:rPr>
          </w:pPr>
        </w:p>
        <w:p w14:paraId="4DB62359" w14:textId="77777777" w:rsidR="00F04B14" w:rsidRPr="006D42D9" w:rsidRDefault="00000000" w:rsidP="006D42D9">
          <w:pPr>
            <w:rPr>
              <w:rFonts w:ascii="Republika" w:hAnsi="Republika"/>
              <w:sz w:val="60"/>
              <w:szCs w:val="60"/>
            </w:rPr>
          </w:pPr>
        </w:p>
        <w:p w14:paraId="5F76ED77" w14:textId="77777777" w:rsidR="00F04B14" w:rsidRPr="006D42D9" w:rsidRDefault="00000000" w:rsidP="006D42D9">
          <w:pPr>
            <w:rPr>
              <w:rFonts w:ascii="Republika" w:hAnsi="Republika"/>
              <w:sz w:val="60"/>
              <w:szCs w:val="60"/>
            </w:rPr>
          </w:pPr>
        </w:p>
        <w:p w14:paraId="7080C9CA" w14:textId="77777777" w:rsidR="00F04B14" w:rsidRPr="006D42D9" w:rsidRDefault="00000000" w:rsidP="006D42D9">
          <w:pPr>
            <w:rPr>
              <w:rFonts w:ascii="Republika" w:hAnsi="Republika"/>
              <w:sz w:val="60"/>
              <w:szCs w:val="60"/>
            </w:rPr>
          </w:pPr>
        </w:p>
        <w:p w14:paraId="17CA493D" w14:textId="77777777" w:rsidR="00F04B14" w:rsidRPr="006D42D9" w:rsidRDefault="00000000" w:rsidP="006D42D9">
          <w:pPr>
            <w:rPr>
              <w:rFonts w:ascii="Republika" w:hAnsi="Republika"/>
              <w:sz w:val="60"/>
              <w:szCs w:val="60"/>
            </w:rPr>
          </w:pPr>
        </w:p>
        <w:p w14:paraId="46687091" w14:textId="77777777" w:rsidR="00F04B14" w:rsidRPr="006D42D9" w:rsidRDefault="00000000" w:rsidP="006D42D9">
          <w:pPr>
            <w:rPr>
              <w:rFonts w:ascii="Republika" w:hAnsi="Republika"/>
              <w:sz w:val="60"/>
              <w:szCs w:val="60"/>
            </w:rPr>
          </w:pPr>
        </w:p>
        <w:p w14:paraId="2FB3487D" w14:textId="77777777" w:rsidR="00F04B14" w:rsidRPr="006D42D9" w:rsidRDefault="00000000" w:rsidP="006D42D9">
          <w:pPr>
            <w:rPr>
              <w:rFonts w:ascii="Republika" w:hAnsi="Republika"/>
              <w:sz w:val="60"/>
              <w:szCs w:val="60"/>
            </w:rPr>
          </w:pPr>
        </w:p>
        <w:p w14:paraId="0BF0A6C6" w14:textId="77777777" w:rsidR="00F04B14" w:rsidRPr="006D42D9" w:rsidRDefault="00000000" w:rsidP="006D42D9">
          <w:pPr>
            <w:rPr>
              <w:rFonts w:ascii="Republika" w:hAnsi="Republika"/>
              <w:sz w:val="60"/>
              <w:szCs w:val="60"/>
            </w:rPr>
          </w:pPr>
        </w:p>
        <w:p w14:paraId="2A3AB8B9" w14:textId="77777777" w:rsidR="00F04B14" w:rsidRPr="006D42D9" w:rsidRDefault="00000000" w:rsidP="006D42D9">
          <w:pPr>
            <w:rPr>
              <w:rFonts w:ascii="Republika" w:hAnsi="Republika"/>
              <w:sz w:val="60"/>
              <w:szCs w:val="60"/>
            </w:rPr>
          </w:pPr>
        </w:p>
        <w:p w14:paraId="29CD4CED" w14:textId="77777777" w:rsidR="00F04B14" w:rsidRPr="006D42D9" w:rsidRDefault="00000000" w:rsidP="006D42D9">
          <w:pPr>
            <w:rPr>
              <w:rFonts w:ascii="Republika" w:hAnsi="Republika"/>
              <w:sz w:val="60"/>
              <w:szCs w:val="60"/>
            </w:rPr>
          </w:pPr>
        </w:p>
      </w:tc>
    </w:tr>
  </w:tbl>
  <w:p w14:paraId="3F872D40" w14:textId="77777777" w:rsidR="00F04B14" w:rsidRPr="008F3500" w:rsidRDefault="00000000"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A2A3649" wp14:editId="0071558E">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67D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FDFC153" w14:textId="77777777" w:rsidR="00F04B14" w:rsidRPr="008F3500" w:rsidRDefault="00000000"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0608552A" w14:textId="77777777" w:rsidR="00F04B14" w:rsidRPr="00E92835" w:rsidRDefault="00000000" w:rsidP="00E92835">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08B7CEBB" w14:textId="77777777" w:rsidR="00F04B14" w:rsidRDefault="00000000" w:rsidP="0002235B">
    <w:pPr>
      <w:pStyle w:val="Glava"/>
      <w:tabs>
        <w:tab w:val="clear" w:pos="4320"/>
        <w:tab w:val="clear" w:pos="8640"/>
        <w:tab w:val="left" w:pos="5112"/>
      </w:tabs>
      <w:spacing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Pr>
        <w:rFonts w:cs="Arial"/>
        <w:sz w:val="16"/>
      </w:rPr>
      <w:t>www.gov.si</w:t>
    </w:r>
  </w:p>
  <w:p w14:paraId="0E827E54" w14:textId="77777777" w:rsidR="00F04B14"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3F351E4E" w14:textId="77777777" w:rsidR="00F04B14" w:rsidRPr="008F3500"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73D85C3E" w14:textId="77777777" w:rsidR="00F04B14" w:rsidRPr="008F3500" w:rsidRDefault="00000000"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Pr>
        <w:rFonts w:cs="Arial"/>
        <w:sz w:val="16"/>
      </w:rPr>
      <w:t>83 31</w:t>
    </w:r>
    <w:r w:rsidRPr="008F3500">
      <w:rPr>
        <w:rFonts w:cs="Arial"/>
        <w:sz w:val="16"/>
      </w:rPr>
      <w:t xml:space="preserve"> </w:t>
    </w:r>
  </w:p>
  <w:p w14:paraId="4E57A26B" w14:textId="77777777" w:rsidR="00F04B14" w:rsidRPr="008F3500" w:rsidRDefault="00000000" w:rsidP="007D75CF">
    <w:pPr>
      <w:pStyle w:val="Glava"/>
      <w:tabs>
        <w:tab w:val="clear" w:pos="4320"/>
        <w:tab w:val="clear" w:pos="8640"/>
        <w:tab w:val="left" w:pos="5112"/>
      </w:tabs>
      <w:spacing w:line="240" w:lineRule="exact"/>
      <w:rPr>
        <w:rFonts w:cs="Arial"/>
        <w:sz w:val="16"/>
      </w:rPr>
    </w:pPr>
    <w:r w:rsidRPr="008F3500">
      <w:rPr>
        <w:rFonts w:cs="Arial"/>
        <w:sz w:val="16"/>
      </w:rPr>
      <w:tab/>
    </w:r>
  </w:p>
  <w:p w14:paraId="12FED24B" w14:textId="77777777" w:rsidR="00F04B14"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0E1"/>
    <w:multiLevelType w:val="hybridMultilevel"/>
    <w:tmpl w:val="DB12EFC4"/>
    <w:lvl w:ilvl="0" w:tplc="814A6EAA">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4814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C8"/>
    <w:rsid w:val="004931C8"/>
    <w:rsid w:val="0076626F"/>
    <w:rsid w:val="00890A5B"/>
    <w:rsid w:val="009663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6FE2"/>
  <w15:chartTrackingRefBased/>
  <w15:docId w15:val="{D956CDF6-587B-4744-BE25-5CE0F94B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931C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931C8"/>
    <w:pPr>
      <w:tabs>
        <w:tab w:val="center" w:pos="4320"/>
        <w:tab w:val="right" w:pos="8640"/>
      </w:tabs>
    </w:pPr>
  </w:style>
  <w:style w:type="character" w:customStyle="1" w:styleId="GlavaZnak">
    <w:name w:val="Glava Znak"/>
    <w:basedOn w:val="Privzetapisavaodstavka"/>
    <w:link w:val="Glava"/>
    <w:rsid w:val="004931C8"/>
    <w:rPr>
      <w:rFonts w:ascii="Arial" w:eastAsia="Times New Roman" w:hAnsi="Arial" w:cs="Times New Roman"/>
      <w:sz w:val="20"/>
      <w:szCs w:val="24"/>
    </w:rPr>
  </w:style>
  <w:style w:type="paragraph" w:styleId="Noga">
    <w:name w:val="footer"/>
    <w:basedOn w:val="Navaden"/>
    <w:link w:val="NogaZnak"/>
    <w:rsid w:val="004931C8"/>
    <w:pPr>
      <w:tabs>
        <w:tab w:val="center" w:pos="4320"/>
        <w:tab w:val="right" w:pos="8640"/>
      </w:tabs>
    </w:pPr>
    <w:rPr>
      <w:lang w:val="x-none"/>
    </w:rPr>
  </w:style>
  <w:style w:type="character" w:customStyle="1" w:styleId="NogaZnak">
    <w:name w:val="Noga Znak"/>
    <w:basedOn w:val="Privzetapisavaodstavka"/>
    <w:link w:val="Noga"/>
    <w:rsid w:val="004931C8"/>
    <w:rPr>
      <w:rFonts w:ascii="Arial" w:eastAsia="Times New Roman" w:hAnsi="Arial" w:cs="Times New Roman"/>
      <w:sz w:val="20"/>
      <w:szCs w:val="24"/>
      <w:lang w:val="x-none"/>
    </w:rPr>
  </w:style>
  <w:style w:type="character" w:styleId="tevilkastrani">
    <w:name w:val="page number"/>
    <w:basedOn w:val="Privzetapisavaodstavka"/>
    <w:rsid w:val="004931C8"/>
  </w:style>
  <w:style w:type="table" w:styleId="Navadnatabela4">
    <w:name w:val="Plain Table 4"/>
    <w:basedOn w:val="Navadnatabela"/>
    <w:uiPriority w:val="44"/>
    <w:rsid w:val="004931C8"/>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4931C8"/>
    <w:pPr>
      <w:tabs>
        <w:tab w:val="left" w:pos="1701"/>
      </w:tabs>
    </w:pPr>
    <w:rPr>
      <w:szCs w:val="20"/>
      <w:lang w:eastAsia="sl-SI"/>
    </w:rPr>
  </w:style>
  <w:style w:type="paragraph" w:customStyle="1" w:styleId="ZADEVA">
    <w:name w:val="ZADEVA"/>
    <w:basedOn w:val="Navaden"/>
    <w:qFormat/>
    <w:rsid w:val="004931C8"/>
    <w:pPr>
      <w:tabs>
        <w:tab w:val="left" w:pos="1701"/>
      </w:tabs>
      <w:ind w:left="1701" w:hanging="1701"/>
    </w:pPr>
    <w:rPr>
      <w:b/>
      <w:lang w:val="it-IT"/>
    </w:rPr>
  </w:style>
  <w:style w:type="paragraph" w:styleId="Odstavekseznama">
    <w:name w:val="List Paragraph"/>
    <w:basedOn w:val="Navaden"/>
    <w:link w:val="OdstavekseznamaZnak"/>
    <w:uiPriority w:val="34"/>
    <w:qFormat/>
    <w:rsid w:val="004931C8"/>
    <w:pPr>
      <w:spacing w:line="240" w:lineRule="auto"/>
      <w:ind w:left="720"/>
      <w:contextualSpacing/>
    </w:pPr>
    <w:rPr>
      <w:rFonts w:ascii="Calibri" w:eastAsia="SimSun" w:hAnsi="Calibri"/>
      <w:sz w:val="24"/>
      <w:lang w:val="en-US"/>
    </w:rPr>
  </w:style>
  <w:style w:type="character" w:customStyle="1" w:styleId="OdstavekseznamaZnak">
    <w:name w:val="Odstavek seznama Znak"/>
    <w:basedOn w:val="Privzetapisavaodstavka"/>
    <w:link w:val="Odstavekseznama"/>
    <w:uiPriority w:val="34"/>
    <w:rsid w:val="004931C8"/>
    <w:rPr>
      <w:rFonts w:ascii="Calibri" w:eastAsia="SimSu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Company>MJU</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1</cp:revision>
  <dcterms:created xsi:type="dcterms:W3CDTF">2023-06-07T07:13:00Z</dcterms:created>
  <dcterms:modified xsi:type="dcterms:W3CDTF">2023-06-07T07:14:00Z</dcterms:modified>
</cp:coreProperties>
</file>