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8FFB" w14:textId="6CE2E9CF" w:rsidR="00026F3A" w:rsidRPr="001524D7" w:rsidRDefault="00026F3A" w:rsidP="00026F3A">
      <w:pPr>
        <w:pStyle w:val="datumtevilka"/>
      </w:pPr>
      <w:r w:rsidRPr="001524D7">
        <w:t xml:space="preserve">Datum:  </w:t>
      </w:r>
      <w:r w:rsidR="00D63B12">
        <w:t>22</w:t>
      </w:r>
      <w:r w:rsidRPr="001524D7">
        <w:t>.</w:t>
      </w:r>
      <w:r>
        <w:t xml:space="preserve"> 4</w:t>
      </w:r>
      <w:r w:rsidRPr="001524D7">
        <w:t>.</w:t>
      </w:r>
      <w:r>
        <w:t xml:space="preserve"> </w:t>
      </w:r>
      <w:r w:rsidRPr="001524D7">
        <w:t>20</w:t>
      </w:r>
      <w:r>
        <w:t>20</w:t>
      </w:r>
    </w:p>
    <w:p w14:paraId="0A1F7125" w14:textId="77777777" w:rsidR="00026F3A" w:rsidRPr="001524D7" w:rsidRDefault="00026F3A" w:rsidP="00026F3A">
      <w:pPr>
        <w:pStyle w:val="datumtevilka"/>
      </w:pPr>
    </w:p>
    <w:p w14:paraId="73444D90" w14:textId="77777777" w:rsidR="00026F3A" w:rsidRPr="001524D7" w:rsidRDefault="00026F3A" w:rsidP="00026F3A">
      <w:pPr>
        <w:pStyle w:val="datumtevilka"/>
      </w:pPr>
    </w:p>
    <w:p w14:paraId="1E608533" w14:textId="672F3A49" w:rsidR="00026F3A" w:rsidRPr="00026F3A" w:rsidRDefault="00026F3A" w:rsidP="00026F3A">
      <w:pPr>
        <w:jc w:val="center"/>
        <w:rPr>
          <w:rFonts w:cs="Arial"/>
          <w:b/>
          <w:sz w:val="24"/>
        </w:rPr>
      </w:pPr>
      <w:r w:rsidRPr="00026F3A">
        <w:rPr>
          <w:rFonts w:cs="Arial"/>
          <w:b/>
          <w:sz w:val="24"/>
        </w:rPr>
        <w:t xml:space="preserve">Inšpekcijski nadzori nad izplačili mentorstev (kontrolni nadzori) </w:t>
      </w:r>
    </w:p>
    <w:p w14:paraId="77E2C0FA" w14:textId="77777777" w:rsidR="00026F3A" w:rsidRPr="001524D7" w:rsidRDefault="00026F3A" w:rsidP="00026F3A">
      <w:pPr>
        <w:jc w:val="both"/>
      </w:pPr>
    </w:p>
    <w:p w14:paraId="511233A6" w14:textId="77777777" w:rsidR="00026F3A" w:rsidRPr="001524D7" w:rsidRDefault="00026F3A" w:rsidP="00026F3A">
      <w:pPr>
        <w:pStyle w:val="ZADEVA"/>
        <w:tabs>
          <w:tab w:val="clear" w:pos="1701"/>
          <w:tab w:val="left" w:pos="0"/>
        </w:tabs>
        <w:jc w:val="both"/>
        <w:rPr>
          <w:rFonts w:cs="Arial"/>
          <w:b w:val="0"/>
          <w:szCs w:val="20"/>
          <w:lang w:val="sl-SI"/>
        </w:rPr>
      </w:pPr>
    </w:p>
    <w:p w14:paraId="1458B401" w14:textId="77777777" w:rsidR="00026F3A" w:rsidRPr="009F5137" w:rsidRDefault="00026F3A" w:rsidP="00026F3A">
      <w:pPr>
        <w:spacing w:line="240" w:lineRule="auto"/>
        <w:jc w:val="both"/>
        <w:rPr>
          <w:rFonts w:asciiTheme="minorHAnsi" w:hAnsiTheme="minorHAnsi" w:cstheme="minorHAnsi"/>
          <w:szCs w:val="20"/>
        </w:rPr>
      </w:pPr>
      <w:bookmarkStart w:id="0" w:name="_Toc65077520"/>
      <w:r w:rsidRPr="009F5137">
        <w:rPr>
          <w:rFonts w:asciiTheme="minorHAnsi" w:hAnsiTheme="minorHAnsi" w:cstheme="minorHAnsi"/>
          <w:szCs w:val="20"/>
        </w:rPr>
        <w:t>Inšpektorji so inšpekcijski nadzor opravili na Onkološkem inštitutu Ljubljana. Šlo je za kontrolni nadzor glede na ugotovitve in izvedene popravljalne ukrepe v predhodno izvedenem inšpekcijskem nadzoru v letu 2018.</w:t>
      </w:r>
      <w:bookmarkEnd w:id="0"/>
    </w:p>
    <w:p w14:paraId="29FE3932" w14:textId="77777777" w:rsidR="00026F3A" w:rsidRPr="009F5137" w:rsidRDefault="00026F3A" w:rsidP="00026F3A">
      <w:pPr>
        <w:spacing w:line="240" w:lineRule="auto"/>
        <w:jc w:val="both"/>
        <w:rPr>
          <w:rFonts w:asciiTheme="minorHAnsi" w:hAnsiTheme="minorHAnsi" w:cstheme="minorHAnsi"/>
          <w:szCs w:val="20"/>
        </w:rPr>
      </w:pPr>
      <w:bookmarkStart w:id="1" w:name="_Toc65077521"/>
      <w:r w:rsidRPr="009F5137">
        <w:rPr>
          <w:rFonts w:asciiTheme="minorHAnsi" w:hAnsiTheme="minorHAnsi" w:cstheme="minorHAnsi"/>
          <w:szCs w:val="20"/>
        </w:rPr>
        <w:t>Inšpektorji so v letu 2018 ugotovili:</w:t>
      </w:r>
      <w:bookmarkEnd w:id="1"/>
    </w:p>
    <w:p w14:paraId="18E4FACC"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javni uslužbenci/mentorji niso bili imenovani za neposredne mentorje specializantom,</w:t>
      </w:r>
    </w:p>
    <w:p w14:paraId="23763077"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je bil javnim uslužbencem/mentorjem dodatek za mentorstvo obračunan in izplačan za več ur, kot je znašala njihova dejanska prisotnost na delu (v posameznem mesecu) oziroma jim je bil dodatek za mentorstvo izplačan tudi za čas, ko le-ti niso delali oziroma ko je iz registracije delovnega časa izhajalo, da niso bili prisotni na delovnem mestu (npr. v času dopusta, v času bolniške odsotnosti),</w:t>
      </w:r>
    </w:p>
    <w:p w14:paraId="082DFC3B"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niso vodili evidence o opravljenih urah mentorstva glavnih mentorjev in neposrednih mentorjev,</w:t>
      </w:r>
    </w:p>
    <w:p w14:paraId="67322358"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mentorji niso izdelali poročila o opravljenem delu s posameznim specializantom (iz katerega bi izhajalo, kateri dan in koliko ur v posameznem mesecu so porabili za delo s specializantom), </w:t>
      </w:r>
    </w:p>
    <w:p w14:paraId="0982E4DA"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se evidence opravljenega mentorskega dela niso ujemale z razporedom kroženja specializantov,</w:t>
      </w:r>
    </w:p>
    <w:p w14:paraId="7D9238A9"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je bil glavnim men</w:t>
      </w:r>
      <w:r>
        <w:rPr>
          <w:rFonts w:asciiTheme="minorHAnsi" w:hAnsiTheme="minorHAnsi" w:cstheme="minorHAnsi"/>
          <w:sz w:val="20"/>
          <w:szCs w:val="20"/>
          <w:lang w:val="sl-SI"/>
        </w:rPr>
        <w:t>t</w:t>
      </w:r>
      <w:r w:rsidRPr="009F5137">
        <w:rPr>
          <w:rFonts w:asciiTheme="minorHAnsi" w:hAnsiTheme="minorHAnsi" w:cstheme="minorHAnsi"/>
          <w:sz w:val="20"/>
          <w:szCs w:val="20"/>
          <w:lang w:val="sl-SI"/>
        </w:rPr>
        <w:t>orjem izplačan dodatek za mentorstvo na podlagi internega pravilnika po 13 ur mesečno za vsakega specializanta ves čas trajanja specializacije, ne glede na število dejansko opravljenih ur mentorstva v posameznem mesecu (v času, ko je glavni mentor opravljal tudi naloge neposrednega mentorja, pa je za posameznega specializanta kot neposredni mentor prejel še dodatek za mentorstvo po 34 ur na mesec za posameznega specializanta),</w:t>
      </w:r>
    </w:p>
    <w:p w14:paraId="6D94B7CF"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je bil dodatek za mentorstvo izplačan tudi tistim javnim uslužbencem, ki so bili z odločbo Zdravniške zbornice Slovenije imenovani za koordinatorje specializacij, »za koordinatorstvo« (čeprav pri opravljanju nalog/funkcije koordinatorja specializacij sploh ni šlo za mentorstvo, pa jim je bil dodatek za mentorstvo obračunan za 24 ur na mesec),</w:t>
      </w:r>
    </w:p>
    <w:p w14:paraId="7D5C6952"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je bil javnim uslužbencem/mentorjem izplačan dodatek za mentorstvo tudi za praktično usposabljanje študentov in dijakov (čeprav v takšnih primerih ni šlo za usposabljanje javnih uslužbencev, napotenih na usposabljanje na podlagi zakonov, drugih predpisov, kolektivnih pogodb in splošnih aktov in čeprav ne gre za usposabljanje na podlagi programa usposabljanja, ampak za praktično usposabljanje študentov in dijakov, na podlagi sklenjene pogodbe med izobraževalnim zavodom/šolo/fakulteto in javnim zdravstvenim zavodom),</w:t>
      </w:r>
    </w:p>
    <w:p w14:paraId="5D4168FF" w14:textId="77777777" w:rsidR="00026F3A" w:rsidRPr="009F5137" w:rsidRDefault="00026F3A" w:rsidP="00026F3A">
      <w:pPr>
        <w:pStyle w:val="Odstavekseznama"/>
        <w:numPr>
          <w:ilvl w:val="0"/>
          <w:numId w:val="2"/>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je zaradi neurejenih evidenc prišlo do nepravilnosti tudi pri izplačilu dodatka za mentorstvo pripravnikom.</w:t>
      </w:r>
    </w:p>
    <w:p w14:paraId="3165E25E" w14:textId="77777777" w:rsidR="00026F3A" w:rsidRPr="009F5137" w:rsidRDefault="00026F3A" w:rsidP="00026F3A">
      <w:pPr>
        <w:spacing w:line="240" w:lineRule="auto"/>
        <w:jc w:val="both"/>
        <w:rPr>
          <w:rFonts w:asciiTheme="minorHAnsi" w:hAnsiTheme="minorHAnsi" w:cstheme="minorHAnsi"/>
          <w:szCs w:val="20"/>
        </w:rPr>
      </w:pPr>
      <w:r w:rsidRPr="009F5137">
        <w:rPr>
          <w:rFonts w:asciiTheme="minorHAnsi" w:hAnsiTheme="minorHAnsi" w:cstheme="minorHAnsi"/>
          <w:szCs w:val="20"/>
        </w:rPr>
        <w:t>Inšpektorji so predstojnici odredili:</w:t>
      </w:r>
    </w:p>
    <w:p w14:paraId="2CAA00EC" w14:textId="77777777" w:rsidR="00026F3A" w:rsidRPr="009F5137" w:rsidRDefault="00026F3A" w:rsidP="00026F3A">
      <w:pPr>
        <w:pStyle w:val="Odstavekseznama"/>
        <w:numPr>
          <w:ilvl w:val="0"/>
          <w:numId w:val="3"/>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naj v zvezi z nepravilnim obračunom in izplačilom dodatka za mentorstvo javnim uslužbencem ukrepa v skladu s 3.a členom Zakona o sistemu plač v javnem sektorju in od javnih uslužbencev naj zahteva vračilo preveč izplačane plače/iz naslova dodatka za mentorstvo,  </w:t>
      </w:r>
    </w:p>
    <w:p w14:paraId="10F2303C" w14:textId="77777777" w:rsidR="00026F3A" w:rsidRPr="009F5137" w:rsidRDefault="00026F3A" w:rsidP="00026F3A">
      <w:pPr>
        <w:pStyle w:val="Odstavekseznama"/>
        <w:numPr>
          <w:ilvl w:val="0"/>
          <w:numId w:val="3"/>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naj v prihodnje javnim uslužbencem obračunava in izplačuje dodatek za mentorstvo v skladu s 36. členom Kolektivne pogodbe za javni sektor (da naj imenuje neposredne mentorje, da naj mentorjem obračuna in izplača dodatek za mentorstvo na podlagi dejansko opravljenih mentorskih ur oziroma z normativom določenih mentorskih ur), </w:t>
      </w:r>
    </w:p>
    <w:p w14:paraId="363120C0" w14:textId="77777777" w:rsidR="00026F3A" w:rsidRPr="009F5137" w:rsidRDefault="00026F3A" w:rsidP="00026F3A">
      <w:pPr>
        <w:pStyle w:val="Odstavekseznama"/>
        <w:numPr>
          <w:ilvl w:val="0"/>
          <w:numId w:val="3"/>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lastRenderedPageBreak/>
        <w:t>da naj v prihodnje javnim uslužbencem obračunava in izplačuje plačo v skladu z zakonom in uredbo, ki ureja enotno metodologijo in obrazce za obračun plač v javnem sektorju, in sicer tako, da bo pri vrstah plačila dodatka za mentorstvo v plačilnih listah določen dejanski mesec obračunanega in izplačanega dodatka,</w:t>
      </w:r>
    </w:p>
    <w:p w14:paraId="15C22D02" w14:textId="77777777" w:rsidR="00026F3A" w:rsidRPr="009F5137" w:rsidRDefault="00026F3A" w:rsidP="00026F3A">
      <w:pPr>
        <w:pStyle w:val="Odstavekseznama"/>
        <w:numPr>
          <w:ilvl w:val="0"/>
          <w:numId w:val="3"/>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naj javnim uslužbencem preneha izplačevati dodatek za mentorstvo za opravljanje funkcije koordinatorja specializacije, </w:t>
      </w:r>
    </w:p>
    <w:p w14:paraId="55457599" w14:textId="77777777" w:rsidR="00026F3A" w:rsidRPr="009F5137" w:rsidRDefault="00026F3A" w:rsidP="00026F3A">
      <w:pPr>
        <w:pStyle w:val="Odstavekseznama"/>
        <w:numPr>
          <w:ilvl w:val="0"/>
          <w:numId w:val="3"/>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naj javnim uslužbencem preneha izplačevati dodatek za mentorstvo za praktično usposabljanje študentov, </w:t>
      </w:r>
    </w:p>
    <w:p w14:paraId="64BD608C" w14:textId="77777777" w:rsidR="00026F3A" w:rsidRPr="009F5137" w:rsidRDefault="00026F3A" w:rsidP="00026F3A">
      <w:pPr>
        <w:pStyle w:val="Odstavekseznama"/>
        <w:numPr>
          <w:ilvl w:val="0"/>
          <w:numId w:val="3"/>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naj za vodenje evidence o opravljenih urah mentorstva pripravnikom izdelajo obrazec, ki naj bo  poimenovan kot »Opravljene ure mentorstva pripravnikom v mesecu…« (in za vodenje evidence o opravljenih urah mentorstva pripravnikom naj več ne uporabljajo obrazca »Dodatek za mentorstvo dijakom in študentom«).</w:t>
      </w:r>
    </w:p>
    <w:p w14:paraId="4C57DD48" w14:textId="77777777" w:rsidR="00026F3A" w:rsidRDefault="00026F3A" w:rsidP="00026F3A">
      <w:pPr>
        <w:spacing w:line="240" w:lineRule="auto"/>
        <w:jc w:val="both"/>
        <w:rPr>
          <w:rFonts w:asciiTheme="minorHAnsi" w:hAnsiTheme="minorHAnsi" w:cstheme="minorHAnsi"/>
          <w:szCs w:val="20"/>
        </w:rPr>
      </w:pPr>
    </w:p>
    <w:p w14:paraId="502DBF43" w14:textId="5FDA14AB" w:rsidR="00026F3A" w:rsidRPr="009F5137" w:rsidRDefault="00026F3A" w:rsidP="00026F3A">
      <w:pPr>
        <w:spacing w:line="240" w:lineRule="auto"/>
        <w:jc w:val="both"/>
        <w:rPr>
          <w:rFonts w:asciiTheme="minorHAnsi" w:hAnsiTheme="minorHAnsi" w:cstheme="minorHAnsi"/>
          <w:szCs w:val="20"/>
        </w:rPr>
      </w:pPr>
      <w:r w:rsidRPr="009F5137">
        <w:rPr>
          <w:rFonts w:asciiTheme="minorHAnsi" w:hAnsiTheme="minorHAnsi" w:cstheme="minorHAnsi"/>
          <w:szCs w:val="20"/>
        </w:rPr>
        <w:t>Predstojnica je nepravilnosti odpravila postopoma (do maja 2019).</w:t>
      </w:r>
    </w:p>
    <w:p w14:paraId="5CD48589" w14:textId="77777777" w:rsidR="00026F3A" w:rsidRPr="001524D7" w:rsidRDefault="00026F3A" w:rsidP="00026F3A">
      <w:pPr>
        <w:tabs>
          <w:tab w:val="left" w:pos="284"/>
          <w:tab w:val="left" w:pos="2977"/>
          <w:tab w:val="left" w:pos="3402"/>
        </w:tabs>
        <w:autoSpaceDE w:val="0"/>
        <w:autoSpaceDN w:val="0"/>
        <w:adjustRightInd w:val="0"/>
        <w:spacing w:line="240" w:lineRule="auto"/>
        <w:jc w:val="both"/>
        <w:rPr>
          <w:rFonts w:cs="Arial"/>
          <w:szCs w:val="20"/>
        </w:rPr>
      </w:pPr>
    </w:p>
    <w:p w14:paraId="55E139F5" w14:textId="77777777" w:rsidR="00710CAC" w:rsidRPr="009F5137" w:rsidRDefault="00710CAC" w:rsidP="00710CAC">
      <w:pPr>
        <w:spacing w:line="240" w:lineRule="auto"/>
        <w:jc w:val="both"/>
        <w:rPr>
          <w:rFonts w:asciiTheme="minorHAnsi" w:hAnsiTheme="minorHAnsi" w:cstheme="minorHAnsi"/>
          <w:szCs w:val="20"/>
        </w:rPr>
      </w:pPr>
      <w:bookmarkStart w:id="2" w:name="_Toc65077522"/>
      <w:r w:rsidRPr="009F5137">
        <w:rPr>
          <w:rFonts w:asciiTheme="minorHAnsi" w:hAnsiTheme="minorHAnsi" w:cstheme="minorHAnsi"/>
          <w:szCs w:val="20"/>
        </w:rPr>
        <w:t>V okviru kontrolnega nadzora so inšpektorji ugotovili:</w:t>
      </w:r>
      <w:bookmarkEnd w:id="2"/>
    </w:p>
    <w:p w14:paraId="3C79488A" w14:textId="77777777" w:rsidR="00710CAC" w:rsidRPr="009F5137" w:rsidRDefault="00710CAC" w:rsidP="00710CAC">
      <w:pPr>
        <w:pStyle w:val="Odstavekseznama"/>
        <w:numPr>
          <w:ilvl w:val="0"/>
          <w:numId w:val="5"/>
        </w:numPr>
        <w:jc w:val="both"/>
        <w:rPr>
          <w:rFonts w:asciiTheme="minorHAnsi" w:hAnsiTheme="minorHAnsi" w:cstheme="minorHAnsi"/>
          <w:sz w:val="20"/>
          <w:szCs w:val="20"/>
          <w:lang w:val="sl-SI"/>
        </w:rPr>
      </w:pPr>
      <w:bookmarkStart w:id="3" w:name="_Toc65077523"/>
      <w:r w:rsidRPr="009F5137">
        <w:rPr>
          <w:rFonts w:asciiTheme="minorHAnsi" w:hAnsiTheme="minorHAnsi" w:cstheme="minorHAnsi"/>
          <w:sz w:val="20"/>
          <w:szCs w:val="20"/>
          <w:lang w:val="sl-SI"/>
        </w:rPr>
        <w:t>pri plačah za obdobje februar - december 2019 je bil javni uslužbenki nepravilno obračunan in izplačan dodatek za mentorstvo za opravljeno delo koordinatorja specializacij, kar je v nasprotju s 36. členom KPJS, čeprav je predstojnica v okviru popravljalnih ukrepov osnovnega nadzora trdila, da je nepravilnost odpravila.</w:t>
      </w:r>
      <w:bookmarkEnd w:id="3"/>
    </w:p>
    <w:p w14:paraId="13E0BC7D" w14:textId="77777777" w:rsidR="00710CAC" w:rsidRPr="009F5137" w:rsidRDefault="00710CAC" w:rsidP="00710CAC">
      <w:pPr>
        <w:spacing w:line="240" w:lineRule="auto"/>
        <w:jc w:val="both"/>
        <w:rPr>
          <w:rFonts w:asciiTheme="minorHAnsi" w:hAnsiTheme="minorHAnsi" w:cstheme="minorHAnsi"/>
          <w:szCs w:val="20"/>
        </w:rPr>
      </w:pPr>
      <w:bookmarkStart w:id="4" w:name="_Toc65077524"/>
      <w:r w:rsidRPr="009F5137">
        <w:rPr>
          <w:rFonts w:asciiTheme="minorHAnsi" w:hAnsiTheme="minorHAnsi" w:cstheme="minorHAnsi"/>
          <w:szCs w:val="20"/>
        </w:rPr>
        <w:t>V skladu s predpisi ni možno obračunati in izplačati dodatka za mentorstvo v primerih, kadar javni uslužbenec opravlja delo koordinatorja specializacij, zato je bil že leta 2018 generalni direktorici Onkološkega inštituta Ljubljana odrejen ukrep, da naj javni uslužbenki za opravljanje funkcije koordinatorice specializacije iz onkologije in radioterapije preneha izplačevati dodatek za mentorstvo. Generalna direktorica je takrat pojasnila, da so nepravilnosti odpravili, saj od 1.1.2019 dalje koordinatorjem specializacij več ne izplačujejo dodatka za mentorstvo (izplačujejo jim nagrado v skladu z Uredbo o enotni metodologiji za obračun plač, pod šifro J160 Priznanje, denarna nagrada).</w:t>
      </w:r>
      <w:bookmarkEnd w:id="4"/>
      <w:r w:rsidRPr="009F5137">
        <w:rPr>
          <w:rFonts w:asciiTheme="minorHAnsi" w:hAnsiTheme="minorHAnsi" w:cstheme="minorHAnsi"/>
          <w:szCs w:val="20"/>
        </w:rPr>
        <w:t xml:space="preserve"> </w:t>
      </w:r>
    </w:p>
    <w:p w14:paraId="2FABBF88" w14:textId="77777777" w:rsidR="00710CAC" w:rsidRPr="009F5137" w:rsidRDefault="00710CAC" w:rsidP="00710CAC">
      <w:pPr>
        <w:spacing w:line="240" w:lineRule="auto"/>
        <w:jc w:val="both"/>
        <w:rPr>
          <w:rFonts w:asciiTheme="minorHAnsi" w:hAnsiTheme="minorHAnsi" w:cstheme="minorHAnsi"/>
          <w:szCs w:val="20"/>
        </w:rPr>
      </w:pPr>
    </w:p>
    <w:p w14:paraId="6ADFA01E" w14:textId="77777777" w:rsidR="00710CAC" w:rsidRPr="009F5137" w:rsidRDefault="00710CAC" w:rsidP="00710CAC">
      <w:pPr>
        <w:spacing w:line="240" w:lineRule="auto"/>
        <w:jc w:val="both"/>
        <w:rPr>
          <w:rFonts w:asciiTheme="minorHAnsi" w:hAnsiTheme="minorHAnsi" w:cstheme="minorHAnsi"/>
          <w:szCs w:val="20"/>
        </w:rPr>
      </w:pPr>
      <w:r w:rsidRPr="009F5137">
        <w:rPr>
          <w:rFonts w:asciiTheme="minorHAnsi" w:hAnsiTheme="minorHAnsi" w:cstheme="minorHAnsi"/>
          <w:szCs w:val="20"/>
        </w:rPr>
        <w:t>Inšpektorji so v kontrolnem nadzoru predstojniku odredili:</w:t>
      </w:r>
    </w:p>
    <w:p w14:paraId="200E8554" w14:textId="77777777" w:rsidR="00710CAC" w:rsidRPr="009F5137" w:rsidRDefault="00710CAC" w:rsidP="00710CAC">
      <w:pPr>
        <w:pStyle w:val="ZADEVA"/>
        <w:numPr>
          <w:ilvl w:val="0"/>
          <w:numId w:val="4"/>
        </w:numPr>
        <w:spacing w:line="240" w:lineRule="auto"/>
        <w:ind w:right="-7"/>
        <w:jc w:val="both"/>
        <w:rPr>
          <w:rFonts w:asciiTheme="minorHAnsi" w:hAnsiTheme="minorHAnsi" w:cstheme="minorHAnsi"/>
          <w:b w:val="0"/>
          <w:bCs/>
          <w:szCs w:val="20"/>
          <w:lang w:val="sl-SI" w:eastAsia="sl-SI"/>
        </w:rPr>
      </w:pPr>
      <w:r w:rsidRPr="009F5137">
        <w:rPr>
          <w:rFonts w:asciiTheme="minorHAnsi" w:hAnsiTheme="minorHAnsi" w:cstheme="minorHAnsi"/>
          <w:b w:val="0"/>
          <w:bCs/>
          <w:szCs w:val="20"/>
          <w:lang w:val="sl-SI"/>
        </w:rPr>
        <w:t xml:space="preserve">da naj javni uslužbenki za opravljanje dela koordinatorice specializacij ne izplačuje dodatka za mentorstvo pod šifro C030, ampak naj ji za opravljeno delo koordinatorice specializacij </w:t>
      </w:r>
      <w:r w:rsidRPr="009F5137">
        <w:rPr>
          <w:rFonts w:asciiTheme="minorHAnsi" w:hAnsiTheme="minorHAnsi" w:cstheme="minorHAnsi"/>
          <w:b w:val="0"/>
          <w:bCs/>
          <w:szCs w:val="20"/>
          <w:lang w:val="sl-SI" w:eastAsia="sl-SI"/>
        </w:rPr>
        <w:t>izplačujejo denarno nagrado pod šifro J160 (Priznanje, denarna nagrada).</w:t>
      </w:r>
    </w:p>
    <w:p w14:paraId="681DA6AE" w14:textId="77777777" w:rsidR="00710CAC" w:rsidRPr="009F5137" w:rsidRDefault="00710CAC" w:rsidP="00710CAC">
      <w:pPr>
        <w:autoSpaceDE w:val="0"/>
        <w:autoSpaceDN w:val="0"/>
        <w:adjustRightInd w:val="0"/>
        <w:spacing w:line="240" w:lineRule="auto"/>
        <w:rPr>
          <w:rFonts w:asciiTheme="minorHAnsi" w:hAnsiTheme="minorHAnsi" w:cstheme="minorHAnsi"/>
          <w:szCs w:val="20"/>
        </w:rPr>
      </w:pPr>
    </w:p>
    <w:p w14:paraId="54903FC5" w14:textId="77777777" w:rsidR="00710CAC" w:rsidRPr="009F5137" w:rsidRDefault="00710CAC" w:rsidP="00710CAC">
      <w:pPr>
        <w:autoSpaceDE w:val="0"/>
        <w:autoSpaceDN w:val="0"/>
        <w:adjustRightInd w:val="0"/>
        <w:spacing w:line="240" w:lineRule="auto"/>
        <w:jc w:val="both"/>
        <w:rPr>
          <w:rFonts w:asciiTheme="minorHAnsi" w:hAnsiTheme="minorHAnsi" w:cstheme="minorHAnsi"/>
          <w:bCs/>
          <w:szCs w:val="20"/>
          <w:lang w:eastAsia="sl-SI"/>
        </w:rPr>
      </w:pPr>
      <w:r w:rsidRPr="009F5137">
        <w:rPr>
          <w:rFonts w:asciiTheme="minorHAnsi" w:hAnsiTheme="minorHAnsi" w:cstheme="minorHAnsi"/>
          <w:szCs w:val="20"/>
          <w:u w:val="single"/>
        </w:rPr>
        <w:t>Nepravilnosti so bile po kontrolnem nadzoru odpravljene</w:t>
      </w:r>
      <w:r w:rsidRPr="009F5137">
        <w:rPr>
          <w:rFonts w:asciiTheme="minorHAnsi" w:hAnsiTheme="minorHAnsi" w:cstheme="minorHAnsi"/>
          <w:szCs w:val="20"/>
        </w:rPr>
        <w:t xml:space="preserve">. Iz obračunov plače javne uslužbenke za mesece avgust, september in oktober 2020 je razvidno, </w:t>
      </w:r>
      <w:r w:rsidRPr="009F5137">
        <w:rPr>
          <w:rFonts w:asciiTheme="minorHAnsi" w:hAnsiTheme="minorHAnsi" w:cstheme="minorHAnsi"/>
          <w:bCs/>
          <w:szCs w:val="20"/>
          <w:lang w:eastAsia="sl-SI"/>
        </w:rPr>
        <w:t>da ji je bila za opravljeno delo koordinatorice specializacij izplačana denarna nagrada pod šifro J160/Priznanje, denarna nagrada.</w:t>
      </w:r>
    </w:p>
    <w:p w14:paraId="17A6268E" w14:textId="77777777" w:rsidR="00CE456A" w:rsidRDefault="00CE456A"/>
    <w:sectPr w:rsidR="00CE456A"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0A8AD" w14:textId="77777777" w:rsidR="00B46328" w:rsidRDefault="00B46328">
      <w:pPr>
        <w:spacing w:line="240" w:lineRule="auto"/>
      </w:pPr>
      <w:r>
        <w:separator/>
      </w:r>
    </w:p>
  </w:endnote>
  <w:endnote w:type="continuationSeparator" w:id="0">
    <w:p w14:paraId="741EA21A" w14:textId="77777777" w:rsidR="00B46328" w:rsidRDefault="00B46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3E6AD" w14:textId="77777777" w:rsidR="00B46328" w:rsidRDefault="00B46328">
      <w:pPr>
        <w:spacing w:line="240" w:lineRule="auto"/>
      </w:pPr>
      <w:r>
        <w:separator/>
      </w:r>
    </w:p>
  </w:footnote>
  <w:footnote w:type="continuationSeparator" w:id="0">
    <w:p w14:paraId="3F09066C" w14:textId="77777777" w:rsidR="00B46328" w:rsidRDefault="00B463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3CE08" w14:textId="77777777" w:rsidR="007A0071" w:rsidRPr="00110CBD" w:rsidRDefault="00B46328"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A0071" w:rsidRPr="008F3500" w14:paraId="290B8492" w14:textId="77777777" w:rsidTr="00630B5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7385957" w14:textId="77777777" w:rsidR="007A0071" w:rsidRDefault="00026F3A"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7C842EF" w14:textId="77777777" w:rsidR="007A0071" w:rsidRPr="006D42D9" w:rsidRDefault="00B46328" w:rsidP="008F655E">
          <w:pPr>
            <w:rPr>
              <w:rFonts w:ascii="Republika" w:hAnsi="Republika"/>
              <w:sz w:val="60"/>
              <w:szCs w:val="60"/>
            </w:rPr>
          </w:pPr>
        </w:p>
        <w:p w14:paraId="38BCACFB" w14:textId="77777777" w:rsidR="007A0071" w:rsidRPr="006D42D9" w:rsidRDefault="00B46328" w:rsidP="008F655E">
          <w:pPr>
            <w:rPr>
              <w:rFonts w:ascii="Republika" w:hAnsi="Republika"/>
              <w:sz w:val="60"/>
              <w:szCs w:val="60"/>
            </w:rPr>
          </w:pPr>
        </w:p>
        <w:p w14:paraId="3944F113" w14:textId="77777777" w:rsidR="007A0071" w:rsidRPr="006D42D9" w:rsidRDefault="00B46328" w:rsidP="008F655E">
          <w:pPr>
            <w:rPr>
              <w:rFonts w:ascii="Republika" w:hAnsi="Republika"/>
              <w:sz w:val="60"/>
              <w:szCs w:val="60"/>
            </w:rPr>
          </w:pPr>
        </w:p>
        <w:p w14:paraId="24E14237" w14:textId="77777777" w:rsidR="007A0071" w:rsidRPr="006D42D9" w:rsidRDefault="00B46328" w:rsidP="008F655E">
          <w:pPr>
            <w:rPr>
              <w:rFonts w:ascii="Republika" w:hAnsi="Republika"/>
              <w:sz w:val="60"/>
              <w:szCs w:val="60"/>
            </w:rPr>
          </w:pPr>
        </w:p>
        <w:p w14:paraId="70B6096D" w14:textId="77777777" w:rsidR="007A0071" w:rsidRPr="006D42D9" w:rsidRDefault="00B46328" w:rsidP="008F655E">
          <w:pPr>
            <w:rPr>
              <w:rFonts w:ascii="Republika" w:hAnsi="Republika"/>
              <w:sz w:val="60"/>
              <w:szCs w:val="60"/>
            </w:rPr>
          </w:pPr>
        </w:p>
        <w:p w14:paraId="12948573" w14:textId="77777777" w:rsidR="007A0071" w:rsidRPr="006D42D9" w:rsidRDefault="00B46328" w:rsidP="008F655E">
          <w:pPr>
            <w:rPr>
              <w:rFonts w:ascii="Republika" w:hAnsi="Republika"/>
              <w:sz w:val="60"/>
              <w:szCs w:val="60"/>
            </w:rPr>
          </w:pPr>
        </w:p>
        <w:p w14:paraId="66D04126" w14:textId="77777777" w:rsidR="007A0071" w:rsidRPr="006D42D9" w:rsidRDefault="00B46328" w:rsidP="008F655E">
          <w:pPr>
            <w:rPr>
              <w:rFonts w:ascii="Republika" w:hAnsi="Republika"/>
              <w:sz w:val="60"/>
              <w:szCs w:val="60"/>
            </w:rPr>
          </w:pPr>
        </w:p>
        <w:p w14:paraId="5E604DBB" w14:textId="77777777" w:rsidR="007A0071" w:rsidRPr="006D42D9" w:rsidRDefault="00B46328" w:rsidP="008F655E">
          <w:pPr>
            <w:rPr>
              <w:rFonts w:ascii="Republika" w:hAnsi="Republika"/>
              <w:sz w:val="60"/>
              <w:szCs w:val="60"/>
            </w:rPr>
          </w:pPr>
        </w:p>
        <w:p w14:paraId="2F92F399" w14:textId="77777777" w:rsidR="007A0071" w:rsidRPr="006D42D9" w:rsidRDefault="00B46328" w:rsidP="008F655E">
          <w:pPr>
            <w:rPr>
              <w:rFonts w:ascii="Republika" w:hAnsi="Republika"/>
              <w:sz w:val="60"/>
              <w:szCs w:val="60"/>
            </w:rPr>
          </w:pPr>
        </w:p>
        <w:p w14:paraId="3398074E" w14:textId="77777777" w:rsidR="007A0071" w:rsidRPr="006D42D9" w:rsidRDefault="00B46328" w:rsidP="008F655E">
          <w:pPr>
            <w:rPr>
              <w:rFonts w:ascii="Republika" w:hAnsi="Republika"/>
              <w:sz w:val="60"/>
              <w:szCs w:val="60"/>
            </w:rPr>
          </w:pPr>
        </w:p>
        <w:p w14:paraId="6A5D0331" w14:textId="77777777" w:rsidR="007A0071" w:rsidRPr="006D42D9" w:rsidRDefault="00B46328" w:rsidP="008F655E">
          <w:pPr>
            <w:rPr>
              <w:rFonts w:ascii="Republika" w:hAnsi="Republika"/>
              <w:sz w:val="60"/>
              <w:szCs w:val="60"/>
            </w:rPr>
          </w:pPr>
        </w:p>
        <w:p w14:paraId="0D505010" w14:textId="77777777" w:rsidR="007A0071" w:rsidRPr="006D42D9" w:rsidRDefault="00B46328" w:rsidP="008F655E">
          <w:pPr>
            <w:rPr>
              <w:rFonts w:ascii="Republika" w:hAnsi="Republika"/>
              <w:sz w:val="60"/>
              <w:szCs w:val="60"/>
            </w:rPr>
          </w:pPr>
        </w:p>
        <w:p w14:paraId="5D1C2072" w14:textId="77777777" w:rsidR="007A0071" w:rsidRPr="006D42D9" w:rsidRDefault="00B46328" w:rsidP="008F655E">
          <w:pPr>
            <w:rPr>
              <w:rFonts w:ascii="Republika" w:hAnsi="Republika"/>
              <w:sz w:val="60"/>
              <w:szCs w:val="60"/>
            </w:rPr>
          </w:pPr>
        </w:p>
        <w:p w14:paraId="1B159CD1" w14:textId="77777777" w:rsidR="007A0071" w:rsidRPr="006D42D9" w:rsidRDefault="00B46328" w:rsidP="008F655E">
          <w:pPr>
            <w:rPr>
              <w:rFonts w:ascii="Republika" w:hAnsi="Republika"/>
              <w:sz w:val="60"/>
              <w:szCs w:val="60"/>
            </w:rPr>
          </w:pPr>
        </w:p>
        <w:p w14:paraId="272DCAE1" w14:textId="77777777" w:rsidR="007A0071" w:rsidRPr="006D42D9" w:rsidRDefault="00B46328" w:rsidP="008F655E">
          <w:pPr>
            <w:rPr>
              <w:rFonts w:ascii="Republika" w:hAnsi="Republika"/>
              <w:sz w:val="60"/>
              <w:szCs w:val="60"/>
            </w:rPr>
          </w:pPr>
        </w:p>
        <w:p w14:paraId="22CCE21F" w14:textId="77777777" w:rsidR="007A0071" w:rsidRPr="006D42D9" w:rsidRDefault="00B46328" w:rsidP="008F655E">
          <w:pPr>
            <w:rPr>
              <w:rFonts w:ascii="Republika" w:hAnsi="Republika"/>
              <w:sz w:val="60"/>
              <w:szCs w:val="60"/>
            </w:rPr>
          </w:pPr>
        </w:p>
      </w:tc>
    </w:tr>
  </w:tbl>
  <w:p w14:paraId="39E9AF8E" w14:textId="77777777" w:rsidR="007A0071" w:rsidRDefault="00026F3A"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1D8CB899" wp14:editId="5D214C07">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4C73"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Pr>
        <w:rFonts w:ascii="Republika" w:hAnsi="Republika"/>
      </w:rPr>
      <w:t>REPUBLIKA SLOVENIJA</w:t>
    </w:r>
  </w:p>
  <w:p w14:paraId="55009E3F" w14:textId="77777777" w:rsidR="007A0071" w:rsidRDefault="00026F3A"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13C3B18E" w14:textId="77777777" w:rsidR="007A0071" w:rsidRDefault="00026F3A"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557F3FD2" w14:textId="77777777" w:rsidR="007A0071" w:rsidRDefault="00026F3A"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0DC02DB7" w14:textId="77777777" w:rsidR="007A0071" w:rsidRDefault="00026F3A"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20A67177" w14:textId="77777777" w:rsidR="007A0071" w:rsidRDefault="00026F3A"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2C5BAD9C" w14:textId="77777777" w:rsidR="007A0071" w:rsidRPr="008F3500" w:rsidRDefault="00026F3A"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5420092B" w14:textId="77777777" w:rsidR="007A0071" w:rsidRPr="008F3500" w:rsidRDefault="00026F3A"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6C0CAC1B" w14:textId="77777777" w:rsidR="007A0071" w:rsidRPr="008F3500" w:rsidRDefault="00026F3A" w:rsidP="008F655E">
    <w:pPr>
      <w:pStyle w:val="Glava"/>
      <w:tabs>
        <w:tab w:val="clear" w:pos="4320"/>
        <w:tab w:val="clear" w:pos="8640"/>
        <w:tab w:val="left" w:pos="5112"/>
      </w:tabs>
      <w:spacing w:line="240" w:lineRule="exact"/>
      <w:rPr>
        <w:rFonts w:cs="Arial"/>
        <w:sz w:val="16"/>
      </w:rPr>
    </w:pPr>
    <w:r w:rsidRPr="008F3500">
      <w:rPr>
        <w:rFonts w:cs="Arial"/>
        <w:sz w:val="16"/>
      </w:rPr>
      <w:tab/>
    </w:r>
  </w:p>
  <w:p w14:paraId="3D3380D1" w14:textId="77777777" w:rsidR="007A0071" w:rsidRPr="008F3500" w:rsidRDefault="00B46328"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3B46"/>
    <w:multiLevelType w:val="hybridMultilevel"/>
    <w:tmpl w:val="4F0C1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1E6AA9"/>
    <w:multiLevelType w:val="hybridMultilevel"/>
    <w:tmpl w:val="4F862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1422669"/>
    <w:multiLevelType w:val="hybridMultilevel"/>
    <w:tmpl w:val="A566B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183F7D"/>
    <w:multiLevelType w:val="hybridMultilevel"/>
    <w:tmpl w:val="ABCA1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3A"/>
    <w:rsid w:val="00026F3A"/>
    <w:rsid w:val="000328D7"/>
    <w:rsid w:val="00595FB9"/>
    <w:rsid w:val="00630B50"/>
    <w:rsid w:val="00710CAC"/>
    <w:rsid w:val="00B46328"/>
    <w:rsid w:val="00CE456A"/>
    <w:rsid w:val="00D63B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172F"/>
  <w15:chartTrackingRefBased/>
  <w15:docId w15:val="{5C37E223-4982-4D3A-97F8-E4C04BCF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6F3A"/>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26F3A"/>
    <w:pPr>
      <w:tabs>
        <w:tab w:val="center" w:pos="4320"/>
        <w:tab w:val="right" w:pos="8640"/>
      </w:tabs>
    </w:pPr>
  </w:style>
  <w:style w:type="character" w:customStyle="1" w:styleId="GlavaZnak">
    <w:name w:val="Glava Znak"/>
    <w:basedOn w:val="Privzetapisavaodstavka"/>
    <w:link w:val="Glava"/>
    <w:rsid w:val="00026F3A"/>
    <w:rPr>
      <w:rFonts w:ascii="Arial" w:eastAsia="Times New Roman" w:hAnsi="Arial" w:cs="Times New Roman"/>
      <w:sz w:val="20"/>
      <w:szCs w:val="24"/>
    </w:rPr>
  </w:style>
  <w:style w:type="paragraph" w:customStyle="1" w:styleId="datumtevilka">
    <w:name w:val="datum številka"/>
    <w:basedOn w:val="Navaden"/>
    <w:qFormat/>
    <w:rsid w:val="00026F3A"/>
    <w:pPr>
      <w:tabs>
        <w:tab w:val="left" w:pos="1701"/>
      </w:tabs>
    </w:pPr>
    <w:rPr>
      <w:szCs w:val="20"/>
      <w:lang w:eastAsia="sl-SI"/>
    </w:rPr>
  </w:style>
  <w:style w:type="paragraph" w:customStyle="1" w:styleId="ZADEVA">
    <w:name w:val="ZADEVA"/>
    <w:basedOn w:val="Navaden"/>
    <w:uiPriority w:val="99"/>
    <w:qFormat/>
    <w:rsid w:val="00026F3A"/>
    <w:pPr>
      <w:tabs>
        <w:tab w:val="left" w:pos="1701"/>
      </w:tabs>
      <w:ind w:left="1701" w:hanging="1701"/>
    </w:pPr>
    <w:rPr>
      <w:b/>
      <w:lang w:val="it-IT"/>
    </w:rPr>
  </w:style>
  <w:style w:type="paragraph" w:styleId="Odstavekseznama">
    <w:name w:val="List Paragraph"/>
    <w:basedOn w:val="Navaden"/>
    <w:uiPriority w:val="34"/>
    <w:qFormat/>
    <w:rsid w:val="00026F3A"/>
    <w:pPr>
      <w:spacing w:line="240" w:lineRule="auto"/>
      <w:ind w:left="720"/>
      <w:contextualSpacing/>
    </w:pPr>
    <w:rPr>
      <w:rFonts w:ascii="Calibri" w:eastAsia="SimSun" w:hAnsi="Calibri"/>
      <w:sz w:val="24"/>
      <w:lang w:val="en-US"/>
    </w:rPr>
  </w:style>
  <w:style w:type="table" w:styleId="Navadnatabela4">
    <w:name w:val="Plain Table 4"/>
    <w:basedOn w:val="Navadnatabela"/>
    <w:uiPriority w:val="44"/>
    <w:rsid w:val="00630B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4</cp:revision>
  <dcterms:created xsi:type="dcterms:W3CDTF">2021-04-16T09:41:00Z</dcterms:created>
  <dcterms:modified xsi:type="dcterms:W3CDTF">2021-04-23T11:25:00Z</dcterms:modified>
</cp:coreProperties>
</file>