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D8E7CF" w14:textId="7BB272A4" w:rsidR="00F754B3" w:rsidRPr="001524D7" w:rsidRDefault="00F754B3" w:rsidP="00F754B3">
      <w:pPr>
        <w:pStyle w:val="datumtevilka"/>
      </w:pPr>
      <w:r w:rsidRPr="001524D7">
        <w:t xml:space="preserve">Datum:  </w:t>
      </w:r>
      <w:r w:rsidR="009E110A">
        <w:t>22</w:t>
      </w:r>
      <w:r w:rsidRPr="001524D7">
        <w:t>.</w:t>
      </w:r>
      <w:r>
        <w:t xml:space="preserve"> 4</w:t>
      </w:r>
      <w:r w:rsidRPr="001524D7">
        <w:t>.</w:t>
      </w:r>
      <w:r>
        <w:t xml:space="preserve"> </w:t>
      </w:r>
      <w:r w:rsidRPr="001524D7">
        <w:t>20</w:t>
      </w:r>
      <w:r>
        <w:t>20</w:t>
      </w:r>
    </w:p>
    <w:p w14:paraId="3A41C279" w14:textId="77777777" w:rsidR="00F754B3" w:rsidRPr="001524D7" w:rsidRDefault="00F754B3" w:rsidP="00F754B3">
      <w:pPr>
        <w:pStyle w:val="datumtevilka"/>
      </w:pPr>
    </w:p>
    <w:p w14:paraId="07CE605F" w14:textId="77777777" w:rsidR="00F754B3" w:rsidRPr="001524D7" w:rsidRDefault="00F754B3" w:rsidP="00F754B3">
      <w:pPr>
        <w:pStyle w:val="datumtevilka"/>
      </w:pPr>
    </w:p>
    <w:p w14:paraId="1353C9C5" w14:textId="455C0D6D" w:rsidR="00F754B3" w:rsidRPr="00F754B3" w:rsidRDefault="00F754B3" w:rsidP="00F754B3">
      <w:pPr>
        <w:jc w:val="center"/>
        <w:rPr>
          <w:rFonts w:cs="Arial"/>
          <w:b/>
          <w:sz w:val="24"/>
        </w:rPr>
      </w:pPr>
      <w:r w:rsidRPr="00F754B3">
        <w:rPr>
          <w:rFonts w:cs="Arial"/>
          <w:b/>
          <w:sz w:val="24"/>
        </w:rPr>
        <w:t xml:space="preserve">Inšpekcijski nadzori nad izplačili delovne uspešnosti iz naslova prodaje blaga in storitev na trgu </w:t>
      </w:r>
    </w:p>
    <w:p w14:paraId="10705952" w14:textId="77777777" w:rsidR="00F754B3" w:rsidRPr="001524D7" w:rsidRDefault="00F754B3" w:rsidP="00F754B3">
      <w:pPr>
        <w:jc w:val="both"/>
      </w:pPr>
    </w:p>
    <w:p w14:paraId="411F4E98" w14:textId="77777777" w:rsidR="00F754B3" w:rsidRPr="001524D7" w:rsidRDefault="00F754B3" w:rsidP="00F754B3">
      <w:pPr>
        <w:pStyle w:val="ZADEVA"/>
        <w:tabs>
          <w:tab w:val="clear" w:pos="1701"/>
          <w:tab w:val="left" w:pos="0"/>
        </w:tabs>
        <w:jc w:val="both"/>
        <w:rPr>
          <w:rFonts w:cs="Arial"/>
          <w:b w:val="0"/>
          <w:szCs w:val="20"/>
          <w:lang w:val="sl-SI"/>
        </w:rPr>
      </w:pPr>
    </w:p>
    <w:p w14:paraId="55539C21" w14:textId="77777777" w:rsidR="00F754B3" w:rsidRPr="009F5137" w:rsidRDefault="00F754B3" w:rsidP="00F754B3">
      <w:pPr>
        <w:spacing w:line="240" w:lineRule="auto"/>
        <w:jc w:val="both"/>
        <w:rPr>
          <w:rFonts w:asciiTheme="minorHAnsi" w:hAnsiTheme="minorHAnsi" w:cstheme="minorHAnsi"/>
          <w:szCs w:val="20"/>
        </w:rPr>
      </w:pPr>
      <w:bookmarkStart w:id="0" w:name="_Toc65077533"/>
      <w:r w:rsidRPr="009F5137">
        <w:rPr>
          <w:rFonts w:asciiTheme="minorHAnsi" w:hAnsiTheme="minorHAnsi" w:cstheme="minorHAnsi"/>
          <w:szCs w:val="20"/>
        </w:rPr>
        <w:t>Inšpektorji so inšpekcijske nadzore opravili pri 8 proračunskih uporabnikih, in sicer Javnem zavodu Lekarne Ljubljana, Ekonomski fakulteti Univerze v Ljubljani, Medicinski fakulteti Univerze v Ljubljani, Gorenjskih lekarnah, Javnem zavodu Ljubljanski grad, Javnem zavodu Mariborske lekarne, Cankarjevem domu in Akademski raziskovalni mreži Slovenije.</w:t>
      </w:r>
      <w:bookmarkEnd w:id="0"/>
      <w:r w:rsidRPr="009F5137">
        <w:rPr>
          <w:rFonts w:asciiTheme="minorHAnsi" w:hAnsiTheme="minorHAnsi" w:cstheme="minorHAnsi"/>
          <w:szCs w:val="20"/>
        </w:rPr>
        <w:t xml:space="preserve"> </w:t>
      </w:r>
    </w:p>
    <w:p w14:paraId="03998EC2" w14:textId="77777777" w:rsidR="00F754B3" w:rsidRPr="009F5137" w:rsidRDefault="00F754B3" w:rsidP="00F754B3">
      <w:pPr>
        <w:spacing w:line="240" w:lineRule="auto"/>
        <w:jc w:val="both"/>
        <w:rPr>
          <w:rFonts w:asciiTheme="minorHAnsi" w:hAnsiTheme="minorHAnsi" w:cstheme="minorHAnsi"/>
          <w:szCs w:val="20"/>
        </w:rPr>
      </w:pPr>
    </w:p>
    <w:p w14:paraId="35066A1D" w14:textId="77777777" w:rsidR="00F754B3" w:rsidRPr="009F5137" w:rsidRDefault="00F754B3" w:rsidP="00F754B3">
      <w:pPr>
        <w:spacing w:line="240" w:lineRule="auto"/>
        <w:jc w:val="both"/>
        <w:rPr>
          <w:rFonts w:asciiTheme="minorHAnsi" w:hAnsiTheme="minorHAnsi" w:cstheme="minorHAnsi"/>
          <w:szCs w:val="20"/>
        </w:rPr>
      </w:pPr>
      <w:bookmarkStart w:id="1" w:name="_Toc65077534"/>
      <w:r w:rsidRPr="009F5137">
        <w:rPr>
          <w:rFonts w:asciiTheme="minorHAnsi" w:hAnsiTheme="minorHAnsi" w:cstheme="minorHAnsi"/>
          <w:szCs w:val="20"/>
        </w:rPr>
        <w:t>Pri Javnem zavodu Lekarne Ljubljana, Gorenjskih lekarnah in Akademski raziskovalni mreži Slovenije inšpektorji niso ugotovili nepravilnosti. Pri ostalih pa  so ugotovili naslednje:</w:t>
      </w:r>
      <w:bookmarkEnd w:id="1"/>
    </w:p>
    <w:p w14:paraId="5221B8DE" w14:textId="77777777" w:rsidR="00F754B3" w:rsidRPr="009F5137" w:rsidRDefault="00F754B3" w:rsidP="00F754B3">
      <w:pPr>
        <w:spacing w:line="240" w:lineRule="auto"/>
        <w:jc w:val="both"/>
        <w:rPr>
          <w:rFonts w:asciiTheme="minorHAnsi" w:hAnsiTheme="minorHAnsi" w:cstheme="minorHAnsi"/>
          <w:szCs w:val="20"/>
        </w:rPr>
      </w:pPr>
      <w:bookmarkStart w:id="2" w:name="_Hlk64627952"/>
    </w:p>
    <w:p w14:paraId="72BE10C9" w14:textId="77777777" w:rsidR="00F754B3" w:rsidRPr="00F754B3" w:rsidRDefault="00F754B3" w:rsidP="00F754B3">
      <w:pPr>
        <w:spacing w:line="240" w:lineRule="auto"/>
        <w:jc w:val="both"/>
        <w:rPr>
          <w:rFonts w:asciiTheme="minorHAnsi" w:hAnsiTheme="minorHAnsi" w:cstheme="minorHAnsi"/>
          <w:b/>
          <w:bCs/>
          <w:szCs w:val="20"/>
        </w:rPr>
      </w:pPr>
      <w:bookmarkStart w:id="3" w:name="_Toc65077535"/>
      <w:r w:rsidRPr="00F754B3">
        <w:rPr>
          <w:rFonts w:asciiTheme="minorHAnsi" w:hAnsiTheme="minorHAnsi" w:cstheme="minorHAnsi"/>
          <w:b/>
          <w:bCs/>
          <w:szCs w:val="20"/>
        </w:rPr>
        <w:t>Ekonomska fakulteta Univerze v Ljubljani</w:t>
      </w:r>
      <w:bookmarkEnd w:id="3"/>
    </w:p>
    <w:p w14:paraId="0096DDB1" w14:textId="77777777" w:rsidR="00F754B3" w:rsidRPr="009F5137" w:rsidRDefault="00F754B3" w:rsidP="00F754B3">
      <w:pPr>
        <w:pStyle w:val="Odstavekseznama"/>
        <w:numPr>
          <w:ilvl w:val="0"/>
          <w:numId w:val="1"/>
        </w:numPr>
        <w:jc w:val="both"/>
        <w:rPr>
          <w:rFonts w:asciiTheme="minorHAnsi" w:hAnsiTheme="minorHAnsi" w:cstheme="minorHAnsi"/>
          <w:sz w:val="20"/>
          <w:szCs w:val="20"/>
          <w:lang w:val="sl-SI"/>
        </w:rPr>
      </w:pPr>
      <w:bookmarkStart w:id="4" w:name="_Toc65077536"/>
      <w:r w:rsidRPr="009F5137">
        <w:rPr>
          <w:rFonts w:asciiTheme="minorHAnsi" w:hAnsiTheme="minorHAnsi" w:cstheme="minorHAnsi"/>
          <w:sz w:val="20"/>
          <w:szCs w:val="20"/>
          <w:lang w:val="sl-SI"/>
        </w:rPr>
        <w:t>da bi bilo potrebno, glede na to, da 22.k člen ZSPJS  določa, da višino sredstev namenjeno izplačilu dela plače za delovno uspešnost iz naslova prodaje blaga in storitev na trgu določi direktor po predhodnem dogovoru z reprezentativnimi sindikati, dokumentirati,  da dogovor z reprezentativnim sindikatom dejansko obstaja in da zgolj vabilo na seje organov, kjer se odloča o programu dela in potrjuje finančni načrt, v katerem so opredeljeni tržni viri, za uresničitev te zakonske določbe ne zadošča.</w:t>
      </w:r>
      <w:bookmarkEnd w:id="4"/>
      <w:r w:rsidRPr="009F5137">
        <w:rPr>
          <w:rFonts w:asciiTheme="minorHAnsi" w:hAnsiTheme="minorHAnsi" w:cstheme="minorHAnsi"/>
          <w:sz w:val="20"/>
          <w:szCs w:val="20"/>
          <w:lang w:val="sl-SI"/>
        </w:rPr>
        <w:t xml:space="preserve"> </w:t>
      </w:r>
    </w:p>
    <w:p w14:paraId="36C38DB8" w14:textId="77777777" w:rsidR="00F754B3" w:rsidRPr="009F5137" w:rsidRDefault="00F754B3" w:rsidP="00F754B3">
      <w:pPr>
        <w:jc w:val="both"/>
        <w:rPr>
          <w:rFonts w:asciiTheme="minorHAnsi" w:hAnsiTheme="minorHAnsi" w:cstheme="minorHAnsi"/>
          <w:szCs w:val="20"/>
        </w:rPr>
      </w:pPr>
      <w:bookmarkStart w:id="5" w:name="_Toc65077537"/>
      <w:r w:rsidRPr="009F5137">
        <w:rPr>
          <w:rFonts w:asciiTheme="minorHAnsi" w:hAnsiTheme="minorHAnsi" w:cstheme="minorHAnsi"/>
          <w:szCs w:val="20"/>
        </w:rPr>
        <w:t>Inšpektorji so izdali priporočilo, da naj predstojnik v bodoče zagotovi izvajanje 22.k člena ZSPJS.</w:t>
      </w:r>
      <w:bookmarkEnd w:id="5"/>
    </w:p>
    <w:bookmarkEnd w:id="2"/>
    <w:p w14:paraId="07208B17" w14:textId="77777777" w:rsidR="00F754B3" w:rsidRPr="009F5137" w:rsidRDefault="00F754B3" w:rsidP="00F754B3">
      <w:pPr>
        <w:spacing w:line="240" w:lineRule="auto"/>
        <w:jc w:val="both"/>
        <w:rPr>
          <w:rFonts w:asciiTheme="minorHAnsi" w:hAnsiTheme="minorHAnsi" w:cstheme="minorHAnsi"/>
          <w:szCs w:val="20"/>
        </w:rPr>
      </w:pPr>
    </w:p>
    <w:p w14:paraId="068495A0" w14:textId="77777777" w:rsidR="00F754B3" w:rsidRPr="00F754B3" w:rsidRDefault="00F754B3" w:rsidP="00F754B3">
      <w:pPr>
        <w:spacing w:line="240" w:lineRule="auto"/>
        <w:jc w:val="both"/>
        <w:rPr>
          <w:rFonts w:asciiTheme="minorHAnsi" w:hAnsiTheme="minorHAnsi" w:cstheme="minorHAnsi"/>
          <w:b/>
          <w:bCs/>
          <w:szCs w:val="20"/>
        </w:rPr>
      </w:pPr>
      <w:bookmarkStart w:id="6" w:name="_Toc65077538"/>
      <w:r w:rsidRPr="00F754B3">
        <w:rPr>
          <w:rFonts w:asciiTheme="minorHAnsi" w:hAnsiTheme="minorHAnsi" w:cstheme="minorHAnsi"/>
          <w:b/>
          <w:bCs/>
          <w:szCs w:val="20"/>
        </w:rPr>
        <w:t>Medicinska fakulteta Univerze v Ljubljani</w:t>
      </w:r>
      <w:bookmarkEnd w:id="6"/>
    </w:p>
    <w:p w14:paraId="276CCB4E" w14:textId="77777777" w:rsidR="00F754B3" w:rsidRPr="009F5137" w:rsidRDefault="00F754B3" w:rsidP="00F754B3">
      <w:pPr>
        <w:pStyle w:val="Odstavekseznama"/>
        <w:numPr>
          <w:ilvl w:val="0"/>
          <w:numId w:val="2"/>
        </w:numPr>
        <w:jc w:val="both"/>
        <w:rPr>
          <w:rFonts w:asciiTheme="minorHAnsi" w:hAnsiTheme="minorHAnsi" w:cstheme="minorHAnsi"/>
          <w:sz w:val="20"/>
          <w:szCs w:val="20"/>
          <w:lang w:val="sl-SI"/>
        </w:rPr>
      </w:pPr>
      <w:bookmarkStart w:id="7" w:name="_Toc65077539"/>
      <w:r w:rsidRPr="009F5137">
        <w:rPr>
          <w:rFonts w:asciiTheme="minorHAnsi" w:hAnsiTheme="minorHAnsi" w:cstheme="minorHAnsi"/>
          <w:sz w:val="20"/>
          <w:szCs w:val="20"/>
          <w:lang w:val="sl-SI"/>
        </w:rPr>
        <w:t>da dekan za leti 2018 in 2019 višine sredstev, namenjeno izplačilu dela plače za delovno uspešnost iz naslova prodaje blaga in storitev na trgu, ni določil po predhodnem dogovoru z reprezentativnimi sindikati, kar ni skladno z 22.k členom ZSPJS.</w:t>
      </w:r>
      <w:bookmarkEnd w:id="7"/>
      <w:r w:rsidRPr="009F5137">
        <w:rPr>
          <w:rFonts w:asciiTheme="minorHAnsi" w:hAnsiTheme="minorHAnsi" w:cstheme="minorHAnsi"/>
          <w:sz w:val="20"/>
          <w:szCs w:val="20"/>
          <w:lang w:val="sl-SI"/>
        </w:rPr>
        <w:t xml:space="preserve"> </w:t>
      </w:r>
    </w:p>
    <w:p w14:paraId="13C0414F" w14:textId="77777777" w:rsidR="00F754B3" w:rsidRPr="009F5137" w:rsidRDefault="00F754B3" w:rsidP="00F754B3">
      <w:pPr>
        <w:jc w:val="both"/>
        <w:rPr>
          <w:rFonts w:asciiTheme="minorHAnsi" w:hAnsiTheme="minorHAnsi" w:cstheme="minorHAnsi"/>
          <w:szCs w:val="20"/>
        </w:rPr>
      </w:pPr>
      <w:bookmarkStart w:id="8" w:name="_Toc65077540"/>
      <w:r w:rsidRPr="009F5137">
        <w:rPr>
          <w:rFonts w:asciiTheme="minorHAnsi" w:hAnsiTheme="minorHAnsi" w:cstheme="minorHAnsi"/>
          <w:szCs w:val="20"/>
        </w:rPr>
        <w:t>Inšpektorji so izdali priporočilo, da naj predstojnik v bodoče zagotovi izvajanje 22.k člena ZSPJS.</w:t>
      </w:r>
      <w:bookmarkEnd w:id="8"/>
    </w:p>
    <w:p w14:paraId="51964299" w14:textId="77777777" w:rsidR="00F754B3" w:rsidRPr="009F5137" w:rsidRDefault="00F754B3" w:rsidP="00F754B3">
      <w:pPr>
        <w:jc w:val="both"/>
        <w:rPr>
          <w:rFonts w:asciiTheme="minorHAnsi" w:hAnsiTheme="minorHAnsi" w:cstheme="minorHAnsi"/>
          <w:szCs w:val="20"/>
        </w:rPr>
      </w:pPr>
      <w:bookmarkStart w:id="9" w:name="_Toc65077541"/>
      <w:r w:rsidRPr="009F5137">
        <w:rPr>
          <w:rFonts w:asciiTheme="minorHAnsi" w:hAnsiTheme="minorHAnsi" w:cstheme="minorHAnsi"/>
          <w:szCs w:val="20"/>
        </w:rPr>
        <w:t>Inšpektorji so upoštevali mnenje pristojnih ministrstev, da gre pri izvajanju zdravstvenih storitev, ki jih Medicinska fakulteta Univerze v Ljubljani izvaja pretežno za proračunske uporabnike,  glede na veljavno ureditev, za tržno dejavnost, kljub temu, da so vir za financiranje teh storitev skoraj v celoti javna sredstva, so pa Ministrstvu za javno upravo podali pobudo, da prouči, ali je takšna zakonska ureditev ustrezna.</w:t>
      </w:r>
      <w:bookmarkEnd w:id="9"/>
    </w:p>
    <w:p w14:paraId="0C85CBB1" w14:textId="77777777" w:rsidR="00F754B3" w:rsidRPr="009F5137" w:rsidRDefault="00F754B3" w:rsidP="00F754B3">
      <w:pPr>
        <w:jc w:val="both"/>
        <w:rPr>
          <w:rFonts w:asciiTheme="minorHAnsi" w:hAnsiTheme="minorHAnsi" w:cstheme="minorHAnsi"/>
          <w:szCs w:val="20"/>
        </w:rPr>
      </w:pPr>
    </w:p>
    <w:p w14:paraId="03E3EC31" w14:textId="77777777" w:rsidR="00F754B3" w:rsidRPr="00F754B3" w:rsidRDefault="00F754B3" w:rsidP="00F754B3">
      <w:pPr>
        <w:jc w:val="both"/>
        <w:rPr>
          <w:rFonts w:asciiTheme="minorHAnsi" w:hAnsiTheme="minorHAnsi" w:cstheme="minorHAnsi"/>
          <w:b/>
          <w:bCs/>
          <w:szCs w:val="20"/>
        </w:rPr>
      </w:pPr>
      <w:bookmarkStart w:id="10" w:name="_Toc65077542"/>
      <w:r w:rsidRPr="00F754B3">
        <w:rPr>
          <w:rFonts w:asciiTheme="minorHAnsi" w:hAnsiTheme="minorHAnsi" w:cstheme="minorHAnsi"/>
          <w:b/>
          <w:bCs/>
          <w:szCs w:val="20"/>
        </w:rPr>
        <w:t>Javni zavod Ljubljanski grad</w:t>
      </w:r>
      <w:bookmarkEnd w:id="10"/>
    </w:p>
    <w:p w14:paraId="59E8D1B1" w14:textId="77777777" w:rsidR="00F754B3" w:rsidRPr="009F5137" w:rsidRDefault="00F754B3" w:rsidP="00F754B3">
      <w:pPr>
        <w:pStyle w:val="Odstavekseznama"/>
        <w:numPr>
          <w:ilvl w:val="0"/>
          <w:numId w:val="2"/>
        </w:numPr>
        <w:jc w:val="both"/>
        <w:rPr>
          <w:rFonts w:asciiTheme="minorHAnsi" w:hAnsiTheme="minorHAnsi" w:cstheme="minorHAnsi"/>
          <w:sz w:val="20"/>
          <w:szCs w:val="20"/>
          <w:lang w:val="sl-SI"/>
        </w:rPr>
      </w:pPr>
      <w:bookmarkStart w:id="11" w:name="_Toc65077543"/>
      <w:r w:rsidRPr="009F5137">
        <w:rPr>
          <w:rFonts w:asciiTheme="minorHAnsi" w:hAnsiTheme="minorHAnsi" w:cstheme="minorHAnsi"/>
          <w:sz w:val="20"/>
          <w:szCs w:val="20"/>
          <w:lang w:val="sl-SI"/>
        </w:rPr>
        <w:t>v pravilniku o računovodstvu ni določil sodil za razmejevanje prihodkov in odhodkov med javno službo in tržno dejavnostjo.</w:t>
      </w:r>
      <w:bookmarkEnd w:id="11"/>
      <w:r w:rsidRPr="009F5137">
        <w:rPr>
          <w:rFonts w:asciiTheme="minorHAnsi" w:hAnsiTheme="minorHAnsi" w:cstheme="minorHAnsi"/>
          <w:sz w:val="20"/>
          <w:szCs w:val="20"/>
          <w:lang w:val="sl-SI"/>
        </w:rPr>
        <w:t xml:space="preserve"> </w:t>
      </w:r>
    </w:p>
    <w:p w14:paraId="53C14E7D" w14:textId="77777777" w:rsidR="00F754B3" w:rsidRPr="009F5137" w:rsidRDefault="00F754B3" w:rsidP="00F754B3">
      <w:pPr>
        <w:jc w:val="both"/>
        <w:rPr>
          <w:rFonts w:asciiTheme="minorHAnsi" w:hAnsiTheme="minorHAnsi" w:cstheme="minorHAnsi"/>
          <w:szCs w:val="20"/>
        </w:rPr>
      </w:pPr>
      <w:bookmarkStart w:id="12" w:name="_Toc65077544"/>
      <w:r w:rsidRPr="009F5137">
        <w:rPr>
          <w:rFonts w:asciiTheme="minorHAnsi" w:hAnsiTheme="minorHAnsi" w:cstheme="minorHAnsi"/>
          <w:szCs w:val="20"/>
        </w:rPr>
        <w:t>Inšpektorji so izdali priporočilo, da javni zavod sodila o razmejevanju prihodkov in odhodkov med javno službo in tržno dejavnostjo vključi v pravilnik o računovodstvu ter, da o uporabi teh sodil pa poroča v okviru letnih poročil za posamezno leto.</w:t>
      </w:r>
      <w:bookmarkEnd w:id="12"/>
    </w:p>
    <w:p w14:paraId="39ECED6C" w14:textId="77777777" w:rsidR="00F754B3" w:rsidRPr="009F5137" w:rsidRDefault="00F754B3" w:rsidP="00F754B3">
      <w:pPr>
        <w:jc w:val="both"/>
        <w:rPr>
          <w:rFonts w:asciiTheme="minorHAnsi" w:hAnsiTheme="minorHAnsi" w:cstheme="minorHAnsi"/>
          <w:szCs w:val="20"/>
        </w:rPr>
      </w:pPr>
    </w:p>
    <w:p w14:paraId="515D242C" w14:textId="77777777" w:rsidR="00F754B3" w:rsidRPr="00F754B3" w:rsidRDefault="00F754B3" w:rsidP="00F754B3">
      <w:pPr>
        <w:jc w:val="both"/>
        <w:rPr>
          <w:rFonts w:asciiTheme="minorHAnsi" w:hAnsiTheme="minorHAnsi" w:cstheme="minorHAnsi"/>
          <w:b/>
          <w:bCs/>
          <w:szCs w:val="20"/>
        </w:rPr>
      </w:pPr>
      <w:bookmarkStart w:id="13" w:name="_Toc65077545"/>
      <w:r w:rsidRPr="00F754B3">
        <w:rPr>
          <w:rFonts w:asciiTheme="minorHAnsi" w:hAnsiTheme="minorHAnsi" w:cstheme="minorHAnsi"/>
          <w:b/>
          <w:bCs/>
          <w:szCs w:val="20"/>
        </w:rPr>
        <w:t>Mariborske lekarne</w:t>
      </w:r>
      <w:bookmarkEnd w:id="13"/>
    </w:p>
    <w:p w14:paraId="7D4180F3" w14:textId="77777777" w:rsidR="00F754B3" w:rsidRPr="009F5137" w:rsidRDefault="00F754B3" w:rsidP="00F754B3">
      <w:pPr>
        <w:pStyle w:val="Odstavekseznama"/>
        <w:numPr>
          <w:ilvl w:val="0"/>
          <w:numId w:val="2"/>
        </w:numPr>
        <w:jc w:val="both"/>
        <w:rPr>
          <w:rFonts w:asciiTheme="minorHAnsi" w:hAnsiTheme="minorHAnsi" w:cstheme="minorHAnsi"/>
          <w:sz w:val="20"/>
          <w:szCs w:val="20"/>
          <w:lang w:val="sl-SI"/>
        </w:rPr>
      </w:pPr>
      <w:bookmarkStart w:id="14" w:name="_Toc65077546"/>
      <w:r w:rsidRPr="009F5137">
        <w:rPr>
          <w:rFonts w:asciiTheme="minorHAnsi" w:hAnsiTheme="minorHAnsi" w:cstheme="minorHAnsi"/>
          <w:sz w:val="20"/>
          <w:szCs w:val="20"/>
          <w:lang w:val="sl-SI"/>
        </w:rPr>
        <w:t>po uveljavitvi ZSPJS in Uredbe o delovni uspešnosti iz naslova prodaje blaga in storitev na trgu določb internega akta niso uskladili z določbami veljavnih predpisov;</w:t>
      </w:r>
      <w:bookmarkEnd w:id="14"/>
    </w:p>
    <w:p w14:paraId="54FCE9BB" w14:textId="77777777" w:rsidR="00F754B3" w:rsidRPr="009F5137" w:rsidRDefault="00F754B3" w:rsidP="00F754B3">
      <w:pPr>
        <w:pStyle w:val="Odstavekseznama"/>
        <w:numPr>
          <w:ilvl w:val="0"/>
          <w:numId w:val="2"/>
        </w:numPr>
        <w:jc w:val="both"/>
        <w:rPr>
          <w:rFonts w:asciiTheme="minorHAnsi" w:hAnsiTheme="minorHAnsi" w:cstheme="minorHAnsi"/>
          <w:sz w:val="20"/>
          <w:szCs w:val="20"/>
          <w:lang w:val="sl-SI"/>
        </w:rPr>
      </w:pPr>
      <w:bookmarkStart w:id="15" w:name="_Toc65077547"/>
      <w:r w:rsidRPr="009F5137">
        <w:rPr>
          <w:rFonts w:asciiTheme="minorHAnsi" w:hAnsiTheme="minorHAnsi" w:cstheme="minorHAnsi"/>
          <w:sz w:val="20"/>
          <w:szCs w:val="20"/>
          <w:lang w:val="sl-SI"/>
        </w:rPr>
        <w:t>delovno uspešnost iz naslova prodaje blaga in storitev na trgu in poračun iz tega naslova so sicer izplačevali pod pravilnima vrstama izplačil, vendar sta bili le-ti poimenovani v nasprotju z določili Uredbe o enotni metodologiji in obrazcih za obračun in izplačilo plač v javnem sektorju;</w:t>
      </w:r>
      <w:bookmarkEnd w:id="15"/>
    </w:p>
    <w:p w14:paraId="059F83BA" w14:textId="77777777" w:rsidR="00F754B3" w:rsidRPr="009F5137" w:rsidRDefault="00F754B3" w:rsidP="00F754B3">
      <w:pPr>
        <w:pStyle w:val="Odstavekseznama"/>
        <w:numPr>
          <w:ilvl w:val="0"/>
          <w:numId w:val="2"/>
        </w:numPr>
        <w:jc w:val="both"/>
        <w:rPr>
          <w:rFonts w:asciiTheme="minorHAnsi" w:hAnsiTheme="minorHAnsi" w:cstheme="minorHAnsi"/>
          <w:sz w:val="20"/>
          <w:szCs w:val="20"/>
          <w:lang w:val="sl-SI"/>
        </w:rPr>
      </w:pPr>
      <w:bookmarkStart w:id="16" w:name="_Toc65077548"/>
      <w:r w:rsidRPr="009F5137">
        <w:rPr>
          <w:rFonts w:asciiTheme="minorHAnsi" w:hAnsiTheme="minorHAnsi" w:cstheme="minorHAnsi"/>
          <w:sz w:val="20"/>
          <w:szCs w:val="20"/>
          <w:lang w:val="sl-SI"/>
        </w:rPr>
        <w:lastRenderedPageBreak/>
        <w:t>z reprezentativnimi sindikati pred določitvijo višine sredstev, ki so namenjena izplačilu dela plače za delovno uspešnost iz naslova prodaje blaga in storitev na trgu, niso sklenili dogovora.</w:t>
      </w:r>
      <w:bookmarkEnd w:id="16"/>
    </w:p>
    <w:p w14:paraId="538D3369" w14:textId="77777777" w:rsidR="00F754B3" w:rsidRPr="009F5137" w:rsidRDefault="00F754B3" w:rsidP="00F754B3">
      <w:pPr>
        <w:jc w:val="both"/>
        <w:rPr>
          <w:rFonts w:asciiTheme="minorHAnsi" w:hAnsiTheme="minorHAnsi" w:cstheme="minorHAnsi"/>
          <w:szCs w:val="20"/>
        </w:rPr>
      </w:pPr>
      <w:bookmarkStart w:id="17" w:name="_Toc65077549"/>
      <w:bookmarkStart w:id="18" w:name="_Hlk64632428"/>
      <w:r w:rsidRPr="009F5137">
        <w:rPr>
          <w:rFonts w:asciiTheme="minorHAnsi" w:hAnsiTheme="minorHAnsi" w:cstheme="minorHAnsi"/>
          <w:szCs w:val="20"/>
        </w:rPr>
        <w:t>Inšpektorji so izdali priporočila, da naj predstojnik v bodoče: zagotovi izvajanje 22.k člena ZSPJS; v prihodnje poskrbi, da bodo sklepi, s katerimi bo odredil izplačilo poračuna dodatne delovne uspešnosti iz naslova prihodkov na trgu iz neizplačanega obsega sredstev za posamezno leto, vselej vsebovali pravilno pravno podlago za njihovo izdajo; v prihodnje poskrbi, da bodo javnim uslužbencem plače obračunane v skladu s 40. členom ZSPJS (da bo poimenovanje/okrajšave posameznih vrst izplačil skladno z poimenovanjem, ki za posamezno vrsto izplačila izhaja iz predmetne uredbe).</w:t>
      </w:r>
      <w:bookmarkEnd w:id="17"/>
    </w:p>
    <w:p w14:paraId="6AFA2FDD" w14:textId="77777777" w:rsidR="00F754B3" w:rsidRPr="009F5137" w:rsidRDefault="00F754B3" w:rsidP="00F754B3">
      <w:pPr>
        <w:jc w:val="both"/>
        <w:rPr>
          <w:rFonts w:asciiTheme="minorHAnsi" w:hAnsiTheme="minorHAnsi" w:cstheme="minorHAnsi"/>
          <w:szCs w:val="20"/>
        </w:rPr>
      </w:pPr>
    </w:p>
    <w:p w14:paraId="1B0B20A2" w14:textId="77777777" w:rsidR="00F754B3" w:rsidRPr="00F754B3" w:rsidRDefault="00F754B3" w:rsidP="00F754B3">
      <w:pPr>
        <w:jc w:val="both"/>
        <w:rPr>
          <w:rFonts w:asciiTheme="minorHAnsi" w:hAnsiTheme="minorHAnsi" w:cstheme="minorHAnsi"/>
          <w:b/>
          <w:bCs/>
          <w:szCs w:val="20"/>
        </w:rPr>
      </w:pPr>
      <w:bookmarkStart w:id="19" w:name="_Toc65077550"/>
      <w:r w:rsidRPr="00F754B3">
        <w:rPr>
          <w:rFonts w:asciiTheme="minorHAnsi" w:hAnsiTheme="minorHAnsi" w:cstheme="minorHAnsi"/>
          <w:b/>
          <w:bCs/>
          <w:szCs w:val="20"/>
        </w:rPr>
        <w:t>Cankarjev dom</w:t>
      </w:r>
      <w:bookmarkEnd w:id="19"/>
    </w:p>
    <w:p w14:paraId="14EF9755" w14:textId="77777777" w:rsidR="00F754B3" w:rsidRPr="009F5137" w:rsidRDefault="00F754B3" w:rsidP="00F754B3">
      <w:pPr>
        <w:pStyle w:val="Odstavekseznama"/>
        <w:numPr>
          <w:ilvl w:val="0"/>
          <w:numId w:val="3"/>
        </w:numPr>
        <w:jc w:val="both"/>
        <w:rPr>
          <w:rFonts w:asciiTheme="minorHAnsi" w:hAnsiTheme="minorHAnsi" w:cstheme="minorHAnsi"/>
          <w:sz w:val="20"/>
          <w:szCs w:val="20"/>
          <w:lang w:val="sl-SI"/>
        </w:rPr>
      </w:pPr>
      <w:bookmarkStart w:id="20" w:name="_Toc65077551"/>
      <w:r w:rsidRPr="009F5137">
        <w:rPr>
          <w:rFonts w:asciiTheme="minorHAnsi" w:hAnsiTheme="minorHAnsi" w:cstheme="minorHAnsi"/>
          <w:sz w:val="20"/>
          <w:szCs w:val="20"/>
          <w:lang w:val="sl-SI"/>
        </w:rPr>
        <w:t>po uveljavitvi ZSPJS in Uredbe o delovni uspešnosti iz naslova prodaje blaga in storitev na trgu določb internega akta niso uskladili z določbami veljavnih predpisov;</w:t>
      </w:r>
      <w:bookmarkEnd w:id="20"/>
    </w:p>
    <w:p w14:paraId="468D5F5C" w14:textId="77777777" w:rsidR="00F754B3" w:rsidRPr="009F5137" w:rsidRDefault="00F754B3" w:rsidP="00F754B3">
      <w:pPr>
        <w:pStyle w:val="Odstavekseznama"/>
        <w:numPr>
          <w:ilvl w:val="0"/>
          <w:numId w:val="3"/>
        </w:numPr>
        <w:jc w:val="both"/>
        <w:rPr>
          <w:rFonts w:asciiTheme="minorHAnsi" w:hAnsiTheme="minorHAnsi" w:cstheme="minorHAnsi"/>
          <w:sz w:val="20"/>
          <w:szCs w:val="20"/>
          <w:lang w:val="sl-SI"/>
        </w:rPr>
      </w:pPr>
      <w:bookmarkStart w:id="21" w:name="_Toc65077552"/>
      <w:r w:rsidRPr="009F5137">
        <w:rPr>
          <w:rFonts w:asciiTheme="minorHAnsi" w:hAnsiTheme="minorHAnsi" w:cstheme="minorHAnsi"/>
          <w:sz w:val="20"/>
          <w:szCs w:val="20"/>
          <w:lang w:val="sl-SI"/>
        </w:rPr>
        <w:t xml:space="preserve">javni zavod je, kot del delovne uspešnosti iz naslova prodaje blaga in storitev na trgu v letih 2018 in 2019, javnim uslužbencem izplačeval tudi nagrado za </w:t>
      </w:r>
      <w:proofErr w:type="spellStart"/>
      <w:r w:rsidRPr="009F5137">
        <w:rPr>
          <w:rFonts w:asciiTheme="minorHAnsi" w:hAnsiTheme="minorHAnsi" w:cstheme="minorHAnsi"/>
          <w:sz w:val="20"/>
          <w:szCs w:val="20"/>
          <w:lang w:val="sl-SI"/>
        </w:rPr>
        <w:t>t.i</w:t>
      </w:r>
      <w:proofErr w:type="spellEnd"/>
      <w:r w:rsidRPr="009F5137">
        <w:rPr>
          <w:rFonts w:asciiTheme="minorHAnsi" w:hAnsiTheme="minorHAnsi" w:cstheme="minorHAnsi"/>
          <w:sz w:val="20"/>
          <w:szCs w:val="20"/>
          <w:lang w:val="sl-SI"/>
        </w:rPr>
        <w:t>. dosegljivost in pripravljenost na morebitno intervencijo.</w:t>
      </w:r>
      <w:bookmarkEnd w:id="21"/>
    </w:p>
    <w:p w14:paraId="38903134" w14:textId="77777777" w:rsidR="00F754B3" w:rsidRPr="009F5137" w:rsidRDefault="00F754B3" w:rsidP="00F754B3">
      <w:pPr>
        <w:jc w:val="both"/>
        <w:rPr>
          <w:rFonts w:asciiTheme="minorHAnsi" w:hAnsiTheme="minorHAnsi" w:cstheme="minorHAnsi"/>
          <w:szCs w:val="20"/>
        </w:rPr>
      </w:pPr>
      <w:bookmarkStart w:id="22" w:name="_Toc65077553"/>
      <w:bookmarkEnd w:id="18"/>
      <w:r w:rsidRPr="009F5137">
        <w:rPr>
          <w:rFonts w:asciiTheme="minorHAnsi" w:hAnsiTheme="minorHAnsi" w:cstheme="minorHAnsi"/>
          <w:szCs w:val="20"/>
        </w:rPr>
        <w:t>Inšpektorji so izdali priporočilo, da uskladi določbe internega akta z veljavnimi predpisi, saj so pravne podlage za izplačilo delovne uspešnosti iz naslova prodaje in blaga in storitev na trgu 21. člen ZSPJS, Uredba o delovni uspešnosti iz naslova prodaje blaga in storitev na trgu  ter Pravilnik o določitvi obsega sredstev za plačilo delovne uspešnosti iz naslova prodaje blaga in storitev na trgu ter o določitvi nejavnih prihodkov pri izvajanju javne službe, ki se štejejo v prihodke iz prodaje blaga in storitev na trgu, v javnih zavodih, javnih skladih in agencijah na področju kulture ter medijev.</w:t>
      </w:r>
      <w:bookmarkEnd w:id="22"/>
    </w:p>
    <w:p w14:paraId="004FEC52" w14:textId="77777777" w:rsidR="00CE456A" w:rsidRDefault="00CE456A"/>
    <w:sectPr w:rsidR="00CE456A" w:rsidSect="008F655E">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37178" w14:textId="77777777" w:rsidR="00722ADC" w:rsidRDefault="00722ADC">
      <w:pPr>
        <w:spacing w:line="240" w:lineRule="auto"/>
      </w:pPr>
      <w:r>
        <w:separator/>
      </w:r>
    </w:p>
  </w:endnote>
  <w:endnote w:type="continuationSeparator" w:id="0">
    <w:p w14:paraId="2E8ABC9C" w14:textId="77777777" w:rsidR="00722ADC" w:rsidRDefault="00722A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B533D" w14:textId="77777777" w:rsidR="00722ADC" w:rsidRDefault="00722ADC">
      <w:pPr>
        <w:spacing w:line="240" w:lineRule="auto"/>
      </w:pPr>
      <w:r>
        <w:separator/>
      </w:r>
    </w:p>
  </w:footnote>
  <w:footnote w:type="continuationSeparator" w:id="0">
    <w:p w14:paraId="7641704E" w14:textId="77777777" w:rsidR="00722ADC" w:rsidRDefault="00722A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42064" w14:textId="77777777" w:rsidR="007A0071" w:rsidRPr="00110CBD" w:rsidRDefault="00722ADC" w:rsidP="008F655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7A0071" w:rsidRPr="008F3500" w14:paraId="102B7DA1" w14:textId="77777777" w:rsidTr="00DE5782">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649" w:type="dxa"/>
        </w:tcPr>
        <w:p w14:paraId="6B1C9038" w14:textId="77777777" w:rsidR="007A0071" w:rsidRDefault="00F754B3" w:rsidP="008F655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41D5AD34" w14:textId="77777777" w:rsidR="007A0071" w:rsidRPr="006D42D9" w:rsidRDefault="00722ADC" w:rsidP="008F655E">
          <w:pPr>
            <w:rPr>
              <w:rFonts w:ascii="Republika" w:hAnsi="Republika"/>
              <w:sz w:val="60"/>
              <w:szCs w:val="60"/>
            </w:rPr>
          </w:pPr>
        </w:p>
        <w:p w14:paraId="3D627D48" w14:textId="77777777" w:rsidR="007A0071" w:rsidRPr="006D42D9" w:rsidRDefault="00722ADC" w:rsidP="008F655E">
          <w:pPr>
            <w:rPr>
              <w:rFonts w:ascii="Republika" w:hAnsi="Republika"/>
              <w:sz w:val="60"/>
              <w:szCs w:val="60"/>
            </w:rPr>
          </w:pPr>
        </w:p>
        <w:p w14:paraId="066D0163" w14:textId="77777777" w:rsidR="007A0071" w:rsidRPr="006D42D9" w:rsidRDefault="00722ADC" w:rsidP="008F655E">
          <w:pPr>
            <w:rPr>
              <w:rFonts w:ascii="Republika" w:hAnsi="Republika"/>
              <w:sz w:val="60"/>
              <w:szCs w:val="60"/>
            </w:rPr>
          </w:pPr>
        </w:p>
        <w:p w14:paraId="1EDAD85B" w14:textId="77777777" w:rsidR="007A0071" w:rsidRPr="006D42D9" w:rsidRDefault="00722ADC" w:rsidP="008F655E">
          <w:pPr>
            <w:rPr>
              <w:rFonts w:ascii="Republika" w:hAnsi="Republika"/>
              <w:sz w:val="60"/>
              <w:szCs w:val="60"/>
            </w:rPr>
          </w:pPr>
        </w:p>
        <w:p w14:paraId="4CAAE709" w14:textId="77777777" w:rsidR="007A0071" w:rsidRPr="006D42D9" w:rsidRDefault="00722ADC" w:rsidP="008F655E">
          <w:pPr>
            <w:rPr>
              <w:rFonts w:ascii="Republika" w:hAnsi="Republika"/>
              <w:sz w:val="60"/>
              <w:szCs w:val="60"/>
            </w:rPr>
          </w:pPr>
        </w:p>
        <w:p w14:paraId="536E2527" w14:textId="77777777" w:rsidR="007A0071" w:rsidRPr="006D42D9" w:rsidRDefault="00722ADC" w:rsidP="008F655E">
          <w:pPr>
            <w:rPr>
              <w:rFonts w:ascii="Republika" w:hAnsi="Republika"/>
              <w:sz w:val="60"/>
              <w:szCs w:val="60"/>
            </w:rPr>
          </w:pPr>
        </w:p>
        <w:p w14:paraId="43941DB0" w14:textId="77777777" w:rsidR="007A0071" w:rsidRPr="006D42D9" w:rsidRDefault="00722ADC" w:rsidP="008F655E">
          <w:pPr>
            <w:rPr>
              <w:rFonts w:ascii="Republika" w:hAnsi="Republika"/>
              <w:sz w:val="60"/>
              <w:szCs w:val="60"/>
            </w:rPr>
          </w:pPr>
        </w:p>
        <w:p w14:paraId="2443BE95" w14:textId="77777777" w:rsidR="007A0071" w:rsidRPr="006D42D9" w:rsidRDefault="00722ADC" w:rsidP="008F655E">
          <w:pPr>
            <w:rPr>
              <w:rFonts w:ascii="Republika" w:hAnsi="Republika"/>
              <w:sz w:val="60"/>
              <w:szCs w:val="60"/>
            </w:rPr>
          </w:pPr>
        </w:p>
        <w:p w14:paraId="55F32535" w14:textId="77777777" w:rsidR="007A0071" w:rsidRPr="006D42D9" w:rsidRDefault="00722ADC" w:rsidP="008F655E">
          <w:pPr>
            <w:rPr>
              <w:rFonts w:ascii="Republika" w:hAnsi="Republika"/>
              <w:sz w:val="60"/>
              <w:szCs w:val="60"/>
            </w:rPr>
          </w:pPr>
        </w:p>
        <w:p w14:paraId="6BE73C3E" w14:textId="77777777" w:rsidR="007A0071" w:rsidRPr="006D42D9" w:rsidRDefault="00722ADC" w:rsidP="008F655E">
          <w:pPr>
            <w:rPr>
              <w:rFonts w:ascii="Republika" w:hAnsi="Republika"/>
              <w:sz w:val="60"/>
              <w:szCs w:val="60"/>
            </w:rPr>
          </w:pPr>
        </w:p>
        <w:p w14:paraId="20FEF622" w14:textId="77777777" w:rsidR="007A0071" w:rsidRPr="006D42D9" w:rsidRDefault="00722ADC" w:rsidP="008F655E">
          <w:pPr>
            <w:rPr>
              <w:rFonts w:ascii="Republika" w:hAnsi="Republika"/>
              <w:sz w:val="60"/>
              <w:szCs w:val="60"/>
            </w:rPr>
          </w:pPr>
        </w:p>
        <w:p w14:paraId="7035477F" w14:textId="77777777" w:rsidR="007A0071" w:rsidRPr="006D42D9" w:rsidRDefault="00722ADC" w:rsidP="008F655E">
          <w:pPr>
            <w:rPr>
              <w:rFonts w:ascii="Republika" w:hAnsi="Republika"/>
              <w:sz w:val="60"/>
              <w:szCs w:val="60"/>
            </w:rPr>
          </w:pPr>
        </w:p>
        <w:p w14:paraId="4704C879" w14:textId="77777777" w:rsidR="007A0071" w:rsidRPr="006D42D9" w:rsidRDefault="00722ADC" w:rsidP="008F655E">
          <w:pPr>
            <w:rPr>
              <w:rFonts w:ascii="Republika" w:hAnsi="Republika"/>
              <w:sz w:val="60"/>
              <w:szCs w:val="60"/>
            </w:rPr>
          </w:pPr>
        </w:p>
        <w:p w14:paraId="1D8BB52F" w14:textId="77777777" w:rsidR="007A0071" w:rsidRPr="006D42D9" w:rsidRDefault="00722ADC" w:rsidP="008F655E">
          <w:pPr>
            <w:rPr>
              <w:rFonts w:ascii="Republika" w:hAnsi="Republika"/>
              <w:sz w:val="60"/>
              <w:szCs w:val="60"/>
            </w:rPr>
          </w:pPr>
        </w:p>
        <w:p w14:paraId="13B27CC8" w14:textId="77777777" w:rsidR="007A0071" w:rsidRPr="006D42D9" w:rsidRDefault="00722ADC" w:rsidP="008F655E">
          <w:pPr>
            <w:rPr>
              <w:rFonts w:ascii="Republika" w:hAnsi="Republika"/>
              <w:sz w:val="60"/>
              <w:szCs w:val="60"/>
            </w:rPr>
          </w:pPr>
        </w:p>
        <w:p w14:paraId="4169BAAE" w14:textId="77777777" w:rsidR="007A0071" w:rsidRPr="006D42D9" w:rsidRDefault="00722ADC" w:rsidP="008F655E">
          <w:pPr>
            <w:rPr>
              <w:rFonts w:ascii="Republika" w:hAnsi="Republika"/>
              <w:sz w:val="60"/>
              <w:szCs w:val="60"/>
            </w:rPr>
          </w:pPr>
        </w:p>
      </w:tc>
    </w:tr>
  </w:tbl>
  <w:p w14:paraId="6F7F49D9" w14:textId="77777777" w:rsidR="007A0071" w:rsidRDefault="00F754B3" w:rsidP="00A53D02">
    <w:pPr>
      <w:autoSpaceDE w:val="0"/>
      <w:autoSpaceDN w:val="0"/>
      <w:adjustRightInd w:val="0"/>
      <w:spacing w:line="240" w:lineRule="auto"/>
      <w:rPr>
        <w:rFonts w:ascii="Republika" w:hAnsi="Republika"/>
      </w:rPr>
    </w:pPr>
    <w:r>
      <w:rPr>
        <w:noProof/>
        <w:lang w:val="en-US"/>
      </w:rPr>
      <mc:AlternateContent>
        <mc:Choice Requires="wps">
          <w:drawing>
            <wp:anchor distT="0" distB="0" distL="114300" distR="114300" simplePos="0" relativeHeight="251659264" behindDoc="1" locked="0" layoutInCell="0" allowOverlap="1" wp14:anchorId="2FD6E006" wp14:editId="077FED9C">
              <wp:simplePos x="0" y="0"/>
              <wp:positionH relativeFrom="column">
                <wp:posOffset>-431800</wp:posOffset>
              </wp:positionH>
              <wp:positionV relativeFrom="page">
                <wp:posOffset>3600450</wp:posOffset>
              </wp:positionV>
              <wp:extent cx="252095" cy="0"/>
              <wp:effectExtent l="6350" t="9525" r="8255" b="9525"/>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A3EFA" id="Raven povezovalnik 1"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" o:allowincell="f" strokecolor="#428299" strokeweight=".5pt">
              <w10:wrap anchory="page"/>
            </v:line>
          </w:pict>
        </mc:Fallback>
      </mc:AlternateContent>
    </w:r>
    <w:r>
      <w:rPr>
        <w:rFonts w:ascii="Republika" w:hAnsi="Republika"/>
      </w:rPr>
      <w:t>REPUBLIKA SLOVENIJA</w:t>
    </w:r>
  </w:p>
  <w:p w14:paraId="01410B2A" w14:textId="77777777" w:rsidR="007A0071" w:rsidRDefault="00F754B3" w:rsidP="00A53D02">
    <w:pPr>
      <w:pStyle w:val="Glava"/>
      <w:tabs>
        <w:tab w:val="clear" w:pos="4320"/>
        <w:tab w:val="left" w:pos="5112"/>
      </w:tabs>
      <w:spacing w:after="120" w:line="240" w:lineRule="exact"/>
      <w:rPr>
        <w:rFonts w:ascii="Republika Bold" w:hAnsi="Republika Bold"/>
        <w:b/>
        <w:caps/>
      </w:rPr>
    </w:pPr>
    <w:r>
      <w:rPr>
        <w:rFonts w:ascii="Republika Bold" w:hAnsi="Republika Bold"/>
        <w:b/>
        <w:caps/>
      </w:rPr>
      <w:t>Ministrstvo za JAVNO UPRAVO</w:t>
    </w:r>
  </w:p>
  <w:p w14:paraId="3755EB27" w14:textId="77777777" w:rsidR="007A0071" w:rsidRDefault="00F754B3" w:rsidP="00A53D02">
    <w:pPr>
      <w:pStyle w:val="Glava"/>
      <w:tabs>
        <w:tab w:val="clear" w:pos="4320"/>
        <w:tab w:val="left" w:pos="5112"/>
      </w:tabs>
      <w:spacing w:after="120" w:line="240" w:lineRule="exact"/>
      <w:rPr>
        <w:rFonts w:ascii="Republika" w:hAnsi="Republika"/>
        <w:caps/>
      </w:rPr>
    </w:pPr>
    <w:r>
      <w:rPr>
        <w:rFonts w:ascii="Republika" w:hAnsi="Republika"/>
        <w:caps/>
      </w:rPr>
      <w:t>Inšpektorat ZA JAVNI SEKTOR</w:t>
    </w:r>
  </w:p>
  <w:p w14:paraId="762B070A" w14:textId="77777777" w:rsidR="007A0071" w:rsidRDefault="00F754B3" w:rsidP="00614076">
    <w:pPr>
      <w:pStyle w:val="Glava"/>
      <w:tabs>
        <w:tab w:val="clear" w:pos="4320"/>
        <w:tab w:val="clear" w:pos="8640"/>
        <w:tab w:val="left" w:pos="5112"/>
      </w:tabs>
      <w:spacing w:line="240" w:lineRule="exact"/>
      <w:rPr>
        <w:rFonts w:cs="Arial"/>
        <w:sz w:val="16"/>
      </w:rPr>
    </w:pPr>
    <w:r>
      <w:rPr>
        <w:rFonts w:cs="Arial"/>
        <w:sz w:val="16"/>
      </w:rPr>
      <w:t>Tržaška 21</w:t>
    </w:r>
    <w:r w:rsidRPr="008F3500">
      <w:rPr>
        <w:rFonts w:cs="Arial"/>
        <w:sz w:val="16"/>
      </w:rPr>
      <w:t xml:space="preserve">, </w:t>
    </w:r>
    <w:r>
      <w:rPr>
        <w:rFonts w:cs="Arial"/>
        <w:sz w:val="16"/>
      </w:rPr>
      <w:t>1000 Ljubljana</w:t>
    </w:r>
    <w:r w:rsidRPr="008F3500">
      <w:rPr>
        <w:rFonts w:cs="Arial"/>
        <w:sz w:val="16"/>
      </w:rPr>
      <w:tab/>
    </w:r>
    <w:r>
      <w:rPr>
        <w:rFonts w:cs="Arial"/>
        <w:sz w:val="16"/>
      </w:rPr>
      <w:t>www.ijs.gov.si</w:t>
    </w:r>
    <w:r w:rsidRPr="008F3500">
      <w:rPr>
        <w:rFonts w:cs="Arial"/>
        <w:sz w:val="16"/>
      </w:rPr>
      <w:t xml:space="preserve"> </w:t>
    </w:r>
  </w:p>
  <w:p w14:paraId="6BBA080F" w14:textId="77777777" w:rsidR="007A0071" w:rsidRDefault="00F754B3" w:rsidP="00614076">
    <w:pPr>
      <w:pStyle w:val="Glava"/>
      <w:tabs>
        <w:tab w:val="clear" w:pos="4320"/>
        <w:tab w:val="clear" w:pos="8640"/>
        <w:tab w:val="left" w:pos="5112"/>
      </w:tabs>
      <w:spacing w:line="240" w:lineRule="exact"/>
      <w:rPr>
        <w:rFonts w:cs="Arial"/>
        <w:sz w:val="16"/>
      </w:rPr>
    </w:pPr>
    <w:r>
      <w:rPr>
        <w:rFonts w:cs="Arial"/>
        <w:sz w:val="16"/>
      </w:rPr>
      <w:tab/>
    </w:r>
    <w:r w:rsidRPr="008F3500">
      <w:rPr>
        <w:rFonts w:cs="Arial"/>
        <w:sz w:val="16"/>
      </w:rPr>
      <w:t xml:space="preserve">E: </w:t>
    </w:r>
    <w:r>
      <w:rPr>
        <w:rFonts w:cs="Arial"/>
        <w:sz w:val="16"/>
      </w:rPr>
      <w:t>gp.ijs@gov.si</w:t>
    </w:r>
    <w:r w:rsidRPr="008F3500">
      <w:rPr>
        <w:rFonts w:cs="Arial"/>
        <w:sz w:val="16"/>
      </w:rPr>
      <w:t xml:space="preserve"> </w:t>
    </w:r>
  </w:p>
  <w:p w14:paraId="5AD42A59" w14:textId="77777777" w:rsidR="007A0071" w:rsidRDefault="00F754B3" w:rsidP="00614076">
    <w:pPr>
      <w:pStyle w:val="Glava"/>
      <w:tabs>
        <w:tab w:val="clear" w:pos="4320"/>
        <w:tab w:val="clear" w:pos="8640"/>
        <w:tab w:val="left" w:pos="5112"/>
      </w:tabs>
      <w:spacing w:line="240" w:lineRule="exact"/>
      <w:rPr>
        <w:rFonts w:cs="Arial"/>
        <w:sz w:val="16"/>
      </w:rPr>
    </w:pPr>
    <w:r>
      <w:rPr>
        <w:rFonts w:cs="Arial"/>
        <w:sz w:val="16"/>
      </w:rPr>
      <w:tab/>
    </w:r>
    <w:r w:rsidRPr="008F3500">
      <w:rPr>
        <w:rFonts w:cs="Arial"/>
        <w:sz w:val="16"/>
      </w:rPr>
      <w:t xml:space="preserve">T: </w:t>
    </w:r>
    <w:r>
      <w:rPr>
        <w:rFonts w:cs="Arial"/>
        <w:sz w:val="16"/>
      </w:rPr>
      <w:t>01 478 83 84</w:t>
    </w:r>
  </w:p>
  <w:p w14:paraId="18697EC3" w14:textId="77777777" w:rsidR="007A0071" w:rsidRPr="008F3500" w:rsidRDefault="00F754B3" w:rsidP="00614076">
    <w:pPr>
      <w:pStyle w:val="Glava"/>
      <w:tabs>
        <w:tab w:val="clear" w:pos="4320"/>
        <w:tab w:val="clear" w:pos="8640"/>
        <w:tab w:val="left" w:pos="5112"/>
      </w:tabs>
      <w:spacing w:line="240" w:lineRule="exact"/>
      <w:rPr>
        <w:rFonts w:cs="Arial"/>
        <w:sz w:val="16"/>
      </w:rPr>
    </w:pPr>
    <w:r>
      <w:rPr>
        <w:rFonts w:cs="Arial"/>
        <w:sz w:val="16"/>
      </w:rPr>
      <w:tab/>
      <w:t>FAX: 01 478 83 31</w:t>
    </w:r>
  </w:p>
  <w:p w14:paraId="2230BDEE" w14:textId="77777777" w:rsidR="007A0071" w:rsidRPr="008F3500" w:rsidRDefault="00F754B3" w:rsidP="008F655E">
    <w:pPr>
      <w:pStyle w:val="Glava"/>
      <w:tabs>
        <w:tab w:val="clear" w:pos="4320"/>
        <w:tab w:val="clear" w:pos="8640"/>
        <w:tab w:val="left" w:pos="5112"/>
      </w:tabs>
      <w:spacing w:line="240" w:lineRule="exact"/>
      <w:rPr>
        <w:rFonts w:cs="Arial"/>
        <w:sz w:val="16"/>
      </w:rPr>
    </w:pPr>
    <w:r w:rsidRPr="008F3500">
      <w:rPr>
        <w:rFonts w:cs="Arial"/>
        <w:sz w:val="16"/>
      </w:rPr>
      <w:tab/>
      <w:t xml:space="preserve"> </w:t>
    </w:r>
  </w:p>
  <w:p w14:paraId="42F32B0D" w14:textId="77777777" w:rsidR="007A0071" w:rsidRPr="008F3500" w:rsidRDefault="00F754B3" w:rsidP="008F655E">
    <w:pPr>
      <w:pStyle w:val="Glava"/>
      <w:tabs>
        <w:tab w:val="clear" w:pos="4320"/>
        <w:tab w:val="clear" w:pos="8640"/>
        <w:tab w:val="left" w:pos="5112"/>
      </w:tabs>
      <w:spacing w:line="240" w:lineRule="exact"/>
      <w:rPr>
        <w:rFonts w:cs="Arial"/>
        <w:sz w:val="16"/>
      </w:rPr>
    </w:pPr>
    <w:r w:rsidRPr="008F3500">
      <w:rPr>
        <w:rFonts w:cs="Arial"/>
        <w:sz w:val="16"/>
      </w:rPr>
      <w:tab/>
    </w:r>
  </w:p>
  <w:p w14:paraId="05C77887" w14:textId="77777777" w:rsidR="007A0071" w:rsidRPr="008F3500" w:rsidRDefault="00722ADC" w:rsidP="008F655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E3B46"/>
    <w:multiLevelType w:val="hybridMultilevel"/>
    <w:tmpl w:val="4F0C12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AA02351"/>
    <w:multiLevelType w:val="hybridMultilevel"/>
    <w:tmpl w:val="0DD635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F890DCA"/>
    <w:multiLevelType w:val="hybridMultilevel"/>
    <w:tmpl w:val="8724D8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4B3"/>
    <w:rsid w:val="003D5083"/>
    <w:rsid w:val="00722ADC"/>
    <w:rsid w:val="009E110A"/>
    <w:rsid w:val="00CE456A"/>
    <w:rsid w:val="00DE5782"/>
    <w:rsid w:val="00F754B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73971"/>
  <w15:chartTrackingRefBased/>
  <w15:docId w15:val="{1BFF9A0D-AA71-4BCA-9434-8D90A5E15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754B3"/>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F754B3"/>
    <w:pPr>
      <w:tabs>
        <w:tab w:val="center" w:pos="4320"/>
        <w:tab w:val="right" w:pos="8640"/>
      </w:tabs>
    </w:pPr>
  </w:style>
  <w:style w:type="character" w:customStyle="1" w:styleId="GlavaZnak">
    <w:name w:val="Glava Znak"/>
    <w:basedOn w:val="Privzetapisavaodstavka"/>
    <w:link w:val="Glava"/>
    <w:rsid w:val="00F754B3"/>
    <w:rPr>
      <w:rFonts w:ascii="Arial" w:eastAsia="Times New Roman" w:hAnsi="Arial" w:cs="Times New Roman"/>
      <w:sz w:val="20"/>
      <w:szCs w:val="24"/>
    </w:rPr>
  </w:style>
  <w:style w:type="paragraph" w:customStyle="1" w:styleId="datumtevilka">
    <w:name w:val="datum številka"/>
    <w:basedOn w:val="Navaden"/>
    <w:qFormat/>
    <w:rsid w:val="00F754B3"/>
    <w:pPr>
      <w:tabs>
        <w:tab w:val="left" w:pos="1701"/>
      </w:tabs>
    </w:pPr>
    <w:rPr>
      <w:szCs w:val="20"/>
      <w:lang w:eastAsia="sl-SI"/>
    </w:rPr>
  </w:style>
  <w:style w:type="paragraph" w:customStyle="1" w:styleId="ZADEVA">
    <w:name w:val="ZADEVA"/>
    <w:basedOn w:val="Navaden"/>
    <w:qFormat/>
    <w:rsid w:val="00F754B3"/>
    <w:pPr>
      <w:tabs>
        <w:tab w:val="left" w:pos="1701"/>
      </w:tabs>
      <w:ind w:left="1701" w:hanging="1701"/>
    </w:pPr>
    <w:rPr>
      <w:b/>
      <w:lang w:val="it-IT"/>
    </w:rPr>
  </w:style>
  <w:style w:type="paragraph" w:styleId="Odstavekseznama">
    <w:name w:val="List Paragraph"/>
    <w:basedOn w:val="Navaden"/>
    <w:uiPriority w:val="34"/>
    <w:qFormat/>
    <w:rsid w:val="00F754B3"/>
    <w:pPr>
      <w:spacing w:line="240" w:lineRule="auto"/>
      <w:ind w:left="720"/>
      <w:contextualSpacing/>
    </w:pPr>
    <w:rPr>
      <w:rFonts w:ascii="Calibri" w:eastAsia="SimSun" w:hAnsi="Calibri"/>
      <w:sz w:val="24"/>
      <w:lang w:val="en-US"/>
    </w:rPr>
  </w:style>
  <w:style w:type="table" w:styleId="Navadnatabela4">
    <w:name w:val="Plain Table 4"/>
    <w:basedOn w:val="Navadnatabela"/>
    <w:uiPriority w:val="44"/>
    <w:rsid w:val="00DE578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713</Words>
  <Characters>4067</Characters>
  <Application>Microsoft Office Word</Application>
  <DocSecurity>0</DocSecurity>
  <Lines>33</Lines>
  <Paragraphs>9</Paragraphs>
  <ScaleCrop>false</ScaleCrop>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Turnšek</dc:creator>
  <cp:keywords/>
  <dc:description/>
  <cp:lastModifiedBy>Tatjana Turnšek</cp:lastModifiedBy>
  <cp:revision>3</cp:revision>
  <dcterms:created xsi:type="dcterms:W3CDTF">2021-04-16T09:51:00Z</dcterms:created>
  <dcterms:modified xsi:type="dcterms:W3CDTF">2021-04-23T09:36:00Z</dcterms:modified>
</cp:coreProperties>
</file>