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FC66" w14:textId="77777777" w:rsidR="00CB4459" w:rsidRDefault="00CB4459" w:rsidP="00D1050B">
      <w:pPr>
        <w:rPr>
          <w:rFonts w:cs="Open Sans"/>
        </w:rPr>
      </w:pPr>
    </w:p>
    <w:p w14:paraId="473D5079" w14:textId="77777777" w:rsidR="00CB4459" w:rsidRDefault="00CB4459" w:rsidP="00D1050B">
      <w:pPr>
        <w:rPr>
          <w:rFonts w:cs="Open Sans"/>
        </w:rPr>
      </w:pPr>
    </w:p>
    <w:p w14:paraId="72EAD6E1" w14:textId="77777777" w:rsidR="00CB4459" w:rsidRDefault="00CB4459" w:rsidP="00D1050B">
      <w:pPr>
        <w:rPr>
          <w:rFonts w:cs="Open Sans"/>
        </w:rPr>
      </w:pPr>
    </w:p>
    <w:p w14:paraId="1D9E6978" w14:textId="6140D56B" w:rsidR="00D1050B" w:rsidRPr="00556C32" w:rsidRDefault="00D1050B" w:rsidP="00D1050B">
      <w:pPr>
        <w:rPr>
          <w:rFonts w:cs="Open Sans"/>
        </w:rPr>
      </w:pPr>
    </w:p>
    <w:p w14:paraId="0F4845E3" w14:textId="62ADCB09" w:rsidR="00D1050B" w:rsidRPr="00556C32" w:rsidRDefault="00D1050B" w:rsidP="00D1050B">
      <w:pPr>
        <w:rPr>
          <w:rFonts w:cs="Open Sans"/>
        </w:rPr>
      </w:pPr>
    </w:p>
    <w:p w14:paraId="4053139A" w14:textId="4E23D409" w:rsidR="00D1050B" w:rsidRPr="00556C32" w:rsidRDefault="00D1050B" w:rsidP="00D1050B">
      <w:pPr>
        <w:rPr>
          <w:rFonts w:cs="Open Sans"/>
        </w:rPr>
      </w:pPr>
    </w:p>
    <w:p w14:paraId="2458222F" w14:textId="64242403" w:rsidR="00D1050B" w:rsidRPr="00556C32" w:rsidRDefault="00D1050B" w:rsidP="00D1050B">
      <w:pPr>
        <w:rPr>
          <w:rFonts w:cs="Open Sans"/>
        </w:rPr>
      </w:pPr>
    </w:p>
    <w:p w14:paraId="5986771B" w14:textId="758920C2" w:rsidR="00D1050B" w:rsidRDefault="00D1050B" w:rsidP="00D1050B">
      <w:pPr>
        <w:rPr>
          <w:rFonts w:cs="Open Sans"/>
        </w:rPr>
      </w:pPr>
    </w:p>
    <w:p w14:paraId="28BAB095" w14:textId="1D151295" w:rsidR="006D671B" w:rsidRDefault="006D671B" w:rsidP="00D1050B">
      <w:pPr>
        <w:rPr>
          <w:rFonts w:cs="Open Sans"/>
        </w:rPr>
      </w:pPr>
    </w:p>
    <w:p w14:paraId="4C76986C" w14:textId="7CC24D35" w:rsidR="006D671B" w:rsidRDefault="006D671B" w:rsidP="00D1050B">
      <w:pPr>
        <w:rPr>
          <w:rFonts w:cs="Open Sans"/>
        </w:rPr>
      </w:pPr>
    </w:p>
    <w:p w14:paraId="4518F2A0" w14:textId="77777777" w:rsidR="006D671B" w:rsidRPr="00556C32" w:rsidRDefault="006D671B" w:rsidP="00D1050B">
      <w:pPr>
        <w:rPr>
          <w:rFonts w:cs="Open Sans"/>
        </w:rPr>
      </w:pPr>
    </w:p>
    <w:p w14:paraId="4EE2CD60" w14:textId="6DEDCC44" w:rsidR="00D1050B" w:rsidRPr="00556C32" w:rsidRDefault="00D1050B" w:rsidP="00D1050B">
      <w:pPr>
        <w:rPr>
          <w:rFonts w:cs="Open Sans"/>
        </w:rPr>
      </w:pPr>
    </w:p>
    <w:p w14:paraId="56C23839" w14:textId="73F3D5B8" w:rsidR="00D1050B" w:rsidRPr="00556C32" w:rsidRDefault="00D1050B" w:rsidP="00D1050B">
      <w:pPr>
        <w:rPr>
          <w:rFonts w:cs="Open Sans"/>
        </w:rPr>
      </w:pPr>
    </w:p>
    <w:p w14:paraId="7ACFF263" w14:textId="77777777" w:rsidR="006D671B" w:rsidRPr="00556C32" w:rsidRDefault="006D671B" w:rsidP="006D671B">
      <w:pPr>
        <w:rPr>
          <w:rFonts w:cs="Open Sans"/>
        </w:rPr>
      </w:pPr>
    </w:p>
    <w:p w14:paraId="48F019E4" w14:textId="48EA5788" w:rsidR="00556C32" w:rsidRPr="00973ADA" w:rsidRDefault="00D1050B" w:rsidP="00706361">
      <w:pPr>
        <w:jc w:val="left"/>
        <w:rPr>
          <w:rFonts w:cs="Open Sans"/>
          <w:b/>
          <w:bCs/>
          <w:color w:val="323E4F" w:themeColor="text2" w:themeShade="BF"/>
          <w:sz w:val="96"/>
          <w:szCs w:val="96"/>
        </w:rPr>
      </w:pPr>
      <w:r w:rsidRPr="00973ADA">
        <w:rPr>
          <w:rFonts w:cs="Open Sans"/>
          <w:b/>
          <w:bCs/>
          <w:color w:val="323E4F" w:themeColor="text2" w:themeShade="BF"/>
          <w:sz w:val="96"/>
          <w:szCs w:val="96"/>
        </w:rPr>
        <w:t xml:space="preserve">LETNO POROČILO </w:t>
      </w:r>
    </w:p>
    <w:p w14:paraId="6C5AED13" w14:textId="1A8FA600" w:rsidR="00D1050B" w:rsidRPr="00973ADA" w:rsidRDefault="000F4E70" w:rsidP="00706361">
      <w:pPr>
        <w:jc w:val="left"/>
        <w:rPr>
          <w:rFonts w:cs="Open Sans"/>
          <w:b/>
          <w:bCs/>
          <w:color w:val="323E4F" w:themeColor="text2" w:themeShade="BF"/>
          <w:sz w:val="52"/>
          <w:szCs w:val="52"/>
        </w:rPr>
      </w:pPr>
      <w:r w:rsidRPr="00973ADA">
        <w:rPr>
          <w:rFonts w:cs="Open Sans"/>
          <w:b/>
          <w:bCs/>
          <w:color w:val="323E4F" w:themeColor="text2" w:themeShade="BF"/>
          <w:sz w:val="52"/>
          <w:szCs w:val="52"/>
        </w:rPr>
        <w:t xml:space="preserve">o delu </w:t>
      </w:r>
      <w:r w:rsidR="00556C32" w:rsidRPr="00973ADA">
        <w:rPr>
          <w:rFonts w:cs="Open Sans"/>
          <w:b/>
          <w:bCs/>
          <w:color w:val="323E4F" w:themeColor="text2" w:themeShade="BF"/>
          <w:sz w:val="52"/>
          <w:szCs w:val="52"/>
        </w:rPr>
        <w:t>Geodetske uprave Republike Slovenije</w:t>
      </w:r>
      <w:r w:rsidR="00706361" w:rsidRPr="00973ADA">
        <w:rPr>
          <w:rFonts w:cs="Open Sans"/>
          <w:b/>
          <w:bCs/>
          <w:color w:val="323E4F" w:themeColor="text2" w:themeShade="BF"/>
          <w:sz w:val="52"/>
          <w:szCs w:val="52"/>
        </w:rPr>
        <w:t xml:space="preserve"> </w:t>
      </w:r>
      <w:r w:rsidR="001E6D72" w:rsidRPr="00973ADA">
        <w:rPr>
          <w:rFonts w:cs="Open Sans"/>
          <w:b/>
          <w:bCs/>
          <w:color w:val="323E4F" w:themeColor="text2" w:themeShade="BF"/>
          <w:sz w:val="52"/>
          <w:szCs w:val="52"/>
        </w:rPr>
        <w:t>v</w:t>
      </w:r>
      <w:r w:rsidR="00706361" w:rsidRPr="00973ADA">
        <w:rPr>
          <w:rFonts w:cs="Open Sans"/>
          <w:b/>
          <w:bCs/>
          <w:color w:val="323E4F" w:themeColor="text2" w:themeShade="BF"/>
          <w:sz w:val="52"/>
          <w:szCs w:val="52"/>
        </w:rPr>
        <w:t xml:space="preserve"> let</w:t>
      </w:r>
      <w:r w:rsidR="001E6D72" w:rsidRPr="00973ADA">
        <w:rPr>
          <w:rFonts w:cs="Open Sans"/>
          <w:b/>
          <w:bCs/>
          <w:color w:val="323E4F" w:themeColor="text2" w:themeShade="BF"/>
          <w:sz w:val="52"/>
          <w:szCs w:val="52"/>
        </w:rPr>
        <w:t>u</w:t>
      </w:r>
      <w:r w:rsidR="00706361" w:rsidRPr="00973ADA">
        <w:rPr>
          <w:rFonts w:cs="Open Sans"/>
          <w:b/>
          <w:bCs/>
          <w:color w:val="323E4F" w:themeColor="text2" w:themeShade="BF"/>
          <w:sz w:val="52"/>
          <w:szCs w:val="52"/>
        </w:rPr>
        <w:t xml:space="preserve"> </w:t>
      </w:r>
      <w:r w:rsidR="00D1050B" w:rsidRPr="00973ADA">
        <w:rPr>
          <w:rFonts w:cs="Open Sans"/>
          <w:b/>
          <w:bCs/>
          <w:color w:val="323E4F" w:themeColor="text2" w:themeShade="BF"/>
          <w:sz w:val="52"/>
          <w:szCs w:val="52"/>
        </w:rPr>
        <w:t>202</w:t>
      </w:r>
      <w:r w:rsidR="00333FB2">
        <w:rPr>
          <w:rFonts w:cs="Open Sans"/>
          <w:b/>
          <w:bCs/>
          <w:color w:val="323E4F" w:themeColor="text2" w:themeShade="BF"/>
          <w:sz w:val="52"/>
          <w:szCs w:val="52"/>
        </w:rPr>
        <w:t>1</w:t>
      </w:r>
    </w:p>
    <w:p w14:paraId="62BA0D58" w14:textId="169ECEA6" w:rsidR="00D1050B" w:rsidRPr="00556C32" w:rsidRDefault="00D1050B" w:rsidP="00D1050B">
      <w:pPr>
        <w:rPr>
          <w:rFonts w:cs="Open Sans"/>
        </w:rPr>
      </w:pPr>
    </w:p>
    <w:p w14:paraId="656A7C70" w14:textId="4134AF20" w:rsidR="00D1050B" w:rsidRPr="00556C32" w:rsidRDefault="00D1050B" w:rsidP="00D1050B">
      <w:pPr>
        <w:rPr>
          <w:rFonts w:cs="Open Sans"/>
        </w:rPr>
      </w:pPr>
    </w:p>
    <w:p w14:paraId="1D2F41AF" w14:textId="38F78EFF" w:rsidR="00D1050B" w:rsidRPr="00556C32" w:rsidRDefault="00D1050B" w:rsidP="00D1050B">
      <w:pPr>
        <w:rPr>
          <w:rFonts w:cs="Open Sans"/>
        </w:rPr>
      </w:pPr>
    </w:p>
    <w:p w14:paraId="0C359DDD" w14:textId="7FF5D6DC" w:rsidR="00D1050B" w:rsidRPr="00556C32" w:rsidRDefault="00D1050B" w:rsidP="00D1050B">
      <w:pPr>
        <w:rPr>
          <w:rFonts w:cs="Open Sans"/>
        </w:rPr>
      </w:pPr>
    </w:p>
    <w:p w14:paraId="1540C33D" w14:textId="708EC4D0" w:rsidR="00D1050B" w:rsidRPr="00556C32" w:rsidRDefault="00D1050B" w:rsidP="00D1050B">
      <w:pPr>
        <w:rPr>
          <w:rFonts w:cs="Open Sans"/>
        </w:rPr>
      </w:pPr>
    </w:p>
    <w:p w14:paraId="2C53529F" w14:textId="18EF7FC8" w:rsidR="00D1050B" w:rsidRDefault="00D1050B" w:rsidP="00D1050B">
      <w:pPr>
        <w:rPr>
          <w:rFonts w:cs="Open Sans"/>
        </w:rPr>
      </w:pPr>
    </w:p>
    <w:p w14:paraId="3705CF0F" w14:textId="74E53D26" w:rsidR="00706361" w:rsidRDefault="00706361" w:rsidP="00D1050B">
      <w:pPr>
        <w:rPr>
          <w:rFonts w:cs="Open Sans"/>
        </w:rPr>
      </w:pPr>
    </w:p>
    <w:p w14:paraId="1967DEAE" w14:textId="40D68710" w:rsidR="00706361" w:rsidRDefault="00706361" w:rsidP="00D1050B">
      <w:pPr>
        <w:rPr>
          <w:rFonts w:cs="Open Sans"/>
        </w:rPr>
      </w:pPr>
    </w:p>
    <w:p w14:paraId="01084017" w14:textId="4C47A9D3" w:rsidR="00706361" w:rsidRDefault="00706361" w:rsidP="00D1050B">
      <w:pPr>
        <w:rPr>
          <w:rFonts w:cs="Open Sans"/>
        </w:rPr>
      </w:pPr>
    </w:p>
    <w:p w14:paraId="744AE2E2" w14:textId="77EEF321" w:rsidR="00706361" w:rsidRDefault="00706361" w:rsidP="00D1050B">
      <w:pPr>
        <w:rPr>
          <w:rFonts w:cs="Open Sans"/>
        </w:rPr>
      </w:pPr>
    </w:p>
    <w:p w14:paraId="24F24315" w14:textId="7D044D79" w:rsidR="00706361" w:rsidRDefault="00706361" w:rsidP="00D1050B">
      <w:pPr>
        <w:rPr>
          <w:rFonts w:cs="Open Sans"/>
        </w:rPr>
      </w:pPr>
    </w:p>
    <w:p w14:paraId="291D1AC9" w14:textId="5C99665D" w:rsidR="00706361" w:rsidRDefault="00706361" w:rsidP="00D1050B">
      <w:pPr>
        <w:rPr>
          <w:rFonts w:cs="Open Sans"/>
        </w:rPr>
      </w:pPr>
    </w:p>
    <w:p w14:paraId="03F8D35B" w14:textId="7BD10E2A" w:rsidR="00706361" w:rsidRPr="00CB4459" w:rsidRDefault="00706361" w:rsidP="00D1050B">
      <w:pPr>
        <w:rPr>
          <w:rFonts w:cs="Open Sans"/>
          <w:b/>
          <w:bCs/>
        </w:rPr>
      </w:pPr>
    </w:p>
    <w:p w14:paraId="1E1965BC" w14:textId="234F6227" w:rsidR="00706361" w:rsidRPr="00706CFB" w:rsidRDefault="00706361" w:rsidP="00D1050B">
      <w:pPr>
        <w:rPr>
          <w:rFonts w:cs="Open Sans"/>
          <w:color w:val="323E4F" w:themeColor="text2" w:themeShade="BF"/>
          <w:sz w:val="24"/>
          <w:szCs w:val="24"/>
        </w:rPr>
      </w:pPr>
      <w:r w:rsidRPr="00706CFB">
        <w:rPr>
          <w:rFonts w:cs="Open Sans"/>
          <w:color w:val="323E4F" w:themeColor="text2" w:themeShade="BF"/>
          <w:sz w:val="24"/>
          <w:szCs w:val="24"/>
        </w:rPr>
        <w:t xml:space="preserve">Ljubljana, </w:t>
      </w:r>
      <w:r w:rsidR="00973ADA" w:rsidRPr="00706CFB">
        <w:rPr>
          <w:rFonts w:cs="Open Sans"/>
          <w:color w:val="323E4F" w:themeColor="text2" w:themeShade="BF"/>
          <w:sz w:val="24"/>
          <w:szCs w:val="24"/>
        </w:rPr>
        <w:t>2022</w:t>
      </w:r>
    </w:p>
    <w:p w14:paraId="6329DC39" w14:textId="4D1F0212" w:rsidR="00D1050B" w:rsidRPr="00556C32" w:rsidRDefault="00D1050B" w:rsidP="00D1050B">
      <w:pPr>
        <w:rPr>
          <w:rFonts w:cs="Open Sans"/>
        </w:rPr>
      </w:pPr>
      <w:r w:rsidRPr="00556C32">
        <w:rPr>
          <w:rFonts w:cs="Open Sans"/>
        </w:rPr>
        <w:br w:type="column"/>
      </w:r>
      <w:r w:rsidR="00C01209" w:rsidRPr="00556C32">
        <w:rPr>
          <w:rFonts w:cs="Open Sans"/>
        </w:rPr>
        <w:lastRenderedPageBreak/>
        <w:t xml:space="preserve"> </w:t>
      </w:r>
    </w:p>
    <w:sdt>
      <w:sdtPr>
        <w:rPr>
          <w:rFonts w:eastAsiaTheme="minorHAnsi" w:cstheme="minorBidi"/>
          <w:b w:val="0"/>
          <w:color w:val="auto"/>
          <w:sz w:val="20"/>
          <w:szCs w:val="22"/>
          <w:lang w:eastAsia="en-US"/>
        </w:rPr>
        <w:id w:val="92751710"/>
        <w:docPartObj>
          <w:docPartGallery w:val="Table of Contents"/>
          <w:docPartUnique/>
        </w:docPartObj>
      </w:sdtPr>
      <w:sdtEndPr>
        <w:rPr>
          <w:bCs/>
        </w:rPr>
      </w:sdtEndPr>
      <w:sdtContent>
        <w:p w14:paraId="12FBC1EB" w14:textId="65798A82" w:rsidR="00D86C26" w:rsidRPr="00333FB2" w:rsidRDefault="00D86C26">
          <w:pPr>
            <w:pStyle w:val="TOCHeading"/>
          </w:pPr>
          <w:r w:rsidRPr="00333FB2">
            <w:t>Kazalo vsebine</w:t>
          </w:r>
        </w:p>
        <w:p w14:paraId="59756854" w14:textId="77777777" w:rsidR="00822F9D" w:rsidRDefault="00822F9D">
          <w:pPr>
            <w:pStyle w:val="TOC1"/>
            <w:tabs>
              <w:tab w:val="right" w:leader="dot" w:pos="9204"/>
            </w:tabs>
          </w:pPr>
        </w:p>
        <w:p w14:paraId="0672C9D2" w14:textId="5D4FCCEC" w:rsidR="006D671B" w:rsidRDefault="00D86C26">
          <w:pPr>
            <w:pStyle w:val="TOC1"/>
            <w:tabs>
              <w:tab w:val="right" w:leader="dot" w:pos="9204"/>
            </w:tabs>
            <w:rPr>
              <w:rFonts w:asciiTheme="minorHAnsi" w:hAnsiTheme="minorHAnsi" w:cstheme="minorBidi"/>
              <w:noProof/>
              <w:sz w:val="22"/>
            </w:rPr>
          </w:pPr>
          <w:r>
            <w:fldChar w:fldCharType="begin"/>
          </w:r>
          <w:r>
            <w:instrText xml:space="preserve"> TOC \o "1-3" \h \z \u </w:instrText>
          </w:r>
          <w:r>
            <w:fldChar w:fldCharType="separate"/>
          </w:r>
          <w:hyperlink w:anchor="_Toc104471882" w:history="1">
            <w:r w:rsidR="006D671B" w:rsidRPr="00C1639B">
              <w:rPr>
                <w:rStyle w:val="Hyperlink"/>
                <w:noProof/>
              </w:rPr>
              <w:t>UVODNA BESEDA GENERALNEGA DIREKTORJA</w:t>
            </w:r>
            <w:r w:rsidR="006D671B">
              <w:rPr>
                <w:noProof/>
                <w:webHidden/>
              </w:rPr>
              <w:tab/>
            </w:r>
            <w:r w:rsidR="006D671B">
              <w:rPr>
                <w:noProof/>
                <w:webHidden/>
              </w:rPr>
              <w:fldChar w:fldCharType="begin"/>
            </w:r>
            <w:r w:rsidR="006D671B">
              <w:rPr>
                <w:noProof/>
                <w:webHidden/>
              </w:rPr>
              <w:instrText xml:space="preserve"> PAGEREF _Toc104471882 \h </w:instrText>
            </w:r>
            <w:r w:rsidR="006D671B">
              <w:rPr>
                <w:noProof/>
                <w:webHidden/>
              </w:rPr>
            </w:r>
            <w:r w:rsidR="006D671B">
              <w:rPr>
                <w:noProof/>
                <w:webHidden/>
              </w:rPr>
              <w:fldChar w:fldCharType="separate"/>
            </w:r>
            <w:r w:rsidR="006D671B">
              <w:rPr>
                <w:noProof/>
                <w:webHidden/>
              </w:rPr>
              <w:t>4</w:t>
            </w:r>
            <w:r w:rsidR="006D671B">
              <w:rPr>
                <w:noProof/>
                <w:webHidden/>
              </w:rPr>
              <w:fldChar w:fldCharType="end"/>
            </w:r>
          </w:hyperlink>
        </w:p>
        <w:p w14:paraId="7CB521B3" w14:textId="076354AD" w:rsidR="006D671B" w:rsidRDefault="006D671B">
          <w:pPr>
            <w:pStyle w:val="TOC1"/>
            <w:tabs>
              <w:tab w:val="right" w:leader="dot" w:pos="9204"/>
            </w:tabs>
            <w:rPr>
              <w:rFonts w:asciiTheme="minorHAnsi" w:hAnsiTheme="minorHAnsi" w:cstheme="minorBidi"/>
              <w:noProof/>
              <w:sz w:val="22"/>
            </w:rPr>
          </w:pPr>
          <w:hyperlink w:anchor="_Toc104471883" w:history="1">
            <w:r w:rsidRPr="00C1639B">
              <w:rPr>
                <w:rStyle w:val="Hyperlink"/>
                <w:rFonts w:cs="Open Sans"/>
                <w:noProof/>
              </w:rPr>
              <w:t>PREDSTAVITEV IN ORGANIZIRANOST</w:t>
            </w:r>
            <w:r>
              <w:rPr>
                <w:noProof/>
                <w:webHidden/>
              </w:rPr>
              <w:tab/>
            </w:r>
            <w:r>
              <w:rPr>
                <w:noProof/>
                <w:webHidden/>
              </w:rPr>
              <w:fldChar w:fldCharType="begin"/>
            </w:r>
            <w:r>
              <w:rPr>
                <w:noProof/>
                <w:webHidden/>
              </w:rPr>
              <w:instrText xml:space="preserve"> PAGEREF _Toc104471883 \h </w:instrText>
            </w:r>
            <w:r>
              <w:rPr>
                <w:noProof/>
                <w:webHidden/>
              </w:rPr>
            </w:r>
            <w:r>
              <w:rPr>
                <w:noProof/>
                <w:webHidden/>
              </w:rPr>
              <w:fldChar w:fldCharType="separate"/>
            </w:r>
            <w:r>
              <w:rPr>
                <w:noProof/>
                <w:webHidden/>
              </w:rPr>
              <w:t>5</w:t>
            </w:r>
            <w:r>
              <w:rPr>
                <w:noProof/>
                <w:webHidden/>
              </w:rPr>
              <w:fldChar w:fldCharType="end"/>
            </w:r>
          </w:hyperlink>
        </w:p>
        <w:p w14:paraId="4BDADADE" w14:textId="08CECCEA" w:rsidR="006D671B" w:rsidRDefault="006D671B">
          <w:pPr>
            <w:pStyle w:val="TOC1"/>
            <w:tabs>
              <w:tab w:val="right" w:leader="dot" w:pos="9204"/>
            </w:tabs>
            <w:rPr>
              <w:rFonts w:asciiTheme="minorHAnsi" w:hAnsiTheme="minorHAnsi" w:cstheme="minorBidi"/>
              <w:noProof/>
              <w:sz w:val="22"/>
            </w:rPr>
          </w:pPr>
          <w:hyperlink w:anchor="_Toc104471884" w:history="1">
            <w:r w:rsidRPr="00C1639B">
              <w:rPr>
                <w:rStyle w:val="Hyperlink"/>
                <w:noProof/>
              </w:rPr>
              <w:t>PREGLED DEJAVNOSTI</w:t>
            </w:r>
            <w:r>
              <w:rPr>
                <w:noProof/>
                <w:webHidden/>
              </w:rPr>
              <w:tab/>
            </w:r>
            <w:r>
              <w:rPr>
                <w:noProof/>
                <w:webHidden/>
              </w:rPr>
              <w:fldChar w:fldCharType="begin"/>
            </w:r>
            <w:r>
              <w:rPr>
                <w:noProof/>
                <w:webHidden/>
              </w:rPr>
              <w:instrText xml:space="preserve"> PAGEREF _Toc104471884 \h </w:instrText>
            </w:r>
            <w:r>
              <w:rPr>
                <w:noProof/>
                <w:webHidden/>
              </w:rPr>
            </w:r>
            <w:r>
              <w:rPr>
                <w:noProof/>
                <w:webHidden/>
              </w:rPr>
              <w:fldChar w:fldCharType="separate"/>
            </w:r>
            <w:r>
              <w:rPr>
                <w:noProof/>
                <w:webHidden/>
              </w:rPr>
              <w:t>6</w:t>
            </w:r>
            <w:r>
              <w:rPr>
                <w:noProof/>
                <w:webHidden/>
              </w:rPr>
              <w:fldChar w:fldCharType="end"/>
            </w:r>
          </w:hyperlink>
        </w:p>
        <w:p w14:paraId="260B66D1" w14:textId="72B71FFE" w:rsidR="006D671B" w:rsidRDefault="006D671B">
          <w:pPr>
            <w:pStyle w:val="TOC2"/>
            <w:tabs>
              <w:tab w:val="right" w:leader="dot" w:pos="9204"/>
            </w:tabs>
            <w:rPr>
              <w:rFonts w:asciiTheme="minorHAnsi" w:hAnsiTheme="minorHAnsi" w:cstheme="minorBidi"/>
              <w:noProof/>
              <w:sz w:val="22"/>
            </w:rPr>
          </w:pPr>
          <w:hyperlink w:anchor="_Toc104471885" w:history="1">
            <w:r w:rsidRPr="00C1639B">
              <w:rPr>
                <w:rStyle w:val="Hyperlink"/>
                <w:rFonts w:cs="Open Sans"/>
                <w:noProof/>
              </w:rPr>
              <w:t>GLAVNI URAD</w:t>
            </w:r>
            <w:r>
              <w:rPr>
                <w:noProof/>
                <w:webHidden/>
              </w:rPr>
              <w:tab/>
            </w:r>
            <w:r>
              <w:rPr>
                <w:noProof/>
                <w:webHidden/>
              </w:rPr>
              <w:fldChar w:fldCharType="begin"/>
            </w:r>
            <w:r>
              <w:rPr>
                <w:noProof/>
                <w:webHidden/>
              </w:rPr>
              <w:instrText xml:space="preserve"> PAGEREF _Toc104471885 \h </w:instrText>
            </w:r>
            <w:r>
              <w:rPr>
                <w:noProof/>
                <w:webHidden/>
              </w:rPr>
            </w:r>
            <w:r>
              <w:rPr>
                <w:noProof/>
                <w:webHidden/>
              </w:rPr>
              <w:fldChar w:fldCharType="separate"/>
            </w:r>
            <w:r>
              <w:rPr>
                <w:noProof/>
                <w:webHidden/>
              </w:rPr>
              <w:t>7</w:t>
            </w:r>
            <w:r>
              <w:rPr>
                <w:noProof/>
                <w:webHidden/>
              </w:rPr>
              <w:fldChar w:fldCharType="end"/>
            </w:r>
          </w:hyperlink>
        </w:p>
        <w:p w14:paraId="1E74368C" w14:textId="659B463C" w:rsidR="006D671B" w:rsidRDefault="006D671B">
          <w:pPr>
            <w:pStyle w:val="TOC2"/>
            <w:tabs>
              <w:tab w:val="right" w:leader="dot" w:pos="9204"/>
            </w:tabs>
            <w:rPr>
              <w:rFonts w:asciiTheme="minorHAnsi" w:hAnsiTheme="minorHAnsi" w:cstheme="minorBidi"/>
              <w:noProof/>
              <w:sz w:val="22"/>
            </w:rPr>
          </w:pPr>
          <w:hyperlink w:anchor="_Toc104471886" w:history="1">
            <w:r w:rsidRPr="00C1639B">
              <w:rPr>
                <w:rStyle w:val="Hyperlink"/>
                <w:rFonts w:cs="Open Sans"/>
                <w:noProof/>
              </w:rPr>
              <w:t>URAD ZA NEPREMIČNINE</w:t>
            </w:r>
            <w:r>
              <w:rPr>
                <w:noProof/>
                <w:webHidden/>
              </w:rPr>
              <w:tab/>
            </w:r>
            <w:r>
              <w:rPr>
                <w:noProof/>
                <w:webHidden/>
              </w:rPr>
              <w:fldChar w:fldCharType="begin"/>
            </w:r>
            <w:r>
              <w:rPr>
                <w:noProof/>
                <w:webHidden/>
              </w:rPr>
              <w:instrText xml:space="preserve"> PAGEREF _Toc104471886 \h </w:instrText>
            </w:r>
            <w:r>
              <w:rPr>
                <w:noProof/>
                <w:webHidden/>
              </w:rPr>
            </w:r>
            <w:r>
              <w:rPr>
                <w:noProof/>
                <w:webHidden/>
              </w:rPr>
              <w:fldChar w:fldCharType="separate"/>
            </w:r>
            <w:r>
              <w:rPr>
                <w:noProof/>
                <w:webHidden/>
              </w:rPr>
              <w:t>8</w:t>
            </w:r>
            <w:r>
              <w:rPr>
                <w:noProof/>
                <w:webHidden/>
              </w:rPr>
              <w:fldChar w:fldCharType="end"/>
            </w:r>
          </w:hyperlink>
        </w:p>
        <w:p w14:paraId="6B5D4B6F" w14:textId="7980D3EF" w:rsidR="006D671B" w:rsidRDefault="006D671B">
          <w:pPr>
            <w:pStyle w:val="TOC2"/>
            <w:tabs>
              <w:tab w:val="right" w:leader="dot" w:pos="9204"/>
            </w:tabs>
            <w:rPr>
              <w:rFonts w:asciiTheme="minorHAnsi" w:hAnsiTheme="minorHAnsi" w:cstheme="minorBidi"/>
              <w:noProof/>
              <w:sz w:val="22"/>
            </w:rPr>
          </w:pPr>
          <w:hyperlink w:anchor="_Toc104471887" w:history="1">
            <w:r w:rsidRPr="00C1639B">
              <w:rPr>
                <w:rStyle w:val="Hyperlink"/>
                <w:rFonts w:cs="Open Sans"/>
                <w:noProof/>
              </w:rPr>
              <w:t>URAD ZA GEODEZIJO</w:t>
            </w:r>
            <w:r>
              <w:rPr>
                <w:noProof/>
                <w:webHidden/>
              </w:rPr>
              <w:tab/>
            </w:r>
            <w:r>
              <w:rPr>
                <w:noProof/>
                <w:webHidden/>
              </w:rPr>
              <w:fldChar w:fldCharType="begin"/>
            </w:r>
            <w:r>
              <w:rPr>
                <w:noProof/>
                <w:webHidden/>
              </w:rPr>
              <w:instrText xml:space="preserve"> PAGEREF _Toc104471887 \h </w:instrText>
            </w:r>
            <w:r>
              <w:rPr>
                <w:noProof/>
                <w:webHidden/>
              </w:rPr>
            </w:r>
            <w:r>
              <w:rPr>
                <w:noProof/>
                <w:webHidden/>
              </w:rPr>
              <w:fldChar w:fldCharType="separate"/>
            </w:r>
            <w:r>
              <w:rPr>
                <w:noProof/>
                <w:webHidden/>
              </w:rPr>
              <w:t>10</w:t>
            </w:r>
            <w:r>
              <w:rPr>
                <w:noProof/>
                <w:webHidden/>
              </w:rPr>
              <w:fldChar w:fldCharType="end"/>
            </w:r>
          </w:hyperlink>
        </w:p>
        <w:p w14:paraId="7523D277" w14:textId="6D0DBE10" w:rsidR="006D671B" w:rsidRDefault="006D671B">
          <w:pPr>
            <w:pStyle w:val="TOC2"/>
            <w:tabs>
              <w:tab w:val="right" w:leader="dot" w:pos="9204"/>
            </w:tabs>
            <w:rPr>
              <w:rFonts w:asciiTheme="minorHAnsi" w:hAnsiTheme="minorHAnsi" w:cstheme="minorBidi"/>
              <w:noProof/>
              <w:sz w:val="22"/>
            </w:rPr>
          </w:pPr>
          <w:hyperlink w:anchor="_Toc104471888" w:history="1">
            <w:r w:rsidRPr="00C1639B">
              <w:rPr>
                <w:rStyle w:val="Hyperlink"/>
                <w:rFonts w:cs="Open Sans"/>
                <w:noProof/>
              </w:rPr>
              <w:t>URAD ZA MNOŽIČNO VREDNOTENJE NEPREMIČNIN</w:t>
            </w:r>
            <w:r>
              <w:rPr>
                <w:noProof/>
                <w:webHidden/>
              </w:rPr>
              <w:tab/>
            </w:r>
            <w:r>
              <w:rPr>
                <w:noProof/>
                <w:webHidden/>
              </w:rPr>
              <w:fldChar w:fldCharType="begin"/>
            </w:r>
            <w:r>
              <w:rPr>
                <w:noProof/>
                <w:webHidden/>
              </w:rPr>
              <w:instrText xml:space="preserve"> PAGEREF _Toc104471888 \h </w:instrText>
            </w:r>
            <w:r>
              <w:rPr>
                <w:noProof/>
                <w:webHidden/>
              </w:rPr>
            </w:r>
            <w:r>
              <w:rPr>
                <w:noProof/>
                <w:webHidden/>
              </w:rPr>
              <w:fldChar w:fldCharType="separate"/>
            </w:r>
            <w:r>
              <w:rPr>
                <w:noProof/>
                <w:webHidden/>
              </w:rPr>
              <w:t>12</w:t>
            </w:r>
            <w:r>
              <w:rPr>
                <w:noProof/>
                <w:webHidden/>
              </w:rPr>
              <w:fldChar w:fldCharType="end"/>
            </w:r>
          </w:hyperlink>
        </w:p>
        <w:p w14:paraId="7A4E03DB" w14:textId="2DDA85D8" w:rsidR="006D671B" w:rsidRDefault="006D671B">
          <w:pPr>
            <w:pStyle w:val="TOC1"/>
            <w:tabs>
              <w:tab w:val="right" w:leader="dot" w:pos="9204"/>
            </w:tabs>
            <w:rPr>
              <w:rFonts w:asciiTheme="minorHAnsi" w:hAnsiTheme="minorHAnsi" w:cstheme="minorBidi"/>
              <w:noProof/>
              <w:sz w:val="22"/>
            </w:rPr>
          </w:pPr>
          <w:hyperlink w:anchor="_Toc104471889" w:history="1">
            <w:r w:rsidRPr="00C1639B">
              <w:rPr>
                <w:rStyle w:val="Hyperlink"/>
                <w:rFonts w:cs="Open Sans"/>
                <w:noProof/>
              </w:rPr>
              <w:t>KADRI</w:t>
            </w:r>
            <w:r>
              <w:rPr>
                <w:noProof/>
                <w:webHidden/>
              </w:rPr>
              <w:tab/>
            </w:r>
            <w:r>
              <w:rPr>
                <w:noProof/>
                <w:webHidden/>
              </w:rPr>
              <w:fldChar w:fldCharType="begin"/>
            </w:r>
            <w:r>
              <w:rPr>
                <w:noProof/>
                <w:webHidden/>
              </w:rPr>
              <w:instrText xml:space="preserve"> PAGEREF _Toc104471889 \h </w:instrText>
            </w:r>
            <w:r>
              <w:rPr>
                <w:noProof/>
                <w:webHidden/>
              </w:rPr>
            </w:r>
            <w:r>
              <w:rPr>
                <w:noProof/>
                <w:webHidden/>
              </w:rPr>
              <w:fldChar w:fldCharType="separate"/>
            </w:r>
            <w:r>
              <w:rPr>
                <w:noProof/>
                <w:webHidden/>
              </w:rPr>
              <w:t>13</w:t>
            </w:r>
            <w:r>
              <w:rPr>
                <w:noProof/>
                <w:webHidden/>
              </w:rPr>
              <w:fldChar w:fldCharType="end"/>
            </w:r>
          </w:hyperlink>
        </w:p>
        <w:p w14:paraId="1DF6E6AA" w14:textId="0C72CB40" w:rsidR="006D671B" w:rsidRDefault="006D671B">
          <w:pPr>
            <w:pStyle w:val="TOC1"/>
            <w:tabs>
              <w:tab w:val="right" w:leader="dot" w:pos="9204"/>
            </w:tabs>
            <w:rPr>
              <w:rFonts w:asciiTheme="minorHAnsi" w:hAnsiTheme="minorHAnsi" w:cstheme="minorBidi"/>
              <w:noProof/>
              <w:sz w:val="22"/>
            </w:rPr>
          </w:pPr>
          <w:hyperlink w:anchor="_Toc104471890" w:history="1">
            <w:r w:rsidRPr="00C1639B">
              <w:rPr>
                <w:rStyle w:val="Hyperlink"/>
                <w:rFonts w:cs="Open Sans"/>
                <w:noProof/>
              </w:rPr>
              <w:t>FINANCE</w:t>
            </w:r>
            <w:r>
              <w:rPr>
                <w:noProof/>
                <w:webHidden/>
              </w:rPr>
              <w:tab/>
            </w:r>
            <w:r>
              <w:rPr>
                <w:noProof/>
                <w:webHidden/>
              </w:rPr>
              <w:fldChar w:fldCharType="begin"/>
            </w:r>
            <w:r>
              <w:rPr>
                <w:noProof/>
                <w:webHidden/>
              </w:rPr>
              <w:instrText xml:space="preserve"> PAGEREF _Toc104471890 \h </w:instrText>
            </w:r>
            <w:r>
              <w:rPr>
                <w:noProof/>
                <w:webHidden/>
              </w:rPr>
            </w:r>
            <w:r>
              <w:rPr>
                <w:noProof/>
                <w:webHidden/>
              </w:rPr>
              <w:fldChar w:fldCharType="separate"/>
            </w:r>
            <w:r>
              <w:rPr>
                <w:noProof/>
                <w:webHidden/>
              </w:rPr>
              <w:t>15</w:t>
            </w:r>
            <w:r>
              <w:rPr>
                <w:noProof/>
                <w:webHidden/>
              </w:rPr>
              <w:fldChar w:fldCharType="end"/>
            </w:r>
          </w:hyperlink>
        </w:p>
        <w:p w14:paraId="23FBD636" w14:textId="5A28CC83" w:rsidR="006D671B" w:rsidRDefault="006D671B">
          <w:pPr>
            <w:pStyle w:val="TOC1"/>
            <w:tabs>
              <w:tab w:val="right" w:leader="dot" w:pos="9204"/>
            </w:tabs>
            <w:rPr>
              <w:rFonts w:asciiTheme="minorHAnsi" w:hAnsiTheme="minorHAnsi" w:cstheme="minorBidi"/>
              <w:noProof/>
              <w:sz w:val="22"/>
            </w:rPr>
          </w:pPr>
          <w:hyperlink w:anchor="_Toc104471891" w:history="1">
            <w:r w:rsidRPr="00C1639B">
              <w:rPr>
                <w:rStyle w:val="Hyperlink"/>
                <w:rFonts w:cs="Open Sans"/>
                <w:noProof/>
              </w:rPr>
              <w:t>MEDNARODNE AKTIVNOSTI</w:t>
            </w:r>
            <w:r>
              <w:rPr>
                <w:noProof/>
                <w:webHidden/>
              </w:rPr>
              <w:tab/>
            </w:r>
            <w:r>
              <w:rPr>
                <w:noProof/>
                <w:webHidden/>
              </w:rPr>
              <w:fldChar w:fldCharType="begin"/>
            </w:r>
            <w:r>
              <w:rPr>
                <w:noProof/>
                <w:webHidden/>
              </w:rPr>
              <w:instrText xml:space="preserve"> PAGEREF _Toc104471891 \h </w:instrText>
            </w:r>
            <w:r>
              <w:rPr>
                <w:noProof/>
                <w:webHidden/>
              </w:rPr>
            </w:r>
            <w:r>
              <w:rPr>
                <w:noProof/>
                <w:webHidden/>
              </w:rPr>
              <w:fldChar w:fldCharType="separate"/>
            </w:r>
            <w:r>
              <w:rPr>
                <w:noProof/>
                <w:webHidden/>
              </w:rPr>
              <w:t>16</w:t>
            </w:r>
            <w:r>
              <w:rPr>
                <w:noProof/>
                <w:webHidden/>
              </w:rPr>
              <w:fldChar w:fldCharType="end"/>
            </w:r>
          </w:hyperlink>
        </w:p>
        <w:p w14:paraId="0F558FEA" w14:textId="31D21555" w:rsidR="006D671B" w:rsidRDefault="006D671B">
          <w:pPr>
            <w:pStyle w:val="TOC1"/>
            <w:tabs>
              <w:tab w:val="right" w:leader="dot" w:pos="9204"/>
            </w:tabs>
            <w:rPr>
              <w:rFonts w:asciiTheme="minorHAnsi" w:hAnsiTheme="minorHAnsi" w:cstheme="minorBidi"/>
              <w:noProof/>
              <w:sz w:val="22"/>
            </w:rPr>
          </w:pPr>
          <w:hyperlink w:anchor="_Toc104471892" w:history="1">
            <w:r w:rsidRPr="00C1639B">
              <w:rPr>
                <w:rStyle w:val="Hyperlink"/>
                <w:rFonts w:cs="Open Sans"/>
                <w:noProof/>
              </w:rPr>
              <w:t>PROGRAM PROJEKTOV ePROSTOR</w:t>
            </w:r>
            <w:r>
              <w:rPr>
                <w:noProof/>
                <w:webHidden/>
              </w:rPr>
              <w:tab/>
            </w:r>
            <w:r>
              <w:rPr>
                <w:noProof/>
                <w:webHidden/>
              </w:rPr>
              <w:fldChar w:fldCharType="begin"/>
            </w:r>
            <w:r>
              <w:rPr>
                <w:noProof/>
                <w:webHidden/>
              </w:rPr>
              <w:instrText xml:space="preserve"> PAGEREF _Toc104471892 \h </w:instrText>
            </w:r>
            <w:r>
              <w:rPr>
                <w:noProof/>
                <w:webHidden/>
              </w:rPr>
            </w:r>
            <w:r>
              <w:rPr>
                <w:noProof/>
                <w:webHidden/>
              </w:rPr>
              <w:fldChar w:fldCharType="separate"/>
            </w:r>
            <w:r>
              <w:rPr>
                <w:noProof/>
                <w:webHidden/>
              </w:rPr>
              <w:t>18</w:t>
            </w:r>
            <w:r>
              <w:rPr>
                <w:noProof/>
                <w:webHidden/>
              </w:rPr>
              <w:fldChar w:fldCharType="end"/>
            </w:r>
          </w:hyperlink>
        </w:p>
        <w:p w14:paraId="607EC39F" w14:textId="36F77EAB" w:rsidR="006D671B" w:rsidRDefault="006D671B">
          <w:pPr>
            <w:pStyle w:val="TOC2"/>
            <w:tabs>
              <w:tab w:val="right" w:leader="dot" w:pos="9204"/>
            </w:tabs>
            <w:rPr>
              <w:rFonts w:asciiTheme="minorHAnsi" w:hAnsiTheme="minorHAnsi" w:cstheme="minorBidi"/>
              <w:noProof/>
              <w:sz w:val="22"/>
            </w:rPr>
          </w:pPr>
          <w:hyperlink w:anchor="_Toc104471893" w:history="1">
            <w:r w:rsidRPr="00C1639B">
              <w:rPr>
                <w:rStyle w:val="Hyperlink"/>
                <w:rFonts w:cs="Open Sans"/>
                <w:noProof/>
              </w:rPr>
              <w:t>SKUPNA INFRASTRUKTURA ZA PROSTORSKE INFORMACIJE</w:t>
            </w:r>
            <w:r>
              <w:rPr>
                <w:noProof/>
                <w:webHidden/>
              </w:rPr>
              <w:tab/>
            </w:r>
            <w:r>
              <w:rPr>
                <w:noProof/>
                <w:webHidden/>
              </w:rPr>
              <w:fldChar w:fldCharType="begin"/>
            </w:r>
            <w:r>
              <w:rPr>
                <w:noProof/>
                <w:webHidden/>
              </w:rPr>
              <w:instrText xml:space="preserve"> PAGEREF _Toc104471893 \h </w:instrText>
            </w:r>
            <w:r>
              <w:rPr>
                <w:noProof/>
                <w:webHidden/>
              </w:rPr>
            </w:r>
            <w:r>
              <w:rPr>
                <w:noProof/>
                <w:webHidden/>
              </w:rPr>
              <w:fldChar w:fldCharType="separate"/>
            </w:r>
            <w:r>
              <w:rPr>
                <w:noProof/>
                <w:webHidden/>
              </w:rPr>
              <w:t>19</w:t>
            </w:r>
            <w:r>
              <w:rPr>
                <w:noProof/>
                <w:webHidden/>
              </w:rPr>
              <w:fldChar w:fldCharType="end"/>
            </w:r>
          </w:hyperlink>
        </w:p>
        <w:p w14:paraId="7A238CC4" w14:textId="4F4446F5" w:rsidR="006D671B" w:rsidRDefault="006D671B">
          <w:pPr>
            <w:pStyle w:val="TOC2"/>
            <w:tabs>
              <w:tab w:val="right" w:leader="dot" w:pos="9204"/>
            </w:tabs>
            <w:rPr>
              <w:rFonts w:asciiTheme="minorHAnsi" w:hAnsiTheme="minorHAnsi" w:cstheme="minorBidi"/>
              <w:noProof/>
              <w:sz w:val="22"/>
            </w:rPr>
          </w:pPr>
          <w:hyperlink w:anchor="_Toc104471894" w:history="1">
            <w:r w:rsidRPr="00C1639B">
              <w:rPr>
                <w:rStyle w:val="Hyperlink"/>
                <w:rFonts w:cs="Open Sans"/>
                <w:noProof/>
              </w:rPr>
              <w:t>INFORMACIJSKA PRENOVA NEPREMIČNINSKIH EVIDENC</w:t>
            </w:r>
            <w:r>
              <w:rPr>
                <w:noProof/>
                <w:webHidden/>
              </w:rPr>
              <w:tab/>
            </w:r>
            <w:r>
              <w:rPr>
                <w:noProof/>
                <w:webHidden/>
              </w:rPr>
              <w:fldChar w:fldCharType="begin"/>
            </w:r>
            <w:r>
              <w:rPr>
                <w:noProof/>
                <w:webHidden/>
              </w:rPr>
              <w:instrText xml:space="preserve"> PAGEREF _Toc104471894 \h </w:instrText>
            </w:r>
            <w:r>
              <w:rPr>
                <w:noProof/>
                <w:webHidden/>
              </w:rPr>
            </w:r>
            <w:r>
              <w:rPr>
                <w:noProof/>
                <w:webHidden/>
              </w:rPr>
              <w:fldChar w:fldCharType="separate"/>
            </w:r>
            <w:r>
              <w:rPr>
                <w:noProof/>
                <w:webHidden/>
              </w:rPr>
              <w:t>21</w:t>
            </w:r>
            <w:r>
              <w:rPr>
                <w:noProof/>
                <w:webHidden/>
              </w:rPr>
              <w:fldChar w:fldCharType="end"/>
            </w:r>
          </w:hyperlink>
        </w:p>
        <w:p w14:paraId="40DC2B85" w14:textId="093FD89A" w:rsidR="006D671B" w:rsidRDefault="006D671B">
          <w:pPr>
            <w:pStyle w:val="TOC2"/>
            <w:tabs>
              <w:tab w:val="right" w:leader="dot" w:pos="9204"/>
            </w:tabs>
            <w:rPr>
              <w:rFonts w:asciiTheme="minorHAnsi" w:hAnsiTheme="minorHAnsi" w:cstheme="minorBidi"/>
              <w:noProof/>
              <w:sz w:val="22"/>
            </w:rPr>
          </w:pPr>
          <w:hyperlink w:anchor="_Toc104471895" w:history="1">
            <w:r w:rsidRPr="00C1639B">
              <w:rPr>
                <w:rStyle w:val="Hyperlink"/>
                <w:rFonts w:cs="Open Sans"/>
                <w:noProof/>
              </w:rPr>
              <w:t>ZAJEM IN IZBOLJŠAVA PODATKOV</w:t>
            </w:r>
            <w:r>
              <w:rPr>
                <w:noProof/>
                <w:webHidden/>
              </w:rPr>
              <w:tab/>
            </w:r>
            <w:r>
              <w:rPr>
                <w:noProof/>
                <w:webHidden/>
              </w:rPr>
              <w:fldChar w:fldCharType="begin"/>
            </w:r>
            <w:r>
              <w:rPr>
                <w:noProof/>
                <w:webHidden/>
              </w:rPr>
              <w:instrText xml:space="preserve"> PAGEREF _Toc104471895 \h </w:instrText>
            </w:r>
            <w:r>
              <w:rPr>
                <w:noProof/>
                <w:webHidden/>
              </w:rPr>
            </w:r>
            <w:r>
              <w:rPr>
                <w:noProof/>
                <w:webHidden/>
              </w:rPr>
              <w:fldChar w:fldCharType="separate"/>
            </w:r>
            <w:r>
              <w:rPr>
                <w:noProof/>
                <w:webHidden/>
              </w:rPr>
              <w:t>23</w:t>
            </w:r>
            <w:r>
              <w:rPr>
                <w:noProof/>
                <w:webHidden/>
              </w:rPr>
              <w:fldChar w:fldCharType="end"/>
            </w:r>
          </w:hyperlink>
        </w:p>
        <w:p w14:paraId="597E71F2" w14:textId="08823812" w:rsidR="006D671B" w:rsidRDefault="006D671B">
          <w:pPr>
            <w:pStyle w:val="TOC2"/>
            <w:tabs>
              <w:tab w:val="right" w:leader="dot" w:pos="9204"/>
            </w:tabs>
            <w:rPr>
              <w:rFonts w:asciiTheme="minorHAnsi" w:hAnsiTheme="minorHAnsi" w:cstheme="minorBidi"/>
              <w:noProof/>
              <w:sz w:val="22"/>
            </w:rPr>
          </w:pPr>
          <w:hyperlink w:anchor="_Toc104471896" w:history="1">
            <w:r w:rsidRPr="00C1639B">
              <w:rPr>
                <w:rStyle w:val="Hyperlink"/>
                <w:rFonts w:cs="Open Sans"/>
                <w:noProof/>
              </w:rPr>
              <w:t>PROSTORSKI INFORMACIJSKI SISTEM</w:t>
            </w:r>
            <w:r>
              <w:rPr>
                <w:noProof/>
                <w:webHidden/>
              </w:rPr>
              <w:tab/>
            </w:r>
            <w:r>
              <w:rPr>
                <w:noProof/>
                <w:webHidden/>
              </w:rPr>
              <w:fldChar w:fldCharType="begin"/>
            </w:r>
            <w:r>
              <w:rPr>
                <w:noProof/>
                <w:webHidden/>
              </w:rPr>
              <w:instrText xml:space="preserve"> PAGEREF _Toc104471896 \h </w:instrText>
            </w:r>
            <w:r>
              <w:rPr>
                <w:noProof/>
                <w:webHidden/>
              </w:rPr>
            </w:r>
            <w:r>
              <w:rPr>
                <w:noProof/>
                <w:webHidden/>
              </w:rPr>
              <w:fldChar w:fldCharType="separate"/>
            </w:r>
            <w:r>
              <w:rPr>
                <w:noProof/>
                <w:webHidden/>
              </w:rPr>
              <w:t>24</w:t>
            </w:r>
            <w:r>
              <w:rPr>
                <w:noProof/>
                <w:webHidden/>
              </w:rPr>
              <w:fldChar w:fldCharType="end"/>
            </w:r>
          </w:hyperlink>
        </w:p>
        <w:p w14:paraId="62E62894" w14:textId="3A66970C" w:rsidR="006D671B" w:rsidRDefault="006D671B">
          <w:pPr>
            <w:pStyle w:val="TOC2"/>
            <w:tabs>
              <w:tab w:val="right" w:leader="dot" w:pos="9204"/>
            </w:tabs>
            <w:rPr>
              <w:rFonts w:asciiTheme="minorHAnsi" w:hAnsiTheme="minorHAnsi" w:cstheme="minorBidi"/>
              <w:noProof/>
              <w:sz w:val="22"/>
            </w:rPr>
          </w:pPr>
          <w:hyperlink w:anchor="_Toc104471897" w:history="1">
            <w:r w:rsidRPr="00C1639B">
              <w:rPr>
                <w:rStyle w:val="Hyperlink"/>
                <w:rFonts w:cs="Open Sans"/>
                <w:noProof/>
              </w:rPr>
              <w:t>PODPORA VODENJU PROJEKTOV IN INFORMIRANJE</w:t>
            </w:r>
            <w:r>
              <w:rPr>
                <w:noProof/>
                <w:webHidden/>
              </w:rPr>
              <w:tab/>
            </w:r>
            <w:r>
              <w:rPr>
                <w:noProof/>
                <w:webHidden/>
              </w:rPr>
              <w:fldChar w:fldCharType="begin"/>
            </w:r>
            <w:r>
              <w:rPr>
                <w:noProof/>
                <w:webHidden/>
              </w:rPr>
              <w:instrText xml:space="preserve"> PAGEREF _Toc104471897 \h </w:instrText>
            </w:r>
            <w:r>
              <w:rPr>
                <w:noProof/>
                <w:webHidden/>
              </w:rPr>
            </w:r>
            <w:r>
              <w:rPr>
                <w:noProof/>
                <w:webHidden/>
              </w:rPr>
              <w:fldChar w:fldCharType="separate"/>
            </w:r>
            <w:r>
              <w:rPr>
                <w:noProof/>
                <w:webHidden/>
              </w:rPr>
              <w:t>25</w:t>
            </w:r>
            <w:r>
              <w:rPr>
                <w:noProof/>
                <w:webHidden/>
              </w:rPr>
              <w:fldChar w:fldCharType="end"/>
            </w:r>
          </w:hyperlink>
        </w:p>
        <w:p w14:paraId="32AFA389" w14:textId="3992FCD4" w:rsidR="006D671B" w:rsidRDefault="006D671B">
          <w:pPr>
            <w:pStyle w:val="TOC1"/>
            <w:tabs>
              <w:tab w:val="right" w:leader="dot" w:pos="9204"/>
            </w:tabs>
            <w:rPr>
              <w:rFonts w:asciiTheme="minorHAnsi" w:hAnsiTheme="minorHAnsi" w:cstheme="minorBidi"/>
              <w:noProof/>
              <w:sz w:val="22"/>
            </w:rPr>
          </w:pPr>
          <w:hyperlink w:anchor="_Toc104471898" w:history="1">
            <w:r w:rsidRPr="00C1639B">
              <w:rPr>
                <w:rStyle w:val="Hyperlink"/>
                <w:noProof/>
              </w:rPr>
              <w:t>DOSTOP DO DIGITALNIH PODATKOV</w:t>
            </w:r>
            <w:r>
              <w:rPr>
                <w:noProof/>
                <w:webHidden/>
              </w:rPr>
              <w:tab/>
            </w:r>
            <w:r>
              <w:rPr>
                <w:noProof/>
                <w:webHidden/>
              </w:rPr>
              <w:fldChar w:fldCharType="begin"/>
            </w:r>
            <w:r>
              <w:rPr>
                <w:noProof/>
                <w:webHidden/>
              </w:rPr>
              <w:instrText xml:space="preserve"> PAGEREF _Toc104471898 \h </w:instrText>
            </w:r>
            <w:r>
              <w:rPr>
                <w:noProof/>
                <w:webHidden/>
              </w:rPr>
            </w:r>
            <w:r>
              <w:rPr>
                <w:noProof/>
                <w:webHidden/>
              </w:rPr>
              <w:fldChar w:fldCharType="separate"/>
            </w:r>
            <w:r>
              <w:rPr>
                <w:noProof/>
                <w:webHidden/>
              </w:rPr>
              <w:t>26</w:t>
            </w:r>
            <w:r>
              <w:rPr>
                <w:noProof/>
                <w:webHidden/>
              </w:rPr>
              <w:fldChar w:fldCharType="end"/>
            </w:r>
          </w:hyperlink>
        </w:p>
        <w:p w14:paraId="17219C95" w14:textId="2E6DF994" w:rsidR="006D671B" w:rsidRDefault="006D671B">
          <w:pPr>
            <w:pStyle w:val="TOC1"/>
            <w:tabs>
              <w:tab w:val="right" w:leader="dot" w:pos="9204"/>
            </w:tabs>
            <w:rPr>
              <w:rFonts w:asciiTheme="minorHAnsi" w:hAnsiTheme="minorHAnsi" w:cstheme="minorBidi"/>
              <w:noProof/>
              <w:sz w:val="22"/>
            </w:rPr>
          </w:pPr>
          <w:hyperlink w:anchor="_Toc104471899" w:history="1">
            <w:r w:rsidRPr="00C1639B">
              <w:rPr>
                <w:rStyle w:val="Hyperlink"/>
                <w:noProof/>
              </w:rPr>
              <w:t>SLOVENIJA V ŠTEVILKAH</w:t>
            </w:r>
            <w:r>
              <w:rPr>
                <w:noProof/>
                <w:webHidden/>
              </w:rPr>
              <w:tab/>
            </w:r>
            <w:r>
              <w:rPr>
                <w:noProof/>
                <w:webHidden/>
              </w:rPr>
              <w:fldChar w:fldCharType="begin"/>
            </w:r>
            <w:r>
              <w:rPr>
                <w:noProof/>
                <w:webHidden/>
              </w:rPr>
              <w:instrText xml:space="preserve"> PAGEREF _Toc104471899 \h </w:instrText>
            </w:r>
            <w:r>
              <w:rPr>
                <w:noProof/>
                <w:webHidden/>
              </w:rPr>
            </w:r>
            <w:r>
              <w:rPr>
                <w:noProof/>
                <w:webHidden/>
              </w:rPr>
              <w:fldChar w:fldCharType="separate"/>
            </w:r>
            <w:r>
              <w:rPr>
                <w:noProof/>
                <w:webHidden/>
              </w:rPr>
              <w:t>28</w:t>
            </w:r>
            <w:r>
              <w:rPr>
                <w:noProof/>
                <w:webHidden/>
              </w:rPr>
              <w:fldChar w:fldCharType="end"/>
            </w:r>
          </w:hyperlink>
        </w:p>
        <w:p w14:paraId="5F4B122F" w14:textId="7F80C37C" w:rsidR="00D86C26" w:rsidRDefault="00D86C26">
          <w:r>
            <w:rPr>
              <w:b/>
              <w:bCs/>
            </w:rPr>
            <w:fldChar w:fldCharType="end"/>
          </w:r>
        </w:p>
      </w:sdtContent>
    </w:sdt>
    <w:p w14:paraId="67471385" w14:textId="00A5A7F8" w:rsidR="00195563" w:rsidRPr="00556C32" w:rsidRDefault="00B749EA" w:rsidP="00AF35DF">
      <w:pPr>
        <w:pStyle w:val="Heading1"/>
      </w:pPr>
      <w:r w:rsidRPr="00556C32">
        <w:br w:type="column"/>
      </w:r>
      <w:bookmarkStart w:id="0" w:name="_Toc104471882"/>
      <w:r w:rsidR="00957987" w:rsidRPr="00556C32">
        <w:lastRenderedPageBreak/>
        <w:t>UVODNA BESEDA</w:t>
      </w:r>
      <w:r w:rsidR="009F4919" w:rsidRPr="00556C32">
        <w:t xml:space="preserve"> GE</w:t>
      </w:r>
      <w:r w:rsidR="009F4919" w:rsidRPr="00CB4459">
        <w:t>NE</w:t>
      </w:r>
      <w:r w:rsidR="009F4919" w:rsidRPr="00556C32">
        <w:t>RALNEGA DIREKTORJA</w:t>
      </w:r>
      <w:bookmarkEnd w:id="0"/>
    </w:p>
    <w:p w14:paraId="3763792E" w14:textId="4F03169E" w:rsidR="00195563" w:rsidRPr="00556C32" w:rsidRDefault="00374085" w:rsidP="00B749EA">
      <w:pPr>
        <w:rPr>
          <w:rFonts w:cs="Open Sans"/>
        </w:rPr>
      </w:pPr>
      <w:r w:rsidRPr="00556C32">
        <w:rPr>
          <w:rFonts w:cs="Open Sans"/>
          <w:noProof/>
        </w:rPr>
        <w:t xml:space="preserve"> </w:t>
      </w:r>
    </w:p>
    <w:p w14:paraId="5DFA3FB1" w14:textId="77777777" w:rsidR="00333FB2" w:rsidRPr="007E269E" w:rsidRDefault="00333FB2" w:rsidP="00333FB2">
      <w:r w:rsidRPr="007E269E">
        <w:t>Spoštovan</w:t>
      </w:r>
      <w:r>
        <w:t>i</w:t>
      </w:r>
      <w:r w:rsidRPr="007E269E">
        <w:t>,</w:t>
      </w:r>
    </w:p>
    <w:p w14:paraId="646A4FCD" w14:textId="77777777" w:rsidR="00333FB2" w:rsidRPr="007E269E" w:rsidRDefault="00333FB2" w:rsidP="00333FB2"/>
    <w:p w14:paraId="5D8457E4" w14:textId="77777777" w:rsidR="00333FB2" w:rsidRDefault="00333FB2" w:rsidP="00333FB2">
      <w:r>
        <w:t xml:space="preserve">leto </w:t>
      </w:r>
      <w:r w:rsidRPr="00EF2FD3">
        <w:t xml:space="preserve">2021 je bilo močno zaznamovano z ukrepi za preprečevanje okužb z novim koronavirusom. Prikrajšalo nas je za mnoge osebne stike ter spremenilo nekatere naše ustaljene navade. </w:t>
      </w:r>
      <w:r>
        <w:t>Ni nam pa preprečilo</w:t>
      </w:r>
      <w:r w:rsidRPr="00EF2FD3">
        <w:t xml:space="preserve"> tradicije, da naredimo inventuro minulega leta tudi v obliki letnega poročila o delu Geodetske uprave RS.</w:t>
      </w:r>
    </w:p>
    <w:p w14:paraId="392CBFAA" w14:textId="77777777" w:rsidR="00333FB2" w:rsidRDefault="00333FB2" w:rsidP="00333FB2"/>
    <w:p w14:paraId="04C19D93" w14:textId="77777777" w:rsidR="00333FB2" w:rsidRPr="00D872B4" w:rsidRDefault="00333FB2" w:rsidP="00333FB2">
      <w:r w:rsidRPr="00AD242D">
        <w:t xml:space="preserve">Z vidika </w:t>
      </w:r>
      <w:r>
        <w:t xml:space="preserve">doseganja </w:t>
      </w:r>
      <w:r w:rsidRPr="00AD242D">
        <w:t>zastavljenih ciljev je bilo leto 202</w:t>
      </w:r>
      <w:r>
        <w:t>1</w:t>
      </w:r>
      <w:r w:rsidRPr="00AD242D">
        <w:t xml:space="preserve"> uspešno</w:t>
      </w:r>
      <w:r w:rsidRPr="007E269E">
        <w:t xml:space="preserve">. Zelo smo lahko ponosni na opravljen obseg nalog, ki smo jih kljub spremenjenim okoliščinam zaradi epidemije uspeli realizirati v večjem obsegu od načrtovanega. V okviru programa projektov </w:t>
      </w:r>
      <w:proofErr w:type="spellStart"/>
      <w:r w:rsidRPr="007E269E">
        <w:t>eProstor</w:t>
      </w:r>
      <w:proofErr w:type="spellEnd"/>
      <w:r w:rsidRPr="007E269E">
        <w:t xml:space="preserve"> smo </w:t>
      </w:r>
      <w:r>
        <w:t>v letu 20</w:t>
      </w:r>
      <w:r w:rsidRPr="00D872B4">
        <w:t xml:space="preserve">21 uspešno zaključili vse predvidene aktivnosti. Državni zbor RS je sprejel pripravljen predlog Zakona o katastru nepremičnin, ki nam daje ustrezno pravno podlago za elektronsko poslovanje v posodobljenih procesih evidentiranja nepremičnin in uporabo novega enovitega informacijskega sistema katastra nepremičnin. Uspešno smo zaključili postopke drugega cikla množičnega vrednotenja nepremičnin in izvedli poskusni izračun vrednosti nepremičnin. Zaradi ukrepov za preprečevanje okužb z novim virusom pa je bilo javno izkazovanje novih vrednosti in uveljavljanje posebnih okoliščin zamaknjeno </w:t>
      </w:r>
      <w:r>
        <w:t>n</w:t>
      </w:r>
      <w:r w:rsidRPr="00D872B4">
        <w:t>a čas po epidemiji. Tudi na področju topografsko kartografskega sistema in državnega referenčnega sistema smo realizirali vse naloge, za katere smo imeli zagotovljena sredstva v programu geodetskih del za leto 2021. Za vse uresničene dosežke gre velika zasluga in zahvala prav vsem sodelavkam in sodelavcem na Geodetski upravi RS. Tudi v teh zahtevnih okoliščinah epidemije je namreč zmagal optimizem in smo dokazali, da skupaj zmoremo premagati še tako velike težave in ovire.</w:t>
      </w:r>
    </w:p>
    <w:p w14:paraId="12C6C874" w14:textId="77777777" w:rsidR="00333FB2" w:rsidRPr="00D872B4" w:rsidRDefault="00333FB2" w:rsidP="00333FB2"/>
    <w:p w14:paraId="6F04B885" w14:textId="77777777" w:rsidR="00333FB2" w:rsidRPr="00D872B4" w:rsidRDefault="00333FB2" w:rsidP="00333FB2">
      <w:r w:rsidRPr="00D872B4">
        <w:t xml:space="preserve">Verjamem, da bomo skupaj tudi v </w:t>
      </w:r>
      <w:r>
        <w:t>prihodnje</w:t>
      </w:r>
      <w:r w:rsidRPr="00D872B4">
        <w:t xml:space="preserve"> dokazali, da se zavedamo pomena sodelovanja pri krepitvi </w:t>
      </w:r>
      <w:proofErr w:type="spellStart"/>
      <w:r w:rsidRPr="00D872B4">
        <w:t>geoprostorske</w:t>
      </w:r>
      <w:proofErr w:type="spellEnd"/>
      <w:r w:rsidRPr="00D872B4">
        <w:t xml:space="preserve"> infrastrukture na lokalni, nacionalni, regionalni in globalni ravni. Samo skupaj bomo lahko izkoristiti potencial storitev </w:t>
      </w:r>
      <w:proofErr w:type="spellStart"/>
      <w:r w:rsidRPr="00D872B4">
        <w:t>geoprostorskih</w:t>
      </w:r>
      <w:proofErr w:type="spellEnd"/>
      <w:r w:rsidRPr="00D872B4">
        <w:t xml:space="preserve"> znanj z razvojem inovativnih, učinkovitih in razširljivih rešitev na različnih življenjskih področjih v svetu. </w:t>
      </w:r>
    </w:p>
    <w:p w14:paraId="2327B0DE" w14:textId="77777777" w:rsidR="00333FB2" w:rsidRDefault="00333FB2" w:rsidP="00333FB2"/>
    <w:p w14:paraId="44B8F383" w14:textId="77777777" w:rsidR="00333FB2" w:rsidRDefault="00333FB2" w:rsidP="00333FB2">
      <w:r>
        <w:t>Tomaž Petek</w:t>
      </w:r>
    </w:p>
    <w:p w14:paraId="0662D1A5" w14:textId="77777777" w:rsidR="00333FB2" w:rsidRPr="00A269EA" w:rsidRDefault="00333FB2" w:rsidP="00333FB2">
      <w:r>
        <w:t>Generalni direktor Geodetske uprave RS</w:t>
      </w:r>
    </w:p>
    <w:p w14:paraId="011CFDEC" w14:textId="5E2374A1" w:rsidR="009A154A" w:rsidRPr="00556C32" w:rsidRDefault="009A154A" w:rsidP="00867C13">
      <w:pPr>
        <w:pStyle w:val="Heading1"/>
        <w:rPr>
          <w:rFonts w:cs="Open Sans"/>
        </w:rPr>
      </w:pPr>
      <w:r w:rsidRPr="00556C32">
        <w:rPr>
          <w:rFonts w:cs="Open Sans"/>
        </w:rPr>
        <w:br w:type="column"/>
      </w:r>
      <w:bookmarkStart w:id="1" w:name="_Toc104471883"/>
      <w:r w:rsidR="00867C13" w:rsidRPr="00556C32">
        <w:rPr>
          <w:rFonts w:cs="Open Sans"/>
        </w:rPr>
        <w:lastRenderedPageBreak/>
        <w:t xml:space="preserve">PREDSTAVITEV </w:t>
      </w:r>
      <w:r w:rsidR="00C213DE" w:rsidRPr="00556C32">
        <w:rPr>
          <w:rFonts w:cs="Open Sans"/>
        </w:rPr>
        <w:t>IN ORGANIZIRANOST</w:t>
      </w:r>
      <w:bookmarkEnd w:id="1"/>
    </w:p>
    <w:p w14:paraId="22517086" w14:textId="129CDA0C" w:rsidR="00867C13" w:rsidRPr="00556C32" w:rsidRDefault="00867C13" w:rsidP="00867C13">
      <w:pPr>
        <w:rPr>
          <w:rFonts w:cs="Open Sans"/>
          <w:spacing w:val="-4"/>
        </w:rPr>
      </w:pPr>
    </w:p>
    <w:p w14:paraId="2331F913" w14:textId="77777777" w:rsidR="00333FB2" w:rsidRPr="00AD3435" w:rsidRDefault="00333FB2" w:rsidP="00333FB2">
      <w:pPr>
        <w:rPr>
          <w:spacing w:val="-4"/>
        </w:rPr>
      </w:pPr>
      <w:r w:rsidRPr="00AD3435">
        <w:rPr>
          <w:spacing w:val="-4"/>
        </w:rPr>
        <w:t>Geodetska uprava RS je organ v sestavi Ministrstva za okolje in prostor. V delovno področje Geodetske uprave RS sodijo naloge državne geodetske službe, ki obsegajo vzpostavitev, vodenje in vzdrževanje zbirk podatkov na področju osnovnega geodetskega sistema, evidentiranja nepremičnin, množičnega vrednotenja nepremičnin, državne meje, prostorskih enot in hišnih številk, zbirnega katastra gospodarske javne infrastrukture ter topografskega in kartografskega sistema.</w:t>
      </w:r>
    </w:p>
    <w:p w14:paraId="4F2D00EE" w14:textId="77777777" w:rsidR="00333FB2" w:rsidRPr="00AD3435" w:rsidRDefault="00333FB2" w:rsidP="00333FB2">
      <w:pPr>
        <w:rPr>
          <w:spacing w:val="-4"/>
        </w:rPr>
      </w:pPr>
    </w:p>
    <w:p w14:paraId="0C8978B1" w14:textId="77777777" w:rsidR="00333FB2" w:rsidRPr="00AD3435" w:rsidRDefault="00333FB2" w:rsidP="00333FB2">
      <w:pPr>
        <w:rPr>
          <w:spacing w:val="-4"/>
        </w:rPr>
      </w:pPr>
      <w:r w:rsidRPr="00AD3435">
        <w:rPr>
          <w:spacing w:val="-4"/>
        </w:rPr>
        <w:t>Geodetska uprava RS skrbi za zajem, posodabljanje, hranjenje in posredovanje osnovnih podatkov o prostoru in nepremičninah v urejenih zbirkah podatkov, zagotavlja storitve, povezane z evidentiranjem sprememb v prostoru in na nepremičninah, ter opravlja koordinacijsko vlogo na področju nepremičninskega sistema in prostorske podatkovne infrastrukture.</w:t>
      </w:r>
    </w:p>
    <w:p w14:paraId="10E7C3B1" w14:textId="77777777" w:rsidR="00333FB2" w:rsidRPr="00AD3435" w:rsidRDefault="00333FB2" w:rsidP="00333FB2">
      <w:pPr>
        <w:rPr>
          <w:spacing w:val="-4"/>
        </w:rPr>
      </w:pPr>
    </w:p>
    <w:p w14:paraId="304CC180" w14:textId="264B2948" w:rsidR="00867C13" w:rsidRPr="00556C32" w:rsidRDefault="00333FB2" w:rsidP="00333FB2">
      <w:pPr>
        <w:rPr>
          <w:rFonts w:cs="Open Sans"/>
        </w:rPr>
      </w:pPr>
      <w:r w:rsidRPr="00AD3435">
        <w:rPr>
          <w:spacing w:val="-4"/>
        </w:rPr>
        <w:t>Vzdržuje sistem množičnega vrednotenja nepremičnin, evidentira in spremlja podatke o kupoprodajnih in najemnih poslih z nepremičninami, analizira stanje in značilnosti nepremičninskega trga, pripravlja periodična poročila o dogajanju na nepremičninskem trgu ter zagotavlja podatke o trgu in ocenjenih tržnih vrednostih nepremičnin. Skrbi za državni koordinatni sistem, ki je podlaga za umestitev podatkov v prostor, in zagotavlja infrastrukturo za izvajanje geodetskih meritev</w:t>
      </w:r>
      <w:r w:rsidR="00867C13" w:rsidRPr="00556C32">
        <w:rPr>
          <w:rFonts w:cs="Open Sans"/>
        </w:rPr>
        <w:t>.</w:t>
      </w:r>
    </w:p>
    <w:p w14:paraId="0B1E9BD4" w14:textId="0BA808CB" w:rsidR="00867C13" w:rsidRPr="00556C32" w:rsidRDefault="00867C13" w:rsidP="00867C13">
      <w:pPr>
        <w:rPr>
          <w:rFonts w:cs="Open Sans"/>
        </w:rPr>
      </w:pPr>
    </w:p>
    <w:p w14:paraId="48661D8D" w14:textId="76A2F81A" w:rsidR="00867C13" w:rsidRPr="00556C32" w:rsidRDefault="008E558D" w:rsidP="00867C13">
      <w:pPr>
        <w:rPr>
          <w:rFonts w:cs="Open Sans"/>
        </w:rPr>
      </w:pPr>
      <w:r w:rsidRPr="00556C32">
        <w:rPr>
          <w:rFonts w:cs="Open Sans"/>
        </w:rPr>
        <w:t>Kontaktni podatki:</w:t>
      </w:r>
    </w:p>
    <w:p w14:paraId="4B6ADB93" w14:textId="79882290" w:rsidR="008E558D" w:rsidRPr="00556C32" w:rsidRDefault="008E558D" w:rsidP="00867C13">
      <w:pPr>
        <w:rPr>
          <w:rFonts w:cs="Open Sans"/>
        </w:rPr>
      </w:pPr>
    </w:p>
    <w:p w14:paraId="2B9A3A6F" w14:textId="77777777" w:rsidR="008E558D" w:rsidRPr="00556C32" w:rsidRDefault="008E558D" w:rsidP="008E558D">
      <w:pPr>
        <w:rPr>
          <w:rFonts w:cs="Open Sans"/>
        </w:rPr>
      </w:pPr>
      <w:r w:rsidRPr="00556C32">
        <w:rPr>
          <w:rFonts w:cs="Open Sans"/>
        </w:rPr>
        <w:t>INSTITUCIJA</w:t>
      </w:r>
    </w:p>
    <w:p w14:paraId="1DA3BD5D" w14:textId="4A0760A9" w:rsidR="008E558D" w:rsidRPr="00556C32" w:rsidRDefault="008E558D" w:rsidP="008E558D">
      <w:pPr>
        <w:rPr>
          <w:rFonts w:cs="Open Sans"/>
        </w:rPr>
      </w:pPr>
      <w:r w:rsidRPr="00556C32">
        <w:rPr>
          <w:rFonts w:cs="Open Sans"/>
        </w:rPr>
        <w:t>GEODETSKA UPRAVA R</w:t>
      </w:r>
      <w:r w:rsidR="00CA65D8" w:rsidRPr="00556C32">
        <w:rPr>
          <w:rFonts w:cs="Open Sans"/>
        </w:rPr>
        <w:t xml:space="preserve">EPUBLIKE </w:t>
      </w:r>
      <w:r w:rsidRPr="00556C32">
        <w:rPr>
          <w:rFonts w:cs="Open Sans"/>
        </w:rPr>
        <w:t>S</w:t>
      </w:r>
      <w:r w:rsidR="00CA65D8" w:rsidRPr="00556C32">
        <w:rPr>
          <w:rFonts w:cs="Open Sans"/>
        </w:rPr>
        <w:t>LOVENIJE</w:t>
      </w:r>
    </w:p>
    <w:p w14:paraId="158C9B4E" w14:textId="78FB3AA7" w:rsidR="008E558D" w:rsidRPr="00556C32" w:rsidRDefault="008E558D" w:rsidP="008E558D">
      <w:pPr>
        <w:rPr>
          <w:rFonts w:cs="Open Sans"/>
        </w:rPr>
      </w:pPr>
      <w:r w:rsidRPr="00556C32">
        <w:rPr>
          <w:rFonts w:cs="Open Sans"/>
        </w:rPr>
        <w:t>Ministrstvo za okolje in prostor</w:t>
      </w:r>
    </w:p>
    <w:p w14:paraId="5B64E434" w14:textId="77777777" w:rsidR="008E558D" w:rsidRPr="00556C32" w:rsidRDefault="008E558D" w:rsidP="008E558D">
      <w:pPr>
        <w:rPr>
          <w:rFonts w:cs="Open Sans"/>
        </w:rPr>
      </w:pPr>
    </w:p>
    <w:p w14:paraId="3729B581" w14:textId="59062276" w:rsidR="008E558D" w:rsidRPr="00556C32" w:rsidRDefault="008E558D" w:rsidP="008E558D">
      <w:pPr>
        <w:rPr>
          <w:rFonts w:cs="Open Sans"/>
        </w:rPr>
      </w:pPr>
      <w:r w:rsidRPr="00556C32">
        <w:rPr>
          <w:rFonts w:cs="Open Sans"/>
        </w:rPr>
        <w:t>NASLOV</w:t>
      </w:r>
    </w:p>
    <w:p w14:paraId="1380CA64" w14:textId="7CE75291" w:rsidR="008E558D" w:rsidRPr="00556C32" w:rsidRDefault="008E558D" w:rsidP="008E558D">
      <w:pPr>
        <w:rPr>
          <w:rFonts w:cs="Open Sans"/>
        </w:rPr>
      </w:pPr>
      <w:r w:rsidRPr="00556C32">
        <w:rPr>
          <w:rFonts w:cs="Open Sans"/>
        </w:rPr>
        <w:t>Zemljemerska ulica 12</w:t>
      </w:r>
      <w:r w:rsidR="00F929E1">
        <w:rPr>
          <w:rFonts w:cs="Open Sans"/>
        </w:rPr>
        <w:t xml:space="preserve">, </w:t>
      </w:r>
      <w:r w:rsidRPr="00556C32">
        <w:rPr>
          <w:rFonts w:cs="Open Sans"/>
          <w:lang w:val="it-IT"/>
        </w:rPr>
        <w:t xml:space="preserve">1000 </w:t>
      </w:r>
      <w:proofErr w:type="spellStart"/>
      <w:r w:rsidRPr="00556C32">
        <w:rPr>
          <w:rFonts w:cs="Open Sans"/>
          <w:lang w:val="it-IT"/>
        </w:rPr>
        <w:t>Ljubljana</w:t>
      </w:r>
      <w:proofErr w:type="spellEnd"/>
    </w:p>
    <w:p w14:paraId="255FB7FD" w14:textId="64222499" w:rsidR="008E558D" w:rsidRPr="00556C32" w:rsidRDefault="008E558D" w:rsidP="008E558D">
      <w:pPr>
        <w:rPr>
          <w:rStyle w:val="White"/>
          <w:rFonts w:cs="Open Sans"/>
        </w:rPr>
      </w:pPr>
    </w:p>
    <w:p w14:paraId="59DEEDF6" w14:textId="77777777" w:rsidR="008E558D" w:rsidRPr="00556C32" w:rsidRDefault="008E558D" w:rsidP="008E558D">
      <w:pPr>
        <w:rPr>
          <w:rFonts w:cs="Open Sans"/>
          <w:lang w:val="it-IT"/>
        </w:rPr>
      </w:pPr>
      <w:r w:rsidRPr="00556C32">
        <w:rPr>
          <w:rFonts w:cs="Open Sans"/>
          <w:lang w:val="it-IT"/>
        </w:rPr>
        <w:t>TELEFON</w:t>
      </w:r>
    </w:p>
    <w:p w14:paraId="78ADA9DE" w14:textId="5C44E3AB" w:rsidR="008E558D" w:rsidRPr="00556C32" w:rsidRDefault="008E558D" w:rsidP="008E558D">
      <w:pPr>
        <w:rPr>
          <w:rFonts w:cs="Open Sans"/>
        </w:rPr>
      </w:pPr>
      <w:r w:rsidRPr="00556C32">
        <w:rPr>
          <w:rFonts w:cs="Open Sans"/>
          <w:lang w:val="it-IT"/>
        </w:rPr>
        <w:t>01 478 48 00</w:t>
      </w:r>
    </w:p>
    <w:p w14:paraId="0E2ECB52" w14:textId="77777777" w:rsidR="008E558D" w:rsidRPr="00556C32" w:rsidRDefault="008E558D" w:rsidP="008E558D">
      <w:pPr>
        <w:rPr>
          <w:rFonts w:cs="Open Sans"/>
          <w:lang w:val="it-IT"/>
        </w:rPr>
      </w:pPr>
    </w:p>
    <w:p w14:paraId="38323107" w14:textId="414BA612" w:rsidR="008E558D" w:rsidRPr="00556C32" w:rsidRDefault="008E558D" w:rsidP="008E558D">
      <w:pPr>
        <w:rPr>
          <w:rFonts w:cs="Open Sans"/>
          <w:lang w:val="it-IT"/>
        </w:rPr>
      </w:pPr>
      <w:r w:rsidRPr="00556C32">
        <w:rPr>
          <w:rFonts w:cs="Open Sans"/>
          <w:lang w:val="it-IT"/>
        </w:rPr>
        <w:t>E-POŠTA</w:t>
      </w:r>
    </w:p>
    <w:p w14:paraId="37FCD5A8" w14:textId="1B5D3DAA" w:rsidR="008E558D" w:rsidRPr="00556C32" w:rsidRDefault="00822F9D" w:rsidP="008E558D">
      <w:pPr>
        <w:rPr>
          <w:rStyle w:val="White"/>
          <w:rFonts w:cs="Open Sans"/>
        </w:rPr>
      </w:pPr>
      <w:hyperlink r:id="rId8" w:history="1">
        <w:r w:rsidR="008E558D" w:rsidRPr="00556C32">
          <w:rPr>
            <w:rStyle w:val="Hyperlink"/>
            <w:rFonts w:cs="Open Sans"/>
            <w:color w:val="auto"/>
          </w:rPr>
          <w:t>pisarna.gu@gov.si</w:t>
        </w:r>
      </w:hyperlink>
    </w:p>
    <w:p w14:paraId="63135FD3" w14:textId="794FFCE9" w:rsidR="008E558D" w:rsidRPr="00556C32" w:rsidRDefault="008E558D" w:rsidP="008E558D">
      <w:pPr>
        <w:rPr>
          <w:rStyle w:val="White"/>
          <w:rFonts w:cs="Open Sans"/>
        </w:rPr>
      </w:pPr>
    </w:p>
    <w:p w14:paraId="0CA67FFE" w14:textId="65C8E88E" w:rsidR="008E558D" w:rsidRPr="00556C32" w:rsidRDefault="008E558D" w:rsidP="008E558D">
      <w:pPr>
        <w:rPr>
          <w:rFonts w:cs="Open Sans"/>
          <w:lang w:val="it-IT"/>
        </w:rPr>
      </w:pPr>
      <w:r w:rsidRPr="00556C32">
        <w:rPr>
          <w:rFonts w:cs="Open Sans"/>
          <w:lang w:val="it-IT"/>
        </w:rPr>
        <w:t>SPLETNA STRAN</w:t>
      </w:r>
    </w:p>
    <w:p w14:paraId="41529BE2" w14:textId="77777777" w:rsidR="00064728" w:rsidRDefault="00822F9D" w:rsidP="00F929E1">
      <w:pPr>
        <w:rPr>
          <w:rFonts w:cs="Open Sans"/>
        </w:rPr>
      </w:pPr>
      <w:hyperlink r:id="rId9" w:history="1">
        <w:r w:rsidR="00796EDD" w:rsidRPr="00556C32">
          <w:rPr>
            <w:rStyle w:val="Hyperlink"/>
            <w:rFonts w:cs="Open Sans"/>
          </w:rPr>
          <w:t>Povezava na spletno stran Geodetske uprave</w:t>
        </w:r>
      </w:hyperlink>
      <w:r w:rsidR="008E558D" w:rsidRPr="00556C32">
        <w:rPr>
          <w:rFonts w:cs="Open Sans"/>
        </w:rPr>
        <w:cr/>
      </w:r>
    </w:p>
    <w:p w14:paraId="3BB30EDE" w14:textId="77777777" w:rsidR="00064728" w:rsidRPr="00064728" w:rsidRDefault="00064728" w:rsidP="00064728">
      <w:pPr>
        <w:pStyle w:val="Heading1"/>
        <w:rPr>
          <w:rStyle w:val="Heading1Char"/>
          <w:b/>
        </w:rPr>
      </w:pPr>
      <w:r>
        <w:rPr>
          <w:rFonts w:cs="Open Sans"/>
        </w:rPr>
        <w:br w:type="column"/>
      </w:r>
      <w:bookmarkStart w:id="2" w:name="_Toc104471884"/>
      <w:r w:rsidRPr="00064728">
        <w:rPr>
          <w:rStyle w:val="Heading1Char"/>
          <w:b/>
        </w:rPr>
        <w:lastRenderedPageBreak/>
        <w:t>PREGLED DEJAVNOSTI</w:t>
      </w:r>
      <w:bookmarkEnd w:id="2"/>
    </w:p>
    <w:p w14:paraId="5F4E36BC" w14:textId="77777777" w:rsidR="00064728" w:rsidRPr="00F929E1" w:rsidRDefault="00064728" w:rsidP="00064728">
      <w:pPr>
        <w:jc w:val="left"/>
        <w:rPr>
          <w:rFonts w:cs="Open Sans"/>
          <w:highlight w:val="yellow"/>
        </w:rPr>
      </w:pPr>
    </w:p>
    <w:p w14:paraId="0BD43695" w14:textId="77777777" w:rsidR="00333FB2" w:rsidRDefault="00333FB2" w:rsidP="00333FB2">
      <w:r>
        <w:t>V delovno področje Geodetske uprave RS sodijo naloge državne geodetske službe, ki zajemajo vzpostavitev, vodenje in vzdrževanje zbirk podatkov na področju osnovnega geodetskega sistema, evidentiranja nepremičnin, množičnega vrednotenja nepremičnin, državne meje, prostorskih enot in hišnih številk, zbirnega katastra gospodarske javne infrastrukture ter topografskega in kartografskega sistema.</w:t>
      </w:r>
    </w:p>
    <w:p w14:paraId="673EB916" w14:textId="77777777" w:rsidR="00333FB2" w:rsidRDefault="00333FB2" w:rsidP="00333FB2"/>
    <w:p w14:paraId="6C4F7259" w14:textId="77777777" w:rsidR="00333FB2" w:rsidRDefault="00333FB2" w:rsidP="00333FB2">
      <w:r>
        <w:t xml:space="preserve">Epidemija COVID-19 je tudi v letu 2021 vplivala na organizacijo dela Geodetske uprave RS. Kljub določenim omejitvam, ukrepom in prilagajanju našega delovanja vsem uveljavljenim ukrepom za preprečevanje okužb s COVID-19 sta obseg in kvaliteta dela Geodetske uprave RS v letu 2021 dosegla pričakovane rezultate, primerljive s preteklimi leti. </w:t>
      </w:r>
    </w:p>
    <w:p w14:paraId="3EE2AA6E" w14:textId="77777777" w:rsidR="00333FB2" w:rsidRDefault="00333FB2" w:rsidP="00333FB2"/>
    <w:p w14:paraId="18B11F98" w14:textId="77777777" w:rsidR="00333FB2" w:rsidRDefault="00333FB2" w:rsidP="00333FB2">
      <w:r>
        <w:t>Organizacijske enote Geodetske uprave RS so: Glavni urad, Urad za nepremičnine, Urad za geodezijo, Urad za množično vrednotenje nepremičnin in dvanajst območnih geodetskih uprav s pripadajočimi geodetskimi pisarnami. Slednje opravljajo naloge sprejemanja vlog, informiranja, posredovanja podatkov strankam in opravljanja posameznih dejanj v upravnih postopkih, ki so povezana z neposrednim stikom s stranko na svojih sedežih in v vseh geodetskih pisarnah.</w:t>
      </w:r>
    </w:p>
    <w:p w14:paraId="5E15D7B1" w14:textId="77777777" w:rsidR="00333FB2" w:rsidRDefault="00333FB2" w:rsidP="00333FB2"/>
    <w:p w14:paraId="07009A77" w14:textId="77777777" w:rsidR="00333FB2" w:rsidRDefault="00333FB2" w:rsidP="00333FB2">
      <w:pPr>
        <w:rPr>
          <w:rFonts w:cs="Tahoma"/>
        </w:rPr>
      </w:pPr>
      <w:r w:rsidRPr="00F620B6">
        <w:rPr>
          <w:rFonts w:cs="Tahoma"/>
        </w:rPr>
        <w:t>Ena ključnih nalog Geodetske uprave RS na področju evidentiranja nepremičnin je vodenje upravnih postopkov na zahtevo strank, na osnovi katerih se spreminjajo podatki v nepremičninskih evidencah.</w:t>
      </w:r>
    </w:p>
    <w:p w14:paraId="3D326FB1" w14:textId="77777777" w:rsidR="00333FB2" w:rsidRPr="00F620B6" w:rsidRDefault="00333FB2" w:rsidP="00333FB2">
      <w:pPr>
        <w:rPr>
          <w:rFonts w:cs="Tahoma"/>
        </w:rPr>
      </w:pPr>
    </w:p>
    <w:p w14:paraId="52F3B670" w14:textId="77777777" w:rsidR="00333FB2" w:rsidRDefault="00333FB2" w:rsidP="00333FB2">
      <w:pPr>
        <w:rPr>
          <w:rFonts w:cs="Tahoma"/>
        </w:rPr>
      </w:pPr>
      <w:r w:rsidRPr="00F620B6">
        <w:rPr>
          <w:rFonts w:cs="Tahoma"/>
        </w:rPr>
        <w:t xml:space="preserve">V letu 2021 smo na Geodetski upravi </w:t>
      </w:r>
      <w:r w:rsidRPr="00477A16">
        <w:rPr>
          <w:rFonts w:cs="Tahoma"/>
        </w:rPr>
        <w:t xml:space="preserve">RS rešili </w:t>
      </w:r>
      <w:r w:rsidRPr="00477A16">
        <w:rPr>
          <w:rFonts w:cs="Tahoma"/>
          <w:b/>
          <w:bCs/>
        </w:rPr>
        <w:t>121.421</w:t>
      </w:r>
      <w:r w:rsidRPr="00477A16">
        <w:rPr>
          <w:rFonts w:cs="Tahoma"/>
        </w:rPr>
        <w:t xml:space="preserve"> upravnih postopkov (na zahtevo strank in po uradni dolžnosti), v reševanje pa smo prejeli </w:t>
      </w:r>
      <w:r w:rsidRPr="00477A16">
        <w:rPr>
          <w:rFonts w:cs="Tahoma"/>
          <w:b/>
          <w:bCs/>
        </w:rPr>
        <w:t>118.133</w:t>
      </w:r>
      <w:r w:rsidRPr="00477A16">
        <w:rPr>
          <w:rFonts w:cs="Tahoma"/>
        </w:rPr>
        <w:t xml:space="preserve"> upravnih postopkov</w:t>
      </w:r>
      <w:r w:rsidRPr="00F620B6">
        <w:rPr>
          <w:rFonts w:cs="Tahoma"/>
        </w:rPr>
        <w:t xml:space="preserve">. Izdanih potrdil in prevzetih sprememb iz </w:t>
      </w:r>
      <w:r>
        <w:rPr>
          <w:rFonts w:cs="Tahoma"/>
        </w:rPr>
        <w:t>z</w:t>
      </w:r>
      <w:r w:rsidRPr="00F620B6">
        <w:rPr>
          <w:rFonts w:cs="Tahoma"/>
        </w:rPr>
        <w:t xml:space="preserve">emljiške knjige je bilo </w:t>
      </w:r>
      <w:r w:rsidRPr="00477A16">
        <w:rPr>
          <w:rFonts w:cs="Tahoma"/>
          <w:b/>
          <w:bCs/>
        </w:rPr>
        <w:t>137.393</w:t>
      </w:r>
      <w:r w:rsidRPr="00F620B6">
        <w:rPr>
          <w:rFonts w:cs="Tahoma"/>
        </w:rPr>
        <w:t>.</w:t>
      </w:r>
    </w:p>
    <w:p w14:paraId="7C071926" w14:textId="5595EB46" w:rsidR="00064728" w:rsidRPr="00556C32" w:rsidRDefault="00064728" w:rsidP="00064728">
      <w:pPr>
        <w:rPr>
          <w:rFonts w:cs="Open Sans"/>
        </w:rPr>
      </w:pPr>
    </w:p>
    <w:p w14:paraId="0A53BF99" w14:textId="27C3742D" w:rsidR="00064728" w:rsidRDefault="00333FB2" w:rsidP="00F929E1">
      <w:pPr>
        <w:rPr>
          <w:rFonts w:cs="Open Sans"/>
        </w:rPr>
      </w:pPr>
      <w:r w:rsidRPr="001D1D9E">
        <w:t>Leto 2021 je Geodetska uprava</w:t>
      </w:r>
      <w:r>
        <w:t xml:space="preserve"> RS</w:t>
      </w:r>
      <w:r w:rsidRPr="001D1D9E">
        <w:t xml:space="preserve"> zaključila z uspešno realizacijo vseh nalog</w:t>
      </w:r>
      <w:r>
        <w:t>,</w:t>
      </w:r>
      <w:r w:rsidRPr="001D1D9E">
        <w:t xml:space="preserve"> zapisanih v programu del državne geodetske službe kot tudi nalog</w:t>
      </w:r>
      <w:r>
        <w:t>,</w:t>
      </w:r>
      <w:r w:rsidRPr="001D1D9E">
        <w:t xml:space="preserve"> načrtovanih v okviru programa projektov </w:t>
      </w:r>
      <w:proofErr w:type="spellStart"/>
      <w:r w:rsidRPr="001D1D9E">
        <w:t>eProstor</w:t>
      </w:r>
      <w:proofErr w:type="spellEnd"/>
      <w:r w:rsidRPr="001D1D9E">
        <w:t>. Uspeli smo uskladiti besedilo Zakona o katastru nepremičnin</w:t>
      </w:r>
      <w:r>
        <w:t xml:space="preserve"> – ZKN</w:t>
      </w:r>
      <w:r w:rsidRPr="001D1D9E">
        <w:t>, ki ga je Državni zbor RS sprejel</w:t>
      </w:r>
      <w:r>
        <w:t xml:space="preserve"> 26. 3. 2021</w:t>
      </w:r>
      <w:r w:rsidRPr="001D1D9E">
        <w:t xml:space="preserve"> in se je začel uporabljati 4.</w:t>
      </w:r>
      <w:r>
        <w:t xml:space="preserve"> </w:t>
      </w:r>
      <w:r w:rsidRPr="001D1D9E">
        <w:t>4.</w:t>
      </w:r>
      <w:r>
        <w:t xml:space="preserve"> </w:t>
      </w:r>
      <w:r w:rsidRPr="001D1D9E">
        <w:t>2022. Besedilo ZKN je pomembno predvsem zato, ker nam daje ustrezno pravno podlago za elektronsko poslovanje v posodobljenih procesih evidentiranja nepremičnin in uporabo novega enovitega informacijskega sistema katastra nepremičnin. Zaradi ukrepov za preprečevanje okužb z novim virusom pa je bilo javno izkazovanje novih vrednosti in uveljavljanje posebnih okoliščin začasno zadržano, vendar usklajevanj</w:t>
      </w:r>
      <w:r>
        <w:t>e</w:t>
      </w:r>
      <w:r w:rsidRPr="001D1D9E">
        <w:t xml:space="preserve"> modelov vrednotenja s tem ni zastalo. Tudi na področju topografsko kartografskega sistema in državnega referenčnega sistema smo realizirali vse naloge, za katere smo imeli zagotovljena sredstva v programu geodetskih del za leto 2021</w:t>
      </w:r>
      <w:r>
        <w:t>.</w:t>
      </w:r>
    </w:p>
    <w:p w14:paraId="2D344049" w14:textId="013FC13F" w:rsidR="00C47782" w:rsidRPr="00556C32" w:rsidRDefault="00790D0B" w:rsidP="00064728">
      <w:pPr>
        <w:pStyle w:val="Heading2"/>
        <w:rPr>
          <w:rFonts w:cs="Open Sans"/>
        </w:rPr>
      </w:pPr>
      <w:r w:rsidRPr="00556C32">
        <w:rPr>
          <w:rFonts w:cs="Open Sans"/>
        </w:rPr>
        <w:br w:type="column"/>
      </w:r>
      <w:bookmarkStart w:id="3" w:name="_Toc104471885"/>
      <w:r w:rsidR="00C47782" w:rsidRPr="00556C32">
        <w:rPr>
          <w:rFonts w:cs="Open Sans"/>
        </w:rPr>
        <w:lastRenderedPageBreak/>
        <w:t>GLAVNI URAD</w:t>
      </w:r>
      <w:bookmarkEnd w:id="3"/>
    </w:p>
    <w:p w14:paraId="4AFAE061" w14:textId="77777777" w:rsidR="000A3BF8" w:rsidRPr="00556C32" w:rsidRDefault="000A3BF8" w:rsidP="00C47782">
      <w:pPr>
        <w:rPr>
          <w:rFonts w:cs="Open Sans"/>
        </w:rPr>
      </w:pPr>
    </w:p>
    <w:p w14:paraId="5F8C8509" w14:textId="77777777" w:rsidR="004F1867" w:rsidRDefault="004F1867" w:rsidP="004F1867">
      <w:r w:rsidRPr="001C37F7">
        <w:t xml:space="preserve">Glavni urad opravlja upravne, strokovne, tehnične in nadzorne naloge povezovanja zbirk prostorskih </w:t>
      </w:r>
      <w:r w:rsidRPr="001363CA">
        <w:t>podatkov in naloge s področja prostorske podatkovne infrastrukture. Izdaja podatke in potrdila ter</w:t>
      </w:r>
      <w:r w:rsidRPr="001C37F7">
        <w:t xml:space="preserve"> zagotavlja elektronsko poslovanje s prostorskimi podatki, skrbi za informatizacijo geodetske službe, upravlja informacijsko in telekomunikacijsko infrastrukturo,</w:t>
      </w:r>
      <w:r>
        <w:t xml:space="preserve"> zagotavlja tudi sistemsko, aplikativno in uporabniško podporo ter skrbi za izobraževanje na področju informatike. </w:t>
      </w:r>
    </w:p>
    <w:p w14:paraId="2CD89891" w14:textId="77777777" w:rsidR="004F1867" w:rsidRDefault="004F1867" w:rsidP="004F1867"/>
    <w:p w14:paraId="0C61B48B" w14:textId="77777777" w:rsidR="004F1867" w:rsidRDefault="004F1867" w:rsidP="004F1867">
      <w:r>
        <w:t>Poleg tega opravlja naloge, ki se nanašajo na zagotavljanje pomoči pri reševanju vsebinsko-pravnih zadev vseh uradov in območnih geodetskih uprav. Izvaja naloge v zvezi z varstvom osebnih podatkov, finančnim poslovanjem, javnimi naročili, kadrovskimi zadevami, izobraževanjem in pisarniškim poslovanjem. Skrbi tudi za varnost in zdravje pri delu ter opravlja druge skupne naloge organizacijske narave, ki so pomembne za delovanje Geodetske uprave RS.</w:t>
      </w:r>
    </w:p>
    <w:p w14:paraId="1B57DF03" w14:textId="77777777" w:rsidR="004F1867" w:rsidRDefault="004F1867" w:rsidP="004F1867"/>
    <w:p w14:paraId="5329042F" w14:textId="15133781" w:rsidR="00C47782" w:rsidRPr="00FC239A" w:rsidRDefault="004F1867" w:rsidP="004F1867">
      <w:pPr>
        <w:rPr>
          <w:rFonts w:cs="Open Sans"/>
          <w:szCs w:val="20"/>
        </w:rPr>
      </w:pPr>
      <w:r w:rsidRPr="0021113E">
        <w:t>V preteklem letu je na področju informacijske tehnologije in izdajanja podatkov Geodetska uprava RS zagotavljala javnim in strokovnim uporabnikom, podjetjem, državni upravi ter širši javni upravi neprekinjen dostop do geodetskih podatkov preko elektronskih poti na osnovi spletnih storitev v sistemu distribucije in klasično na okencih na vseh lokacijah Geodetske uprave RS. Izvajala je informiranje in obveščanje uporabnikov ter širše javnosti o podatkih in storitvah, strokovno pomoč uporabnikom storitev ter svetovanje pri uporabi podatkov. Nadaljevala se je postopna digitalizacija arhivskih gradiv – aeroposnetkov.</w:t>
      </w:r>
      <w:r>
        <w:rPr>
          <w:color w:val="BFBFBF" w:themeColor="background1" w:themeShade="BF"/>
        </w:rPr>
        <w:t xml:space="preserve"> </w:t>
      </w:r>
      <w:r w:rsidRPr="00BD6D71">
        <w:t xml:space="preserve">Na podlagi koncesijske pogodbe so bila izplačana sredstva za izvajanje koncesije za upravljanje območja GEOSS. </w:t>
      </w:r>
      <w:r w:rsidRPr="0021113E">
        <w:t xml:space="preserve">V sodelovanju </w:t>
      </w:r>
      <w:r>
        <w:t>z</w:t>
      </w:r>
      <w:r w:rsidRPr="0021113E">
        <w:t xml:space="preserve"> Ministrstvom za javno upravo so bili zagotovljeni osnovni infrastrukturni pogoji za delovanje informacijskih sistemov in izvedena pomoč uporabnikom informacijske infrastrukture za zagotavljanje nemotenega izvajanja delovnih procesov</w:t>
      </w:r>
      <w:r w:rsidR="00C47782" w:rsidRPr="00FC239A">
        <w:rPr>
          <w:rFonts w:cs="Open Sans"/>
          <w:szCs w:val="20"/>
        </w:rPr>
        <w:t>.</w:t>
      </w:r>
    </w:p>
    <w:p w14:paraId="56E501A6" w14:textId="2A7D1E57" w:rsidR="001A16CF" w:rsidRPr="00FC239A" w:rsidRDefault="001A16CF" w:rsidP="00C47782">
      <w:pPr>
        <w:rPr>
          <w:rFonts w:cs="Open Sans"/>
          <w:szCs w:val="20"/>
        </w:rPr>
      </w:pPr>
    </w:p>
    <w:p w14:paraId="6D2E6B3D" w14:textId="6BD03676" w:rsidR="001A16CF" w:rsidRPr="00FC239A" w:rsidRDefault="001A16CF" w:rsidP="001A16CF">
      <w:pPr>
        <w:rPr>
          <w:rFonts w:cs="Open Sans"/>
          <w:szCs w:val="20"/>
        </w:rPr>
      </w:pPr>
      <w:r w:rsidRPr="00FC239A">
        <w:rPr>
          <w:rFonts w:cs="Open Sans"/>
          <w:szCs w:val="20"/>
        </w:rPr>
        <w:t xml:space="preserve">Na področju </w:t>
      </w:r>
      <w:r w:rsidRPr="00FC239A">
        <w:rPr>
          <w:rFonts w:cs="Open Sans"/>
          <w:b/>
          <w:bCs/>
          <w:szCs w:val="20"/>
        </w:rPr>
        <w:t>javnih naročil</w:t>
      </w:r>
      <w:r w:rsidRPr="00FC239A">
        <w:rPr>
          <w:rFonts w:cs="Open Sans"/>
          <w:szCs w:val="20"/>
        </w:rPr>
        <w:t xml:space="preserve"> je bilo v letu 202</w:t>
      </w:r>
      <w:r w:rsidR="004F1867">
        <w:rPr>
          <w:rFonts w:cs="Open Sans"/>
          <w:szCs w:val="20"/>
        </w:rPr>
        <w:t>1</w:t>
      </w:r>
      <w:r w:rsidRPr="00FC239A">
        <w:rPr>
          <w:rFonts w:cs="Open Sans"/>
          <w:szCs w:val="20"/>
        </w:rPr>
        <w:t>:</w:t>
      </w:r>
    </w:p>
    <w:p w14:paraId="08F9145D" w14:textId="1C5C0CB6" w:rsidR="004F1867" w:rsidRDefault="004F1867" w:rsidP="004F1867">
      <w:pPr>
        <w:pStyle w:val="ListParagraph"/>
        <w:numPr>
          <w:ilvl w:val="0"/>
          <w:numId w:val="15"/>
        </w:numPr>
      </w:pPr>
      <w:r>
        <w:t>16 sklenjenih pogodb o izvedbi javnega naročila v skladu z ZJN-3,</w:t>
      </w:r>
    </w:p>
    <w:p w14:paraId="2F9211FF" w14:textId="77777777" w:rsidR="004F1867" w:rsidRDefault="004F1867" w:rsidP="004F1867">
      <w:pPr>
        <w:pStyle w:val="ListParagraph"/>
        <w:numPr>
          <w:ilvl w:val="0"/>
          <w:numId w:val="15"/>
        </w:numPr>
      </w:pPr>
      <w:r>
        <w:t>18 sklenjenih neposrednih pogodb,</w:t>
      </w:r>
    </w:p>
    <w:p w14:paraId="1D01ABB3" w14:textId="45C8487F" w:rsidR="001A16CF" w:rsidRPr="004F1867" w:rsidRDefault="004F1867" w:rsidP="004F1867">
      <w:pPr>
        <w:pStyle w:val="ListParagraph"/>
        <w:numPr>
          <w:ilvl w:val="0"/>
          <w:numId w:val="15"/>
        </w:numPr>
      </w:pPr>
      <w:r>
        <w:t>60 izvedenih evidenčnih naročil</w:t>
      </w:r>
      <w:r w:rsidR="001A16CF" w:rsidRPr="004F1867">
        <w:rPr>
          <w:rFonts w:cs="Open Sans"/>
          <w:szCs w:val="20"/>
        </w:rPr>
        <w:t>.</w:t>
      </w:r>
    </w:p>
    <w:p w14:paraId="3493BB04" w14:textId="77777777" w:rsidR="00D03C39" w:rsidRPr="00FC239A" w:rsidRDefault="00D03C39" w:rsidP="008E558D">
      <w:pPr>
        <w:rPr>
          <w:rFonts w:cs="Open Sans"/>
          <w:szCs w:val="20"/>
          <w:highlight w:val="yellow"/>
        </w:rPr>
      </w:pPr>
    </w:p>
    <w:p w14:paraId="03DAFAAA" w14:textId="77777777" w:rsidR="004529DB" w:rsidRPr="00FC239A" w:rsidRDefault="004529DB" w:rsidP="001A2DC7">
      <w:pPr>
        <w:rPr>
          <w:rFonts w:cs="Open Sans"/>
          <w:szCs w:val="20"/>
        </w:rPr>
      </w:pPr>
    </w:p>
    <w:p w14:paraId="67E9BC9A" w14:textId="6DA29595" w:rsidR="00076E2D" w:rsidRPr="00FC239A" w:rsidRDefault="00162F33" w:rsidP="00C90F35">
      <w:pPr>
        <w:rPr>
          <w:rFonts w:cs="Open Sans"/>
          <w:szCs w:val="20"/>
        </w:rPr>
      </w:pPr>
      <w:r w:rsidRPr="00FC239A">
        <w:rPr>
          <w:rFonts w:cs="Open Sans"/>
          <w:b/>
          <w:bCs/>
          <w:szCs w:val="20"/>
        </w:rPr>
        <w:t>P</w:t>
      </w:r>
      <w:r w:rsidR="00076E2D" w:rsidRPr="00FC239A">
        <w:rPr>
          <w:rFonts w:cs="Open Sans"/>
          <w:b/>
          <w:bCs/>
          <w:szCs w:val="20"/>
        </w:rPr>
        <w:t>ravn</w:t>
      </w:r>
      <w:r w:rsidRPr="00FC239A">
        <w:rPr>
          <w:rFonts w:cs="Open Sans"/>
          <w:b/>
          <w:bCs/>
          <w:szCs w:val="20"/>
        </w:rPr>
        <w:t>o</w:t>
      </w:r>
      <w:r w:rsidR="00076E2D" w:rsidRPr="00FC239A">
        <w:rPr>
          <w:rFonts w:cs="Open Sans"/>
          <w:b/>
          <w:bCs/>
          <w:szCs w:val="20"/>
        </w:rPr>
        <w:t xml:space="preserve"> področj</w:t>
      </w:r>
      <w:r w:rsidRPr="00FC239A">
        <w:rPr>
          <w:rFonts w:cs="Open Sans"/>
          <w:b/>
          <w:bCs/>
          <w:szCs w:val="20"/>
        </w:rPr>
        <w:t>e</w:t>
      </w:r>
      <w:r w:rsidR="00076E2D" w:rsidRPr="00FC239A">
        <w:rPr>
          <w:rFonts w:cs="Open Sans"/>
          <w:szCs w:val="20"/>
        </w:rPr>
        <w:t xml:space="preserve"> v letu 2020:</w:t>
      </w:r>
    </w:p>
    <w:p w14:paraId="6A1622F2" w14:textId="77777777" w:rsidR="004F1867" w:rsidRDefault="004F1867" w:rsidP="00BA45EE">
      <w:pPr>
        <w:pStyle w:val="ListParagraph"/>
        <w:numPr>
          <w:ilvl w:val="0"/>
          <w:numId w:val="15"/>
        </w:numPr>
      </w:pPr>
      <w:r>
        <w:t>v</w:t>
      </w:r>
      <w:r w:rsidRPr="00683328">
        <w:t xml:space="preserve">sakodnevna pravna pomoč </w:t>
      </w:r>
      <w:r>
        <w:t>OGU</w:t>
      </w:r>
      <w:r w:rsidRPr="00683328">
        <w:t xml:space="preserve"> in </w:t>
      </w:r>
      <w:r>
        <w:t xml:space="preserve">GP, </w:t>
      </w:r>
      <w:r w:rsidRPr="00683328">
        <w:t>povpreč</w:t>
      </w:r>
      <w:r>
        <w:t>no</w:t>
      </w:r>
      <w:r w:rsidRPr="00683328">
        <w:t xml:space="preserve"> 6 pravnih vprašanj dnevno</w:t>
      </w:r>
      <w:r>
        <w:t>,</w:t>
      </w:r>
    </w:p>
    <w:p w14:paraId="6E47A010" w14:textId="77777777" w:rsidR="004F1867" w:rsidRDefault="004F1867" w:rsidP="00BA45EE">
      <w:pPr>
        <w:pStyle w:val="ListParagraph"/>
        <w:numPr>
          <w:ilvl w:val="0"/>
          <w:numId w:val="15"/>
        </w:numPr>
      </w:pPr>
      <w:r>
        <w:t>p</w:t>
      </w:r>
      <w:r w:rsidRPr="00683328">
        <w:t>ravna pomoč pri vodenju upravnih postopkov za izrek ničnosti sprejetih upravnih odločitev (30 zadev) ali v postopkih obravnave predlogov za obnovo postopkov (</w:t>
      </w:r>
      <w:r>
        <w:t>26</w:t>
      </w:r>
      <w:r w:rsidRPr="00683328">
        <w:t xml:space="preserve"> zadev)</w:t>
      </w:r>
      <w:r>
        <w:t>,</w:t>
      </w:r>
    </w:p>
    <w:p w14:paraId="4CD47335" w14:textId="15BA71CD" w:rsidR="004F1867" w:rsidRDefault="004F1867" w:rsidP="00BA45EE">
      <w:pPr>
        <w:pStyle w:val="ListParagraph"/>
        <w:numPr>
          <w:ilvl w:val="0"/>
          <w:numId w:val="15"/>
        </w:numPr>
      </w:pPr>
      <w:r>
        <w:t>p</w:t>
      </w:r>
      <w:r w:rsidRPr="00683328">
        <w:t xml:space="preserve">riprava okoli 100 osnutkov upravnih aktov oz. </w:t>
      </w:r>
      <w:r>
        <w:t>p</w:t>
      </w:r>
      <w:r w:rsidRPr="00683328">
        <w:t xml:space="preserve">rocesnih odločitev po </w:t>
      </w:r>
      <w:r>
        <w:t>ZEN</w:t>
      </w:r>
      <w:r w:rsidRPr="00683328">
        <w:t xml:space="preserve"> in novem </w:t>
      </w:r>
      <w:r>
        <w:t>ZKN</w:t>
      </w:r>
      <w:r w:rsidR="00BA45EE">
        <w:t xml:space="preserve"> </w:t>
      </w:r>
      <w:r w:rsidR="002F360C">
        <w:t>–</w:t>
      </w:r>
      <w:r w:rsidRPr="00683328">
        <w:t xml:space="preserve"> na voljo uradnim osebam pri vodenju upravnih postopkov za hitrejše in bolj strokovno delo</w:t>
      </w:r>
      <w:r>
        <w:t>,</w:t>
      </w:r>
    </w:p>
    <w:p w14:paraId="222887FF" w14:textId="1E2EF5DD" w:rsidR="005E5259" w:rsidRPr="00BA45EE" w:rsidRDefault="004F1867" w:rsidP="00F73C84">
      <w:pPr>
        <w:pStyle w:val="ListParagraph"/>
        <w:numPr>
          <w:ilvl w:val="0"/>
          <w:numId w:val="2"/>
        </w:numPr>
        <w:rPr>
          <w:rFonts w:cs="Open Sans"/>
        </w:rPr>
      </w:pPr>
      <w:r>
        <w:t>s</w:t>
      </w:r>
      <w:r w:rsidRPr="00683328">
        <w:t>trokovno izvajanje ukrepov in enot</w:t>
      </w:r>
      <w:r>
        <w:t>e</w:t>
      </w:r>
      <w:r w:rsidRPr="00683328">
        <w:t xml:space="preserve">n način dela v upravnih zadevah (v sodelovanju z </w:t>
      </w:r>
      <w:r>
        <w:t>U</w:t>
      </w:r>
      <w:r w:rsidRPr="00683328">
        <w:t>radom za nepremičnine)</w:t>
      </w:r>
      <w:r>
        <w:t>,</w:t>
      </w:r>
      <w:r w:rsidRPr="00683328">
        <w:t xml:space="preserve"> poveza</w:t>
      </w:r>
      <w:r>
        <w:t>no</w:t>
      </w:r>
      <w:r w:rsidRPr="00683328">
        <w:t xml:space="preserve"> z uveljavljanjem ukrepov za preprečevanja širjenja virusa </w:t>
      </w:r>
      <w:r>
        <w:t>COVID</w:t>
      </w:r>
      <w:r w:rsidRPr="00683328">
        <w:t>-19</w:t>
      </w:r>
      <w:r w:rsidR="002F360C" w:rsidRPr="00BA45EE">
        <w:rPr>
          <w:rFonts w:cs="Open Sans"/>
          <w:szCs w:val="20"/>
        </w:rPr>
        <w:t>.</w:t>
      </w:r>
    </w:p>
    <w:p w14:paraId="50C3FA60" w14:textId="77777777" w:rsidR="002F728A" w:rsidRPr="00556C32" w:rsidRDefault="009A6E16" w:rsidP="002F728A">
      <w:pPr>
        <w:pStyle w:val="Heading2"/>
        <w:rPr>
          <w:rFonts w:cs="Open Sans"/>
        </w:rPr>
      </w:pPr>
      <w:r w:rsidRPr="00556C32">
        <w:rPr>
          <w:rFonts w:cs="Open Sans"/>
        </w:rPr>
        <w:br w:type="column"/>
      </w:r>
      <w:bookmarkStart w:id="4" w:name="_Hlk67059647"/>
      <w:bookmarkStart w:id="5" w:name="_Toc104471886"/>
      <w:bookmarkEnd w:id="4"/>
      <w:r w:rsidR="002F728A" w:rsidRPr="00556C32">
        <w:rPr>
          <w:rFonts w:cs="Open Sans"/>
        </w:rPr>
        <w:lastRenderedPageBreak/>
        <w:t>URAD ZA NEPREMIČNINE</w:t>
      </w:r>
      <w:bookmarkEnd w:id="5"/>
    </w:p>
    <w:p w14:paraId="09691191" w14:textId="77777777" w:rsidR="002F728A" w:rsidRPr="00556C32" w:rsidRDefault="002F728A" w:rsidP="002F728A">
      <w:pPr>
        <w:rPr>
          <w:rFonts w:cs="Open Sans"/>
        </w:rPr>
      </w:pPr>
    </w:p>
    <w:p w14:paraId="65715AC9" w14:textId="77777777" w:rsidR="000106C7" w:rsidRDefault="000106C7" w:rsidP="000106C7">
      <w:r>
        <w:t>Urad za nepremičnine opravlja upravne, strokovne, tehnične, usklajevalne in nadzorne naloge vodenja zemljiškega katastra, katastra stavb, registra nepremičnin in drugih evidenc o nepremičninah, opravlja naloge vodenja registra prostorskih enot, evidence hišnih številk, zbirnega katastra gospodarske javne infrastrukture ter izvaja različne naloge in projekte s področja nepremičnin. Njegova naloga je tudi vsebinsko vodenje in usklajevanje dela območnih geodetskih uprav na nepremičninskem področju.</w:t>
      </w:r>
    </w:p>
    <w:p w14:paraId="48B4ABC2" w14:textId="77777777" w:rsidR="000106C7" w:rsidRDefault="000106C7" w:rsidP="000106C7"/>
    <w:p w14:paraId="562E0A0A" w14:textId="77777777" w:rsidR="000106C7" w:rsidRDefault="000106C7" w:rsidP="000106C7">
      <w:r w:rsidRPr="005F3B7A">
        <w:t>Ena ključnih nalog Geodetske uprave RS na področju evidentiranja nepremičnin je vodenje upravnih postopkov na zahtevo strank, na osnovi katerih se spreminjajo podatki v nepremičninskih</w:t>
      </w:r>
      <w:r w:rsidRPr="00077D3A">
        <w:t xml:space="preserve"> evidencah (zemljiški kataster, kataster stavb in register nepremičnin)</w:t>
      </w:r>
      <w:r>
        <w:t xml:space="preserve">. Podatki </w:t>
      </w:r>
      <w:r w:rsidRPr="00077D3A">
        <w:t xml:space="preserve">o številu prejetih in rešenih zahtev, </w:t>
      </w:r>
      <w:r>
        <w:t xml:space="preserve">izdanih </w:t>
      </w:r>
      <w:r w:rsidRPr="00077D3A">
        <w:t>potrdil in prevzetih sprememb iz zemljiške knjige v letu 2021</w:t>
      </w:r>
      <w:r>
        <w:t xml:space="preserve"> so podrobneje predstavljeni v preglednici v poglavju Pregled dejavnosti.</w:t>
      </w:r>
    </w:p>
    <w:p w14:paraId="3F44164C" w14:textId="77777777" w:rsidR="000106C7" w:rsidRDefault="000106C7" w:rsidP="000106C7"/>
    <w:p w14:paraId="32183455" w14:textId="77777777" w:rsidR="000106C7" w:rsidRPr="00DD65CB" w:rsidRDefault="000106C7" w:rsidP="000106C7">
      <w:pPr>
        <w:rPr>
          <w:rFonts w:cs="Arial"/>
          <w:bCs/>
        </w:rPr>
      </w:pPr>
      <w:r w:rsidRPr="00D712D0">
        <w:t xml:space="preserve">Marca 2021 je bil v Državnem zboru Republike Slovenije sprejet </w:t>
      </w:r>
      <w:r w:rsidRPr="00D712D0">
        <w:rPr>
          <w:rFonts w:cs="Arial"/>
          <w:b/>
        </w:rPr>
        <w:t xml:space="preserve">Zakon o katastru nepremičnin </w:t>
      </w:r>
      <w:r>
        <w:rPr>
          <w:rFonts w:cs="Arial"/>
          <w:b/>
        </w:rPr>
        <w:t xml:space="preserve">– </w:t>
      </w:r>
      <w:r w:rsidRPr="00D712D0">
        <w:rPr>
          <w:rFonts w:cs="Arial"/>
          <w:b/>
        </w:rPr>
        <w:t>ZKN</w:t>
      </w:r>
      <w:r w:rsidRPr="00D712D0">
        <w:rPr>
          <w:rFonts w:cs="Arial"/>
          <w:bCs/>
        </w:rPr>
        <w:t>,</w:t>
      </w:r>
      <w:r w:rsidRPr="00D712D0">
        <w:rPr>
          <w:rFonts w:cs="Tahoma"/>
        </w:rPr>
        <w:t xml:space="preserve"> Uradni list RS, št. 54/21,</w:t>
      </w:r>
      <w:r w:rsidRPr="00D712D0">
        <w:rPr>
          <w:rFonts w:cs="Arial"/>
          <w:b/>
        </w:rPr>
        <w:t xml:space="preserve"> </w:t>
      </w:r>
      <w:r w:rsidRPr="00C54C93">
        <w:rPr>
          <w:rFonts w:cs="Arial"/>
          <w:bCs/>
        </w:rPr>
        <w:t>ki</w:t>
      </w:r>
      <w:r>
        <w:rPr>
          <w:rFonts w:cs="Arial"/>
          <w:b/>
        </w:rPr>
        <w:t xml:space="preserve"> </w:t>
      </w:r>
      <w:r w:rsidRPr="00D712D0">
        <w:t>se</w:t>
      </w:r>
      <w:r>
        <w:t xml:space="preserve"> je</w:t>
      </w:r>
      <w:r w:rsidRPr="00D712D0">
        <w:t xml:space="preserve"> priče</w:t>
      </w:r>
      <w:r>
        <w:t>l</w:t>
      </w:r>
      <w:r w:rsidRPr="00D712D0">
        <w:t xml:space="preserve"> uporabljati 4. aprila 2022</w:t>
      </w:r>
      <w:r>
        <w:t xml:space="preserve"> in </w:t>
      </w:r>
      <w:r w:rsidRPr="00D712D0">
        <w:rPr>
          <w:rFonts w:cs="Arial"/>
          <w:bCs/>
        </w:rPr>
        <w:t>nadomešča Zakon</w:t>
      </w:r>
      <w:r w:rsidRPr="00D712D0">
        <w:t xml:space="preserve"> o evidentiranju nepremičnin</w:t>
      </w:r>
      <w:r>
        <w:t xml:space="preserve"> – ZEN</w:t>
      </w:r>
      <w:r w:rsidRPr="00D712D0">
        <w:t xml:space="preserve"> iz leta 2006. </w:t>
      </w:r>
      <w:r w:rsidRPr="00D712D0">
        <w:rPr>
          <w:rFonts w:cs="Tahoma"/>
        </w:rPr>
        <w:t xml:space="preserve">Na podlagi ZKN so bili izdelani predlogi podzakonskih predpisov, ki so bili po izvedenem medresorskem usklajevanju </w:t>
      </w:r>
      <w:r>
        <w:rPr>
          <w:rFonts w:cs="Tahoma"/>
        </w:rPr>
        <w:t xml:space="preserve">tudi </w:t>
      </w:r>
      <w:r w:rsidRPr="00D712D0">
        <w:rPr>
          <w:rFonts w:cs="Tahoma"/>
        </w:rPr>
        <w:t xml:space="preserve">v </w:t>
      </w:r>
      <w:r w:rsidRPr="00933F79">
        <w:rPr>
          <w:rFonts w:cs="Tahoma"/>
        </w:rPr>
        <w:t xml:space="preserve">večini sprejeti. </w:t>
      </w:r>
      <w:r w:rsidRPr="00933F79">
        <w:t xml:space="preserve">Izvajale so se tudi </w:t>
      </w:r>
      <w:r w:rsidRPr="00933F79">
        <w:rPr>
          <w:rFonts w:cs="Arial"/>
          <w:b/>
        </w:rPr>
        <w:t>aktivnosti, povezane z izvedbo informacijske prenove nepremičninskih evidenc</w:t>
      </w:r>
      <w:r w:rsidRPr="00933F79">
        <w:rPr>
          <w:rFonts w:cs="Arial"/>
          <w:bCs/>
        </w:rPr>
        <w:t xml:space="preserve"> (</w:t>
      </w:r>
      <w:r w:rsidRPr="00C306B3">
        <w:rPr>
          <w:rFonts w:cs="Arial"/>
          <w:bCs/>
        </w:rPr>
        <w:t xml:space="preserve">izvedba planiranih aktivnosti projekta </w:t>
      </w:r>
      <w:proofErr w:type="spellStart"/>
      <w:r w:rsidRPr="00C306B3">
        <w:rPr>
          <w:rFonts w:cs="Arial"/>
          <w:bCs/>
        </w:rPr>
        <w:t>eProstor</w:t>
      </w:r>
      <w:proofErr w:type="spellEnd"/>
      <w:r>
        <w:rPr>
          <w:rFonts w:cs="Arial"/>
          <w:bCs/>
        </w:rPr>
        <w:t xml:space="preserve">, </w:t>
      </w:r>
      <w:r w:rsidRPr="00933F79">
        <w:rPr>
          <w:rFonts w:cs="Arial"/>
          <w:bCs/>
        </w:rPr>
        <w:t xml:space="preserve">izvajanje migracije podatkov </w:t>
      </w:r>
      <w:r w:rsidRPr="00DD65CB">
        <w:rPr>
          <w:rFonts w:cs="Arial"/>
          <w:bCs/>
        </w:rPr>
        <w:t xml:space="preserve">v nov informacijski sistem, dopolnjevanje in medsebojno povezovanje aplikativnih rešitev IR Kataster in IR Delovodnik, pilotna </w:t>
      </w:r>
      <w:proofErr w:type="spellStart"/>
      <w:r w:rsidRPr="00DD65CB">
        <w:rPr>
          <w:rFonts w:cs="Arial"/>
          <w:bCs/>
        </w:rPr>
        <w:t>vektorizacija</w:t>
      </w:r>
      <w:proofErr w:type="spellEnd"/>
      <w:r w:rsidRPr="00DD65CB">
        <w:rPr>
          <w:rFonts w:cs="Arial"/>
          <w:bCs/>
        </w:rPr>
        <w:t xml:space="preserve"> obstoječih etažnih načrtov za 574 stavb, izdelava informacijske rešitve za vodenje in vzdrževanje podatkov zbirnega katastra gospodarske javne infrastrukture).</w:t>
      </w:r>
    </w:p>
    <w:p w14:paraId="659C68BC" w14:textId="77777777" w:rsidR="000106C7" w:rsidRPr="00DD65CB" w:rsidRDefault="000106C7" w:rsidP="000106C7"/>
    <w:p w14:paraId="3C6AD58E" w14:textId="77777777" w:rsidR="000106C7" w:rsidRPr="00DD65CB" w:rsidRDefault="000106C7" w:rsidP="000106C7">
      <w:r w:rsidRPr="00DD65CB">
        <w:rPr>
          <w:rFonts w:cs="Tahoma"/>
          <w:b/>
        </w:rPr>
        <w:t>Na področju evidentiranja nepremičnin</w:t>
      </w:r>
      <w:r w:rsidRPr="00DD65CB">
        <w:rPr>
          <w:rFonts w:cs="Tahoma"/>
        </w:rPr>
        <w:t xml:space="preserve"> so </w:t>
      </w:r>
      <w:r w:rsidRPr="00DD65CB">
        <w:t>Urad za nepremičnine in območne geodetske uprave izvajali redne postopke vodenja in vzdrževanja podatkov nepremičninskih evidenc ter aktivnosti za izboljšanje kakovosti podatkov.</w:t>
      </w:r>
    </w:p>
    <w:p w14:paraId="698F7995" w14:textId="77777777" w:rsidR="000106C7" w:rsidRPr="00DD65CB" w:rsidRDefault="000106C7" w:rsidP="000106C7"/>
    <w:p w14:paraId="40383088" w14:textId="77777777" w:rsidR="000106C7" w:rsidRPr="00DD65CB" w:rsidRDefault="000106C7" w:rsidP="000106C7">
      <w:r w:rsidRPr="00DD65CB">
        <w:t xml:space="preserve">Izvajala se je informacijska podpora vodenju in vzdrževanju nepremičninskih evidenc z manjšimi nujno potrebnimi dopolnitvami programske opreme. </w:t>
      </w:r>
    </w:p>
    <w:p w14:paraId="46AA9E5C" w14:textId="77777777" w:rsidR="000106C7" w:rsidRPr="00DD65CB" w:rsidRDefault="000106C7" w:rsidP="000106C7"/>
    <w:p w14:paraId="1A89F7CE" w14:textId="77777777" w:rsidR="000106C7" w:rsidRPr="00DD65CB" w:rsidRDefault="000106C7" w:rsidP="000106C7">
      <w:r w:rsidRPr="00DD65CB">
        <w:rPr>
          <w:b/>
          <w:bCs/>
        </w:rPr>
        <w:t xml:space="preserve">Na področju zagotavljanja ITK, geodetske in splošne infrastrukture </w:t>
      </w:r>
      <w:r w:rsidRPr="00DD65CB">
        <w:t xml:space="preserve">so bile izvedene dopolnitve in nadgradnje obstoječih programskih rešitev </w:t>
      </w:r>
      <w:proofErr w:type="spellStart"/>
      <w:r w:rsidRPr="00DD65CB">
        <w:t>Gekat</w:t>
      </w:r>
      <w:proofErr w:type="spellEnd"/>
      <w:r w:rsidRPr="00DD65CB">
        <w:t xml:space="preserve">-GEOS, </w:t>
      </w:r>
      <w:proofErr w:type="spellStart"/>
      <w:r w:rsidRPr="00DD65CB">
        <w:t>Geopro</w:t>
      </w:r>
      <w:proofErr w:type="spellEnd"/>
      <w:r w:rsidRPr="00DD65CB">
        <w:t xml:space="preserve">, </w:t>
      </w:r>
      <w:proofErr w:type="spellStart"/>
      <w:r w:rsidRPr="00DD65CB">
        <w:t>GEOVector</w:t>
      </w:r>
      <w:proofErr w:type="spellEnd"/>
      <w:r w:rsidRPr="00DD65CB">
        <w:t xml:space="preserve">, </w:t>
      </w:r>
      <w:proofErr w:type="spellStart"/>
      <w:r w:rsidRPr="00DD65CB">
        <w:t>SYSGeoPro</w:t>
      </w:r>
      <w:proofErr w:type="spellEnd"/>
      <w:r w:rsidRPr="00DD65CB">
        <w:t>, ki omogočajo uvoz in izvoz podatkov v novih izmenjevalnih formatih, topološke in vsebinske kontrole podatkov, transformacije med podatki, pregled in obdelavo podatkov za lokacijsko izboljšavo ter podporo predelavi elaboratov zaradi prehoda vodenja nepremičninskih evidenc v nov informacijski sistem v letu 2022.</w:t>
      </w:r>
    </w:p>
    <w:p w14:paraId="39F45F25" w14:textId="77777777" w:rsidR="000106C7" w:rsidRPr="00DD65CB" w:rsidRDefault="000106C7" w:rsidP="000106C7">
      <w:pPr>
        <w:rPr>
          <w:color w:val="A6A6A6" w:themeColor="background1" w:themeShade="A6"/>
        </w:rPr>
      </w:pPr>
    </w:p>
    <w:p w14:paraId="6EF2E8F4" w14:textId="77777777" w:rsidR="000106C7" w:rsidRPr="00DD65CB" w:rsidRDefault="000106C7" w:rsidP="000106C7">
      <w:pPr>
        <w:rPr>
          <w:rFonts w:cs="Tahoma"/>
          <w:bCs/>
          <w:iCs/>
          <w:color w:val="A6A6A6" w:themeColor="background1" w:themeShade="A6"/>
        </w:rPr>
      </w:pPr>
      <w:r w:rsidRPr="00DD65CB">
        <w:t xml:space="preserve">Na področju izboljšave podatkov nepremičninskih evidenc so se izvajale kontrole in uskladitve evidentiranih podatkov. Izvajali so se pregledi in medsebojne uskladitve podatkov na stavbah in delih stavb, skupno za več kot 68.000 različnih atributnih podatkov – dejanska raba, površine, letnice </w:t>
      </w:r>
      <w:r w:rsidRPr="00DD65CB">
        <w:lastRenderedPageBreak/>
        <w:t>izgradnje in obnov, številke etaž,</w:t>
      </w:r>
      <w:r>
        <w:t xml:space="preserve"> </w:t>
      </w:r>
      <w:r w:rsidRPr="00DD65CB">
        <w:t>… Na območju dela katastrske občine 1603 Dol se je izvedla prva faza nastavitve zemljiškega katastra za zemljišča, ki so po legi in obliki evidentirana drugače, kot jih dejansko uživajo lastniki v naravi. Za cca 1/3 države je bila izvedena avtomatska klasifikacija neevidentiranih stavb. Potekala je uskladitev mej občin iz registra prostorskih enot z mejami parcel iz zemljiškega katastra. V sodelovanju s Fakulteto za gradbeništvo in geodezijo se je zaključila raziskovalna naloga iz sklopa Ciljni raziskovalni program 2019. Izdelane so bile procedure za izvedbo migracije dodatnih podatkov (arhivski podatki zemljiškokatastrskih točk) v nov informacijski sistem Kataster. Izvedene so bile obsežne meritve (230 vzorčnih vrtin) in pregled podatkov za namen izboljšave grafičnega sloja območij enakih bonitet.</w:t>
      </w:r>
    </w:p>
    <w:p w14:paraId="77DFC2A9" w14:textId="77777777" w:rsidR="000106C7" w:rsidRPr="00DD65CB" w:rsidRDefault="000106C7" w:rsidP="000106C7"/>
    <w:p w14:paraId="181ADB99" w14:textId="5E3BCE7F" w:rsidR="002F728A" w:rsidRPr="00556C32" w:rsidRDefault="000106C7" w:rsidP="000106C7">
      <w:pPr>
        <w:rPr>
          <w:rFonts w:cs="Open Sans"/>
          <w:bCs/>
        </w:rPr>
      </w:pPr>
      <w:r w:rsidRPr="00DD65CB">
        <w:t>Zagotovljeno je bilo tekoče poslovanje vodenja in vzdrževanja zbirnega katastra gospodarske javne infrastrukture, ki je vključevalo</w:t>
      </w:r>
      <w:r>
        <w:t xml:space="preserve"> evidentiranje objektov gospodarske infrastrukture v zbirni kataster gospodarske javne infrastrukture in vpis omrežnih priključnih točk (OPT) – skupaj je bilo prejetih 1061 elaboratov za vpis objektov gospodarske infrastrukture in 108 elaboratov za vpis OPT</w:t>
      </w:r>
      <w:r w:rsidRPr="00B964E3">
        <w:t>.</w:t>
      </w:r>
    </w:p>
    <w:p w14:paraId="59673BF8" w14:textId="77777777" w:rsidR="002F728A" w:rsidRPr="00556C32" w:rsidRDefault="002F728A" w:rsidP="002F728A">
      <w:pPr>
        <w:rPr>
          <w:rFonts w:cs="Open Sans"/>
          <w:highlight w:val="yellow"/>
        </w:rPr>
      </w:pPr>
    </w:p>
    <w:p w14:paraId="1478266A" w14:textId="77777777" w:rsidR="002F728A" w:rsidRPr="00556C32" w:rsidRDefault="002F728A" w:rsidP="002F728A">
      <w:pPr>
        <w:pStyle w:val="BodyText"/>
        <w:spacing w:line="360" w:lineRule="auto"/>
        <w:rPr>
          <w:rFonts w:ascii="Open Sans" w:hAnsi="Open Sans" w:cs="Open Sans"/>
          <w:sz w:val="22"/>
          <w:szCs w:val="22"/>
        </w:rPr>
      </w:pPr>
    </w:p>
    <w:p w14:paraId="598931DF" w14:textId="77777777" w:rsidR="0019316B" w:rsidRPr="00556C32" w:rsidRDefault="001D56A0" w:rsidP="0019316B">
      <w:pPr>
        <w:pStyle w:val="Heading2"/>
        <w:rPr>
          <w:rFonts w:cs="Open Sans"/>
        </w:rPr>
      </w:pPr>
      <w:r w:rsidRPr="00556C32">
        <w:rPr>
          <w:rFonts w:cs="Open Sans"/>
        </w:rPr>
        <w:br w:type="column"/>
      </w:r>
      <w:bookmarkStart w:id="6" w:name="_Toc104471887"/>
      <w:r w:rsidR="0019316B" w:rsidRPr="00556C32">
        <w:rPr>
          <w:rFonts w:cs="Open Sans"/>
        </w:rPr>
        <w:lastRenderedPageBreak/>
        <w:t>URAD ZA GEODEZIJO</w:t>
      </w:r>
      <w:bookmarkEnd w:id="6"/>
    </w:p>
    <w:p w14:paraId="7F4B12AC" w14:textId="77777777" w:rsidR="0019316B" w:rsidRPr="00F929E1" w:rsidRDefault="0019316B" w:rsidP="0019316B">
      <w:pPr>
        <w:rPr>
          <w:rFonts w:cs="Open Sans"/>
        </w:rPr>
      </w:pPr>
    </w:p>
    <w:p w14:paraId="77067137" w14:textId="77777777" w:rsidR="000106C7" w:rsidRDefault="000106C7" w:rsidP="000106C7">
      <w:r w:rsidRPr="00290932">
        <w:rPr>
          <w:b/>
          <w:bCs/>
        </w:rPr>
        <w:t xml:space="preserve">Urad za geodezijo je pristojen za državni geodetski referenčni sistem. </w:t>
      </w:r>
      <w:r w:rsidRPr="00290932">
        <w:rPr>
          <w:rStyle w:val="Strong"/>
        </w:rPr>
        <w:t xml:space="preserve">Državni prostorski koordinatni sistem je temelj za umestitev objektov </w:t>
      </w:r>
      <w:r>
        <w:rPr>
          <w:rStyle w:val="Strong"/>
        </w:rPr>
        <w:t>in</w:t>
      </w:r>
      <w:r w:rsidRPr="00290932">
        <w:rPr>
          <w:rStyle w:val="Strong"/>
        </w:rPr>
        <w:t xml:space="preserve"> pojavov v prostor. Prostorska umestitev pomeni določitev ali pripis koordinat točkam, ki opisujejo objekte ali pojave v </w:t>
      </w:r>
      <w:r>
        <w:rPr>
          <w:rStyle w:val="Strong"/>
        </w:rPr>
        <w:t>državnem</w:t>
      </w:r>
      <w:r w:rsidRPr="00290932">
        <w:rPr>
          <w:rStyle w:val="Strong"/>
        </w:rPr>
        <w:t xml:space="preserve"> koordinatnem sistemu. Državni prostorski koordinatni sistem je uradni veljavni koordinatni sistem na območju države in je skladen z evropskim. Državni topografski referenčni sistem zagotavlja </w:t>
      </w:r>
      <w:r w:rsidRPr="00290932">
        <w:t xml:space="preserve">zbirke topografskih podatkov o naravnem in grajenem okolju, zemljepisna imena </w:t>
      </w:r>
      <w:r>
        <w:t>ter</w:t>
      </w:r>
      <w:r w:rsidRPr="00290932">
        <w:t xml:space="preserve"> državne topografske</w:t>
      </w:r>
      <w:r>
        <w:t xml:space="preserve"> in pregledne </w:t>
      </w:r>
      <w:r w:rsidRPr="0055456F">
        <w:t>karte. V</w:t>
      </w:r>
      <w:r>
        <w:t xml:space="preserve"> skladu z ratificiranimi mednarodnimi pogodbami Urad za geodezijo opravlja naloge vodenja evidence državne meje, označuje, vzdržuje in obnavlja označitev državnih meja ter sodeluje pri delu tovrstnih meddržavnih komisij.</w:t>
      </w:r>
    </w:p>
    <w:p w14:paraId="4D3250CD" w14:textId="77777777" w:rsidR="000106C7" w:rsidRDefault="000106C7" w:rsidP="000106C7"/>
    <w:p w14:paraId="1E52B233" w14:textId="77777777" w:rsidR="000106C7" w:rsidRDefault="000106C7" w:rsidP="000106C7">
      <w:pPr>
        <w:rPr>
          <w:rFonts w:cs="Open Sans"/>
          <w:color w:val="D9D9D9" w:themeColor="background1" w:themeShade="D9"/>
        </w:rPr>
      </w:pPr>
      <w:r w:rsidRPr="00AC5071">
        <w:rPr>
          <w:rFonts w:cs="Open Sans"/>
        </w:rPr>
        <w:t>Na področj</w:t>
      </w:r>
      <w:r>
        <w:rPr>
          <w:rFonts w:cs="Open Sans"/>
        </w:rPr>
        <w:t>u</w:t>
      </w:r>
      <w:r w:rsidRPr="00AC5071">
        <w:rPr>
          <w:rFonts w:cs="Open Sans"/>
        </w:rPr>
        <w:t xml:space="preserve"> </w:t>
      </w:r>
      <w:r w:rsidRPr="00831840">
        <w:rPr>
          <w:rFonts w:cs="Open Sans"/>
          <w:b/>
          <w:bCs/>
        </w:rPr>
        <w:t>državnega koordinatnega sistema</w:t>
      </w:r>
      <w:r w:rsidRPr="00831840">
        <w:rPr>
          <w:rFonts w:cs="Open Sans"/>
        </w:rPr>
        <w:t xml:space="preserve"> </w:t>
      </w:r>
      <w:r w:rsidRPr="00AC5071">
        <w:rPr>
          <w:rFonts w:cs="Open Sans"/>
        </w:rPr>
        <w:t>je Urad za geodezijo zagotavljal delovanje 16 stalnih postaj GNSS omrežja SIGNAL in 5 stalnih postaj GNSS omrežja državne kombinirane geodetske mreže 0.</w:t>
      </w:r>
      <w:r w:rsidRPr="00791258">
        <w:rPr>
          <w:rFonts w:ascii="Arial" w:hAnsi="Arial" w:cs="Arial"/>
        </w:rPr>
        <w:t> </w:t>
      </w:r>
      <w:r w:rsidRPr="00791258">
        <w:rPr>
          <w:rFonts w:cs="Open Sans"/>
        </w:rPr>
        <w:t>reda. Zagotavljal je podatke za satelitsko določanje položaja uporabnikov preko omrežja mobilne telefonije v realnem času</w:t>
      </w:r>
      <w:r>
        <w:rPr>
          <w:rFonts w:cs="Open Sans"/>
        </w:rPr>
        <w:t xml:space="preserve"> in za naknadno obdelavo</w:t>
      </w:r>
      <w:r w:rsidRPr="00791258">
        <w:rPr>
          <w:rFonts w:cs="Open Sans"/>
        </w:rPr>
        <w:t>.</w:t>
      </w:r>
      <w:r>
        <w:rPr>
          <w:rFonts w:cs="Open Sans"/>
        </w:rPr>
        <w:t xml:space="preserve"> </w:t>
      </w:r>
      <w:r w:rsidRPr="00791258">
        <w:rPr>
          <w:rFonts w:cs="Open Sans"/>
        </w:rPr>
        <w:t xml:space="preserve">Izvedeni </w:t>
      </w:r>
      <w:r w:rsidRPr="00AC5071">
        <w:rPr>
          <w:rFonts w:cs="Open Sans"/>
        </w:rPr>
        <w:t>so bili nakup, nadgradnja in vzdrževanje potrebne tehnične opreme za nemoteno delovanje obeh GNSS omrežij ter redna vzdrževalna in servisna dela geodetskih merskih instrumentov</w:t>
      </w:r>
      <w:r w:rsidRPr="00791258">
        <w:rPr>
          <w:rFonts w:cs="Open Sans"/>
        </w:rPr>
        <w:t>. Izvedena so bila geodetska terenska dela vzdrževanja geodetskih mrež</w:t>
      </w:r>
      <w:r w:rsidRPr="00BC49FC">
        <w:rPr>
          <w:rFonts w:cs="Open Sans"/>
        </w:rPr>
        <w:t xml:space="preserve"> </w:t>
      </w:r>
      <w:r>
        <w:rPr>
          <w:rFonts w:cs="Open Sans"/>
        </w:rPr>
        <w:t>tako na horizontalnih kot vertikalnih (</w:t>
      </w:r>
      <w:proofErr w:type="spellStart"/>
      <w:r>
        <w:rPr>
          <w:rFonts w:cs="Open Sans"/>
        </w:rPr>
        <w:t>nivelmanskih</w:t>
      </w:r>
      <w:proofErr w:type="spellEnd"/>
      <w:r>
        <w:rPr>
          <w:rFonts w:cs="Open Sans"/>
        </w:rPr>
        <w:t xml:space="preserve"> in gravimetričnih) točkah. Redno se je spremljala kakovost delovanja omrežja SIGNAL z meritvami na mreži kontrolnih GNSS točk. </w:t>
      </w:r>
      <w:r w:rsidRPr="00A50F93">
        <w:rPr>
          <w:rFonts w:cs="Open Sans"/>
        </w:rPr>
        <w:t xml:space="preserve">Izvedena je bila uskladitev geodetske osnove z dodatnimi referenčnimi točkami v obmejnem pasu. </w:t>
      </w:r>
      <w:r>
        <w:rPr>
          <w:rFonts w:cs="Open Sans"/>
        </w:rPr>
        <w:t xml:space="preserve">Tri stalne GNSS postaje mreže 0. reda so bile vključene v evropsko mrežo stalnih GNSS postaj (EPN), kar bo omogočilo kakovostnejše spremljanje geodinamičnega dogajanja na državnem ozemlju. </w:t>
      </w:r>
      <w:r w:rsidRPr="00A50F93">
        <w:rPr>
          <w:rFonts w:cs="Open Sans"/>
        </w:rPr>
        <w:t>Zaključilo se je izvajanje dveh raziskovalnih projektov v okviru Ciljnih razvojnih programov</w:t>
      </w:r>
      <w:r>
        <w:rPr>
          <w:rFonts w:cs="Open Sans"/>
        </w:rPr>
        <w:t xml:space="preserve"> (CRP). Uspešno je bil izveden mednarodni simpozij EUREF v Ljubljani (spletna izvedba), ki se ga je udeležilo preko 100 predstavnikov iz več kot 25-ih evropskih držav.</w:t>
      </w:r>
    </w:p>
    <w:p w14:paraId="658B0D51" w14:textId="77777777" w:rsidR="000106C7" w:rsidRDefault="000106C7" w:rsidP="000106C7"/>
    <w:p w14:paraId="13047E72" w14:textId="3BCE0646" w:rsidR="0019316B" w:rsidRDefault="000106C7" w:rsidP="000106C7">
      <w:r>
        <w:t xml:space="preserve">Na področju </w:t>
      </w:r>
      <w:r w:rsidRPr="00A01397">
        <w:rPr>
          <w:b/>
          <w:bCs/>
        </w:rPr>
        <w:t>državnega topografskega sistema</w:t>
      </w:r>
      <w:r>
        <w:t xml:space="preserve"> so bile v projektu cikličnega </w:t>
      </w:r>
      <w:proofErr w:type="spellStart"/>
      <w:r>
        <w:t>aerofotografiranja</w:t>
      </w:r>
      <w:proofErr w:type="spellEnd"/>
      <w:r>
        <w:t xml:space="preserve"> Slovenije (CAS) izdelane aerofotografije za osrednji del Slovenije, </w:t>
      </w:r>
      <w:proofErr w:type="spellStart"/>
      <w:r>
        <w:t>aerotriangulacija</w:t>
      </w:r>
      <w:proofErr w:type="spellEnd"/>
      <w:r>
        <w:t xml:space="preserve">, digitalni model reliefa, </w:t>
      </w:r>
      <w:r w:rsidRPr="00A73D6D">
        <w:rPr>
          <w:color w:val="000000" w:themeColor="text1"/>
        </w:rPr>
        <w:t xml:space="preserve">barvni </w:t>
      </w:r>
      <w:proofErr w:type="spellStart"/>
      <w:r w:rsidRPr="00A73D6D">
        <w:rPr>
          <w:color w:val="000000" w:themeColor="text1"/>
        </w:rPr>
        <w:t>ortofoto</w:t>
      </w:r>
      <w:proofErr w:type="spellEnd"/>
      <w:r w:rsidRPr="00A73D6D">
        <w:rPr>
          <w:color w:val="000000" w:themeColor="text1"/>
        </w:rPr>
        <w:t xml:space="preserve"> ter izvedena kontrola kakovosti izvedbe projekta. </w:t>
      </w:r>
      <w:r w:rsidRPr="00C03326">
        <w:rPr>
          <w:color w:val="000000" w:themeColor="text1"/>
        </w:rPr>
        <w:t xml:space="preserve">Pripravljena je bila tehnična in razpisna dokumentacija za izvedbo laserskega skeniranja in </w:t>
      </w:r>
      <w:proofErr w:type="spellStart"/>
      <w:r w:rsidRPr="00C03326">
        <w:rPr>
          <w:color w:val="000000" w:themeColor="text1"/>
        </w:rPr>
        <w:t>aerofotografiranja</w:t>
      </w:r>
      <w:proofErr w:type="spellEnd"/>
      <w:r w:rsidRPr="00C03326">
        <w:rPr>
          <w:color w:val="000000" w:themeColor="text1"/>
        </w:rPr>
        <w:t xml:space="preserve"> za območje Slovenije. Pridobljeni so bili topografski podatki DTM za 8</w:t>
      </w:r>
      <w:r>
        <w:rPr>
          <w:color w:val="000000" w:themeColor="text1"/>
        </w:rPr>
        <w:t> </w:t>
      </w:r>
      <w:r w:rsidRPr="00C03326">
        <w:rPr>
          <w:color w:val="000000" w:themeColor="text1"/>
        </w:rPr>
        <w:t xml:space="preserve">% območja Slovenije – s tem je </w:t>
      </w:r>
      <w:r w:rsidRPr="00902F05">
        <w:rPr>
          <w:b/>
          <w:bCs/>
          <w:color w:val="000000" w:themeColor="text1"/>
        </w:rPr>
        <w:t>celotna Slovenija pokrita s topografskimi podatki podrobnosti merila 1</w:t>
      </w:r>
      <w:r>
        <w:rPr>
          <w:b/>
          <w:bCs/>
          <w:color w:val="000000" w:themeColor="text1"/>
        </w:rPr>
        <w:t> </w:t>
      </w:r>
      <w:r w:rsidRPr="00902F05">
        <w:rPr>
          <w:b/>
          <w:bCs/>
          <w:color w:val="000000" w:themeColor="text1"/>
        </w:rPr>
        <w:t>:</w:t>
      </w:r>
      <w:r>
        <w:rPr>
          <w:b/>
          <w:bCs/>
          <w:color w:val="000000" w:themeColor="text1"/>
        </w:rPr>
        <w:t> </w:t>
      </w:r>
      <w:r w:rsidRPr="00902F05">
        <w:rPr>
          <w:b/>
          <w:bCs/>
          <w:color w:val="000000" w:themeColor="text1"/>
        </w:rPr>
        <w:t>5000</w:t>
      </w:r>
      <w:r w:rsidRPr="00C03326">
        <w:rPr>
          <w:color w:val="000000" w:themeColor="text1"/>
        </w:rPr>
        <w:t>.</w:t>
      </w:r>
      <w:r>
        <w:rPr>
          <w:color w:val="000000" w:themeColor="text1"/>
        </w:rPr>
        <w:t xml:space="preserve"> </w:t>
      </w:r>
      <w:r w:rsidRPr="00C03326">
        <w:rPr>
          <w:color w:val="000000" w:themeColor="text1"/>
        </w:rPr>
        <w:t>Začel se je vzpostavljati sloj pokritosti tal. Pripravljena so navodila za vzdrževanje t</w:t>
      </w:r>
      <w:r>
        <w:rPr>
          <w:color w:val="000000" w:themeColor="text1"/>
        </w:rPr>
        <w:t>opografskih</w:t>
      </w:r>
      <w:r w:rsidRPr="00C03326">
        <w:rPr>
          <w:color w:val="000000" w:themeColor="text1"/>
        </w:rPr>
        <w:t xml:space="preserve"> podatkov. Obnovljenih je </w:t>
      </w:r>
      <w:r>
        <w:rPr>
          <w:color w:val="000000" w:themeColor="text1"/>
        </w:rPr>
        <w:t>bilo</w:t>
      </w:r>
      <w:r w:rsidRPr="00C03326">
        <w:rPr>
          <w:color w:val="000000" w:themeColor="text1"/>
        </w:rPr>
        <w:t xml:space="preserve"> 7 listov državne/vojaške topografske karte </w:t>
      </w:r>
      <w:r w:rsidRPr="00093DB1">
        <w:t>merila 1</w:t>
      </w:r>
      <w:r>
        <w:rPr>
          <w:rFonts w:ascii="Arial" w:hAnsi="Arial" w:cs="Arial"/>
        </w:rPr>
        <w:t> </w:t>
      </w:r>
      <w:r w:rsidRPr="00093DB1">
        <w:t>:</w:t>
      </w:r>
      <w:r>
        <w:rPr>
          <w:rFonts w:ascii="Arial" w:hAnsi="Arial" w:cs="Arial"/>
        </w:rPr>
        <w:t> </w:t>
      </w:r>
      <w:r w:rsidRPr="00093DB1">
        <w:t>50</w:t>
      </w:r>
      <w:r w:rsidRPr="00093DB1">
        <w:rPr>
          <w:rFonts w:ascii="Arial" w:hAnsi="Arial" w:cs="Arial"/>
        </w:rPr>
        <w:t> </w:t>
      </w:r>
      <w:r w:rsidRPr="00093DB1">
        <w:t xml:space="preserve">000 (DTK/VTK 50). </w:t>
      </w:r>
      <w:r w:rsidRPr="00C03326">
        <w:rPr>
          <w:color w:val="000000" w:themeColor="text1"/>
        </w:rPr>
        <w:t xml:space="preserve">Obnovljene so vse državne pregledne karte. Pripravljeni so kartografski podatki in podatki o administrativnih mejah za zbirke </w:t>
      </w:r>
      <w:proofErr w:type="spellStart"/>
      <w:r w:rsidRPr="00C03326">
        <w:rPr>
          <w:color w:val="000000" w:themeColor="text1"/>
        </w:rPr>
        <w:t>EuroGeographics</w:t>
      </w:r>
      <w:proofErr w:type="spellEnd"/>
      <w:r w:rsidRPr="00C03326">
        <w:rPr>
          <w:color w:val="000000" w:themeColor="text1"/>
        </w:rPr>
        <w:t xml:space="preserve">. Izvajala so se dela v Komisiji za standardizacijo zemljepisnih imen in na področju kvalitete podatkov o zemljepisnih imenih. Izvajale so </w:t>
      </w:r>
      <w:r w:rsidRPr="00F73EE0">
        <w:t>se posebne naloge za Ministrstvo za obrambo na področju kartografije in topografije.</w:t>
      </w:r>
      <w:r>
        <w:t xml:space="preserve"> </w:t>
      </w:r>
      <w:r w:rsidRPr="00BC49FC">
        <w:rPr>
          <w:rFonts w:cs="Open Sans"/>
        </w:rPr>
        <w:t>Izv</w:t>
      </w:r>
      <w:r>
        <w:rPr>
          <w:rFonts w:cs="Open Sans"/>
        </w:rPr>
        <w:t>edena je bila</w:t>
      </w:r>
      <w:r w:rsidRPr="00BC49FC">
        <w:rPr>
          <w:rFonts w:cs="Open Sans"/>
        </w:rPr>
        <w:t xml:space="preserve"> </w:t>
      </w:r>
      <w:r w:rsidRPr="00D359B4">
        <w:rPr>
          <w:rFonts w:cs="Open Sans"/>
        </w:rPr>
        <w:t xml:space="preserve">kontrola izdelkov cikličnega </w:t>
      </w:r>
      <w:proofErr w:type="spellStart"/>
      <w:r w:rsidRPr="00D359B4">
        <w:rPr>
          <w:rFonts w:cs="Open Sans"/>
        </w:rPr>
        <w:t>aerofotografiranja</w:t>
      </w:r>
      <w:proofErr w:type="spellEnd"/>
      <w:r w:rsidRPr="00D359B4">
        <w:rPr>
          <w:rFonts w:cs="Open Sans"/>
        </w:rPr>
        <w:t xml:space="preserve"> (CAS) in terenska kontrola zajema topografskih podatkov (DTM)</w:t>
      </w:r>
      <w:r>
        <w:rPr>
          <w:rFonts w:cs="Open Sans"/>
        </w:rPr>
        <w:t>.</w:t>
      </w:r>
      <w:r w:rsidRPr="00F73EE0">
        <w:t xml:space="preserve"> Na področju </w:t>
      </w:r>
      <w:r w:rsidRPr="00F73EE0">
        <w:lastRenderedPageBreak/>
        <w:t>državnih meja z Italijansko republiko, Republiko Avstrijo in Madžarsko so se izvajala vzdrževalna dela in druge naloge, ki so jih določile mešane meddržavne komisije.</w:t>
      </w:r>
    </w:p>
    <w:p w14:paraId="69D3802C" w14:textId="77777777" w:rsidR="000106C7" w:rsidRPr="00556C32" w:rsidRDefault="000106C7" w:rsidP="000106C7">
      <w:pPr>
        <w:rPr>
          <w:rFonts w:cs="Open Sans"/>
        </w:rPr>
      </w:pPr>
    </w:p>
    <w:p w14:paraId="5B06703C" w14:textId="77777777" w:rsidR="000106C7" w:rsidRPr="002E0E0E" w:rsidRDefault="000106C7" w:rsidP="000106C7">
      <w:r w:rsidRPr="002E0E0E">
        <w:t xml:space="preserve">Vzdrževalna dela </w:t>
      </w:r>
      <w:r>
        <w:t xml:space="preserve">na državnih </w:t>
      </w:r>
      <w:r w:rsidRPr="002E0E0E">
        <w:t>mej</w:t>
      </w:r>
      <w:r>
        <w:t>ah:</w:t>
      </w:r>
    </w:p>
    <w:p w14:paraId="6DBDD21A" w14:textId="77777777" w:rsidR="003E2F53" w:rsidRPr="00556C32" w:rsidRDefault="003E2F53" w:rsidP="003E2F53">
      <w:pPr>
        <w:rPr>
          <w:rFonts w:cs="Open Sans"/>
        </w:rPr>
      </w:pPr>
    </w:p>
    <w:p w14:paraId="26322FCD" w14:textId="77777777" w:rsidR="003E2F53" w:rsidRPr="00556C32" w:rsidRDefault="003E2F53" w:rsidP="003E2F53">
      <w:pPr>
        <w:rPr>
          <w:rFonts w:cs="Open Sans"/>
        </w:rPr>
      </w:pPr>
      <w:r w:rsidRPr="00556C32">
        <w:rPr>
          <w:rFonts w:cs="Open Sans"/>
        </w:rPr>
        <w:t>Italija:</w:t>
      </w:r>
    </w:p>
    <w:p w14:paraId="1443C4FF" w14:textId="77777777" w:rsidR="000106C7" w:rsidRPr="000106C7" w:rsidRDefault="000106C7" w:rsidP="000106C7">
      <w:pPr>
        <w:pStyle w:val="ListParagraph"/>
        <w:numPr>
          <w:ilvl w:val="0"/>
          <w:numId w:val="2"/>
        </w:numPr>
        <w:rPr>
          <w:rFonts w:cs="Open Sans"/>
        </w:rPr>
      </w:pPr>
      <w:r w:rsidRPr="000106C7">
        <w:rPr>
          <w:rFonts w:cs="Open Sans"/>
        </w:rPr>
        <w:t xml:space="preserve">izvedena periodična kontrola v III. mejnem sektorju v dolžini približno 20 km (250 mejnikov) in vzdrževanje nekaterih mejnih znakov v </w:t>
      </w:r>
      <w:proofErr w:type="spellStart"/>
      <w:r w:rsidRPr="000106C7">
        <w:rPr>
          <w:rFonts w:cs="Open Sans"/>
        </w:rPr>
        <w:t>V</w:t>
      </w:r>
      <w:proofErr w:type="spellEnd"/>
      <w:r w:rsidRPr="000106C7">
        <w:rPr>
          <w:rFonts w:cs="Open Sans"/>
        </w:rPr>
        <w:t>. mejnem sektorju,</w:t>
      </w:r>
    </w:p>
    <w:p w14:paraId="06E919B2" w14:textId="77777777" w:rsidR="000106C7" w:rsidRPr="000106C7" w:rsidRDefault="000106C7" w:rsidP="000106C7">
      <w:pPr>
        <w:pStyle w:val="ListParagraph"/>
        <w:numPr>
          <w:ilvl w:val="0"/>
          <w:numId w:val="2"/>
        </w:numPr>
        <w:rPr>
          <w:rFonts w:cs="Open Sans"/>
        </w:rPr>
      </w:pPr>
      <w:r w:rsidRPr="000106C7">
        <w:rPr>
          <w:rFonts w:cs="Open Sans"/>
        </w:rPr>
        <w:t xml:space="preserve">očiščena vegetacija v III. mejnem sektorju v dolžini 15 km, </w:t>
      </w:r>
    </w:p>
    <w:p w14:paraId="68C6FE29" w14:textId="147C6B56" w:rsidR="003E2F53" w:rsidRPr="000106C7" w:rsidRDefault="000106C7" w:rsidP="000106C7">
      <w:pPr>
        <w:pStyle w:val="ListParagraph"/>
        <w:numPr>
          <w:ilvl w:val="0"/>
          <w:numId w:val="2"/>
        </w:numPr>
        <w:rPr>
          <w:rFonts w:cs="Open Sans"/>
        </w:rPr>
      </w:pPr>
      <w:r w:rsidRPr="000106C7">
        <w:rPr>
          <w:rFonts w:cs="Open Sans"/>
        </w:rPr>
        <w:t>izvedba srečanja Mešane skupine strokovnjakov in zasedanja Mešane komisije Slovenija-Italija (Gorica, december 2021).</w:t>
      </w:r>
    </w:p>
    <w:p w14:paraId="351156DE" w14:textId="77777777" w:rsidR="003E2F53" w:rsidRPr="00556C32" w:rsidRDefault="003E2F53" w:rsidP="003E2F53">
      <w:pPr>
        <w:rPr>
          <w:rFonts w:cs="Open Sans"/>
        </w:rPr>
      </w:pPr>
    </w:p>
    <w:p w14:paraId="753E52AB" w14:textId="77777777" w:rsidR="003E2F53" w:rsidRPr="00556C32" w:rsidRDefault="003E2F53" w:rsidP="003E2F53">
      <w:pPr>
        <w:rPr>
          <w:rFonts w:cs="Open Sans"/>
        </w:rPr>
      </w:pPr>
      <w:r w:rsidRPr="00556C32">
        <w:rPr>
          <w:rFonts w:cs="Open Sans"/>
        </w:rPr>
        <w:t>Avstrija:</w:t>
      </w:r>
    </w:p>
    <w:p w14:paraId="2FA2C1A9" w14:textId="77777777" w:rsidR="000106C7" w:rsidRPr="000106C7" w:rsidRDefault="000106C7" w:rsidP="000106C7">
      <w:pPr>
        <w:pStyle w:val="ListParagraph"/>
        <w:numPr>
          <w:ilvl w:val="0"/>
          <w:numId w:val="2"/>
        </w:numPr>
        <w:rPr>
          <w:rFonts w:cs="Open Sans"/>
        </w:rPr>
      </w:pPr>
      <w:r w:rsidRPr="000106C7">
        <w:rPr>
          <w:rFonts w:cs="Open Sans"/>
        </w:rPr>
        <w:t>zaključena vsa terenska dela 7. periodične kontrole mejnih znakov v dolžini cca 13 km (315 mejnikov),</w:t>
      </w:r>
    </w:p>
    <w:p w14:paraId="11EC4E48" w14:textId="77777777" w:rsidR="000106C7" w:rsidRPr="000106C7" w:rsidRDefault="000106C7" w:rsidP="000106C7">
      <w:pPr>
        <w:pStyle w:val="ListParagraph"/>
        <w:numPr>
          <w:ilvl w:val="0"/>
          <w:numId w:val="2"/>
        </w:numPr>
        <w:rPr>
          <w:rFonts w:cs="Open Sans"/>
        </w:rPr>
      </w:pPr>
      <w:r w:rsidRPr="000106C7">
        <w:rPr>
          <w:rFonts w:cs="Open Sans"/>
        </w:rPr>
        <w:t>izvedba GNSS meritev mejnikov v 6. sektorjih (XIII, XIV, XV., XVI., XVII in XVIII),</w:t>
      </w:r>
    </w:p>
    <w:p w14:paraId="3FA3876D" w14:textId="7B5679B8" w:rsidR="003E2F53" w:rsidRPr="00556C32" w:rsidRDefault="000106C7" w:rsidP="000106C7">
      <w:pPr>
        <w:pStyle w:val="ListParagraph"/>
        <w:numPr>
          <w:ilvl w:val="0"/>
          <w:numId w:val="2"/>
        </w:numPr>
        <w:rPr>
          <w:rFonts w:cs="Open Sans"/>
        </w:rPr>
      </w:pPr>
      <w:r w:rsidRPr="000106C7">
        <w:rPr>
          <w:rFonts w:cs="Open Sans"/>
        </w:rPr>
        <w:t>izvedba dveh srečanj Mešane tehnične skupine in enega zasedanja Mešane komisije Slovenija-Avstrija (Dunaj, november 2021)</w:t>
      </w:r>
      <w:r>
        <w:rPr>
          <w:rFonts w:cs="Open Sans"/>
        </w:rPr>
        <w:t>.</w:t>
      </w:r>
    </w:p>
    <w:p w14:paraId="7F8F303E" w14:textId="77777777" w:rsidR="003E2F53" w:rsidRPr="00556C32" w:rsidRDefault="003E2F53" w:rsidP="003E2F53">
      <w:pPr>
        <w:rPr>
          <w:rFonts w:cs="Open Sans"/>
        </w:rPr>
      </w:pPr>
    </w:p>
    <w:p w14:paraId="333ABDF3" w14:textId="77777777" w:rsidR="003E2F53" w:rsidRPr="00556C32" w:rsidRDefault="003E2F53" w:rsidP="003E2F53">
      <w:pPr>
        <w:rPr>
          <w:rFonts w:cs="Open Sans"/>
        </w:rPr>
      </w:pPr>
      <w:r w:rsidRPr="00556C32">
        <w:rPr>
          <w:rFonts w:cs="Open Sans"/>
        </w:rPr>
        <w:t>Madžarska:</w:t>
      </w:r>
    </w:p>
    <w:p w14:paraId="672071B8" w14:textId="77777777" w:rsidR="000106C7" w:rsidRPr="000106C7" w:rsidRDefault="000106C7" w:rsidP="000106C7">
      <w:pPr>
        <w:pStyle w:val="ListParagraph"/>
        <w:numPr>
          <w:ilvl w:val="0"/>
          <w:numId w:val="8"/>
        </w:numPr>
        <w:rPr>
          <w:rFonts w:cs="Open Sans"/>
        </w:rPr>
      </w:pPr>
      <w:r w:rsidRPr="000106C7">
        <w:rPr>
          <w:rFonts w:cs="Open Sans"/>
        </w:rPr>
        <w:t>zaključena vsa terenska dela 8. periodične kontrole mejnih znakov in vzdrževanje mejnih znakov v dolžini cca 14 km (215 mejnikov),</w:t>
      </w:r>
    </w:p>
    <w:p w14:paraId="62B77D5A" w14:textId="77777777" w:rsidR="000106C7" w:rsidRPr="000106C7" w:rsidRDefault="000106C7" w:rsidP="000106C7">
      <w:pPr>
        <w:pStyle w:val="ListParagraph"/>
        <w:numPr>
          <w:ilvl w:val="0"/>
          <w:numId w:val="8"/>
        </w:numPr>
        <w:rPr>
          <w:rFonts w:cs="Open Sans"/>
        </w:rPr>
      </w:pPr>
      <w:r w:rsidRPr="000106C7">
        <w:rPr>
          <w:rFonts w:cs="Open Sans"/>
        </w:rPr>
        <w:t>očiščena vegetacija vzdolž celotne meje od mejnika A1 do A644.3 v dolžini 100 km,</w:t>
      </w:r>
    </w:p>
    <w:p w14:paraId="2E7384C7" w14:textId="443D48A6" w:rsidR="0019316B" w:rsidRDefault="000106C7" w:rsidP="000106C7">
      <w:pPr>
        <w:pStyle w:val="ListParagraph"/>
        <w:numPr>
          <w:ilvl w:val="0"/>
          <w:numId w:val="8"/>
        </w:numPr>
        <w:rPr>
          <w:rFonts w:cs="Open Sans"/>
        </w:rPr>
      </w:pPr>
      <w:r w:rsidRPr="000106C7">
        <w:rPr>
          <w:rFonts w:cs="Open Sans"/>
        </w:rPr>
        <w:t>izvedba srečanja Mešane strokovne skupine in Mešane delovne skupine v Ljubljani</w:t>
      </w:r>
      <w:r w:rsidR="003E2F53" w:rsidRPr="00556C32">
        <w:rPr>
          <w:rFonts w:cs="Open Sans"/>
        </w:rPr>
        <w:t>.</w:t>
      </w:r>
    </w:p>
    <w:p w14:paraId="7E18EE6E" w14:textId="13C7D5CE" w:rsidR="000106C7" w:rsidRDefault="000106C7" w:rsidP="000106C7">
      <w:pPr>
        <w:rPr>
          <w:rFonts w:cs="Open Sans"/>
        </w:rPr>
      </w:pPr>
    </w:p>
    <w:p w14:paraId="6B7E2437" w14:textId="5C986E87" w:rsidR="000106C7" w:rsidRPr="00556C32" w:rsidRDefault="000106C7" w:rsidP="000106C7">
      <w:pPr>
        <w:rPr>
          <w:rFonts w:cs="Open Sans"/>
        </w:rPr>
      </w:pPr>
      <w:r>
        <w:rPr>
          <w:rFonts w:cs="Open Sans"/>
        </w:rPr>
        <w:t>Hrvaška</w:t>
      </w:r>
      <w:r w:rsidRPr="00556C32">
        <w:rPr>
          <w:rFonts w:cs="Open Sans"/>
        </w:rPr>
        <w:t>:</w:t>
      </w:r>
    </w:p>
    <w:p w14:paraId="7461EAEB" w14:textId="66028EFF" w:rsidR="000106C7" w:rsidRPr="000106C7" w:rsidRDefault="000106C7" w:rsidP="000106C7">
      <w:pPr>
        <w:pStyle w:val="ListParagraph"/>
        <w:numPr>
          <w:ilvl w:val="0"/>
          <w:numId w:val="8"/>
        </w:numPr>
        <w:rPr>
          <w:rFonts w:cs="Open Sans"/>
        </w:rPr>
      </w:pPr>
      <w:r w:rsidRPr="000106C7">
        <w:rPr>
          <w:rFonts w:cs="Open Sans"/>
        </w:rPr>
        <w:t>zbiranje podatkov ter izvedba terenskih del za pripravo geodetske osnove za demarkacijo meje s Hrvaško in nadgradnja GIS aplikacije za vodenje podatkov pregledov južne meje. Na pregledanih katastrskih občinah na meji z Republiko Hrvaško je v naravi odkritih prek 350 mejnih znamenj, ki predstavljajo meje parcel oziroma katastrskih občin. Vsa so geodetsko izmerjena. Nekatera so imela v preteklosti še poseben namen (rapalski mejniki, deželni mejniki Vojvodine Štajerske, deželni mejniki Vojvodine Kranjske in drugi)</w:t>
      </w:r>
      <w:r>
        <w:rPr>
          <w:rFonts w:cs="Open Sans"/>
        </w:rPr>
        <w:t>.</w:t>
      </w:r>
    </w:p>
    <w:p w14:paraId="3EBEDAAE" w14:textId="77777777" w:rsidR="0019316B" w:rsidRPr="00556C32" w:rsidRDefault="0019316B" w:rsidP="0019316B">
      <w:pPr>
        <w:rPr>
          <w:rFonts w:cs="Open Sans"/>
        </w:rPr>
      </w:pPr>
    </w:p>
    <w:p w14:paraId="41F76286" w14:textId="77777777" w:rsidR="0019316B" w:rsidRPr="00556C32" w:rsidRDefault="0019316B" w:rsidP="0019316B">
      <w:pPr>
        <w:rPr>
          <w:rFonts w:cs="Open Sans"/>
        </w:rPr>
      </w:pPr>
    </w:p>
    <w:p w14:paraId="4A8B8479" w14:textId="77777777" w:rsidR="0019316B" w:rsidRPr="00556C32" w:rsidRDefault="0019316B" w:rsidP="0019316B">
      <w:pPr>
        <w:rPr>
          <w:rFonts w:cs="Open Sans"/>
        </w:rPr>
      </w:pPr>
    </w:p>
    <w:p w14:paraId="79AEECDB" w14:textId="2C1D8E11" w:rsidR="007C4675" w:rsidRPr="00556C32" w:rsidRDefault="00A142D5" w:rsidP="0019316B">
      <w:pPr>
        <w:pStyle w:val="Heading2"/>
        <w:rPr>
          <w:rFonts w:cs="Open Sans"/>
        </w:rPr>
      </w:pPr>
      <w:r w:rsidRPr="00556C32">
        <w:rPr>
          <w:rFonts w:cs="Open Sans"/>
        </w:rPr>
        <w:br w:type="column"/>
      </w:r>
      <w:bookmarkStart w:id="7" w:name="_Toc104471888"/>
      <w:r w:rsidR="007C4675" w:rsidRPr="00556C32">
        <w:rPr>
          <w:rFonts w:cs="Open Sans"/>
        </w:rPr>
        <w:lastRenderedPageBreak/>
        <w:t>URAD ZA MNOŽIČNO VREDNOTENJE NEPREMIČNIN</w:t>
      </w:r>
      <w:bookmarkEnd w:id="7"/>
    </w:p>
    <w:p w14:paraId="1367BAA3" w14:textId="77777777" w:rsidR="007C4675" w:rsidRPr="00556C32" w:rsidRDefault="007C4675" w:rsidP="007C4675">
      <w:pPr>
        <w:rPr>
          <w:rFonts w:cs="Open Sans"/>
        </w:rPr>
      </w:pPr>
    </w:p>
    <w:p w14:paraId="629E95CB" w14:textId="77777777" w:rsidR="002B6412" w:rsidRPr="00996663" w:rsidRDefault="002B6412" w:rsidP="002B6412">
      <w:pPr>
        <w:rPr>
          <w:rFonts w:cs="Tahoma"/>
        </w:rPr>
      </w:pPr>
      <w:r w:rsidRPr="00996663">
        <w:rPr>
          <w:rFonts w:cs="Tahoma"/>
        </w:rPr>
        <w:t>Urad za množično vrednotenje nepremičnin opravlja naloge evidentiranja podatkov iz pogodb o kupoprodajnih in najemnih poslih z nepremičninami v evidenci trga nepremičnin, analizira trg nepremičnin in pripravlja poročila o njem. Na podlagi podatkov o trgu nepremičnin in metod množičnega vrednotenja, ki temeljijo na statističnih in drugih matematičnih metodah, razvija in umerja modele vrednotenja ter izvaja postopke za njihovo določitev na podlagi predpisanih meril.</w:t>
      </w:r>
    </w:p>
    <w:p w14:paraId="78E57C03" w14:textId="77777777" w:rsidR="002B6412" w:rsidRPr="00996663" w:rsidRDefault="002B6412" w:rsidP="002B6412">
      <w:pPr>
        <w:rPr>
          <w:rFonts w:cs="Tahoma"/>
        </w:rPr>
      </w:pPr>
    </w:p>
    <w:p w14:paraId="16D3752E" w14:textId="77777777" w:rsidR="002B6412" w:rsidRDefault="002B6412" w:rsidP="002B6412">
      <w:pPr>
        <w:rPr>
          <w:rFonts w:cs="Tahoma"/>
        </w:rPr>
      </w:pPr>
      <w:r w:rsidRPr="00996663">
        <w:rPr>
          <w:rFonts w:cs="Tahoma"/>
        </w:rPr>
        <w:t>Modele vrednotenja vodi in vzdržuje v evidenci modelov vrednotenja. V evidenci vrednotenja vodi in vzdržuje posplošene vrednosti nepremičnin, ki so izračunane na podlagi podatkov o nepremičninah in veljavnih modelov vrednotenja (enačba). V upravnem postopku odloča o posebnih okoliščinah, ki vplivajo na vrednost nepremičnin, pa niso zajete z modeli vrednotenja. Njihov vpliv in trajanje vodi v evidenci vrednotenja.</w:t>
      </w:r>
    </w:p>
    <w:p w14:paraId="49432360" w14:textId="77777777" w:rsidR="002B6412" w:rsidRDefault="002B6412" w:rsidP="002B6412">
      <w:pPr>
        <w:rPr>
          <w:rFonts w:cs="Tahoma"/>
        </w:rPr>
      </w:pPr>
    </w:p>
    <w:p w14:paraId="2FB10686" w14:textId="77777777" w:rsidR="002B6412" w:rsidRPr="00701B46" w:rsidRDefault="002B6412" w:rsidP="002B6412">
      <w:pPr>
        <w:rPr>
          <w:rFonts w:cs="Tahoma"/>
        </w:rPr>
      </w:pPr>
      <w:r w:rsidRPr="00701B46">
        <w:rPr>
          <w:rFonts w:cs="Tahoma"/>
        </w:rPr>
        <w:t>Zakon o začasnih ukrepih za omilitev in odpravo posledic COVID-19 (Uradni list RS, št. 152/20; v nadaljnjem besedilu: ZZUOOP) je sicer zamaknil roke za izvedbo nekaterih nalog množičnega vrednotenja nepremičnin na dan, ki bo določen z novo uredbo o določitvi modelov vrednotenja, kot to določa 20. člen Zakona o množičnem vrednotenju nepremičnin (Uradni list RS, št. 77/17, 33/19 in 66/19; v nadaljnjem besedilu: ZMVN-1). Kljub zamiku rokov na podlagi ZZUOOP je Geodetska uprava RS kot organ vrednotenja zavezana izvajati vse naloge, ki so ji dodeljene na podlagi ZMVN-1. ZZUOOP namreč le zamika javno izkazovanje podatkov v evidenci vrednotenja in uveljavljanje posebnih okoliščin, v ostalem delu pa se določb ZMVN-1 ne dotika. To pomeni, da mora Geodetska uprava RS spremljati dogajanje na trgu nepremičnin, izdelati ustrezne analize le-tega in v primeru, da ugotovi, da modeli ne izpolnjujejo več meril, določenih v ZMVN-1, le-te prilagoditi novemu stanju na trgu nepremičnin. Zakonsko določen rok za preverjanje modelov vrednotenja je 2 leti (10. člen ZMVN-1).</w:t>
      </w:r>
    </w:p>
    <w:p w14:paraId="355404B1" w14:textId="77777777" w:rsidR="002B6412" w:rsidRPr="00701B46" w:rsidRDefault="002B6412" w:rsidP="002B6412">
      <w:pPr>
        <w:rPr>
          <w:rFonts w:cs="Tahoma"/>
        </w:rPr>
      </w:pPr>
    </w:p>
    <w:p w14:paraId="7344D51C" w14:textId="77777777" w:rsidR="002B6412" w:rsidRPr="00701B46" w:rsidRDefault="002B6412" w:rsidP="002B6412">
      <w:pPr>
        <w:rPr>
          <w:rFonts w:cs="Tahoma"/>
        </w:rPr>
      </w:pPr>
      <w:r w:rsidRPr="00701B46">
        <w:rPr>
          <w:rFonts w:cs="Tahoma"/>
        </w:rPr>
        <w:t>V letu 2021 se je zato nadaljevalo z izvajanjem zakonsko predpisanih postopkov za določitev modelov vrednotenja. Izvedene so bile prelimina</w:t>
      </w:r>
      <w:r>
        <w:rPr>
          <w:rFonts w:cs="Tahoma"/>
        </w:rPr>
        <w:t>r</w:t>
      </w:r>
      <w:r w:rsidRPr="00701B46">
        <w:rPr>
          <w:rFonts w:cs="Tahoma"/>
        </w:rPr>
        <w:t xml:space="preserve">ne dejavnosti za pripravo osnutka predloga modelov vrednotenja (15. člen ZMVN-1), priprave na izvedbo posvetovanj s strokovno javnostjo (16. člen ZMVN-1) in usklajevanje modelov z občinami (17. člen ZMVN-1), ki bodo po planu izvedena v sredini leta 2022. </w:t>
      </w:r>
    </w:p>
    <w:p w14:paraId="32B09912" w14:textId="77777777" w:rsidR="002B6412" w:rsidRPr="00701B46" w:rsidRDefault="002B6412" w:rsidP="002B6412">
      <w:pPr>
        <w:rPr>
          <w:rFonts w:cs="Tahoma"/>
        </w:rPr>
      </w:pPr>
    </w:p>
    <w:p w14:paraId="44197FDB" w14:textId="47BDBAB3" w:rsidR="00CC2C4E" w:rsidRDefault="002B6412" w:rsidP="002B6412">
      <w:pPr>
        <w:rPr>
          <w:rFonts w:cs="Open Sans"/>
        </w:rPr>
      </w:pPr>
      <w:r w:rsidRPr="00701B46">
        <w:rPr>
          <w:rFonts w:cs="Tahoma"/>
        </w:rPr>
        <w:t>V okviru zagotovljenih proračunskih sredstev se je sistem množičnega vrednotenja nepremičnin vzdrževal in prilagajal za uspešno in učinkovito podporo izvajanja zakonsko predpisanih postopkov in nalog s poudarkom na postopku določanja modelov vrednotenja in prehodom na nov kataster nepremičnin</w:t>
      </w:r>
      <w:r w:rsidR="00CC2C4E" w:rsidRPr="00556C32">
        <w:rPr>
          <w:rFonts w:cs="Open Sans"/>
        </w:rPr>
        <w:t>.</w:t>
      </w:r>
    </w:p>
    <w:p w14:paraId="54B04DB4" w14:textId="0AA1C2B8" w:rsidR="002B6412" w:rsidRDefault="002B6412" w:rsidP="002B6412">
      <w:pPr>
        <w:rPr>
          <w:rFonts w:cs="Open Sans"/>
        </w:rPr>
      </w:pPr>
    </w:p>
    <w:p w14:paraId="7AB7B587" w14:textId="541FB9DE" w:rsidR="002B6412" w:rsidRPr="00556C32" w:rsidRDefault="002B6412" w:rsidP="002B6412">
      <w:pPr>
        <w:rPr>
          <w:rFonts w:cs="Open Sans"/>
        </w:rPr>
      </w:pPr>
      <w:r w:rsidRPr="00701B46">
        <w:rPr>
          <w:rFonts w:cs="Tahoma"/>
        </w:rPr>
        <w:t>Pregledane in obdelane so bile kupoprodaje nepremičnin in najemni posli za poslovne nepremičnine za namene modeliranja in za pripravo rednih poročil o trgu nepremičnin v Republiki Sloveniji. Podrobnejše stanje dogajanja na trgu nepremičnin je bilo empirično prikazano v polletnem poročilu za leto 2021</w:t>
      </w:r>
      <w:r>
        <w:rPr>
          <w:rFonts w:cs="Tahoma"/>
        </w:rPr>
        <w:t>.</w:t>
      </w:r>
    </w:p>
    <w:p w14:paraId="31619E11" w14:textId="737C5095" w:rsidR="004529DB" w:rsidRPr="00556C32" w:rsidRDefault="004529DB" w:rsidP="004529DB">
      <w:pPr>
        <w:pStyle w:val="Heading1"/>
        <w:rPr>
          <w:rFonts w:cs="Open Sans"/>
        </w:rPr>
      </w:pPr>
      <w:r w:rsidRPr="00556C32">
        <w:rPr>
          <w:rFonts w:cs="Open Sans"/>
        </w:rPr>
        <w:br w:type="column"/>
      </w:r>
      <w:bookmarkStart w:id="8" w:name="_Toc104471889"/>
      <w:r w:rsidRPr="00556C32">
        <w:rPr>
          <w:rFonts w:cs="Open Sans"/>
        </w:rPr>
        <w:lastRenderedPageBreak/>
        <w:t>KADRI</w:t>
      </w:r>
      <w:bookmarkEnd w:id="8"/>
    </w:p>
    <w:p w14:paraId="04D1CD5D" w14:textId="360D2A1F" w:rsidR="004529DB" w:rsidRPr="00556C32" w:rsidRDefault="004529DB" w:rsidP="008E558D">
      <w:pPr>
        <w:rPr>
          <w:rFonts w:cs="Open Sans"/>
        </w:rPr>
      </w:pPr>
    </w:p>
    <w:p w14:paraId="2DCA5EA9" w14:textId="77777777" w:rsidR="0029524D" w:rsidRPr="00A13AA3" w:rsidRDefault="0029524D" w:rsidP="0029524D">
      <w:pPr>
        <w:rPr>
          <w:rFonts w:cs="Tahoma"/>
        </w:rPr>
      </w:pPr>
      <w:r w:rsidRPr="00A13AA3">
        <w:rPr>
          <w:rFonts w:cs="Tahoma"/>
        </w:rPr>
        <w:t>31. 12. 2021 je bilo na Geodetski upravi RS zaposlenih 473 uslužbencev, od tega 333 uslužbencev na dvanajstih območnih geodetskih upravah in 140 uslužbencev na posameznih uradih. Kadrovska zasedenost je podrejena sprejetim kadrovskim načrtom javne uprave. V primerjavi s koncem leta 2020 se je število zaposlenih zmanjšalo za 1,1 % zaradi prenehanja pogodb o zaposlitvi za določen čas.</w:t>
      </w:r>
    </w:p>
    <w:p w14:paraId="479E4E96" w14:textId="77777777" w:rsidR="0029524D" w:rsidRPr="00A13AA3" w:rsidRDefault="0029524D" w:rsidP="0029524D">
      <w:pPr>
        <w:rPr>
          <w:rFonts w:cs="Tahoma"/>
        </w:rPr>
      </w:pPr>
    </w:p>
    <w:p w14:paraId="1F39BE7D" w14:textId="77777777" w:rsidR="0029524D" w:rsidRPr="00A13AA3" w:rsidRDefault="0029524D" w:rsidP="0029524D">
      <w:pPr>
        <w:rPr>
          <w:rFonts w:cs="Tahoma"/>
        </w:rPr>
      </w:pPr>
      <w:r w:rsidRPr="00A13AA3">
        <w:rPr>
          <w:rFonts w:cs="Tahoma"/>
        </w:rPr>
        <w:t>V strukturi zaposlenih glede na smer izobrazbe prevladujejo geodeti univerzitetne ali visoke strokovne stopnje izobrazbe. Poleg geodetov Geodetska uprava RS zaposluje tudi pravnike, ekonomiste, agronome, informatike in v manjši meri tudi uslužbence administrativno-tehnične smeri.</w:t>
      </w:r>
    </w:p>
    <w:p w14:paraId="6D675D00" w14:textId="77777777" w:rsidR="002D0D38" w:rsidRPr="00556C32" w:rsidRDefault="002D0D38" w:rsidP="002D0D38">
      <w:pPr>
        <w:rPr>
          <w:rFonts w:cs="Open Sans"/>
        </w:rPr>
      </w:pPr>
    </w:p>
    <w:p w14:paraId="72E700EE" w14:textId="19E54585" w:rsidR="002D0D38" w:rsidRPr="00556C32" w:rsidRDefault="00F1145D" w:rsidP="00F1145D">
      <w:pPr>
        <w:pStyle w:val="Caption"/>
        <w:rPr>
          <w:rFonts w:cs="Open Sans"/>
        </w:rPr>
      </w:pPr>
      <w:r w:rsidRPr="00556C32">
        <w:rPr>
          <w:rFonts w:cs="Open Sans"/>
        </w:rPr>
        <w:t xml:space="preserve">Preglednica </w:t>
      </w:r>
      <w:r w:rsidRPr="00556C32">
        <w:rPr>
          <w:rFonts w:cs="Open Sans"/>
        </w:rPr>
        <w:fldChar w:fldCharType="begin"/>
      </w:r>
      <w:r w:rsidRPr="00556C32">
        <w:rPr>
          <w:rFonts w:cs="Open Sans"/>
        </w:rPr>
        <w:instrText xml:space="preserve"> SEQ Preglednica \* ARABIC </w:instrText>
      </w:r>
      <w:r w:rsidRPr="00556C32">
        <w:rPr>
          <w:rFonts w:cs="Open Sans"/>
        </w:rPr>
        <w:fldChar w:fldCharType="separate"/>
      </w:r>
      <w:r w:rsidR="001B10C1">
        <w:rPr>
          <w:rFonts w:cs="Open Sans"/>
          <w:noProof/>
        </w:rPr>
        <w:t>1</w:t>
      </w:r>
      <w:r w:rsidRPr="00556C32">
        <w:rPr>
          <w:rFonts w:cs="Open Sans"/>
        </w:rPr>
        <w:fldChar w:fldCharType="end"/>
      </w:r>
      <w:r w:rsidR="002D0D38" w:rsidRPr="00556C32">
        <w:rPr>
          <w:rFonts w:cs="Open Sans"/>
        </w:rPr>
        <w:t>: Število zaposlenih v uradih in območnih geodetskih upravah na dan 31. 12. 202</w:t>
      </w:r>
      <w:r w:rsidR="0029524D">
        <w:rPr>
          <w:rFonts w:cs="Open Sans"/>
        </w:rPr>
        <w:t>1</w:t>
      </w:r>
    </w:p>
    <w:tbl>
      <w:tblPr>
        <w:tblStyle w:val="GridTable1Light"/>
        <w:tblW w:w="5338" w:type="dxa"/>
        <w:tblLook w:val="04A0" w:firstRow="1" w:lastRow="0" w:firstColumn="1" w:lastColumn="0" w:noHBand="0" w:noVBand="1"/>
      </w:tblPr>
      <w:tblGrid>
        <w:gridCol w:w="3338"/>
        <w:gridCol w:w="2000"/>
      </w:tblGrid>
      <w:tr w:rsidR="002D0D38" w:rsidRPr="00AD56B5" w14:paraId="17C4370F" w14:textId="77777777" w:rsidTr="0049631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shd w:val="clear" w:color="auto" w:fill="D9E2F3" w:themeFill="accent1" w:themeFillTint="33"/>
            <w:noWrap/>
            <w:vAlign w:val="center"/>
            <w:hideMark/>
          </w:tcPr>
          <w:p w14:paraId="231BB109" w14:textId="2534BC3C" w:rsidR="002D0D38" w:rsidRPr="00AD56B5" w:rsidRDefault="00440DEB" w:rsidP="00FC239A">
            <w:pPr>
              <w:jc w:val="left"/>
              <w:rPr>
                <w:rFonts w:cs="Open Sans"/>
                <w:b w:val="0"/>
                <w:bCs w:val="0"/>
                <w:szCs w:val="20"/>
                <w:lang w:eastAsia="sl-SI"/>
              </w:rPr>
            </w:pPr>
            <w:r w:rsidRPr="00AD56B5">
              <w:rPr>
                <w:rFonts w:cs="Open Sans"/>
                <w:b w:val="0"/>
                <w:bCs w:val="0"/>
                <w:szCs w:val="20"/>
                <w:lang w:eastAsia="sl-SI"/>
              </w:rPr>
              <w:t>Organizacijska enota</w:t>
            </w:r>
          </w:p>
        </w:tc>
        <w:tc>
          <w:tcPr>
            <w:tcW w:w="2000" w:type="dxa"/>
            <w:shd w:val="clear" w:color="auto" w:fill="D9E2F3" w:themeFill="accent1" w:themeFillTint="33"/>
            <w:noWrap/>
            <w:vAlign w:val="center"/>
            <w:hideMark/>
          </w:tcPr>
          <w:p w14:paraId="7863626F" w14:textId="4DB9126B" w:rsidR="002D0D38" w:rsidRPr="00AD56B5" w:rsidRDefault="00440DEB" w:rsidP="00FC239A">
            <w:pPr>
              <w:jc w:val="left"/>
              <w:cnfStyle w:val="100000000000" w:firstRow="1" w:lastRow="0" w:firstColumn="0" w:lastColumn="0" w:oddVBand="0" w:evenVBand="0" w:oddHBand="0" w:evenHBand="0" w:firstRowFirstColumn="0" w:firstRowLastColumn="0" w:lastRowFirstColumn="0" w:lastRowLastColumn="0"/>
              <w:rPr>
                <w:rFonts w:cs="Open Sans"/>
                <w:b w:val="0"/>
                <w:bCs w:val="0"/>
                <w:szCs w:val="20"/>
                <w:lang w:eastAsia="sl-SI"/>
              </w:rPr>
            </w:pPr>
            <w:r w:rsidRPr="00AD56B5">
              <w:rPr>
                <w:rFonts w:cs="Open Sans"/>
                <w:b w:val="0"/>
                <w:bCs w:val="0"/>
                <w:szCs w:val="20"/>
                <w:lang w:eastAsia="sl-SI"/>
              </w:rPr>
              <w:t>Število zaposlenih</w:t>
            </w:r>
          </w:p>
        </w:tc>
      </w:tr>
      <w:tr w:rsidR="0029524D" w:rsidRPr="00AD56B5" w14:paraId="3F5AD737"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tcPr>
          <w:p w14:paraId="5D81024E"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Glavni urad</w:t>
            </w:r>
          </w:p>
        </w:tc>
        <w:tc>
          <w:tcPr>
            <w:tcW w:w="2000" w:type="dxa"/>
            <w:noWrap/>
          </w:tcPr>
          <w:p w14:paraId="39424B98" w14:textId="44A0E635"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40</w:t>
            </w:r>
          </w:p>
        </w:tc>
      </w:tr>
      <w:tr w:rsidR="0029524D" w:rsidRPr="00AD56B5" w14:paraId="6D2F5BF7"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1AFF4062"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Urad za nepremičnine</w:t>
            </w:r>
          </w:p>
        </w:tc>
        <w:tc>
          <w:tcPr>
            <w:tcW w:w="2000" w:type="dxa"/>
            <w:noWrap/>
            <w:hideMark/>
          </w:tcPr>
          <w:p w14:paraId="4D55BC8D" w14:textId="4F24B0E8"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31</w:t>
            </w:r>
          </w:p>
        </w:tc>
      </w:tr>
      <w:tr w:rsidR="0029524D" w:rsidRPr="00AD56B5" w14:paraId="51FC675B"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4CE7FE67"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 xml:space="preserve">Urad za mn. </w:t>
            </w:r>
            <w:proofErr w:type="spellStart"/>
            <w:r w:rsidRPr="00AD56B5">
              <w:rPr>
                <w:rFonts w:cs="Open Sans"/>
                <w:b w:val="0"/>
                <w:bCs w:val="0"/>
                <w:szCs w:val="20"/>
                <w:lang w:eastAsia="sl-SI"/>
              </w:rPr>
              <w:t>vredn</w:t>
            </w:r>
            <w:proofErr w:type="spellEnd"/>
            <w:r w:rsidRPr="00AD56B5">
              <w:rPr>
                <w:rFonts w:cs="Open Sans"/>
                <w:b w:val="0"/>
                <w:bCs w:val="0"/>
                <w:szCs w:val="20"/>
                <w:lang w:eastAsia="sl-SI"/>
              </w:rPr>
              <w:t>. nepremičnin</w:t>
            </w:r>
          </w:p>
        </w:tc>
        <w:tc>
          <w:tcPr>
            <w:tcW w:w="2000" w:type="dxa"/>
            <w:noWrap/>
            <w:hideMark/>
          </w:tcPr>
          <w:p w14:paraId="7B179001" w14:textId="16568F86"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24</w:t>
            </w:r>
          </w:p>
        </w:tc>
      </w:tr>
      <w:tr w:rsidR="0029524D" w:rsidRPr="00AD56B5" w14:paraId="14BC3B46"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5B15E499"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Urad za geodezijo</w:t>
            </w:r>
          </w:p>
        </w:tc>
        <w:tc>
          <w:tcPr>
            <w:tcW w:w="2000" w:type="dxa"/>
            <w:noWrap/>
            <w:hideMark/>
          </w:tcPr>
          <w:p w14:paraId="71EFB9EA" w14:textId="76FDF626"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26</w:t>
            </w:r>
          </w:p>
        </w:tc>
      </w:tr>
      <w:tr w:rsidR="0029524D" w:rsidRPr="00AD56B5" w14:paraId="47F776F1"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tcPr>
          <w:p w14:paraId="143AAA40"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 xml:space="preserve">Projektna enota </w:t>
            </w:r>
            <w:proofErr w:type="spellStart"/>
            <w:r w:rsidRPr="00AD56B5">
              <w:rPr>
                <w:rFonts w:cs="Open Sans"/>
                <w:b w:val="0"/>
                <w:bCs w:val="0"/>
                <w:szCs w:val="20"/>
                <w:lang w:eastAsia="sl-SI"/>
              </w:rPr>
              <w:t>eProstor</w:t>
            </w:r>
            <w:proofErr w:type="spellEnd"/>
          </w:p>
        </w:tc>
        <w:tc>
          <w:tcPr>
            <w:tcW w:w="2000" w:type="dxa"/>
            <w:noWrap/>
          </w:tcPr>
          <w:p w14:paraId="29A2071C" w14:textId="2A3A11A7"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12</w:t>
            </w:r>
          </w:p>
        </w:tc>
      </w:tr>
      <w:tr w:rsidR="0029524D" w:rsidRPr="00AD56B5" w14:paraId="43E06FF3"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tcPr>
          <w:p w14:paraId="7B9AD71C"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Izven organizacijskih enot</w:t>
            </w:r>
          </w:p>
        </w:tc>
        <w:tc>
          <w:tcPr>
            <w:tcW w:w="2000" w:type="dxa"/>
            <w:noWrap/>
          </w:tcPr>
          <w:p w14:paraId="7E3B4C06" w14:textId="48C34E61"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7</w:t>
            </w:r>
          </w:p>
        </w:tc>
      </w:tr>
      <w:tr w:rsidR="0029524D" w:rsidRPr="00AD56B5" w14:paraId="6123AF86"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14339B2A"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OGU Ljubljana</w:t>
            </w:r>
          </w:p>
        </w:tc>
        <w:tc>
          <w:tcPr>
            <w:tcW w:w="2000" w:type="dxa"/>
            <w:noWrap/>
            <w:hideMark/>
          </w:tcPr>
          <w:p w14:paraId="1AD46497" w14:textId="0666FFAD"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69</w:t>
            </w:r>
          </w:p>
        </w:tc>
      </w:tr>
      <w:tr w:rsidR="0029524D" w:rsidRPr="00AD56B5" w14:paraId="0E0F00BB"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31118A23"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OGU Celje</w:t>
            </w:r>
          </w:p>
        </w:tc>
        <w:tc>
          <w:tcPr>
            <w:tcW w:w="2000" w:type="dxa"/>
            <w:noWrap/>
            <w:hideMark/>
          </w:tcPr>
          <w:p w14:paraId="08ED2E1F" w14:textId="081C20A5"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31</w:t>
            </w:r>
          </w:p>
        </w:tc>
      </w:tr>
      <w:tr w:rsidR="0029524D" w:rsidRPr="00AD56B5" w14:paraId="79049785"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709BB283"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OGU Kranj</w:t>
            </w:r>
          </w:p>
        </w:tc>
        <w:tc>
          <w:tcPr>
            <w:tcW w:w="2000" w:type="dxa"/>
            <w:noWrap/>
            <w:hideMark/>
          </w:tcPr>
          <w:p w14:paraId="201C4EB7" w14:textId="0705FA24"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30</w:t>
            </w:r>
          </w:p>
        </w:tc>
      </w:tr>
      <w:tr w:rsidR="0029524D" w:rsidRPr="00AD56B5" w14:paraId="29EC0BF8"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4035CFBD"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OGU Koper</w:t>
            </w:r>
          </w:p>
        </w:tc>
        <w:tc>
          <w:tcPr>
            <w:tcW w:w="2000" w:type="dxa"/>
            <w:noWrap/>
            <w:hideMark/>
          </w:tcPr>
          <w:p w14:paraId="6B6F5A67" w14:textId="16371C5A"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24</w:t>
            </w:r>
          </w:p>
        </w:tc>
      </w:tr>
      <w:tr w:rsidR="0029524D" w:rsidRPr="00AD56B5" w14:paraId="6F8164E3"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5F93E7F5"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OGU Nova Gorica</w:t>
            </w:r>
          </w:p>
        </w:tc>
        <w:tc>
          <w:tcPr>
            <w:tcW w:w="2000" w:type="dxa"/>
            <w:noWrap/>
            <w:hideMark/>
          </w:tcPr>
          <w:p w14:paraId="48368B0E" w14:textId="5D76A0D5"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28</w:t>
            </w:r>
          </w:p>
        </w:tc>
      </w:tr>
      <w:tr w:rsidR="0029524D" w:rsidRPr="00AD56B5" w14:paraId="692E19F2"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52083945"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OGU Murska Sobota</w:t>
            </w:r>
          </w:p>
        </w:tc>
        <w:tc>
          <w:tcPr>
            <w:tcW w:w="2000" w:type="dxa"/>
            <w:noWrap/>
            <w:hideMark/>
          </w:tcPr>
          <w:p w14:paraId="2089FFFC" w14:textId="79D6D91A"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27</w:t>
            </w:r>
          </w:p>
        </w:tc>
      </w:tr>
      <w:tr w:rsidR="0029524D" w:rsidRPr="00AD56B5" w14:paraId="200E1D84"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28A649FC"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OGU Maribor</w:t>
            </w:r>
          </w:p>
        </w:tc>
        <w:tc>
          <w:tcPr>
            <w:tcW w:w="2000" w:type="dxa"/>
            <w:noWrap/>
            <w:hideMark/>
          </w:tcPr>
          <w:p w14:paraId="0E70FFB3" w14:textId="2054ADAE"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27</w:t>
            </w:r>
          </w:p>
        </w:tc>
      </w:tr>
      <w:tr w:rsidR="0029524D" w:rsidRPr="00AD56B5" w14:paraId="3881B2AE"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588F203A"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OGU Novo mesto</w:t>
            </w:r>
          </w:p>
        </w:tc>
        <w:tc>
          <w:tcPr>
            <w:tcW w:w="2000" w:type="dxa"/>
            <w:noWrap/>
            <w:hideMark/>
          </w:tcPr>
          <w:p w14:paraId="05D431A8" w14:textId="331811A3"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28</w:t>
            </w:r>
          </w:p>
        </w:tc>
      </w:tr>
      <w:tr w:rsidR="0029524D" w:rsidRPr="00AD56B5" w14:paraId="3DFACD21"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62B07CF9"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OGU Sevnica</w:t>
            </w:r>
          </w:p>
        </w:tc>
        <w:tc>
          <w:tcPr>
            <w:tcW w:w="2000" w:type="dxa"/>
            <w:noWrap/>
            <w:hideMark/>
          </w:tcPr>
          <w:p w14:paraId="27B74C67" w14:textId="0ED2EE93"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18</w:t>
            </w:r>
          </w:p>
        </w:tc>
      </w:tr>
      <w:tr w:rsidR="0029524D" w:rsidRPr="00AD56B5" w14:paraId="76986498"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599C504A"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OGU Ptuj</w:t>
            </w:r>
          </w:p>
        </w:tc>
        <w:tc>
          <w:tcPr>
            <w:tcW w:w="2000" w:type="dxa"/>
            <w:noWrap/>
            <w:hideMark/>
          </w:tcPr>
          <w:p w14:paraId="5CC116E6" w14:textId="101C5DFF"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21</w:t>
            </w:r>
          </w:p>
        </w:tc>
      </w:tr>
      <w:tr w:rsidR="0029524D" w:rsidRPr="00AD56B5" w14:paraId="76CC39D3"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4F5822C3"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OGU Velenje</w:t>
            </w:r>
          </w:p>
        </w:tc>
        <w:tc>
          <w:tcPr>
            <w:tcW w:w="2000" w:type="dxa"/>
            <w:noWrap/>
            <w:hideMark/>
          </w:tcPr>
          <w:p w14:paraId="033A8350" w14:textId="067662FC"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17</w:t>
            </w:r>
          </w:p>
        </w:tc>
      </w:tr>
      <w:tr w:rsidR="0029524D" w:rsidRPr="00AD56B5" w14:paraId="56B1947C"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13D3427A" w14:textId="77777777" w:rsidR="0029524D" w:rsidRPr="00AD56B5" w:rsidRDefault="0029524D" w:rsidP="0029524D">
            <w:pPr>
              <w:jc w:val="left"/>
              <w:rPr>
                <w:rFonts w:cs="Open Sans"/>
                <w:b w:val="0"/>
                <w:bCs w:val="0"/>
                <w:szCs w:val="20"/>
                <w:lang w:eastAsia="sl-SI"/>
              </w:rPr>
            </w:pPr>
            <w:r w:rsidRPr="00AD56B5">
              <w:rPr>
                <w:rFonts w:cs="Open Sans"/>
                <w:b w:val="0"/>
                <w:bCs w:val="0"/>
                <w:szCs w:val="20"/>
                <w:lang w:eastAsia="sl-SI"/>
              </w:rPr>
              <w:t>OGU Slovenj Gradec</w:t>
            </w:r>
          </w:p>
        </w:tc>
        <w:tc>
          <w:tcPr>
            <w:tcW w:w="2000" w:type="dxa"/>
            <w:noWrap/>
            <w:hideMark/>
          </w:tcPr>
          <w:p w14:paraId="2AA9FF3D" w14:textId="1256D979"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13</w:t>
            </w:r>
          </w:p>
        </w:tc>
      </w:tr>
      <w:tr w:rsidR="0029524D" w:rsidRPr="00AD56B5" w14:paraId="59A50EE3" w14:textId="77777777" w:rsidTr="00A75666">
        <w:trPr>
          <w:trHeight w:val="283"/>
        </w:trPr>
        <w:tc>
          <w:tcPr>
            <w:cnfStyle w:val="001000000000" w:firstRow="0" w:lastRow="0" w:firstColumn="1" w:lastColumn="0" w:oddVBand="0" w:evenVBand="0" w:oddHBand="0" w:evenHBand="0" w:firstRowFirstColumn="0" w:firstRowLastColumn="0" w:lastRowFirstColumn="0" w:lastRowLastColumn="0"/>
            <w:tcW w:w="3338" w:type="dxa"/>
            <w:noWrap/>
            <w:vAlign w:val="center"/>
            <w:hideMark/>
          </w:tcPr>
          <w:p w14:paraId="759A4444" w14:textId="54B6E165" w:rsidR="0029524D" w:rsidRPr="00AD56B5" w:rsidRDefault="008333F2" w:rsidP="0029524D">
            <w:pPr>
              <w:jc w:val="left"/>
              <w:rPr>
                <w:rFonts w:cs="Open Sans"/>
                <w:b w:val="0"/>
                <w:bCs w:val="0"/>
                <w:szCs w:val="20"/>
                <w:lang w:eastAsia="sl-SI"/>
              </w:rPr>
            </w:pPr>
            <w:r w:rsidRPr="00AD56B5">
              <w:rPr>
                <w:rFonts w:cs="Open Sans"/>
                <w:b w:val="0"/>
                <w:bCs w:val="0"/>
                <w:szCs w:val="20"/>
                <w:lang w:eastAsia="sl-SI"/>
              </w:rPr>
              <w:t>Skupaj</w:t>
            </w:r>
          </w:p>
        </w:tc>
        <w:tc>
          <w:tcPr>
            <w:tcW w:w="2000" w:type="dxa"/>
            <w:noWrap/>
            <w:hideMark/>
          </w:tcPr>
          <w:p w14:paraId="3A39E222" w14:textId="7767D28F" w:rsidR="0029524D" w:rsidRPr="00AD56B5" w:rsidRDefault="0029524D" w:rsidP="0029524D">
            <w:pPr>
              <w:jc w:val="center"/>
              <w:cnfStyle w:val="000000000000" w:firstRow="0" w:lastRow="0" w:firstColumn="0" w:lastColumn="0" w:oddVBand="0" w:evenVBand="0" w:oddHBand="0" w:evenHBand="0" w:firstRowFirstColumn="0" w:firstRowLastColumn="0" w:lastRowFirstColumn="0" w:lastRowLastColumn="0"/>
              <w:rPr>
                <w:rFonts w:cs="Open Sans"/>
                <w:szCs w:val="20"/>
                <w:lang w:eastAsia="sl-SI"/>
              </w:rPr>
            </w:pPr>
            <w:r w:rsidRPr="00AD56B5">
              <w:rPr>
                <w:rFonts w:cs="Open Sans"/>
                <w:szCs w:val="20"/>
              </w:rPr>
              <w:t>473</w:t>
            </w:r>
          </w:p>
        </w:tc>
      </w:tr>
    </w:tbl>
    <w:p w14:paraId="528C6D62" w14:textId="5ADB0F4A" w:rsidR="00FC239A" w:rsidRDefault="00FC239A" w:rsidP="00C75F3E">
      <w:pPr>
        <w:keepNext/>
        <w:rPr>
          <w:rFonts w:cs="Open Sans"/>
        </w:rPr>
      </w:pPr>
    </w:p>
    <w:p w14:paraId="45C8311F" w14:textId="1D6799AE" w:rsidR="008333F2" w:rsidRPr="00556C32" w:rsidRDefault="008333F2" w:rsidP="008333F2">
      <w:pPr>
        <w:pStyle w:val="Caption"/>
        <w:rPr>
          <w:rFonts w:cs="Open Sans"/>
        </w:rPr>
      </w:pPr>
      <w:r w:rsidRPr="00556C32">
        <w:rPr>
          <w:rFonts w:cs="Open Sans"/>
        </w:rPr>
        <w:t xml:space="preserve">Preglednica </w:t>
      </w:r>
      <w:r w:rsidRPr="00556C32">
        <w:rPr>
          <w:rFonts w:cs="Open Sans"/>
        </w:rPr>
        <w:fldChar w:fldCharType="begin"/>
      </w:r>
      <w:r w:rsidRPr="00556C32">
        <w:rPr>
          <w:rFonts w:cs="Open Sans"/>
        </w:rPr>
        <w:instrText xml:space="preserve"> SEQ Preglednica \* ARABIC </w:instrText>
      </w:r>
      <w:r w:rsidRPr="00556C32">
        <w:rPr>
          <w:rFonts w:cs="Open Sans"/>
        </w:rPr>
        <w:fldChar w:fldCharType="separate"/>
      </w:r>
      <w:r>
        <w:rPr>
          <w:rFonts w:cs="Open Sans"/>
          <w:noProof/>
        </w:rPr>
        <w:t>2</w:t>
      </w:r>
      <w:r w:rsidRPr="00556C32">
        <w:rPr>
          <w:rFonts w:cs="Open Sans"/>
        </w:rPr>
        <w:fldChar w:fldCharType="end"/>
      </w:r>
      <w:r w:rsidRPr="00556C32">
        <w:rPr>
          <w:rFonts w:cs="Open Sans"/>
        </w:rPr>
        <w:t xml:space="preserve">: </w:t>
      </w:r>
      <w:r w:rsidRPr="008333F2">
        <w:rPr>
          <w:rFonts w:cs="Open Sans"/>
        </w:rPr>
        <w:t>Struktura zaposlenih po smeri izobrazbe v letu 2021</w:t>
      </w:r>
    </w:p>
    <w:tbl>
      <w:tblPr>
        <w:tblStyle w:val="GridTable1Light"/>
        <w:tblW w:w="7225" w:type="dxa"/>
        <w:tblLook w:val="04A0" w:firstRow="1" w:lastRow="0" w:firstColumn="1" w:lastColumn="0" w:noHBand="0" w:noVBand="1"/>
      </w:tblPr>
      <w:tblGrid>
        <w:gridCol w:w="5098"/>
        <w:gridCol w:w="2127"/>
      </w:tblGrid>
      <w:tr w:rsidR="008333F2" w:rsidRPr="00AD56B5" w14:paraId="35F4902A" w14:textId="77777777" w:rsidTr="0049631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shd w:val="clear" w:color="auto" w:fill="B4C6E7" w:themeFill="accent1" w:themeFillTint="66"/>
            <w:noWrap/>
            <w:vAlign w:val="center"/>
            <w:hideMark/>
          </w:tcPr>
          <w:p w14:paraId="2D675623" w14:textId="5F3163E8" w:rsidR="008333F2" w:rsidRPr="00AD56B5" w:rsidRDefault="008333F2" w:rsidP="008333F2">
            <w:pPr>
              <w:jc w:val="left"/>
              <w:rPr>
                <w:rFonts w:cs="Open Sans"/>
                <w:b w:val="0"/>
                <w:bCs w:val="0"/>
                <w:szCs w:val="20"/>
                <w:lang w:eastAsia="sl-SI"/>
              </w:rPr>
            </w:pPr>
            <w:r w:rsidRPr="00AD56B5">
              <w:rPr>
                <w:rFonts w:cs="Open Sans"/>
                <w:b w:val="0"/>
                <w:bCs w:val="0"/>
                <w:szCs w:val="20"/>
                <w:lang w:eastAsia="sl-SI"/>
              </w:rPr>
              <w:t>Struktura zaposlenih po smeri izobrazbe</w:t>
            </w:r>
          </w:p>
        </w:tc>
        <w:tc>
          <w:tcPr>
            <w:tcW w:w="2127" w:type="dxa"/>
            <w:shd w:val="clear" w:color="auto" w:fill="B4C6E7" w:themeFill="accent1" w:themeFillTint="66"/>
            <w:noWrap/>
            <w:vAlign w:val="center"/>
            <w:hideMark/>
          </w:tcPr>
          <w:p w14:paraId="70603595" w14:textId="73CD051C" w:rsidR="008333F2" w:rsidRPr="0046194B" w:rsidRDefault="0046194B" w:rsidP="00AD56B5">
            <w:pPr>
              <w:jc w:val="center"/>
              <w:cnfStyle w:val="100000000000" w:firstRow="1" w:lastRow="0" w:firstColumn="0" w:lastColumn="0" w:oddVBand="0" w:evenVBand="0" w:oddHBand="0" w:evenHBand="0" w:firstRowFirstColumn="0" w:firstRowLastColumn="0" w:lastRowFirstColumn="0" w:lastRowLastColumn="0"/>
              <w:rPr>
                <w:rFonts w:cs="Open Sans"/>
                <w:b w:val="0"/>
                <w:bCs w:val="0"/>
                <w:szCs w:val="20"/>
                <w:lang w:eastAsia="sl-SI"/>
              </w:rPr>
            </w:pPr>
            <w:r w:rsidRPr="0046194B">
              <w:rPr>
                <w:rFonts w:cs="Open Sans"/>
                <w:b w:val="0"/>
                <w:bCs w:val="0"/>
                <w:color w:val="211D1E"/>
              </w:rPr>
              <w:t>Procent</w:t>
            </w:r>
            <w:r w:rsidR="009828C2">
              <w:rPr>
                <w:rFonts w:cs="Open Sans"/>
                <w:b w:val="0"/>
                <w:bCs w:val="0"/>
                <w:color w:val="211D1E"/>
              </w:rPr>
              <w:t xml:space="preserve"> zaposlenih</w:t>
            </w:r>
          </w:p>
        </w:tc>
      </w:tr>
      <w:tr w:rsidR="008333F2" w:rsidRPr="00AD56B5" w14:paraId="02A8C40F" w14:textId="77777777" w:rsidTr="009828C2">
        <w:trPr>
          <w:trHeight w:val="31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24B58A1" w14:textId="77777777" w:rsidR="008333F2" w:rsidRPr="00AD56B5" w:rsidRDefault="008333F2" w:rsidP="009F00FE">
            <w:pPr>
              <w:spacing w:line="240" w:lineRule="auto"/>
              <w:rPr>
                <w:rFonts w:eastAsia="Times New Roman" w:cs="Tahoma"/>
                <w:b w:val="0"/>
                <w:bCs w:val="0"/>
                <w:szCs w:val="20"/>
                <w:lang w:eastAsia="sl-SI"/>
              </w:rPr>
            </w:pPr>
            <w:r w:rsidRPr="00AD56B5">
              <w:rPr>
                <w:rFonts w:eastAsia="Times New Roman" w:cs="Tahoma"/>
                <w:b w:val="0"/>
                <w:bCs w:val="0"/>
                <w:szCs w:val="20"/>
                <w:lang w:eastAsia="sl-SI"/>
              </w:rPr>
              <w:t>geodeti</w:t>
            </w:r>
          </w:p>
        </w:tc>
        <w:tc>
          <w:tcPr>
            <w:tcW w:w="2127" w:type="dxa"/>
            <w:noWrap/>
            <w:vAlign w:val="center"/>
          </w:tcPr>
          <w:p w14:paraId="1F93C2E6" w14:textId="77777777" w:rsidR="008333F2" w:rsidRPr="00AD56B5" w:rsidRDefault="008333F2" w:rsidP="00AD56B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szCs w:val="20"/>
                <w:lang w:eastAsia="sl-SI"/>
              </w:rPr>
            </w:pPr>
            <w:r w:rsidRPr="00AD56B5">
              <w:rPr>
                <w:rFonts w:eastAsia="Times New Roman" w:cs="Tahoma"/>
                <w:szCs w:val="20"/>
                <w:lang w:eastAsia="sl-SI"/>
              </w:rPr>
              <w:t>59 %</w:t>
            </w:r>
          </w:p>
        </w:tc>
      </w:tr>
      <w:tr w:rsidR="008333F2" w:rsidRPr="00AD56B5" w14:paraId="1DD97C24" w14:textId="77777777" w:rsidTr="009828C2">
        <w:trPr>
          <w:trHeight w:val="31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F76170B" w14:textId="77777777" w:rsidR="008333F2" w:rsidRPr="00AD56B5" w:rsidRDefault="008333F2" w:rsidP="009F00FE">
            <w:pPr>
              <w:spacing w:line="240" w:lineRule="auto"/>
              <w:rPr>
                <w:rFonts w:eastAsia="Times New Roman" w:cs="Tahoma"/>
                <w:b w:val="0"/>
                <w:bCs w:val="0"/>
                <w:szCs w:val="20"/>
                <w:lang w:eastAsia="sl-SI"/>
              </w:rPr>
            </w:pPr>
            <w:r w:rsidRPr="00AD56B5">
              <w:rPr>
                <w:rFonts w:eastAsia="Times New Roman" w:cs="Tahoma"/>
                <w:b w:val="0"/>
                <w:bCs w:val="0"/>
                <w:szCs w:val="20"/>
                <w:lang w:eastAsia="sl-SI"/>
              </w:rPr>
              <w:t>agronomi</w:t>
            </w:r>
          </w:p>
        </w:tc>
        <w:tc>
          <w:tcPr>
            <w:tcW w:w="2127" w:type="dxa"/>
            <w:noWrap/>
            <w:vAlign w:val="center"/>
          </w:tcPr>
          <w:p w14:paraId="105EBF31" w14:textId="77777777" w:rsidR="008333F2" w:rsidRPr="00AD56B5" w:rsidRDefault="008333F2" w:rsidP="00AD56B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szCs w:val="20"/>
                <w:lang w:eastAsia="sl-SI"/>
              </w:rPr>
            </w:pPr>
            <w:r w:rsidRPr="00AD56B5">
              <w:rPr>
                <w:rFonts w:eastAsia="Times New Roman" w:cs="Tahoma"/>
                <w:szCs w:val="20"/>
                <w:lang w:eastAsia="sl-SI"/>
              </w:rPr>
              <w:t>2 %</w:t>
            </w:r>
          </w:p>
        </w:tc>
      </w:tr>
      <w:tr w:rsidR="008333F2" w:rsidRPr="00AD56B5" w14:paraId="643ED07F" w14:textId="77777777" w:rsidTr="009828C2">
        <w:trPr>
          <w:trHeight w:val="315"/>
        </w:trPr>
        <w:tc>
          <w:tcPr>
            <w:cnfStyle w:val="001000000000" w:firstRow="0" w:lastRow="0" w:firstColumn="1" w:lastColumn="0" w:oddVBand="0" w:evenVBand="0" w:oddHBand="0" w:evenHBand="0" w:firstRowFirstColumn="0" w:firstRowLastColumn="0" w:lastRowFirstColumn="0" w:lastRowLastColumn="0"/>
            <w:tcW w:w="5098" w:type="dxa"/>
            <w:noWrap/>
          </w:tcPr>
          <w:p w14:paraId="3B7C338A" w14:textId="77777777" w:rsidR="008333F2" w:rsidRPr="00AD56B5" w:rsidRDefault="008333F2" w:rsidP="009F00FE">
            <w:pPr>
              <w:spacing w:line="240" w:lineRule="auto"/>
              <w:rPr>
                <w:rFonts w:eastAsia="Times New Roman" w:cs="Tahoma"/>
                <w:b w:val="0"/>
                <w:bCs w:val="0"/>
                <w:szCs w:val="20"/>
                <w:lang w:eastAsia="sl-SI"/>
              </w:rPr>
            </w:pPr>
            <w:r w:rsidRPr="00AD56B5">
              <w:rPr>
                <w:rFonts w:eastAsia="Times New Roman" w:cs="Tahoma"/>
                <w:b w:val="0"/>
                <w:bCs w:val="0"/>
                <w:szCs w:val="20"/>
                <w:lang w:eastAsia="sl-SI"/>
              </w:rPr>
              <w:lastRenderedPageBreak/>
              <w:t>informatiki</w:t>
            </w:r>
          </w:p>
        </w:tc>
        <w:tc>
          <w:tcPr>
            <w:tcW w:w="2127" w:type="dxa"/>
            <w:noWrap/>
            <w:vAlign w:val="center"/>
          </w:tcPr>
          <w:p w14:paraId="26D21365" w14:textId="77777777" w:rsidR="008333F2" w:rsidRPr="00AD56B5" w:rsidRDefault="008333F2" w:rsidP="00AD56B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szCs w:val="20"/>
                <w:lang w:eastAsia="sl-SI"/>
              </w:rPr>
            </w:pPr>
            <w:r w:rsidRPr="00AD56B5">
              <w:rPr>
                <w:rFonts w:eastAsia="Times New Roman" w:cs="Tahoma"/>
                <w:szCs w:val="20"/>
                <w:lang w:eastAsia="sl-SI"/>
              </w:rPr>
              <w:t>2 %</w:t>
            </w:r>
          </w:p>
        </w:tc>
      </w:tr>
      <w:tr w:rsidR="008333F2" w:rsidRPr="00AD56B5" w14:paraId="108A59C2" w14:textId="77777777" w:rsidTr="009828C2">
        <w:trPr>
          <w:trHeight w:val="31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8D18AED" w14:textId="77777777" w:rsidR="008333F2" w:rsidRPr="00AD56B5" w:rsidRDefault="008333F2" w:rsidP="009F00FE">
            <w:pPr>
              <w:spacing w:line="240" w:lineRule="auto"/>
              <w:jc w:val="left"/>
              <w:rPr>
                <w:rFonts w:eastAsia="Times New Roman" w:cs="Tahoma"/>
                <w:b w:val="0"/>
                <w:bCs w:val="0"/>
                <w:szCs w:val="20"/>
                <w:lang w:eastAsia="sl-SI"/>
              </w:rPr>
            </w:pPr>
            <w:r w:rsidRPr="00AD56B5">
              <w:rPr>
                <w:rFonts w:eastAsia="Times New Roman" w:cs="Tahoma"/>
                <w:b w:val="0"/>
                <w:bCs w:val="0"/>
                <w:szCs w:val="20"/>
                <w:lang w:eastAsia="sl-SI"/>
              </w:rPr>
              <w:t>pravniki, ekonomisti in administrativni delavci</w:t>
            </w:r>
          </w:p>
        </w:tc>
        <w:tc>
          <w:tcPr>
            <w:tcW w:w="2127" w:type="dxa"/>
            <w:noWrap/>
            <w:vAlign w:val="center"/>
          </w:tcPr>
          <w:p w14:paraId="79CB8A6C" w14:textId="77777777" w:rsidR="008333F2" w:rsidRPr="00AD56B5" w:rsidRDefault="008333F2" w:rsidP="00AD56B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szCs w:val="20"/>
                <w:lang w:eastAsia="sl-SI"/>
              </w:rPr>
            </w:pPr>
            <w:r w:rsidRPr="00AD56B5">
              <w:rPr>
                <w:rFonts w:eastAsia="Times New Roman" w:cs="Tahoma"/>
                <w:szCs w:val="20"/>
                <w:lang w:eastAsia="sl-SI"/>
              </w:rPr>
              <w:t>37 %</w:t>
            </w:r>
          </w:p>
        </w:tc>
      </w:tr>
      <w:tr w:rsidR="008333F2" w:rsidRPr="00AD56B5" w14:paraId="6273ED13" w14:textId="77777777" w:rsidTr="009828C2">
        <w:trPr>
          <w:trHeight w:val="31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6A21928" w14:textId="77777777" w:rsidR="008333F2" w:rsidRPr="00AD56B5" w:rsidRDefault="008333F2" w:rsidP="009F00FE">
            <w:pPr>
              <w:spacing w:line="240" w:lineRule="auto"/>
              <w:rPr>
                <w:rFonts w:eastAsia="Times New Roman" w:cs="Tahoma"/>
                <w:b w:val="0"/>
                <w:bCs w:val="0"/>
                <w:szCs w:val="20"/>
                <w:lang w:eastAsia="sl-SI"/>
              </w:rPr>
            </w:pPr>
            <w:r w:rsidRPr="00AD56B5">
              <w:rPr>
                <w:rFonts w:eastAsia="Times New Roman" w:cs="Tahoma"/>
                <w:b w:val="0"/>
                <w:bCs w:val="0"/>
                <w:szCs w:val="20"/>
                <w:lang w:eastAsia="sl-SI"/>
              </w:rPr>
              <w:t>Skupaj</w:t>
            </w:r>
          </w:p>
        </w:tc>
        <w:tc>
          <w:tcPr>
            <w:tcW w:w="2127" w:type="dxa"/>
            <w:noWrap/>
            <w:vAlign w:val="center"/>
          </w:tcPr>
          <w:p w14:paraId="33ABD76B" w14:textId="77777777" w:rsidR="008333F2" w:rsidRPr="00AD56B5" w:rsidRDefault="008333F2" w:rsidP="00AD56B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FF0000"/>
                <w:szCs w:val="20"/>
                <w:lang w:eastAsia="sl-SI"/>
              </w:rPr>
            </w:pPr>
            <w:r w:rsidRPr="00AD56B5">
              <w:rPr>
                <w:rFonts w:eastAsia="Times New Roman" w:cs="Tahoma"/>
                <w:szCs w:val="20"/>
                <w:lang w:eastAsia="sl-SI"/>
              </w:rPr>
              <w:t>100 %</w:t>
            </w:r>
          </w:p>
        </w:tc>
      </w:tr>
    </w:tbl>
    <w:p w14:paraId="20E67FF9" w14:textId="77777777" w:rsidR="008333F2" w:rsidRDefault="008333F2" w:rsidP="00C75F3E">
      <w:pPr>
        <w:keepNext/>
        <w:rPr>
          <w:rFonts w:cs="Open Sans"/>
        </w:rPr>
      </w:pPr>
    </w:p>
    <w:p w14:paraId="3AABA75C" w14:textId="01008DCD" w:rsidR="004529DB" w:rsidRPr="00556C32" w:rsidRDefault="004529DB" w:rsidP="004529DB">
      <w:pPr>
        <w:pStyle w:val="Heading1"/>
        <w:rPr>
          <w:rFonts w:cs="Open Sans"/>
        </w:rPr>
      </w:pPr>
      <w:r w:rsidRPr="00556C32">
        <w:rPr>
          <w:rFonts w:cs="Open Sans"/>
        </w:rPr>
        <w:br w:type="column"/>
      </w:r>
      <w:bookmarkStart w:id="9" w:name="_Toc104471890"/>
      <w:r w:rsidRPr="00556C32">
        <w:rPr>
          <w:rFonts w:cs="Open Sans"/>
        </w:rPr>
        <w:lastRenderedPageBreak/>
        <w:t>FINANCE</w:t>
      </w:r>
      <w:bookmarkEnd w:id="9"/>
    </w:p>
    <w:p w14:paraId="0D4C9EA8" w14:textId="4F6F5AD0" w:rsidR="00964839" w:rsidRPr="00556C32" w:rsidRDefault="00964839" w:rsidP="00954F19">
      <w:pPr>
        <w:rPr>
          <w:rFonts w:cs="Open Sans"/>
        </w:rPr>
      </w:pPr>
    </w:p>
    <w:p w14:paraId="01B8730D" w14:textId="77777777" w:rsidR="0046194B" w:rsidRDefault="0046194B" w:rsidP="0046194B">
      <w:pPr>
        <w:rPr>
          <w:rFonts w:cs="Tahoma"/>
        </w:rPr>
      </w:pPr>
      <w:r w:rsidRPr="004529DB">
        <w:rPr>
          <w:rFonts w:cs="Tahoma"/>
        </w:rPr>
        <w:t xml:space="preserve">Geodetska uprava RS se pretežno financira iz državnega proračuna ter v manjšem obsegu iz prihodkov, ustvarjenih z delovanjem omrežja stalnih GNNS postaj SIGNAL, ki se evidentirajo </w:t>
      </w:r>
      <w:r>
        <w:rPr>
          <w:rFonts w:cs="Tahoma"/>
        </w:rPr>
        <w:t>kot</w:t>
      </w:r>
      <w:r w:rsidRPr="004529DB">
        <w:rPr>
          <w:rFonts w:cs="Tahoma"/>
        </w:rPr>
        <w:t xml:space="preserve"> lastn</w:t>
      </w:r>
      <w:r>
        <w:rPr>
          <w:rFonts w:cs="Tahoma"/>
        </w:rPr>
        <w:t>a</w:t>
      </w:r>
      <w:r w:rsidRPr="004529DB">
        <w:rPr>
          <w:rFonts w:cs="Tahoma"/>
        </w:rPr>
        <w:t xml:space="preserve"> dejavnost. Vsakoletni program geodetskih del potrjuje Vlada Republike Slovenije.</w:t>
      </w:r>
    </w:p>
    <w:p w14:paraId="1C226243" w14:textId="77777777" w:rsidR="0046194B" w:rsidRDefault="0046194B" w:rsidP="0046194B">
      <w:pPr>
        <w:rPr>
          <w:rFonts w:cs="Tahoma"/>
        </w:rPr>
      </w:pPr>
    </w:p>
    <w:p w14:paraId="01813578" w14:textId="6E206215" w:rsidR="00964839" w:rsidRPr="00556C32" w:rsidRDefault="0046194B" w:rsidP="0046194B">
      <w:pPr>
        <w:rPr>
          <w:rFonts w:cs="Open Sans"/>
          <w:color w:val="211D1E"/>
        </w:rPr>
      </w:pPr>
      <w:r w:rsidRPr="00E31493">
        <w:rPr>
          <w:rFonts w:cs="Tahoma"/>
        </w:rPr>
        <w:t>Sprejeti proračun Geodetske uprave RS za leto 2021 je znašal 25.083.549 EUR, veljavni proračun po prerazporeditvah na podlagi sklepov Vlade RS pa 25.713.146 EUR. Skupna finančna realizacija veljavnega proračuna je bila 92,19 % (23.705.197 EUR)</w:t>
      </w:r>
      <w:r w:rsidR="00964839" w:rsidRPr="00556C32">
        <w:rPr>
          <w:rFonts w:cs="Open Sans"/>
          <w:color w:val="211D1E"/>
        </w:rPr>
        <w:t>.</w:t>
      </w:r>
    </w:p>
    <w:p w14:paraId="3479E514" w14:textId="77777777" w:rsidR="00964839" w:rsidRPr="00556C32" w:rsidRDefault="00964839" w:rsidP="00954F19">
      <w:pPr>
        <w:rPr>
          <w:rFonts w:cs="Open Sans"/>
          <w:color w:val="211D1E"/>
        </w:rPr>
      </w:pPr>
    </w:p>
    <w:p w14:paraId="762C95FD" w14:textId="3B3BEE97" w:rsidR="00964839" w:rsidRPr="00556C32" w:rsidRDefault="00954F19" w:rsidP="008B39F7">
      <w:pPr>
        <w:pStyle w:val="Caption"/>
        <w:jc w:val="both"/>
        <w:rPr>
          <w:rFonts w:cs="Open Sans"/>
        </w:rPr>
      </w:pPr>
      <w:r w:rsidRPr="00556C32">
        <w:rPr>
          <w:rFonts w:cs="Open Sans"/>
        </w:rPr>
        <w:t xml:space="preserve">Preglednica </w:t>
      </w:r>
      <w:r w:rsidRPr="00556C32">
        <w:rPr>
          <w:rFonts w:cs="Open Sans"/>
        </w:rPr>
        <w:fldChar w:fldCharType="begin"/>
      </w:r>
      <w:r w:rsidRPr="00556C32">
        <w:rPr>
          <w:rFonts w:cs="Open Sans"/>
        </w:rPr>
        <w:instrText xml:space="preserve"> SEQ Preglednica \* ARABIC </w:instrText>
      </w:r>
      <w:r w:rsidRPr="00556C32">
        <w:rPr>
          <w:rFonts w:cs="Open Sans"/>
        </w:rPr>
        <w:fldChar w:fldCharType="separate"/>
      </w:r>
      <w:r w:rsidR="0046194B">
        <w:rPr>
          <w:rFonts w:cs="Open Sans"/>
          <w:noProof/>
        </w:rPr>
        <w:t>3</w:t>
      </w:r>
      <w:r w:rsidRPr="00556C32">
        <w:rPr>
          <w:rFonts w:cs="Open Sans"/>
        </w:rPr>
        <w:fldChar w:fldCharType="end"/>
      </w:r>
      <w:r w:rsidRPr="00556C32">
        <w:rPr>
          <w:rFonts w:cs="Open Sans"/>
        </w:rPr>
        <w:t>: Finančna realizacija proračuna v letu 202</w:t>
      </w:r>
      <w:r w:rsidR="0046194B">
        <w:rPr>
          <w:rFonts w:cs="Open Sans"/>
        </w:rPr>
        <w:t>1</w:t>
      </w:r>
    </w:p>
    <w:tbl>
      <w:tblPr>
        <w:tblStyle w:val="TableGrid"/>
        <w:tblW w:w="0" w:type="auto"/>
        <w:tblLook w:val="04A0" w:firstRow="1" w:lastRow="0" w:firstColumn="1" w:lastColumn="0" w:noHBand="0" w:noVBand="1"/>
      </w:tblPr>
      <w:tblGrid>
        <w:gridCol w:w="4530"/>
        <w:gridCol w:w="2620"/>
      </w:tblGrid>
      <w:tr w:rsidR="00964839" w:rsidRPr="00556C32" w14:paraId="6CA5F2DA" w14:textId="77777777" w:rsidTr="0049631C">
        <w:trPr>
          <w:trHeight w:val="340"/>
        </w:trPr>
        <w:tc>
          <w:tcPr>
            <w:tcW w:w="4530" w:type="dxa"/>
            <w:shd w:val="clear" w:color="auto" w:fill="D9E2F3" w:themeFill="accent1" w:themeFillTint="33"/>
            <w:vAlign w:val="center"/>
          </w:tcPr>
          <w:p w14:paraId="0CC25DA5" w14:textId="18E5288C" w:rsidR="00964839" w:rsidRPr="00556C32" w:rsidRDefault="00954F19" w:rsidP="00FC239A">
            <w:pPr>
              <w:jc w:val="left"/>
              <w:rPr>
                <w:rFonts w:cs="Open Sans"/>
                <w:color w:val="211D1E"/>
              </w:rPr>
            </w:pPr>
            <w:r w:rsidRPr="00556C32">
              <w:rPr>
                <w:rFonts w:cs="Open Sans"/>
                <w:color w:val="211D1E"/>
              </w:rPr>
              <w:t>Proračunska postavka</w:t>
            </w:r>
          </w:p>
        </w:tc>
        <w:tc>
          <w:tcPr>
            <w:tcW w:w="2620" w:type="dxa"/>
            <w:shd w:val="clear" w:color="auto" w:fill="D9E2F3" w:themeFill="accent1" w:themeFillTint="33"/>
            <w:vAlign w:val="center"/>
          </w:tcPr>
          <w:p w14:paraId="178F39B7" w14:textId="12CA94C3" w:rsidR="00964839" w:rsidRPr="00556C32" w:rsidRDefault="00954F19" w:rsidP="00FC239A">
            <w:pPr>
              <w:jc w:val="left"/>
              <w:rPr>
                <w:rFonts w:cs="Open Sans"/>
                <w:color w:val="211D1E"/>
              </w:rPr>
            </w:pPr>
            <w:r w:rsidRPr="00556C32">
              <w:rPr>
                <w:rFonts w:cs="Open Sans"/>
                <w:color w:val="211D1E"/>
              </w:rPr>
              <w:t>Procent porabe sredstev</w:t>
            </w:r>
          </w:p>
        </w:tc>
      </w:tr>
      <w:tr w:rsidR="0046194B" w:rsidRPr="00556C32" w14:paraId="29ACAD29" w14:textId="77777777" w:rsidTr="003E6DB3">
        <w:tc>
          <w:tcPr>
            <w:tcW w:w="4530" w:type="dxa"/>
            <w:vAlign w:val="center"/>
          </w:tcPr>
          <w:p w14:paraId="35627913" w14:textId="31B98F1F" w:rsidR="0046194B" w:rsidRPr="00556C32" w:rsidRDefault="0046194B" w:rsidP="0046194B">
            <w:pPr>
              <w:jc w:val="left"/>
              <w:rPr>
                <w:rFonts w:cs="Open Sans"/>
                <w:color w:val="211D1E"/>
              </w:rPr>
            </w:pPr>
            <w:r w:rsidRPr="00556C32">
              <w:rPr>
                <w:rFonts w:cs="Open Sans"/>
              </w:rPr>
              <w:t>Plače</w:t>
            </w:r>
          </w:p>
        </w:tc>
        <w:tc>
          <w:tcPr>
            <w:tcW w:w="2620" w:type="dxa"/>
          </w:tcPr>
          <w:p w14:paraId="1DCBACB0" w14:textId="1380BB1E" w:rsidR="0046194B" w:rsidRPr="00556C32" w:rsidRDefault="0046194B" w:rsidP="0046194B">
            <w:pPr>
              <w:jc w:val="center"/>
              <w:rPr>
                <w:rFonts w:cs="Open Sans"/>
                <w:color w:val="211D1E"/>
              </w:rPr>
            </w:pPr>
            <w:r w:rsidRPr="005B6073">
              <w:t>66,2 %</w:t>
            </w:r>
          </w:p>
        </w:tc>
      </w:tr>
      <w:tr w:rsidR="0046194B" w:rsidRPr="00556C32" w14:paraId="404D392B" w14:textId="77777777" w:rsidTr="003E6DB3">
        <w:tc>
          <w:tcPr>
            <w:tcW w:w="4530" w:type="dxa"/>
            <w:vAlign w:val="center"/>
          </w:tcPr>
          <w:p w14:paraId="607BD3D6" w14:textId="36B47373" w:rsidR="0046194B" w:rsidRPr="00556C32" w:rsidRDefault="0046194B" w:rsidP="0046194B">
            <w:pPr>
              <w:jc w:val="left"/>
              <w:rPr>
                <w:rFonts w:cs="Open Sans"/>
                <w:color w:val="211D1E"/>
              </w:rPr>
            </w:pPr>
            <w:r w:rsidRPr="00556C32">
              <w:rPr>
                <w:rFonts w:cs="Open Sans"/>
              </w:rPr>
              <w:t>Materialni stroški</w:t>
            </w:r>
          </w:p>
        </w:tc>
        <w:tc>
          <w:tcPr>
            <w:tcW w:w="2620" w:type="dxa"/>
          </w:tcPr>
          <w:p w14:paraId="097A9FB3" w14:textId="5BB49F62" w:rsidR="0046194B" w:rsidRPr="00556C32" w:rsidRDefault="0046194B" w:rsidP="0046194B">
            <w:pPr>
              <w:jc w:val="center"/>
              <w:rPr>
                <w:rFonts w:cs="Open Sans"/>
                <w:color w:val="211D1E"/>
              </w:rPr>
            </w:pPr>
            <w:r w:rsidRPr="005B6073">
              <w:t>5,8 %</w:t>
            </w:r>
          </w:p>
        </w:tc>
      </w:tr>
      <w:tr w:rsidR="0046194B" w:rsidRPr="00556C32" w14:paraId="4B7326FE" w14:textId="77777777" w:rsidTr="003E6DB3">
        <w:tc>
          <w:tcPr>
            <w:tcW w:w="4530" w:type="dxa"/>
            <w:vAlign w:val="center"/>
          </w:tcPr>
          <w:p w14:paraId="6D9707BA" w14:textId="43BDDECA" w:rsidR="0046194B" w:rsidRPr="00556C32" w:rsidRDefault="0046194B" w:rsidP="0046194B">
            <w:pPr>
              <w:jc w:val="left"/>
              <w:rPr>
                <w:rFonts w:cs="Open Sans"/>
                <w:color w:val="211D1E"/>
              </w:rPr>
            </w:pPr>
            <w:r w:rsidRPr="00556C32">
              <w:rPr>
                <w:rFonts w:cs="Open Sans"/>
              </w:rPr>
              <w:t>Investicije in investicijsko vzdrževanje</w:t>
            </w:r>
          </w:p>
        </w:tc>
        <w:tc>
          <w:tcPr>
            <w:tcW w:w="2620" w:type="dxa"/>
          </w:tcPr>
          <w:p w14:paraId="561053FE" w14:textId="086E5CC8" w:rsidR="0046194B" w:rsidRPr="00556C32" w:rsidRDefault="0046194B" w:rsidP="0046194B">
            <w:pPr>
              <w:jc w:val="center"/>
              <w:rPr>
                <w:rFonts w:cs="Open Sans"/>
                <w:color w:val="211D1E"/>
              </w:rPr>
            </w:pPr>
            <w:r w:rsidRPr="005B6073">
              <w:t>0,2 %</w:t>
            </w:r>
          </w:p>
        </w:tc>
      </w:tr>
      <w:tr w:rsidR="0046194B" w:rsidRPr="00556C32" w14:paraId="6EBDB45F" w14:textId="77777777" w:rsidTr="003E6DB3">
        <w:tc>
          <w:tcPr>
            <w:tcW w:w="4530" w:type="dxa"/>
            <w:vAlign w:val="center"/>
          </w:tcPr>
          <w:p w14:paraId="1BABB172" w14:textId="6618C751" w:rsidR="0046194B" w:rsidRPr="00556C32" w:rsidRDefault="0046194B" w:rsidP="0046194B">
            <w:pPr>
              <w:jc w:val="left"/>
              <w:rPr>
                <w:rFonts w:cs="Open Sans"/>
                <w:color w:val="211D1E"/>
              </w:rPr>
            </w:pPr>
            <w:r w:rsidRPr="00556C32">
              <w:rPr>
                <w:rFonts w:cs="Open Sans"/>
              </w:rPr>
              <w:t>Lastna dejavnost</w:t>
            </w:r>
          </w:p>
        </w:tc>
        <w:tc>
          <w:tcPr>
            <w:tcW w:w="2620" w:type="dxa"/>
          </w:tcPr>
          <w:p w14:paraId="24C32DB8" w14:textId="0E4A63E5" w:rsidR="0046194B" w:rsidRPr="00556C32" w:rsidRDefault="0046194B" w:rsidP="0046194B">
            <w:pPr>
              <w:jc w:val="center"/>
              <w:rPr>
                <w:rFonts w:cs="Open Sans"/>
                <w:color w:val="211D1E"/>
              </w:rPr>
            </w:pPr>
            <w:r w:rsidRPr="005B6073">
              <w:t>0,6 %</w:t>
            </w:r>
          </w:p>
        </w:tc>
      </w:tr>
      <w:tr w:rsidR="0046194B" w:rsidRPr="00556C32" w14:paraId="6BB6511F" w14:textId="77777777" w:rsidTr="003E6DB3">
        <w:tc>
          <w:tcPr>
            <w:tcW w:w="4530" w:type="dxa"/>
            <w:vAlign w:val="center"/>
          </w:tcPr>
          <w:p w14:paraId="7EBD9A1E" w14:textId="5FA369C2" w:rsidR="0046194B" w:rsidRPr="00556C32" w:rsidRDefault="0046194B" w:rsidP="0046194B">
            <w:pPr>
              <w:jc w:val="left"/>
              <w:rPr>
                <w:rFonts w:cs="Open Sans"/>
                <w:color w:val="211D1E"/>
              </w:rPr>
            </w:pPr>
            <w:r w:rsidRPr="00556C32">
              <w:rPr>
                <w:rFonts w:cs="Open Sans"/>
              </w:rPr>
              <w:t>Program geodetskih del</w:t>
            </w:r>
          </w:p>
        </w:tc>
        <w:tc>
          <w:tcPr>
            <w:tcW w:w="2620" w:type="dxa"/>
          </w:tcPr>
          <w:p w14:paraId="4ACE699C" w14:textId="76154381" w:rsidR="0046194B" w:rsidRPr="00556C32" w:rsidRDefault="0046194B" w:rsidP="0046194B">
            <w:pPr>
              <w:jc w:val="center"/>
              <w:rPr>
                <w:rFonts w:cs="Open Sans"/>
                <w:color w:val="211D1E"/>
              </w:rPr>
            </w:pPr>
            <w:r w:rsidRPr="005B6073">
              <w:t>27,2 %</w:t>
            </w:r>
          </w:p>
        </w:tc>
      </w:tr>
      <w:tr w:rsidR="0046194B" w:rsidRPr="00556C32" w14:paraId="7A28D590" w14:textId="77777777" w:rsidTr="003E6DB3">
        <w:tc>
          <w:tcPr>
            <w:tcW w:w="4530" w:type="dxa"/>
            <w:vAlign w:val="center"/>
          </w:tcPr>
          <w:p w14:paraId="0D7EA462" w14:textId="2D7B7937" w:rsidR="0046194B" w:rsidRPr="00556C32" w:rsidRDefault="0046194B" w:rsidP="0046194B">
            <w:pPr>
              <w:jc w:val="left"/>
              <w:rPr>
                <w:rFonts w:cs="Open Sans"/>
              </w:rPr>
            </w:pPr>
            <w:r>
              <w:rPr>
                <w:rFonts w:cs="Open Sans"/>
              </w:rPr>
              <w:t>Skupaj</w:t>
            </w:r>
          </w:p>
        </w:tc>
        <w:tc>
          <w:tcPr>
            <w:tcW w:w="2620" w:type="dxa"/>
          </w:tcPr>
          <w:p w14:paraId="4E75040A" w14:textId="28CBB56F" w:rsidR="0046194B" w:rsidRPr="00556C32" w:rsidRDefault="0046194B" w:rsidP="0046194B">
            <w:pPr>
              <w:jc w:val="center"/>
              <w:rPr>
                <w:rFonts w:cs="Open Sans"/>
              </w:rPr>
            </w:pPr>
            <w:r w:rsidRPr="005B6073">
              <w:t>100 %</w:t>
            </w:r>
          </w:p>
        </w:tc>
      </w:tr>
    </w:tbl>
    <w:p w14:paraId="3FD3B72F" w14:textId="77777777" w:rsidR="00964839" w:rsidRPr="00556C32" w:rsidRDefault="00964839" w:rsidP="00964839">
      <w:pPr>
        <w:rPr>
          <w:rFonts w:cs="Open Sans"/>
          <w:color w:val="211D1E"/>
          <w:sz w:val="18"/>
          <w:szCs w:val="18"/>
        </w:rPr>
      </w:pPr>
    </w:p>
    <w:p w14:paraId="258C8D49" w14:textId="77777777" w:rsidR="008B39F7" w:rsidRPr="00556C32" w:rsidRDefault="008B39F7" w:rsidP="008B39F7">
      <w:pPr>
        <w:pStyle w:val="Caption"/>
        <w:jc w:val="both"/>
        <w:rPr>
          <w:rFonts w:cs="Open Sans"/>
        </w:rPr>
      </w:pPr>
    </w:p>
    <w:p w14:paraId="7C882CD4" w14:textId="68890537" w:rsidR="00732BCC" w:rsidRPr="00556C32" w:rsidRDefault="00732BCC" w:rsidP="003767B9">
      <w:pPr>
        <w:rPr>
          <w:rStyle w:val="Heading1Char"/>
          <w:rFonts w:cs="Open Sans"/>
        </w:rPr>
      </w:pPr>
      <w:r w:rsidRPr="00556C32">
        <w:rPr>
          <w:rFonts w:cs="Open Sans"/>
        </w:rPr>
        <w:br w:type="column"/>
      </w:r>
      <w:bookmarkStart w:id="10" w:name="_Toc104471891"/>
      <w:r w:rsidRPr="00556C32">
        <w:rPr>
          <w:rStyle w:val="Heading1Char"/>
          <w:rFonts w:cs="Open Sans"/>
        </w:rPr>
        <w:lastRenderedPageBreak/>
        <w:t>MEDNARODNE AKTIVNOSTI</w:t>
      </w:r>
      <w:bookmarkEnd w:id="10"/>
    </w:p>
    <w:p w14:paraId="25DAD52F" w14:textId="573141CB" w:rsidR="00732BCC" w:rsidRPr="00556C32" w:rsidRDefault="00732BCC" w:rsidP="008E558D">
      <w:pPr>
        <w:rPr>
          <w:rFonts w:cs="Open Sans"/>
        </w:rPr>
      </w:pPr>
    </w:p>
    <w:p w14:paraId="7426DC06" w14:textId="77777777" w:rsidR="009A362F" w:rsidRPr="00B16413" w:rsidRDefault="009A362F" w:rsidP="009A362F">
      <w:r w:rsidRPr="00B16413">
        <w:t xml:space="preserve">Geodetska uprava RS z mednarodnim sodelovanjem in udejstvovanjem skrbi za izvajanje evropskih smernic in usmeritev na področju evidentiranja nepremičnin, kartografije in </w:t>
      </w:r>
      <w:proofErr w:type="spellStart"/>
      <w:r w:rsidRPr="00B16413">
        <w:t>geoinformatike</w:t>
      </w:r>
      <w:proofErr w:type="spellEnd"/>
      <w:r w:rsidRPr="00B16413">
        <w:t xml:space="preserve">. Opravlja tudi naloge nacionalne točke za stike pri izvajanju obveznosti iz Evropske direktive INSPIRE in tako koordinira vzpostavitev infrastrukture za prostorske informacije v Republiki Sloveniji. </w:t>
      </w:r>
    </w:p>
    <w:p w14:paraId="11D3C606" w14:textId="77777777" w:rsidR="009A362F" w:rsidRPr="00B16413" w:rsidRDefault="009A362F" w:rsidP="009A362F"/>
    <w:p w14:paraId="046080C4" w14:textId="77777777" w:rsidR="009A362F" w:rsidRPr="00B16413" w:rsidRDefault="009A362F" w:rsidP="009A362F">
      <w:r w:rsidRPr="00B16413">
        <w:t>Glede na usmeritve deklaracij</w:t>
      </w:r>
      <w:r>
        <w:t>e</w:t>
      </w:r>
      <w:r w:rsidRPr="00B16413">
        <w:t xml:space="preserve"> Državnega zbora o zunanji politiki Republike Slovenije in nalog</w:t>
      </w:r>
      <w:r>
        <w:t>e</w:t>
      </w:r>
      <w:r w:rsidRPr="00B16413">
        <w:t xml:space="preserve">, zapisanimi v programu del državne geodetske službe, sodeluje v številnih mednarodnih organizacijah, med drugim v združenju </w:t>
      </w:r>
      <w:hyperlink r:id="rId10" w:history="1">
        <w:proofErr w:type="spellStart"/>
        <w:r w:rsidRPr="00B16413">
          <w:rPr>
            <w:rStyle w:val="Hyperlink"/>
            <w:rFonts w:ascii="Open Sans Light" w:hAnsi="Open Sans Light" w:cs="Open Sans Light"/>
            <w:color w:val="auto"/>
            <w:sz w:val="18"/>
            <w:szCs w:val="18"/>
          </w:rPr>
          <w:t>EuroGeographics</w:t>
        </w:r>
        <w:proofErr w:type="spellEnd"/>
      </w:hyperlink>
      <w:r w:rsidRPr="00B16413">
        <w:t xml:space="preserve">, ekspertni skupini za zemljepisna imena </w:t>
      </w:r>
      <w:hyperlink r:id="rId11" w:history="1">
        <w:r w:rsidRPr="00B16413">
          <w:rPr>
            <w:rStyle w:val="Hyperlink"/>
            <w:rFonts w:ascii="Open Sans Light" w:hAnsi="Open Sans Light" w:cs="Open Sans Light"/>
            <w:color w:val="auto"/>
            <w:sz w:val="18"/>
            <w:szCs w:val="18"/>
          </w:rPr>
          <w:t>UNGEGN (</w:t>
        </w:r>
        <w:proofErr w:type="spellStart"/>
        <w:r w:rsidRPr="00B16413">
          <w:rPr>
            <w:rStyle w:val="Hyperlink"/>
            <w:rFonts w:ascii="Open Sans Light" w:hAnsi="Open Sans Light" w:cs="Open Sans Light"/>
            <w:color w:val="auto"/>
            <w:sz w:val="18"/>
            <w:szCs w:val="18"/>
          </w:rPr>
          <w:t>United</w:t>
        </w:r>
        <w:proofErr w:type="spellEnd"/>
        <w:r w:rsidRPr="00B16413">
          <w:rPr>
            <w:rStyle w:val="Hyperlink"/>
            <w:rFonts w:ascii="Open Sans Light" w:hAnsi="Open Sans Light" w:cs="Open Sans Light"/>
            <w:color w:val="auto"/>
            <w:sz w:val="18"/>
            <w:szCs w:val="18"/>
          </w:rPr>
          <w:t xml:space="preserve"> </w:t>
        </w:r>
        <w:proofErr w:type="spellStart"/>
        <w:r w:rsidRPr="00B16413">
          <w:rPr>
            <w:rStyle w:val="Hyperlink"/>
            <w:rFonts w:ascii="Open Sans Light" w:hAnsi="Open Sans Light" w:cs="Open Sans Light"/>
            <w:color w:val="auto"/>
            <w:sz w:val="18"/>
            <w:szCs w:val="18"/>
          </w:rPr>
          <w:t>Nations</w:t>
        </w:r>
        <w:proofErr w:type="spellEnd"/>
        <w:r w:rsidRPr="00B16413">
          <w:rPr>
            <w:rStyle w:val="Hyperlink"/>
            <w:rFonts w:ascii="Open Sans Light" w:hAnsi="Open Sans Light" w:cs="Open Sans Light"/>
            <w:color w:val="auto"/>
            <w:sz w:val="18"/>
            <w:szCs w:val="18"/>
          </w:rPr>
          <w:t xml:space="preserve"> </w:t>
        </w:r>
        <w:proofErr w:type="spellStart"/>
        <w:r w:rsidRPr="00B16413">
          <w:rPr>
            <w:rStyle w:val="Hyperlink"/>
            <w:rFonts w:ascii="Open Sans Light" w:hAnsi="Open Sans Light" w:cs="Open Sans Light"/>
            <w:color w:val="auto"/>
            <w:sz w:val="18"/>
            <w:szCs w:val="18"/>
          </w:rPr>
          <w:t>Group</w:t>
        </w:r>
        <w:proofErr w:type="spellEnd"/>
        <w:r w:rsidRPr="00B16413">
          <w:rPr>
            <w:rStyle w:val="Hyperlink"/>
            <w:rFonts w:ascii="Open Sans Light" w:hAnsi="Open Sans Light" w:cs="Open Sans Light"/>
            <w:color w:val="auto"/>
            <w:sz w:val="18"/>
            <w:szCs w:val="18"/>
          </w:rPr>
          <w:t xml:space="preserve"> </w:t>
        </w:r>
        <w:proofErr w:type="spellStart"/>
        <w:r w:rsidRPr="00B16413">
          <w:rPr>
            <w:rStyle w:val="Hyperlink"/>
            <w:rFonts w:ascii="Open Sans Light" w:hAnsi="Open Sans Light" w:cs="Open Sans Light"/>
            <w:color w:val="auto"/>
            <w:sz w:val="18"/>
            <w:szCs w:val="18"/>
          </w:rPr>
          <w:t>of</w:t>
        </w:r>
        <w:proofErr w:type="spellEnd"/>
        <w:r w:rsidRPr="00B16413">
          <w:rPr>
            <w:rStyle w:val="Hyperlink"/>
            <w:rFonts w:ascii="Open Sans Light" w:hAnsi="Open Sans Light" w:cs="Open Sans Light"/>
            <w:color w:val="auto"/>
            <w:sz w:val="18"/>
            <w:szCs w:val="18"/>
          </w:rPr>
          <w:t xml:space="preserve"> </w:t>
        </w:r>
        <w:proofErr w:type="spellStart"/>
        <w:r w:rsidRPr="00B16413">
          <w:rPr>
            <w:rStyle w:val="Hyperlink"/>
            <w:rFonts w:ascii="Open Sans Light" w:hAnsi="Open Sans Light" w:cs="Open Sans Light"/>
            <w:color w:val="auto"/>
            <w:sz w:val="18"/>
            <w:szCs w:val="18"/>
          </w:rPr>
          <w:t>Experts</w:t>
        </w:r>
        <w:proofErr w:type="spellEnd"/>
        <w:r w:rsidRPr="00B16413">
          <w:rPr>
            <w:rStyle w:val="Hyperlink"/>
            <w:rFonts w:ascii="Open Sans Light" w:hAnsi="Open Sans Light" w:cs="Open Sans Light"/>
            <w:color w:val="auto"/>
            <w:sz w:val="18"/>
            <w:szCs w:val="18"/>
          </w:rPr>
          <w:t xml:space="preserve"> on </w:t>
        </w:r>
        <w:proofErr w:type="spellStart"/>
        <w:r w:rsidRPr="00B16413">
          <w:rPr>
            <w:rStyle w:val="Hyperlink"/>
            <w:rFonts w:ascii="Open Sans Light" w:hAnsi="Open Sans Light" w:cs="Open Sans Light"/>
            <w:color w:val="auto"/>
            <w:sz w:val="18"/>
            <w:szCs w:val="18"/>
          </w:rPr>
          <w:t>Geographical</w:t>
        </w:r>
        <w:proofErr w:type="spellEnd"/>
        <w:r w:rsidRPr="00B16413">
          <w:rPr>
            <w:rStyle w:val="Hyperlink"/>
            <w:rFonts w:ascii="Open Sans Light" w:hAnsi="Open Sans Light" w:cs="Open Sans Light"/>
            <w:color w:val="auto"/>
            <w:sz w:val="18"/>
            <w:szCs w:val="18"/>
          </w:rPr>
          <w:t xml:space="preserve"> </w:t>
        </w:r>
        <w:proofErr w:type="spellStart"/>
        <w:r w:rsidRPr="00B16413">
          <w:rPr>
            <w:rStyle w:val="Hyperlink"/>
            <w:rFonts w:ascii="Open Sans Light" w:hAnsi="Open Sans Light" w:cs="Open Sans Light"/>
            <w:color w:val="auto"/>
            <w:sz w:val="18"/>
            <w:szCs w:val="18"/>
          </w:rPr>
          <w:t>Names</w:t>
        </w:r>
        <w:proofErr w:type="spellEnd"/>
        <w:r w:rsidRPr="00B16413">
          <w:rPr>
            <w:rStyle w:val="Hyperlink"/>
            <w:rFonts w:ascii="Open Sans Light" w:hAnsi="Open Sans Light" w:cs="Open Sans Light"/>
            <w:color w:val="auto"/>
            <w:sz w:val="18"/>
            <w:szCs w:val="18"/>
          </w:rPr>
          <w:t>)</w:t>
        </w:r>
      </w:hyperlink>
      <w:r w:rsidRPr="00B16413">
        <w:t xml:space="preserve">, mednarodnem združenju </w:t>
      </w:r>
      <w:hyperlink r:id="rId12" w:history="1">
        <w:r w:rsidRPr="00B16413">
          <w:rPr>
            <w:rStyle w:val="Hyperlink"/>
            <w:rFonts w:ascii="Open Sans Light" w:hAnsi="Open Sans Light" w:cs="Open Sans Light"/>
            <w:color w:val="auto"/>
            <w:sz w:val="18"/>
            <w:szCs w:val="18"/>
          </w:rPr>
          <w:t xml:space="preserve">UN/ECE </w:t>
        </w:r>
        <w:proofErr w:type="spellStart"/>
        <w:r w:rsidRPr="00B16413">
          <w:rPr>
            <w:rStyle w:val="Hyperlink"/>
            <w:rFonts w:ascii="Open Sans Light" w:hAnsi="Open Sans Light" w:cs="Open Sans Light"/>
            <w:color w:val="auto"/>
            <w:sz w:val="18"/>
            <w:szCs w:val="18"/>
          </w:rPr>
          <w:t>Working</w:t>
        </w:r>
        <w:proofErr w:type="spellEnd"/>
        <w:r w:rsidRPr="00B16413">
          <w:rPr>
            <w:rStyle w:val="Hyperlink"/>
            <w:rFonts w:ascii="Open Sans Light" w:hAnsi="Open Sans Light" w:cs="Open Sans Light"/>
            <w:color w:val="auto"/>
            <w:sz w:val="18"/>
            <w:szCs w:val="18"/>
          </w:rPr>
          <w:t xml:space="preserve"> </w:t>
        </w:r>
        <w:proofErr w:type="spellStart"/>
        <w:r w:rsidRPr="00B16413">
          <w:rPr>
            <w:rStyle w:val="Hyperlink"/>
            <w:rFonts w:ascii="Open Sans Light" w:hAnsi="Open Sans Light" w:cs="Open Sans Light"/>
            <w:color w:val="auto"/>
            <w:sz w:val="18"/>
            <w:szCs w:val="18"/>
          </w:rPr>
          <w:t>Party</w:t>
        </w:r>
        <w:proofErr w:type="spellEnd"/>
        <w:r w:rsidRPr="00B16413">
          <w:rPr>
            <w:rStyle w:val="Hyperlink"/>
            <w:rFonts w:ascii="Open Sans Light" w:hAnsi="Open Sans Light" w:cs="Open Sans Light"/>
            <w:color w:val="auto"/>
            <w:sz w:val="18"/>
            <w:szCs w:val="18"/>
          </w:rPr>
          <w:t xml:space="preserve"> on </w:t>
        </w:r>
        <w:proofErr w:type="spellStart"/>
        <w:r w:rsidRPr="00B16413">
          <w:rPr>
            <w:rStyle w:val="Hyperlink"/>
            <w:rFonts w:ascii="Open Sans Light" w:hAnsi="Open Sans Light" w:cs="Open Sans Light"/>
            <w:color w:val="auto"/>
            <w:sz w:val="18"/>
            <w:szCs w:val="18"/>
          </w:rPr>
          <w:t>Land</w:t>
        </w:r>
        <w:proofErr w:type="spellEnd"/>
        <w:r w:rsidRPr="00B16413">
          <w:rPr>
            <w:rStyle w:val="Hyperlink"/>
            <w:rFonts w:ascii="Open Sans Light" w:hAnsi="Open Sans Light" w:cs="Open Sans Light"/>
            <w:color w:val="auto"/>
            <w:sz w:val="18"/>
            <w:szCs w:val="18"/>
          </w:rPr>
          <w:t xml:space="preserve"> </w:t>
        </w:r>
        <w:proofErr w:type="spellStart"/>
        <w:r w:rsidRPr="00B16413">
          <w:rPr>
            <w:rStyle w:val="Hyperlink"/>
            <w:rFonts w:ascii="Open Sans Light" w:hAnsi="Open Sans Light" w:cs="Open Sans Light"/>
            <w:color w:val="auto"/>
            <w:sz w:val="18"/>
            <w:szCs w:val="18"/>
          </w:rPr>
          <w:t>Administration</w:t>
        </w:r>
        <w:proofErr w:type="spellEnd"/>
      </w:hyperlink>
      <w:r w:rsidRPr="00B16413">
        <w:t xml:space="preserve">, Stalnem odboru za katastre v Evropski uniji </w:t>
      </w:r>
      <w:hyperlink r:id="rId13" w:history="1">
        <w:r w:rsidRPr="00B16413">
          <w:rPr>
            <w:rStyle w:val="Hyperlink"/>
            <w:rFonts w:ascii="Open Sans Light" w:hAnsi="Open Sans Light" w:cs="Open Sans Light"/>
            <w:color w:val="auto"/>
            <w:sz w:val="18"/>
            <w:szCs w:val="18"/>
          </w:rPr>
          <w:t>PCC (</w:t>
        </w:r>
        <w:proofErr w:type="spellStart"/>
        <w:r w:rsidRPr="00B16413">
          <w:rPr>
            <w:rStyle w:val="Hyperlink"/>
            <w:rFonts w:ascii="Open Sans Light" w:hAnsi="Open Sans Light" w:cs="Open Sans Light"/>
            <w:color w:val="auto"/>
            <w:sz w:val="18"/>
            <w:szCs w:val="18"/>
          </w:rPr>
          <w:t>Permanent</w:t>
        </w:r>
        <w:proofErr w:type="spellEnd"/>
        <w:r w:rsidRPr="00B16413">
          <w:rPr>
            <w:rStyle w:val="Hyperlink"/>
            <w:rFonts w:ascii="Open Sans Light" w:hAnsi="Open Sans Light" w:cs="Open Sans Light"/>
            <w:color w:val="auto"/>
            <w:sz w:val="18"/>
            <w:szCs w:val="18"/>
          </w:rPr>
          <w:t xml:space="preserve"> </w:t>
        </w:r>
        <w:proofErr w:type="spellStart"/>
        <w:r w:rsidRPr="00B16413">
          <w:rPr>
            <w:rStyle w:val="Hyperlink"/>
            <w:rFonts w:ascii="Open Sans Light" w:hAnsi="Open Sans Light" w:cs="Open Sans Light"/>
            <w:color w:val="auto"/>
            <w:sz w:val="18"/>
            <w:szCs w:val="18"/>
          </w:rPr>
          <w:t>Committee</w:t>
        </w:r>
        <w:proofErr w:type="spellEnd"/>
        <w:r w:rsidRPr="00B16413">
          <w:rPr>
            <w:rStyle w:val="Hyperlink"/>
            <w:rFonts w:ascii="Open Sans Light" w:hAnsi="Open Sans Light" w:cs="Open Sans Light"/>
            <w:color w:val="auto"/>
            <w:sz w:val="18"/>
            <w:szCs w:val="18"/>
          </w:rPr>
          <w:t xml:space="preserve"> on </w:t>
        </w:r>
        <w:proofErr w:type="spellStart"/>
        <w:r w:rsidRPr="00B16413">
          <w:rPr>
            <w:rStyle w:val="Hyperlink"/>
            <w:rFonts w:ascii="Open Sans Light" w:hAnsi="Open Sans Light" w:cs="Open Sans Light"/>
            <w:color w:val="auto"/>
            <w:sz w:val="18"/>
            <w:szCs w:val="18"/>
          </w:rPr>
          <w:t>Cadastre</w:t>
        </w:r>
        <w:proofErr w:type="spellEnd"/>
        <w:r w:rsidRPr="00B16413">
          <w:rPr>
            <w:rStyle w:val="Hyperlink"/>
            <w:rFonts w:ascii="Open Sans Light" w:hAnsi="Open Sans Light" w:cs="Open Sans Light"/>
            <w:color w:val="auto"/>
            <w:sz w:val="18"/>
            <w:szCs w:val="18"/>
          </w:rPr>
          <w:t xml:space="preserve"> in </w:t>
        </w:r>
        <w:proofErr w:type="spellStart"/>
        <w:r w:rsidRPr="00B16413">
          <w:rPr>
            <w:rStyle w:val="Hyperlink"/>
            <w:rFonts w:ascii="Open Sans Light" w:hAnsi="Open Sans Light" w:cs="Open Sans Light"/>
            <w:color w:val="auto"/>
            <w:sz w:val="18"/>
            <w:szCs w:val="18"/>
          </w:rPr>
          <w:t>the</w:t>
        </w:r>
        <w:proofErr w:type="spellEnd"/>
        <w:r w:rsidRPr="00B16413">
          <w:rPr>
            <w:rStyle w:val="Hyperlink"/>
            <w:rFonts w:ascii="Open Sans Light" w:hAnsi="Open Sans Light" w:cs="Open Sans Light"/>
            <w:color w:val="auto"/>
            <w:sz w:val="18"/>
            <w:szCs w:val="18"/>
          </w:rPr>
          <w:t xml:space="preserve"> </w:t>
        </w:r>
        <w:proofErr w:type="spellStart"/>
        <w:r w:rsidRPr="00B16413">
          <w:rPr>
            <w:rStyle w:val="Hyperlink"/>
            <w:rFonts w:ascii="Open Sans Light" w:hAnsi="Open Sans Light" w:cs="Open Sans Light"/>
            <w:color w:val="auto"/>
            <w:sz w:val="18"/>
            <w:szCs w:val="18"/>
          </w:rPr>
          <w:t>European</w:t>
        </w:r>
        <w:proofErr w:type="spellEnd"/>
        <w:r w:rsidRPr="00B16413">
          <w:rPr>
            <w:rStyle w:val="Hyperlink"/>
            <w:rFonts w:ascii="Open Sans Light" w:hAnsi="Open Sans Light" w:cs="Open Sans Light"/>
            <w:color w:val="auto"/>
            <w:sz w:val="18"/>
            <w:szCs w:val="18"/>
          </w:rPr>
          <w:t xml:space="preserve"> Union)</w:t>
        </w:r>
      </w:hyperlink>
      <w:r w:rsidRPr="00B16413">
        <w:t xml:space="preserve">, odboru </w:t>
      </w:r>
      <w:hyperlink r:id="rId14" w:history="1">
        <w:r w:rsidRPr="00B16413">
          <w:rPr>
            <w:rStyle w:val="Hyperlink"/>
            <w:rFonts w:ascii="Open Sans Light" w:hAnsi="Open Sans Light" w:cs="Open Sans Light"/>
            <w:color w:val="auto"/>
            <w:sz w:val="18"/>
            <w:szCs w:val="18"/>
          </w:rPr>
          <w:t>UN</w:t>
        </w:r>
        <w:r>
          <w:rPr>
            <w:rStyle w:val="Hyperlink"/>
            <w:rFonts w:ascii="Open Sans Light" w:hAnsi="Open Sans Light" w:cs="Open Sans Light"/>
            <w:color w:val="auto"/>
            <w:sz w:val="18"/>
            <w:szCs w:val="18"/>
          </w:rPr>
          <w:t>-</w:t>
        </w:r>
        <w:r w:rsidRPr="00B16413">
          <w:rPr>
            <w:rStyle w:val="Hyperlink"/>
            <w:rFonts w:ascii="Open Sans Light" w:hAnsi="Open Sans Light" w:cs="Open Sans Light"/>
            <w:color w:val="auto"/>
            <w:sz w:val="18"/>
            <w:szCs w:val="18"/>
          </w:rPr>
          <w:t>GGIM Evropa</w:t>
        </w:r>
      </w:hyperlink>
      <w:r w:rsidRPr="00B16413">
        <w:t xml:space="preserve">, združenju </w:t>
      </w:r>
      <w:hyperlink r:id="rId15" w:history="1">
        <w:proofErr w:type="spellStart"/>
        <w:r w:rsidRPr="00B16413">
          <w:rPr>
            <w:rStyle w:val="Hyperlink"/>
            <w:rFonts w:ascii="Open Sans Light" w:hAnsi="Open Sans Light" w:cs="Open Sans Light"/>
            <w:color w:val="auto"/>
            <w:sz w:val="18"/>
            <w:szCs w:val="18"/>
          </w:rPr>
          <w:t>EuroSDR</w:t>
        </w:r>
        <w:proofErr w:type="spellEnd"/>
      </w:hyperlink>
      <w:r w:rsidRPr="00B16413">
        <w:rPr>
          <w:rStyle w:val="Hyperlink"/>
          <w:rFonts w:ascii="Open Sans Light" w:hAnsi="Open Sans Light" w:cs="Open Sans Light"/>
          <w:color w:val="auto"/>
          <w:sz w:val="18"/>
          <w:szCs w:val="18"/>
        </w:rPr>
        <w:t>,</w:t>
      </w:r>
      <w:r w:rsidRPr="00B16413">
        <w:t xml:space="preserve"> združenju </w:t>
      </w:r>
      <w:hyperlink r:id="rId16" w:history="1">
        <w:r w:rsidRPr="00B16413">
          <w:rPr>
            <w:rStyle w:val="Hyperlink"/>
            <w:rFonts w:ascii="Open Sans Light" w:hAnsi="Open Sans Light" w:cs="Open Sans Light"/>
            <w:color w:val="auto"/>
            <w:sz w:val="18"/>
            <w:szCs w:val="18"/>
          </w:rPr>
          <w:t>EUPOS</w:t>
        </w:r>
      </w:hyperlink>
      <w:r w:rsidRPr="00B16413">
        <w:t xml:space="preserve"> in evropski podkomisiji za referenčni sestav </w:t>
      </w:r>
      <w:hyperlink r:id="rId17" w:history="1">
        <w:r w:rsidRPr="00B16413">
          <w:rPr>
            <w:rStyle w:val="Hyperlink"/>
            <w:rFonts w:ascii="Open Sans Light" w:hAnsi="Open Sans Light" w:cs="Open Sans Light"/>
            <w:color w:val="auto"/>
            <w:sz w:val="18"/>
            <w:szCs w:val="18"/>
          </w:rPr>
          <w:t>EUREF</w:t>
        </w:r>
      </w:hyperlink>
      <w:r w:rsidRPr="00B16413">
        <w:t xml:space="preserve"> pri Mednarodnem združenju za geodezijo IAG (</w:t>
      </w:r>
      <w:proofErr w:type="spellStart"/>
      <w:r w:rsidRPr="00B16413">
        <w:t>International</w:t>
      </w:r>
      <w:proofErr w:type="spellEnd"/>
      <w:r w:rsidRPr="00B16413">
        <w:t xml:space="preserve"> </w:t>
      </w:r>
      <w:proofErr w:type="spellStart"/>
      <w:r w:rsidRPr="00B16413">
        <w:t>Association</w:t>
      </w:r>
      <w:proofErr w:type="spellEnd"/>
      <w:r w:rsidRPr="00B16413">
        <w:t xml:space="preserve"> </w:t>
      </w:r>
      <w:proofErr w:type="spellStart"/>
      <w:r w:rsidRPr="00B16413">
        <w:t>of</w:t>
      </w:r>
      <w:proofErr w:type="spellEnd"/>
      <w:r w:rsidRPr="00B16413">
        <w:t xml:space="preserve"> </w:t>
      </w:r>
      <w:proofErr w:type="spellStart"/>
      <w:r w:rsidRPr="00B16413">
        <w:t>Geodesy</w:t>
      </w:r>
      <w:proofErr w:type="spellEnd"/>
      <w:r w:rsidRPr="00B16413">
        <w:t>).</w:t>
      </w:r>
    </w:p>
    <w:p w14:paraId="0538959B" w14:textId="77777777" w:rsidR="009A362F" w:rsidRDefault="009A362F" w:rsidP="009A362F">
      <w:pPr>
        <w:rPr>
          <w:color w:val="A6A6A6" w:themeColor="background1" w:themeShade="A6"/>
        </w:rPr>
      </w:pPr>
    </w:p>
    <w:p w14:paraId="66D009D6" w14:textId="77777777" w:rsidR="009A362F" w:rsidRDefault="009A362F" w:rsidP="009A362F">
      <w:r w:rsidRPr="00A60A6E">
        <w:t xml:space="preserve">V letu 2021 je Geodetska uprava RS aktivno sodelovala s sorodnimi institucijami v evropskem prostoru in v regiji jugozahodnega Balkana ter izvajala aktivnosti v skladu z usmeritvami in strateškimi cilji, zapisanimi v programu del državne geodetske službe. Sredstva mednarodnega sodelovanja so bila namenjena plačilu letne članarine v združenju geodetskih, kartografskih in katastrskih uprav </w:t>
      </w:r>
      <w:proofErr w:type="spellStart"/>
      <w:r w:rsidRPr="00A60A6E">
        <w:t>Euro</w:t>
      </w:r>
      <w:r>
        <w:t>G</w:t>
      </w:r>
      <w:r w:rsidRPr="00A60A6E">
        <w:t>eographics</w:t>
      </w:r>
      <w:proofErr w:type="spellEnd"/>
      <w:r>
        <w:t>,</w:t>
      </w:r>
      <w:r w:rsidRPr="00A60A6E">
        <w:t xml:space="preserve"> sodelovanju v aktivnostih tega združenja (kot so zasedanja KEN skupin)</w:t>
      </w:r>
      <w:r>
        <w:t xml:space="preserve"> in </w:t>
      </w:r>
      <w:r w:rsidRPr="00A60A6E">
        <w:t>posredova</w:t>
      </w:r>
      <w:r>
        <w:t>nju</w:t>
      </w:r>
      <w:r w:rsidRPr="00A60A6E">
        <w:t xml:space="preserve"> podatk</w:t>
      </w:r>
      <w:r>
        <w:t>ov</w:t>
      </w:r>
      <w:r w:rsidRPr="00A60A6E">
        <w:t xml:space="preserve"> v skupne izdelke, ki jih na panevropski ravni zagotavlja združenje. Del sredstev je bil namenjen aktivnemu vključevanju v delovanje skupine strokovnjakov za upravljanje z geografskimi informacijami pri OZN (UN</w:t>
      </w:r>
      <w:r>
        <w:rPr>
          <w:rFonts w:ascii="Arial" w:hAnsi="Arial" w:cs="Arial"/>
        </w:rPr>
        <w:t>-</w:t>
      </w:r>
      <w:r w:rsidRPr="00A60A6E">
        <w:t>GGIM Evropa) ter delovanju v okviru zdru</w:t>
      </w:r>
      <w:r w:rsidRPr="00A60A6E">
        <w:rPr>
          <w:rFonts w:cs="Open Sans"/>
        </w:rPr>
        <w:t>ž</w:t>
      </w:r>
      <w:r w:rsidRPr="00A60A6E">
        <w:t xml:space="preserve">enja </w:t>
      </w:r>
      <w:proofErr w:type="spellStart"/>
      <w:r w:rsidRPr="00D41640">
        <w:t>EuroSDR</w:t>
      </w:r>
      <w:proofErr w:type="spellEnd"/>
      <w:r w:rsidRPr="00D41640">
        <w:t>. Geodetska uprava RS se je vklju</w:t>
      </w:r>
      <w:r w:rsidRPr="00D41640">
        <w:rPr>
          <w:rFonts w:cs="Open Sans"/>
        </w:rPr>
        <w:t>č</w:t>
      </w:r>
      <w:r w:rsidRPr="00D41640">
        <w:t xml:space="preserve">evala v delo drugih mednarodnih združenj in pobud (PCC, EUREF, WPLA itd.) ter izvajala naloge regionalnega sodelovanja na področju jugovzhodne Evrope in zahodnega Balkana. </w:t>
      </w:r>
    </w:p>
    <w:p w14:paraId="56164F3A" w14:textId="77777777" w:rsidR="009A362F" w:rsidRDefault="009A362F" w:rsidP="009A362F"/>
    <w:p w14:paraId="0DE3AC25" w14:textId="30EA40E8" w:rsidR="00651AE4" w:rsidRPr="00556C32" w:rsidRDefault="009A362F" w:rsidP="009A362F">
      <w:pPr>
        <w:rPr>
          <w:rFonts w:cs="Open Sans"/>
        </w:rPr>
      </w:pPr>
      <w:r w:rsidRPr="00D41640">
        <w:t xml:space="preserve">Žal razmere zaradi epidemije COVID-19 </w:t>
      </w:r>
      <w:r>
        <w:t xml:space="preserve">tudi v letu 2021 </w:t>
      </w:r>
      <w:r w:rsidRPr="00D41640">
        <w:t>niso omogočale izvedbe dogodkov v živo, zato je večina aktivnosti potekala preko spleta.</w:t>
      </w:r>
      <w:r>
        <w:t xml:space="preserve"> </w:t>
      </w:r>
      <w:r w:rsidRPr="00C36BD1">
        <w:t>V času od 27. do 28. maja 2021 je bilo izvedeno spletno zasedanje Stalnega odbora za kataster pri Evropski uniji (</w:t>
      </w:r>
      <w:proofErr w:type="spellStart"/>
      <w:r w:rsidRPr="00C36BD1">
        <w:t>Permanent</w:t>
      </w:r>
      <w:proofErr w:type="spellEnd"/>
      <w:r w:rsidRPr="00C36BD1">
        <w:t xml:space="preserve"> </w:t>
      </w:r>
      <w:proofErr w:type="spellStart"/>
      <w:r w:rsidRPr="00C36BD1">
        <w:t>Committee</w:t>
      </w:r>
      <w:proofErr w:type="spellEnd"/>
      <w:r w:rsidRPr="00C36BD1">
        <w:t xml:space="preserve"> </w:t>
      </w:r>
      <w:proofErr w:type="spellStart"/>
      <w:r w:rsidRPr="00C36BD1">
        <w:t>for</w:t>
      </w:r>
      <w:proofErr w:type="spellEnd"/>
      <w:r w:rsidRPr="00C36BD1">
        <w:t xml:space="preserve"> </w:t>
      </w:r>
      <w:proofErr w:type="spellStart"/>
      <w:r w:rsidRPr="00C36BD1">
        <w:t>Cadastre</w:t>
      </w:r>
      <w:proofErr w:type="spellEnd"/>
      <w:r w:rsidRPr="00C36BD1">
        <w:t xml:space="preserve"> – PCC), skupaj z zasedanjem skupine za kataster in zemljiške knjige - CLR KEN, ki deluje pri </w:t>
      </w:r>
      <w:proofErr w:type="spellStart"/>
      <w:r w:rsidRPr="00C36BD1">
        <w:t>EuroGeographicsu</w:t>
      </w:r>
      <w:proofErr w:type="spellEnd"/>
      <w:r w:rsidRPr="00C36BD1">
        <w:t>. Geodetska uprava RS je v času slovenskega predsedovanja Svetu EU od 1. 7. 2021 do 31. 12. 2021 vodila stalni odbor za kataster v okviru EU (PCC) in v novembru tudi organizirala skupno konferenco z naslovno temo »Vloga državnih geodetskih uprav v programu odpornosti in okrevanja«. Dogodek je spremljalo več kot 100 udeležencev iz 34 držav.</w:t>
      </w:r>
      <w:r>
        <w:t xml:space="preserve"> </w:t>
      </w:r>
      <w:r w:rsidRPr="00382284">
        <w:t xml:space="preserve">Geodetska uprava </w:t>
      </w:r>
      <w:r>
        <w:t xml:space="preserve">RS </w:t>
      </w:r>
      <w:r w:rsidRPr="00382284">
        <w:t>je med 26. in 28. majem 2021 gostila jubilejni 30. simpozij EUREF (</w:t>
      </w:r>
      <w:proofErr w:type="spellStart"/>
      <w:r w:rsidRPr="00382284">
        <w:t>European</w:t>
      </w:r>
      <w:proofErr w:type="spellEnd"/>
      <w:r w:rsidRPr="00382284">
        <w:t xml:space="preserve"> </w:t>
      </w:r>
      <w:r w:rsidRPr="004458C5">
        <w:t xml:space="preserve">Reference Frame), katerega se je (preko spleta) udeležilo 150 prijavljenih gostov iz 30-ih držav, kar je največ doslej. 1. junija 2021 je bila </w:t>
      </w:r>
      <w:r>
        <w:t>organizator</w:t>
      </w:r>
      <w:r w:rsidRPr="004458C5">
        <w:t xml:space="preserve"> </w:t>
      </w:r>
      <w:r>
        <w:t xml:space="preserve">(spletne) </w:t>
      </w:r>
      <w:r w:rsidRPr="004458C5">
        <w:t>13. Regionalne konference o katastru in infrastrukturi za prostorske informacije, na kateri so sodelovale geodetske uprave iz regije zahodnega Bal</w:t>
      </w:r>
      <w:r w:rsidRPr="00437202">
        <w:t xml:space="preserve">kana. 23. junija 2021 je sodelovala na Evropskem forumu za geodezijo z naslovom »Evropski prispevek na poti proti </w:t>
      </w:r>
      <w:r w:rsidRPr="00437202">
        <w:lastRenderedPageBreak/>
        <w:t>trajnostnemu svetovnemu geodetskemu referenčnemu okviru«.</w:t>
      </w:r>
      <w:r>
        <w:t xml:space="preserve"> </w:t>
      </w:r>
      <w:r w:rsidRPr="00D41640">
        <w:t>13. in 14. oktobra 2021 je potekalo osmo redno plenarno zasedanje Evropskega regionalnega</w:t>
      </w:r>
      <w:r w:rsidRPr="00891E89">
        <w:t xml:space="preserve"> odbora Združenih narodov (ZN) za globalno upravljanje prostorskih informacij (UN</w:t>
      </w:r>
      <w:r>
        <w:t>-</w:t>
      </w:r>
      <w:r w:rsidRPr="00891E89">
        <w:t xml:space="preserve">GGIM Evropa), </w:t>
      </w:r>
      <w:r>
        <w:t>na katerem je</w:t>
      </w:r>
      <w:r w:rsidRPr="00891E89">
        <w:t xml:space="preserve"> generalni direktor Geodetske uprave RS </w:t>
      </w:r>
      <w:r>
        <w:t>sodeloval v vlogi</w:t>
      </w:r>
      <w:r w:rsidRPr="00891E89">
        <w:t xml:space="preserve"> trenutno predsedujoč</w:t>
      </w:r>
      <w:r>
        <w:t>ega</w:t>
      </w:r>
      <w:r w:rsidRPr="00891E89">
        <w:t xml:space="preserve"> izvršilnemu odboru.</w:t>
      </w:r>
      <w:r>
        <w:t xml:space="preserve"> Novembra je bil izveden že 7. slovenski INSPIRE dan z naslovom »</w:t>
      </w:r>
      <w:r w:rsidRPr="000466ED">
        <w:t>Nove perspektive na področju nacionalne infrastrukture za prostorske informacije</w:t>
      </w:r>
      <w:r>
        <w:t xml:space="preserve">«. </w:t>
      </w:r>
      <w:r w:rsidRPr="008030B7">
        <w:t>Na spletnem dogodku je sodelovalo 15 govorcev in 70 slušateljev.</w:t>
      </w:r>
      <w:r>
        <w:t xml:space="preserve"> </w:t>
      </w:r>
      <w:r w:rsidRPr="00D41640">
        <w:t xml:space="preserve">Predstavniki Geodetske uprave RS so bili vključeni tudi v delo skupine za </w:t>
      </w:r>
      <w:proofErr w:type="spellStart"/>
      <w:r w:rsidRPr="00D41640">
        <w:t>medopravilno</w:t>
      </w:r>
      <w:proofErr w:type="spellEnd"/>
      <w:r w:rsidRPr="00D41640">
        <w:t xml:space="preserve"> javno upravo ISA2 in stalnega odbora za INSPIRE, ki delujeta v okviru evropske komisije</w:t>
      </w:r>
      <w:r w:rsidR="00651AE4" w:rsidRPr="00556C32">
        <w:rPr>
          <w:rFonts w:cs="Open Sans"/>
        </w:rPr>
        <w:t>.</w:t>
      </w:r>
    </w:p>
    <w:p w14:paraId="7BDF57B8" w14:textId="15E1CECE" w:rsidR="00651AE4" w:rsidRPr="00556C32" w:rsidRDefault="00651AE4" w:rsidP="008E558D">
      <w:pPr>
        <w:rPr>
          <w:rFonts w:cs="Open Sans"/>
        </w:rPr>
      </w:pPr>
    </w:p>
    <w:p w14:paraId="5EC386A0" w14:textId="11647EEA" w:rsidR="00A15190" w:rsidRPr="00556C32" w:rsidRDefault="00A15190" w:rsidP="00651AE4">
      <w:pPr>
        <w:pStyle w:val="Heading1"/>
        <w:rPr>
          <w:rFonts w:cs="Open Sans"/>
        </w:rPr>
      </w:pPr>
      <w:r w:rsidRPr="00556C32">
        <w:rPr>
          <w:rFonts w:cs="Open Sans"/>
        </w:rPr>
        <w:br w:type="column"/>
      </w:r>
      <w:bookmarkStart w:id="11" w:name="_Toc104471892"/>
      <w:r w:rsidRPr="00556C32">
        <w:rPr>
          <w:rFonts w:cs="Open Sans"/>
        </w:rPr>
        <w:lastRenderedPageBreak/>
        <w:t xml:space="preserve">PROGRAM PROJEKTOV </w:t>
      </w:r>
      <w:proofErr w:type="spellStart"/>
      <w:r w:rsidRPr="00556C32">
        <w:rPr>
          <w:rFonts w:cs="Open Sans"/>
        </w:rPr>
        <w:t>ePROSTOR</w:t>
      </w:r>
      <w:bookmarkEnd w:id="11"/>
      <w:proofErr w:type="spellEnd"/>
    </w:p>
    <w:p w14:paraId="57658204" w14:textId="32D29A17" w:rsidR="00A15190" w:rsidRPr="00556C32" w:rsidRDefault="00A15190" w:rsidP="008E558D">
      <w:pPr>
        <w:rPr>
          <w:rFonts w:cs="Open Sans"/>
        </w:rPr>
      </w:pPr>
    </w:p>
    <w:p w14:paraId="773112E9" w14:textId="77777777" w:rsidR="009A362F" w:rsidRDefault="009A362F" w:rsidP="009A362F">
      <w:r w:rsidRPr="00872CCB">
        <w:t xml:space="preserve">Program projektov </w:t>
      </w:r>
      <w:proofErr w:type="spellStart"/>
      <w:r w:rsidRPr="00872CCB">
        <w:t>eProstor</w:t>
      </w:r>
      <w:proofErr w:type="spellEnd"/>
      <w:r w:rsidRPr="00872CCB">
        <w:t xml:space="preserve"> je uvrščen v Operativni program evropske kohezijske politike za programsko obdobje 2014–2020 (CCI 2014SI16MAOP001), in sicer v drugo prednostno os »Povečanje dostopnosti do informacijsko-komunikacijskih tehnologij ter njihove uporabe in kakovosti«. Izvajanje nalog je podrobneje določeno v izvedbenem načrtu operativnega programa za izvajanje evropske kohezijske politike za programsko obdobje 2014–2020 (INOP), ki ga je sprejela Vlada Republike Slovenije z dne 9. 7. 2015 in njegovimi nadaljnjimi spremembami in dopolnitvami.</w:t>
      </w:r>
    </w:p>
    <w:p w14:paraId="30AF70A7" w14:textId="77777777" w:rsidR="009A362F" w:rsidRDefault="009A362F" w:rsidP="009A362F"/>
    <w:p w14:paraId="558181D2" w14:textId="77777777" w:rsidR="009A362F" w:rsidRPr="00872CCB" w:rsidRDefault="009A362F" w:rsidP="009A362F">
      <w:r w:rsidRPr="00872CCB">
        <w:t xml:space="preserve">Geodetska uprava RS je skupaj z resornim Ministrstvom za okolje in prostor tudi v letu 2021 nadaljevala z operativnim izvajanjem programa projektov </w:t>
      </w:r>
      <w:proofErr w:type="spellStart"/>
      <w:r w:rsidRPr="00872CCB">
        <w:t>eProstor</w:t>
      </w:r>
      <w:proofErr w:type="spellEnd"/>
      <w:r>
        <w:t>,</w:t>
      </w:r>
      <w:r w:rsidRPr="00872CCB">
        <w:t xml:space="preserve"> s katerim se uspešno vzpostavlja skupna in enotna informacijska infrastruktura za prostorske podatke v Sloveniji v skladu z evropsko direktivo INSPIRE, tako da bo večino postopkov na področju urejanja nepremičnin in prostora mogoče opraviti hitreje, učinkoviteje in preprosteje.</w:t>
      </w:r>
    </w:p>
    <w:p w14:paraId="645E363F" w14:textId="77777777" w:rsidR="009A362F" w:rsidRPr="00872CCB" w:rsidRDefault="009A362F" w:rsidP="009A362F"/>
    <w:p w14:paraId="0D53EA61" w14:textId="77777777" w:rsidR="009A362F" w:rsidRPr="00872CCB" w:rsidRDefault="009A362F" w:rsidP="009A362F">
      <w:r w:rsidRPr="00872CCB">
        <w:t xml:space="preserve">Program projektov </w:t>
      </w:r>
      <w:proofErr w:type="spellStart"/>
      <w:r w:rsidRPr="00872CCB">
        <w:t>eProstor</w:t>
      </w:r>
      <w:proofErr w:type="spellEnd"/>
      <w:r w:rsidRPr="00872CCB">
        <w:t xml:space="preserve"> je sestavljen iz štirih vsebinskih projektov, ki so medsebojno povezani in soodvisni ter iz projekta za podporo in informiranje. V okviru projektov so se izvajale naloge </w:t>
      </w:r>
      <w:r>
        <w:t>s</w:t>
      </w:r>
      <w:r w:rsidRPr="00872CCB">
        <w:t xml:space="preserve"> področj</w:t>
      </w:r>
      <w:r>
        <w:t>a</w:t>
      </w:r>
      <w:r w:rsidRPr="00872CCB">
        <w:t xml:space="preserve"> vzpostavitve prostorske podatkovne infrastrukture in povezovanja na državni računalniški oblak, vzpostavitve ustrezne informacijske infrastrukture za nepremičninske evidence ter lokacijsko izboljšavo grafičnega dela zemljiškega katastra. </w:t>
      </w:r>
    </w:p>
    <w:p w14:paraId="67533665" w14:textId="77777777" w:rsidR="009A362F" w:rsidRPr="00872CCB" w:rsidRDefault="009A362F" w:rsidP="009A362F"/>
    <w:p w14:paraId="4136B6B7" w14:textId="7E5AB281" w:rsidR="00C07F26" w:rsidRPr="00556C32" w:rsidRDefault="009A362F" w:rsidP="009A362F">
      <w:pPr>
        <w:rPr>
          <w:rFonts w:eastAsia="Calibri" w:cs="Open Sans"/>
        </w:rPr>
      </w:pPr>
      <w:r w:rsidRPr="00872CCB">
        <w:t xml:space="preserve">Program projektov </w:t>
      </w:r>
      <w:proofErr w:type="spellStart"/>
      <w:r w:rsidRPr="00872CCB">
        <w:t>eProstor</w:t>
      </w:r>
      <w:proofErr w:type="spellEnd"/>
      <w:r>
        <w:t xml:space="preserve"> se je izvajal celotno leto 2021 in se zaradi podaljšanja projekta nadaljuje tudi v letu 2022. </w:t>
      </w:r>
      <w:r w:rsidRPr="00872CCB">
        <w:rPr>
          <w:rFonts w:eastAsia="Calibri"/>
        </w:rPr>
        <w:t>Nekatere naloge so se že zaključile, dokončna implementacija z novimi poslovnimi procesi in informacijskimi rešitvami pa bo izvedena v letu 2022. V nadaljevanju so opisane naloge po posameznih projektih, ki so bile izvedene v letu 2021</w:t>
      </w:r>
      <w:r w:rsidR="00D96B3A" w:rsidRPr="00556C32">
        <w:rPr>
          <w:rFonts w:eastAsia="Calibri" w:cs="Open Sans"/>
        </w:rPr>
        <w:t>.</w:t>
      </w:r>
    </w:p>
    <w:p w14:paraId="216453D8" w14:textId="20F13C2B" w:rsidR="00095575" w:rsidRPr="00556C32" w:rsidRDefault="00095575" w:rsidP="00D53121">
      <w:pPr>
        <w:rPr>
          <w:rFonts w:eastAsia="Calibri" w:cs="Open Sans"/>
        </w:rPr>
      </w:pPr>
    </w:p>
    <w:p w14:paraId="619E0806" w14:textId="77777777" w:rsidR="00095575" w:rsidRPr="00556C32" w:rsidRDefault="00095575" w:rsidP="00D53121">
      <w:pPr>
        <w:rPr>
          <w:rFonts w:eastAsia="Calibri" w:cs="Open Sans"/>
        </w:rPr>
      </w:pPr>
    </w:p>
    <w:p w14:paraId="69200AA0" w14:textId="77777777" w:rsidR="00D96B3A" w:rsidRPr="00556C32" w:rsidRDefault="00D96B3A" w:rsidP="00D53121">
      <w:pPr>
        <w:rPr>
          <w:rFonts w:cs="Open Sans"/>
          <w:color w:val="7F7F7F" w:themeColor="text1" w:themeTint="80"/>
        </w:rPr>
      </w:pPr>
    </w:p>
    <w:p w14:paraId="30AAE547" w14:textId="77777777" w:rsidR="00572CC1" w:rsidRPr="00556C32" w:rsidRDefault="00B92BDB" w:rsidP="00572CC1">
      <w:pPr>
        <w:pStyle w:val="Heading2"/>
        <w:rPr>
          <w:rFonts w:cs="Open Sans"/>
        </w:rPr>
      </w:pPr>
      <w:r w:rsidRPr="00556C32">
        <w:rPr>
          <w:rFonts w:cs="Open Sans"/>
        </w:rPr>
        <w:br w:type="column"/>
      </w:r>
      <w:bookmarkStart w:id="12" w:name="_Toc104471893"/>
      <w:r w:rsidR="00572CC1" w:rsidRPr="00556C32">
        <w:rPr>
          <w:rFonts w:cs="Open Sans"/>
        </w:rPr>
        <w:lastRenderedPageBreak/>
        <w:t>SKUPNA INFRASTRUKTURA ZA PROSTORSKE INFORMACIJE</w:t>
      </w:r>
      <w:bookmarkEnd w:id="12"/>
    </w:p>
    <w:p w14:paraId="272A989B" w14:textId="77777777" w:rsidR="00572CC1" w:rsidRPr="00556C32" w:rsidRDefault="00572CC1" w:rsidP="00572CC1">
      <w:pPr>
        <w:rPr>
          <w:rFonts w:cs="Open Sans"/>
        </w:rPr>
      </w:pPr>
    </w:p>
    <w:p w14:paraId="75EACF3C" w14:textId="77777777" w:rsidR="009A362F" w:rsidRDefault="009A362F" w:rsidP="009A362F">
      <w:r w:rsidRPr="00872CCB">
        <w:t xml:space="preserve">Infrastrukturo za prostorske informacije (IPI) sestavljajo metapodatki, zbirke prostorskih podatkov in storitve v zvezi s prostorskimi podatki, omrežne storitve, tehnologije, dogovori o souporabi zbirk prostorskih podatkov in storitev v zvezi s prostorskimi podatki in njihovi uporabi ter mehanizmi in postopki za usklajevanje in spremljanje ravnanja po Zakonu o infrastrukturi prostorskih informacij (ZIPI), ki je osnova za sistematično delo na področju infrastrukture prostorskih informacij v Republiki Sloveniji. </w:t>
      </w:r>
    </w:p>
    <w:p w14:paraId="4C1D1F2A" w14:textId="77777777" w:rsidR="009A362F" w:rsidRPr="00872CCB" w:rsidRDefault="009A362F" w:rsidP="009A362F"/>
    <w:p w14:paraId="14417D88" w14:textId="77777777" w:rsidR="009A362F" w:rsidRPr="00872CCB" w:rsidRDefault="009A362F" w:rsidP="009A362F">
      <w:r w:rsidRPr="00872CCB">
        <w:t>Osnovno poslanstvo IPI je vzpostaviti infrastrukturo, ki s pomočjo standardiziranih spletnih storitev zagotavlja prostorske podatke javnim institucijam, poslovnim subjektom, organizacijam in občanom. Referenčna organizacija in hkrati nacionalna točka za stike IPI je  Geodetska uprava RS, ki vodi in koordinira vse dejavnosti za vzpostavitev in zagotavljanje delovanja IPI.</w:t>
      </w:r>
    </w:p>
    <w:p w14:paraId="2F7973C5" w14:textId="77777777" w:rsidR="009A362F" w:rsidRPr="00872CCB" w:rsidRDefault="009A362F" w:rsidP="009A362F">
      <w:pPr>
        <w:rPr>
          <w:rFonts w:cs="Tahoma"/>
        </w:rPr>
      </w:pPr>
    </w:p>
    <w:p w14:paraId="615B0A3B" w14:textId="77777777" w:rsidR="009A362F" w:rsidRDefault="009A362F" w:rsidP="009A362F">
      <w:pPr>
        <w:rPr>
          <w:rFonts w:cs="Tahoma"/>
        </w:rPr>
      </w:pPr>
      <w:r w:rsidRPr="00872CCB">
        <w:rPr>
          <w:rFonts w:cs="Tahoma"/>
        </w:rPr>
        <w:t xml:space="preserve">Geodetska uprava RS je v letu 2021 predvsem redno izvajala naloge nacionalne točke za stike pri izvajanju obveznosti iz evropske direktive INSPIRE. Predstavniki nacionalne točke za stike so se redno udeleževali delovnih sestankov INSPIRE skupin MIG-T ter MIG-P. </w:t>
      </w:r>
    </w:p>
    <w:p w14:paraId="7CA46614" w14:textId="77777777" w:rsidR="009A362F" w:rsidRPr="00872CCB" w:rsidRDefault="009A362F" w:rsidP="009A362F">
      <w:pPr>
        <w:rPr>
          <w:rFonts w:cs="Tahoma"/>
        </w:rPr>
      </w:pPr>
    </w:p>
    <w:p w14:paraId="49ECF5A4" w14:textId="77777777" w:rsidR="009A362F" w:rsidRDefault="009A362F" w:rsidP="009A362F">
      <w:pPr>
        <w:rPr>
          <w:rFonts w:cs="Tahoma"/>
        </w:rPr>
      </w:pPr>
      <w:r w:rsidRPr="00872CCB">
        <w:rPr>
          <w:rFonts w:cs="Tahoma"/>
        </w:rPr>
        <w:t xml:space="preserve">Nadaljevale so se aktivnosti na področju koordinacije z drugimi upravljavci prostorskih podatkov, ki so dolžni zagotavljati podatke in storitve skladno z direktivo INSPIRE. </w:t>
      </w:r>
    </w:p>
    <w:p w14:paraId="22986F78" w14:textId="77777777" w:rsidR="009A362F" w:rsidRDefault="009A362F" w:rsidP="009A362F">
      <w:pPr>
        <w:rPr>
          <w:rFonts w:cs="Tahoma"/>
        </w:rPr>
      </w:pPr>
    </w:p>
    <w:p w14:paraId="76B8A643" w14:textId="67B12481" w:rsidR="00572CC1" w:rsidRDefault="009A362F" w:rsidP="009A362F">
      <w:pPr>
        <w:rPr>
          <w:rFonts w:cs="Open Sans"/>
        </w:rPr>
      </w:pPr>
      <w:r w:rsidRPr="00872CCB">
        <w:rPr>
          <w:rFonts w:cs="Tahoma"/>
        </w:rPr>
        <w:t xml:space="preserve">Redno se je izvajalo dopolnjevanje Slovenskega </w:t>
      </w:r>
      <w:proofErr w:type="spellStart"/>
      <w:r>
        <w:rPr>
          <w:rFonts w:cs="Tahoma"/>
        </w:rPr>
        <w:t>g</w:t>
      </w:r>
      <w:r w:rsidRPr="00872CCB">
        <w:rPr>
          <w:rFonts w:cs="Tahoma"/>
        </w:rPr>
        <w:t>eoportala</w:t>
      </w:r>
      <w:proofErr w:type="spellEnd"/>
      <w:r w:rsidRPr="00872CCB">
        <w:rPr>
          <w:rFonts w:cs="Tahoma"/>
        </w:rPr>
        <w:t>, ki na enem mestu omogoča dostop do vseh informacij o infrastrukturi za prostorske informacije</w:t>
      </w:r>
      <w:r>
        <w:rPr>
          <w:rFonts w:cs="Tahoma"/>
        </w:rPr>
        <w:t>,</w:t>
      </w:r>
      <w:r w:rsidRPr="00872CCB">
        <w:rPr>
          <w:rFonts w:cs="Tahoma"/>
        </w:rPr>
        <w:t xml:space="preserve"> </w:t>
      </w:r>
      <w:r>
        <w:rPr>
          <w:rFonts w:cs="Tahoma"/>
        </w:rPr>
        <w:t>pa</w:t>
      </w:r>
      <w:r w:rsidRPr="00872CCB">
        <w:rPr>
          <w:rFonts w:cs="Tahoma"/>
        </w:rPr>
        <w:t xml:space="preserve"> tudi vzdrževanje in dopolnitve informacijskega sistema za vodenje prostorskih metapodatkov, skladno z veljavnim </w:t>
      </w:r>
      <w:proofErr w:type="spellStart"/>
      <w:r w:rsidRPr="00872CCB">
        <w:rPr>
          <w:rFonts w:cs="Tahoma"/>
        </w:rPr>
        <w:t>metapodatkovnim</w:t>
      </w:r>
      <w:proofErr w:type="spellEnd"/>
      <w:r w:rsidRPr="00872CCB">
        <w:rPr>
          <w:rFonts w:cs="Tahoma"/>
        </w:rPr>
        <w:t xml:space="preserve"> profilom za vodenje prostorskih metapodatkov v Republiki Sloveniji. Prostorski metapodatki se iz slovenskega prostorskega </w:t>
      </w:r>
      <w:proofErr w:type="spellStart"/>
      <w:r w:rsidRPr="00872CCB">
        <w:rPr>
          <w:rFonts w:cs="Tahoma"/>
        </w:rPr>
        <w:t>metapodatkovnega</w:t>
      </w:r>
      <w:proofErr w:type="spellEnd"/>
      <w:r w:rsidRPr="00872CCB">
        <w:rPr>
          <w:rFonts w:cs="Tahoma"/>
        </w:rPr>
        <w:t xml:space="preserve"> sistema redno prepisujejo v evropski prostorski portal ter v slovenski portal odprtih podatkov</w:t>
      </w:r>
      <w:r w:rsidR="00572CC1" w:rsidRPr="00556C32">
        <w:rPr>
          <w:rFonts w:cs="Open Sans"/>
        </w:rPr>
        <w:t>.</w:t>
      </w:r>
    </w:p>
    <w:p w14:paraId="11D2567D" w14:textId="4D4CA2EC" w:rsidR="009A362F" w:rsidRDefault="009A362F" w:rsidP="009A362F">
      <w:pPr>
        <w:rPr>
          <w:rFonts w:cs="Open Sans"/>
        </w:rPr>
      </w:pPr>
    </w:p>
    <w:p w14:paraId="10130357" w14:textId="1B1C86CA" w:rsidR="009A362F" w:rsidRDefault="009A362F" w:rsidP="009A362F">
      <w:pPr>
        <w:rPr>
          <w:rFonts w:cs="Tahoma"/>
        </w:rPr>
      </w:pPr>
      <w:r w:rsidRPr="00872CCB">
        <w:rPr>
          <w:rFonts w:cs="Tahoma"/>
        </w:rPr>
        <w:t xml:space="preserve">V letu 2021 je bila zaključena večina nalog skupne infrastrukture. Redno se je spremljal Slovenski INSPIRE </w:t>
      </w:r>
      <w:proofErr w:type="spellStart"/>
      <w:r w:rsidRPr="00872CCB">
        <w:rPr>
          <w:rFonts w:cs="Tahoma"/>
        </w:rPr>
        <w:t>metapodatkovni</w:t>
      </w:r>
      <w:proofErr w:type="spellEnd"/>
      <w:r w:rsidRPr="00872CCB">
        <w:rPr>
          <w:rFonts w:cs="Tahoma"/>
        </w:rPr>
        <w:t xml:space="preserve"> sistem ter izvajala podpora nacionalni točki za stike INSPIRE. Izveden je bil 7. INSPIRE dan z naslovom Nove perspektive na področju nacionalne infrastrukture za prostorske informacije. Na INSPIRE dnevu je bilo govora o trenutnem stanju na področju infrastrukture za prostorske informacije, o aktivnostih, ki se izvajajo glede na osnovno </w:t>
      </w:r>
      <w:proofErr w:type="spellStart"/>
      <w:r w:rsidRPr="00872CCB">
        <w:rPr>
          <w:rFonts w:cs="Tahoma"/>
        </w:rPr>
        <w:t>časovnico</w:t>
      </w:r>
      <w:proofErr w:type="spellEnd"/>
      <w:r w:rsidRPr="00872CCB">
        <w:rPr>
          <w:rFonts w:cs="Tahoma"/>
        </w:rPr>
        <w:t xml:space="preserve"> direktive INSPIRE, o izkušnjah in znanju upravljavcev prostorskih podatkov ter </w:t>
      </w:r>
      <w:r>
        <w:rPr>
          <w:rFonts w:cs="Tahoma"/>
        </w:rPr>
        <w:t>k</w:t>
      </w:r>
      <w:r w:rsidRPr="00872CCB">
        <w:rPr>
          <w:rFonts w:cs="Tahoma"/>
        </w:rPr>
        <w:t>ako Evropa gleda na nadaljnji razvoj in implementacijo direktive INSPIRE, kako se bo razvijala nacionalna prostorska podatkovna infrastruktura in kakšne so nove perspektive (ponovne) uporabe INSPIRE</w:t>
      </w:r>
      <w:r>
        <w:rPr>
          <w:rFonts w:cs="Tahoma"/>
        </w:rPr>
        <w:t>.</w:t>
      </w:r>
    </w:p>
    <w:p w14:paraId="306BBBD7" w14:textId="3011F362" w:rsidR="009A362F" w:rsidRDefault="009A362F" w:rsidP="009A362F">
      <w:pPr>
        <w:rPr>
          <w:rFonts w:cs="Tahoma"/>
        </w:rPr>
      </w:pPr>
    </w:p>
    <w:p w14:paraId="3BB2CCFF" w14:textId="32F4305A" w:rsidR="009A362F" w:rsidRDefault="009A362F" w:rsidP="009A362F">
      <w:pPr>
        <w:rPr>
          <w:rFonts w:cs="Tahoma"/>
        </w:rPr>
      </w:pPr>
      <w:r w:rsidRPr="00872CCB">
        <w:rPr>
          <w:rFonts w:cs="Tahoma"/>
        </w:rPr>
        <w:t>Izdana je bila tudi brošura z naslovom Nove perspektive direktive INSPIRE</w:t>
      </w:r>
      <w:r>
        <w:rPr>
          <w:rFonts w:cs="Tahoma"/>
        </w:rPr>
        <w:t>,</w:t>
      </w:r>
      <w:r w:rsidRPr="00872CCB">
        <w:rPr>
          <w:rFonts w:cs="Tahoma"/>
        </w:rPr>
        <w:t xml:space="preserve"> v kateri je predstavljenih nekaj novih perspektiv in pobud </w:t>
      </w:r>
      <w:r>
        <w:rPr>
          <w:rFonts w:cs="Tahoma"/>
        </w:rPr>
        <w:t>s</w:t>
      </w:r>
      <w:r w:rsidRPr="00872CCB">
        <w:rPr>
          <w:rFonts w:cs="Tahoma"/>
        </w:rPr>
        <w:t xml:space="preserve"> področj</w:t>
      </w:r>
      <w:r>
        <w:rPr>
          <w:rFonts w:cs="Tahoma"/>
        </w:rPr>
        <w:t>a</w:t>
      </w:r>
      <w:r w:rsidRPr="00872CCB">
        <w:rPr>
          <w:rFonts w:cs="Tahoma"/>
        </w:rPr>
        <w:t xml:space="preserve"> prostorskih informacij</w:t>
      </w:r>
      <w:r>
        <w:rPr>
          <w:rFonts w:cs="Tahoma"/>
        </w:rPr>
        <w:t>.</w:t>
      </w:r>
    </w:p>
    <w:p w14:paraId="5CEFB30D" w14:textId="29553B15" w:rsidR="009A362F" w:rsidRDefault="009A362F" w:rsidP="009A362F">
      <w:pPr>
        <w:rPr>
          <w:rFonts w:cs="Tahoma"/>
        </w:rPr>
      </w:pPr>
    </w:p>
    <w:p w14:paraId="34CFC871" w14:textId="77777777" w:rsidR="009A362F" w:rsidRPr="00872CCB" w:rsidRDefault="009A362F" w:rsidP="009A362F">
      <w:pPr>
        <w:spacing w:line="276" w:lineRule="auto"/>
        <w:rPr>
          <w:rFonts w:cs="Tahoma"/>
        </w:rPr>
      </w:pPr>
      <w:r w:rsidRPr="00872CCB">
        <w:rPr>
          <w:rFonts w:cs="Tahoma"/>
        </w:rPr>
        <w:lastRenderedPageBreak/>
        <w:t>V tem letu se je vzpostav</w:t>
      </w:r>
      <w:r>
        <w:rPr>
          <w:rFonts w:cs="Tahoma"/>
        </w:rPr>
        <w:t>ljal</w:t>
      </w:r>
      <w:r w:rsidRPr="00872CCB">
        <w:rPr>
          <w:rFonts w:cs="Tahoma"/>
        </w:rPr>
        <w:t xml:space="preserve"> Sistem registrov in šifrantov, opravljala so se razna testiranja in pripravljali dokumenti za uporabnike. Veliko pozornosti se je posvetilo tudi kakovosti metapodatkov.</w:t>
      </w:r>
    </w:p>
    <w:p w14:paraId="22495578" w14:textId="77777777" w:rsidR="009A362F" w:rsidRPr="00872CCB" w:rsidRDefault="009A362F" w:rsidP="009A362F">
      <w:pPr>
        <w:spacing w:line="276" w:lineRule="auto"/>
        <w:rPr>
          <w:rFonts w:cs="Tahoma"/>
        </w:rPr>
      </w:pPr>
    </w:p>
    <w:p w14:paraId="72609BD5" w14:textId="77777777" w:rsidR="009A362F" w:rsidRPr="00872CCB" w:rsidRDefault="009A362F" w:rsidP="009A362F">
      <w:pPr>
        <w:spacing w:line="276" w:lineRule="auto"/>
        <w:rPr>
          <w:rFonts w:cs="Tahoma"/>
        </w:rPr>
      </w:pPr>
      <w:r w:rsidRPr="00872CCB">
        <w:rPr>
          <w:rFonts w:cs="Tahoma"/>
        </w:rPr>
        <w:t xml:space="preserve">Zaključena je bila naloga </w:t>
      </w:r>
      <w:r>
        <w:rPr>
          <w:rFonts w:cs="Tahoma"/>
        </w:rPr>
        <w:t>I</w:t>
      </w:r>
      <w:r w:rsidRPr="00872CCB">
        <w:rPr>
          <w:rFonts w:cs="Tahoma"/>
        </w:rPr>
        <w:t xml:space="preserve">zmenjava podatkov in omrežne storitve, kjer je bilo </w:t>
      </w:r>
      <w:r>
        <w:rPr>
          <w:rFonts w:cs="Tahoma"/>
        </w:rPr>
        <w:t>za</w:t>
      </w:r>
      <w:r w:rsidRPr="00872CCB">
        <w:rPr>
          <w:rFonts w:cs="Tahoma"/>
        </w:rPr>
        <w:t xml:space="preserve"> vzpostavit</w:t>
      </w:r>
      <w:r>
        <w:rPr>
          <w:rFonts w:cs="Tahoma"/>
        </w:rPr>
        <w:t>e</w:t>
      </w:r>
      <w:r w:rsidRPr="00872CCB">
        <w:rPr>
          <w:rFonts w:cs="Tahoma"/>
        </w:rPr>
        <w:t>v in zagotovit</w:t>
      </w:r>
      <w:r>
        <w:rPr>
          <w:rFonts w:cs="Tahoma"/>
        </w:rPr>
        <w:t>e</w:t>
      </w:r>
      <w:r w:rsidRPr="00872CCB">
        <w:rPr>
          <w:rFonts w:cs="Tahoma"/>
        </w:rPr>
        <w:t>v pogojev za neoviran pretok prostorskih podatkov med organi javne uprave in drugimi deležniki v Sloveniji in njihovo izmenjavo z organi Evropske komisije in med državami članicami narejenih več omrežnih storitev za INSPIRE prostorske zbirke podatkov. Izdelane so bile omrežne storitve za prezentacijo osnovnih državnih kart.</w:t>
      </w:r>
    </w:p>
    <w:p w14:paraId="7F471FE7" w14:textId="77777777" w:rsidR="009A362F" w:rsidRPr="00872CCB" w:rsidRDefault="009A362F" w:rsidP="009A362F">
      <w:pPr>
        <w:rPr>
          <w:rFonts w:cs="Tahoma"/>
        </w:rPr>
      </w:pPr>
    </w:p>
    <w:p w14:paraId="669FE5EA" w14:textId="77777777" w:rsidR="009A362F" w:rsidRPr="00872CCB" w:rsidRDefault="009A362F" w:rsidP="009A362F">
      <w:pPr>
        <w:rPr>
          <w:rFonts w:cs="Tahoma"/>
        </w:rPr>
      </w:pPr>
      <w:r w:rsidRPr="00872CCB">
        <w:t>Geodetska uprava RS je že pred desetletji</w:t>
      </w:r>
      <w:r>
        <w:t xml:space="preserve"> </w:t>
      </w:r>
      <w:r w:rsidRPr="00872CCB">
        <w:t xml:space="preserve">v sodelovanju s takratnim Centrom Vlade za informatiko vzpostavila distribucijsko okolje (DO) geodetske službe, ki se sedaj nahaja </w:t>
      </w:r>
      <w:r>
        <w:t>znotraj</w:t>
      </w:r>
      <w:r w:rsidRPr="00872CCB">
        <w:t xml:space="preserve"> skupne informacijske infrastrukture Ministrstva za javno upravo (MJU). Distribucijsko okolje uporabljajo različni uporabniki</w:t>
      </w:r>
      <w:r>
        <w:t>,</w:t>
      </w:r>
      <w:r w:rsidRPr="00872CCB">
        <w:t xml:space="preserve"> od splošne javnosti do državnih organov, med zadnjimi tudi ožje Ministrstvo za okolje in prostor (MOP) kot vir podatkov za storitve informativnega vpogleda, skupnega prikaza stanja prostora in sistema za evidentiranje upravnih aktov na področju graditve ter za namen distribucije podatkov iz produkcijskih sistemov (upravni akti na področju graditve, prostorski akti). V okviru programa projektov </w:t>
      </w:r>
      <w:proofErr w:type="spellStart"/>
      <w:r w:rsidRPr="00872CCB">
        <w:t>eProstor</w:t>
      </w:r>
      <w:proofErr w:type="spellEnd"/>
      <w:r w:rsidRPr="00872CCB">
        <w:t xml:space="preserve"> se izvaja tehnološka in vsebinska prenova distribucijskega sistema. </w:t>
      </w:r>
      <w:r>
        <w:t>S</w:t>
      </w:r>
      <w:r w:rsidRPr="00872CCB">
        <w:t xml:space="preserve"> t</w:t>
      </w:r>
      <w:r>
        <w:t>em</w:t>
      </w:r>
      <w:r w:rsidRPr="00872CCB">
        <w:t xml:space="preserve"> namen</w:t>
      </w:r>
      <w:r>
        <w:t>om</w:t>
      </w:r>
      <w:r w:rsidRPr="00872CCB">
        <w:t xml:space="preserve"> sta bili v letu 2020 podpisani </w:t>
      </w:r>
      <w:r w:rsidRPr="00872CCB">
        <w:rPr>
          <w:rFonts w:cs="Tahoma"/>
        </w:rPr>
        <w:t>pogodbi za sklop 1- Infrastruktura za prostorske podatke in sklop 2 - Portali ter za oba sklopa izdelana projekta za izvedbo.</w:t>
      </w:r>
    </w:p>
    <w:p w14:paraId="1F442BBC" w14:textId="77777777" w:rsidR="009A362F" w:rsidRPr="00872CCB" w:rsidRDefault="009A362F" w:rsidP="009A362F">
      <w:pPr>
        <w:rPr>
          <w:rFonts w:cs="Tahoma"/>
        </w:rPr>
      </w:pPr>
    </w:p>
    <w:p w14:paraId="154E8A17" w14:textId="77777777" w:rsidR="009A362F" w:rsidRDefault="009A362F" w:rsidP="009A362F">
      <w:r w:rsidRPr="00872CCB">
        <w:t xml:space="preserve">V letu 2021 se je opravila večina del </w:t>
      </w:r>
      <w:r>
        <w:t>pri</w:t>
      </w:r>
      <w:r w:rsidRPr="00872CCB">
        <w:t xml:space="preserve"> prenovi portala Prostor in vsebinski združitvi portalov </w:t>
      </w:r>
      <w:proofErr w:type="spellStart"/>
      <w:r w:rsidRPr="00872CCB">
        <w:t>eProstor</w:t>
      </w:r>
      <w:proofErr w:type="spellEnd"/>
      <w:r w:rsidRPr="00872CCB">
        <w:t xml:space="preserve">, UMVN in </w:t>
      </w:r>
      <w:proofErr w:type="spellStart"/>
      <w:r w:rsidRPr="00872CCB">
        <w:t>Geoportal</w:t>
      </w:r>
      <w:proofErr w:type="spellEnd"/>
      <w:r w:rsidRPr="00872CCB">
        <w:t xml:space="preserve"> v</w:t>
      </w:r>
      <w:r>
        <w:t xml:space="preserve"> </w:t>
      </w:r>
      <w:r w:rsidRPr="00872CCB">
        <w:t xml:space="preserve">enotni portal. Izvedena je bila namestitev v testno okolje naročnika in sklenjen časovni aneks za dokončanje naloge skladno s podaljšanjem celotnega programa projektov. Časovni aneks je bil sklenjen tudi </w:t>
      </w:r>
      <w:r>
        <w:t>pri</w:t>
      </w:r>
      <w:r w:rsidRPr="00872CCB">
        <w:t xml:space="preserve"> pogodbi Distribucijsko okolje za sklop 1</w:t>
      </w:r>
      <w:bookmarkStart w:id="13" w:name="_Hlk72930950"/>
      <w:r>
        <w:t xml:space="preserve"> - </w:t>
      </w:r>
      <w:r w:rsidRPr="00872CCB">
        <w:t>Infrastruktura za prostorske podatke</w:t>
      </w:r>
      <w:bookmarkEnd w:id="13"/>
      <w:r w:rsidRPr="00872CCB">
        <w:t xml:space="preserve">. </w:t>
      </w:r>
      <w:r>
        <w:t>Pri tej</w:t>
      </w:r>
      <w:r w:rsidRPr="00872CCB">
        <w:t xml:space="preserve"> nalogi so se </w:t>
      </w:r>
      <w:r>
        <w:t xml:space="preserve">celo leto </w:t>
      </w:r>
      <w:r w:rsidRPr="00872CCB">
        <w:t>izvajale razvojne aktivnosti tekom</w:t>
      </w:r>
      <w:r>
        <w:t xml:space="preserve"> </w:t>
      </w:r>
      <w:r w:rsidRPr="00872CCB">
        <w:t>in namestitev v okolja.</w:t>
      </w:r>
    </w:p>
    <w:p w14:paraId="01145014" w14:textId="77777777" w:rsidR="009A362F" w:rsidRDefault="009A362F" w:rsidP="009A362F"/>
    <w:p w14:paraId="45C86B79" w14:textId="0350B9D4" w:rsidR="009A362F" w:rsidRDefault="009A362F" w:rsidP="009A362F">
      <w:pPr>
        <w:rPr>
          <w:rFonts w:cs="Tahoma"/>
        </w:rPr>
      </w:pPr>
      <w:r w:rsidRPr="00872CCB">
        <w:t xml:space="preserve">V letu 2021 je bil o zaključeno javno naročilo in podpisana pogodba </w:t>
      </w:r>
      <w:r>
        <w:t>za</w:t>
      </w:r>
      <w:r w:rsidRPr="00872CCB">
        <w:t xml:space="preserve"> Opredelitev smernic za zagotavljanje skladnosti informacijskih sistemov in sistema kakovosti in kontrola kakovosti v okviru projekta </w:t>
      </w:r>
      <w:proofErr w:type="spellStart"/>
      <w:r w:rsidRPr="00872CCB">
        <w:t>eProstor</w:t>
      </w:r>
      <w:proofErr w:type="spellEnd"/>
      <w:r>
        <w:t>.</w:t>
      </w:r>
    </w:p>
    <w:p w14:paraId="6FCA6B63" w14:textId="4386A6C8" w:rsidR="00EE0CC1" w:rsidRPr="00556C32" w:rsidRDefault="00EE0CC1" w:rsidP="00572CC1">
      <w:pPr>
        <w:rPr>
          <w:rFonts w:cs="Open Sans"/>
        </w:rPr>
      </w:pPr>
    </w:p>
    <w:p w14:paraId="24CF6249" w14:textId="77777777" w:rsidR="00572CC1" w:rsidRPr="00556C32" w:rsidRDefault="00572CC1" w:rsidP="00572CC1">
      <w:pPr>
        <w:rPr>
          <w:rFonts w:cs="Open Sans"/>
          <w:color w:val="7F7F7F" w:themeColor="text1" w:themeTint="80"/>
        </w:rPr>
      </w:pPr>
    </w:p>
    <w:p w14:paraId="42FA4D6E" w14:textId="7009B9BF" w:rsidR="00572CC1" w:rsidRPr="00556C32" w:rsidDel="00FB10ED" w:rsidRDefault="00572CC1" w:rsidP="00F567E9">
      <w:pPr>
        <w:pBdr>
          <w:top w:val="single" w:sz="4" w:space="1" w:color="auto"/>
          <w:left w:val="single" w:sz="4" w:space="4" w:color="auto"/>
          <w:bottom w:val="single" w:sz="4" w:space="1" w:color="auto"/>
          <w:right w:val="single" w:sz="4" w:space="4" w:color="auto"/>
        </w:pBdr>
        <w:rPr>
          <w:rFonts w:cs="Open Sans"/>
        </w:rPr>
      </w:pPr>
      <w:r w:rsidRPr="00556C32" w:rsidDel="00FB10ED">
        <w:rPr>
          <w:rFonts w:cs="Open Sans"/>
        </w:rPr>
        <w:t>(</w:t>
      </w:r>
      <w:r w:rsidR="007763E3" w:rsidRPr="00556C32">
        <w:rPr>
          <w:rFonts w:cs="Open Sans"/>
        </w:rPr>
        <w:t>V</w:t>
      </w:r>
      <w:r w:rsidRPr="00556C32" w:rsidDel="00FB10ED">
        <w:rPr>
          <w:rFonts w:cs="Open Sans"/>
        </w:rPr>
        <w:t>ir podatkov: konec leta 202</w:t>
      </w:r>
      <w:r w:rsidR="009A362F">
        <w:rPr>
          <w:rFonts w:cs="Open Sans"/>
        </w:rPr>
        <w:t>1</w:t>
      </w:r>
      <w:r w:rsidRPr="00556C32" w:rsidDel="00FB10ED">
        <w:rPr>
          <w:rFonts w:cs="Open Sans"/>
        </w:rPr>
        <w:t>)</w:t>
      </w:r>
    </w:p>
    <w:p w14:paraId="177956AC" w14:textId="50D77043" w:rsidR="00572CC1" w:rsidRPr="00556C32" w:rsidDel="00FB10ED" w:rsidRDefault="00572CC1" w:rsidP="00F567E9">
      <w:pPr>
        <w:pBdr>
          <w:top w:val="single" w:sz="4" w:space="1" w:color="auto"/>
          <w:left w:val="single" w:sz="4" w:space="4" w:color="auto"/>
          <w:bottom w:val="single" w:sz="4" w:space="1" w:color="auto"/>
          <w:right w:val="single" w:sz="4" w:space="4" w:color="auto"/>
        </w:pBdr>
        <w:rPr>
          <w:rFonts w:cs="Open Sans"/>
        </w:rPr>
      </w:pPr>
      <w:r w:rsidRPr="00556C32" w:rsidDel="00FB10ED">
        <w:rPr>
          <w:rFonts w:cs="Open Sans"/>
          <w:b/>
          <w:bCs/>
          <w:sz w:val="32"/>
          <w:szCs w:val="32"/>
        </w:rPr>
        <w:t>9</w:t>
      </w:r>
      <w:r w:rsidR="009A362F">
        <w:rPr>
          <w:rFonts w:cs="Open Sans"/>
          <w:b/>
          <w:bCs/>
          <w:sz w:val="32"/>
          <w:szCs w:val="32"/>
        </w:rPr>
        <w:t>1</w:t>
      </w:r>
      <w:r w:rsidRPr="00556C32" w:rsidDel="00FB10ED">
        <w:rPr>
          <w:rFonts w:cs="Open Sans"/>
        </w:rPr>
        <w:t xml:space="preserve"> zbirk prostorskih podatkov imamo v RS skladnih z direktivo INSPIRE.</w:t>
      </w:r>
    </w:p>
    <w:p w14:paraId="24FEB291" w14:textId="492D762A" w:rsidR="00572CC1" w:rsidRPr="00556C32" w:rsidDel="00FB10ED" w:rsidRDefault="009A362F" w:rsidP="00F567E9">
      <w:pPr>
        <w:pBdr>
          <w:top w:val="single" w:sz="4" w:space="1" w:color="auto"/>
          <w:left w:val="single" w:sz="4" w:space="4" w:color="auto"/>
          <w:bottom w:val="single" w:sz="4" w:space="1" w:color="auto"/>
          <w:right w:val="single" w:sz="4" w:space="4" w:color="auto"/>
        </w:pBdr>
        <w:rPr>
          <w:rFonts w:cs="Open Sans"/>
        </w:rPr>
      </w:pPr>
      <w:r>
        <w:rPr>
          <w:rFonts w:cs="Open Sans"/>
          <w:b/>
          <w:bCs/>
          <w:sz w:val="32"/>
          <w:szCs w:val="32"/>
        </w:rPr>
        <w:t>125</w:t>
      </w:r>
      <w:r w:rsidR="00572CC1" w:rsidRPr="00556C32" w:rsidDel="00FB10ED">
        <w:rPr>
          <w:rFonts w:cs="Open Sans"/>
        </w:rPr>
        <w:t xml:space="preserve"> </w:t>
      </w:r>
      <w:r w:rsidRPr="009A362F">
        <w:rPr>
          <w:rFonts w:cs="Open Sans"/>
        </w:rPr>
        <w:t>spletnih servisov za vpogled in prenos prostorskih podatkov, ki so skladni z direktivo INSPIRE, je bilo operativnih v letu 2021</w:t>
      </w:r>
      <w:r w:rsidR="00572CC1" w:rsidRPr="00556C32" w:rsidDel="00FB10ED">
        <w:rPr>
          <w:rFonts w:cs="Open Sans"/>
        </w:rPr>
        <w:t>.</w:t>
      </w:r>
    </w:p>
    <w:p w14:paraId="5A153359" w14:textId="1D536B0F" w:rsidR="00572CC1" w:rsidRPr="00556C32" w:rsidRDefault="00572CC1" w:rsidP="00572CC1">
      <w:pPr>
        <w:rPr>
          <w:rFonts w:cs="Open Sans"/>
        </w:rPr>
      </w:pPr>
    </w:p>
    <w:p w14:paraId="243EF345" w14:textId="77777777" w:rsidR="00EE0CC1" w:rsidRPr="00556C32" w:rsidRDefault="00EE0CC1" w:rsidP="00572CC1">
      <w:pPr>
        <w:rPr>
          <w:rFonts w:cs="Open Sans"/>
        </w:rPr>
      </w:pPr>
    </w:p>
    <w:p w14:paraId="5FE4E337" w14:textId="3DD36006" w:rsidR="00273A7D" w:rsidRPr="00556C32" w:rsidRDefault="00CD0E5D" w:rsidP="00572CC1">
      <w:pPr>
        <w:pStyle w:val="Heading2"/>
        <w:rPr>
          <w:rFonts w:cs="Open Sans"/>
        </w:rPr>
      </w:pPr>
      <w:r w:rsidRPr="00556C32">
        <w:rPr>
          <w:rFonts w:cs="Open Sans"/>
        </w:rPr>
        <w:br w:type="column"/>
      </w:r>
      <w:bookmarkStart w:id="14" w:name="_Toc104471894"/>
      <w:r w:rsidR="00273A7D" w:rsidRPr="00556C32">
        <w:rPr>
          <w:rFonts w:cs="Open Sans"/>
        </w:rPr>
        <w:lastRenderedPageBreak/>
        <w:t>INFORMACIJSKA PRENOVA NEPREMIČNINSKIH EVIDENC</w:t>
      </w:r>
      <w:bookmarkEnd w:id="14"/>
    </w:p>
    <w:p w14:paraId="6AEDAFC9" w14:textId="77777777" w:rsidR="00273A7D" w:rsidRPr="00556C32" w:rsidRDefault="00273A7D" w:rsidP="00273A7D">
      <w:pPr>
        <w:rPr>
          <w:rFonts w:cs="Open Sans"/>
        </w:rPr>
      </w:pPr>
    </w:p>
    <w:p w14:paraId="74ECA56F" w14:textId="77777777" w:rsidR="00672227" w:rsidRDefault="00672227" w:rsidP="00672227">
      <w:pPr>
        <w:rPr>
          <w:shd w:val="clear" w:color="auto" w:fill="FFFFFF"/>
        </w:rPr>
      </w:pPr>
      <w:r w:rsidRPr="00872CCB">
        <w:t>Cilj projekta je informacijska prenova nepremičninskih evidenc Geodetske uprave RS in s tem</w:t>
      </w:r>
      <w:r w:rsidRPr="00872CCB">
        <w:rPr>
          <w:shd w:val="clear" w:color="auto" w:fill="FFFFFF"/>
        </w:rPr>
        <w:t xml:space="preserve"> vzpostavitev enotne informacijske rešitve, ki bo omogočala sodobno delovanje nepremičninskega sistema in bo predstavljala enotno osnovno državno prostorsko infrastrukturo. S tem bo vzpostavljena enotna platforma</w:t>
      </w:r>
      <w:r>
        <w:rPr>
          <w:shd w:val="clear" w:color="auto" w:fill="FFFFFF"/>
        </w:rPr>
        <w:t xml:space="preserve"> z</w:t>
      </w:r>
      <w:r w:rsidRPr="00872CCB">
        <w:rPr>
          <w:shd w:val="clear" w:color="auto" w:fill="FFFFFF"/>
        </w:rPr>
        <w:t xml:space="preserve"> enotn</w:t>
      </w:r>
      <w:r>
        <w:rPr>
          <w:shd w:val="clear" w:color="auto" w:fill="FFFFFF"/>
        </w:rPr>
        <w:t>o</w:t>
      </w:r>
      <w:r w:rsidRPr="00872CCB">
        <w:rPr>
          <w:shd w:val="clear" w:color="auto" w:fill="FFFFFF"/>
        </w:rPr>
        <w:t xml:space="preserve"> vstopn</w:t>
      </w:r>
      <w:r>
        <w:rPr>
          <w:shd w:val="clear" w:color="auto" w:fill="FFFFFF"/>
        </w:rPr>
        <w:t>o</w:t>
      </w:r>
      <w:r w:rsidRPr="00872CCB">
        <w:rPr>
          <w:shd w:val="clear" w:color="auto" w:fill="FFFFFF"/>
        </w:rPr>
        <w:t xml:space="preserve"> točk</w:t>
      </w:r>
      <w:r>
        <w:rPr>
          <w:shd w:val="clear" w:color="auto" w:fill="FFFFFF"/>
        </w:rPr>
        <w:t>o</w:t>
      </w:r>
      <w:r w:rsidRPr="00872CCB">
        <w:rPr>
          <w:shd w:val="clear" w:color="auto" w:fill="FFFFFF"/>
        </w:rPr>
        <w:t xml:space="preserve">, preko katere bo potekala komunikacija med Geodetsko upravo RS in gospodarstvom oz. izvajalci geodetskih storitev. Zagotovljena bo povezava z drugimi sistemi v državi preko identifikatorjev nepremičnin (PIS, </w:t>
      </w:r>
      <w:proofErr w:type="spellStart"/>
      <w:r w:rsidRPr="00872CCB">
        <w:rPr>
          <w:shd w:val="clear" w:color="auto" w:fill="FFFFFF"/>
        </w:rPr>
        <w:t>eUprava</w:t>
      </w:r>
      <w:proofErr w:type="spellEnd"/>
      <w:r w:rsidRPr="00872CCB">
        <w:rPr>
          <w:shd w:val="clear" w:color="auto" w:fill="FFFFFF"/>
        </w:rPr>
        <w:t>, zemljiška knjiga, PRS, centralni register prebivalstva</w:t>
      </w:r>
      <w:r>
        <w:rPr>
          <w:shd w:val="clear" w:color="auto" w:fill="FFFFFF"/>
        </w:rPr>
        <w:t xml:space="preserve"> </w:t>
      </w:r>
      <w:r w:rsidRPr="00872CCB">
        <w:rPr>
          <w:shd w:val="clear" w:color="auto" w:fill="FFFFFF"/>
        </w:rPr>
        <w:t>…), omogočen bo elektronski način poslovanja</w:t>
      </w:r>
      <w:r>
        <w:rPr>
          <w:shd w:val="clear" w:color="auto" w:fill="FFFFFF"/>
        </w:rPr>
        <w:t>,</w:t>
      </w:r>
      <w:r w:rsidRPr="00872CCB">
        <w:rPr>
          <w:shd w:val="clear" w:color="auto" w:fill="FFFFFF"/>
        </w:rPr>
        <w:t xml:space="preserve"> odpravljene</w:t>
      </w:r>
      <w:r>
        <w:rPr>
          <w:shd w:val="clear" w:color="auto" w:fill="FFFFFF"/>
        </w:rPr>
        <w:t xml:space="preserve"> bodo</w:t>
      </w:r>
      <w:r w:rsidRPr="00872CCB">
        <w:rPr>
          <w:shd w:val="clear" w:color="auto" w:fill="FFFFFF"/>
        </w:rPr>
        <w:t xml:space="preserve"> številne administrativne ovire</w:t>
      </w:r>
      <w:r w:rsidRPr="009E2A87">
        <w:rPr>
          <w:shd w:val="clear" w:color="auto" w:fill="FFFFFF"/>
        </w:rPr>
        <w:t>.</w:t>
      </w:r>
      <w:r>
        <w:rPr>
          <w:shd w:val="clear" w:color="auto" w:fill="FFFFFF"/>
        </w:rPr>
        <w:t xml:space="preserve"> </w:t>
      </w:r>
    </w:p>
    <w:p w14:paraId="5E7EB9CC" w14:textId="77777777" w:rsidR="00273A7D" w:rsidRPr="00556C32" w:rsidRDefault="00273A7D" w:rsidP="00273A7D">
      <w:pPr>
        <w:rPr>
          <w:rFonts w:cs="Open Sans"/>
        </w:rPr>
      </w:pPr>
    </w:p>
    <w:p w14:paraId="41FABD53" w14:textId="2E19D973" w:rsidR="00EA50FF" w:rsidRPr="00556C32" w:rsidRDefault="00EA50FF" w:rsidP="00273A7D">
      <w:pPr>
        <w:rPr>
          <w:rFonts w:cs="Open Sans"/>
        </w:rPr>
      </w:pPr>
      <w:r w:rsidRPr="00FC239A">
        <w:rPr>
          <w:rFonts w:cs="Open Sans"/>
          <w:b/>
          <w:bCs/>
        </w:rPr>
        <w:t>Cilji informacijske prenove nepremičninskih evidenc</w:t>
      </w:r>
      <w:r w:rsidRPr="00556C32">
        <w:rPr>
          <w:rFonts w:cs="Open Sans"/>
        </w:rPr>
        <w:t xml:space="preserve"> so:</w:t>
      </w:r>
    </w:p>
    <w:p w14:paraId="2B4304A9" w14:textId="488D0535" w:rsidR="00273A7D" w:rsidRPr="00556C32" w:rsidRDefault="00EA50FF" w:rsidP="00EA50FF">
      <w:pPr>
        <w:pStyle w:val="ListParagraph"/>
        <w:numPr>
          <w:ilvl w:val="0"/>
          <w:numId w:val="9"/>
        </w:numPr>
        <w:rPr>
          <w:rFonts w:cs="Open Sans"/>
        </w:rPr>
      </w:pPr>
      <w:r w:rsidRPr="00556C32">
        <w:rPr>
          <w:rFonts w:cs="Open Sans"/>
        </w:rPr>
        <w:t>enotna informacijska rešitev (IR kataster),</w:t>
      </w:r>
    </w:p>
    <w:p w14:paraId="4814D986" w14:textId="59AB70C2" w:rsidR="00EA50FF" w:rsidRPr="00556C32" w:rsidRDefault="00EA50FF" w:rsidP="00EA50FF">
      <w:pPr>
        <w:pStyle w:val="ListParagraph"/>
        <w:numPr>
          <w:ilvl w:val="0"/>
          <w:numId w:val="9"/>
        </w:numPr>
        <w:rPr>
          <w:rFonts w:cs="Open Sans"/>
        </w:rPr>
      </w:pPr>
      <w:r w:rsidRPr="00556C32">
        <w:rPr>
          <w:rFonts w:cs="Open Sans"/>
        </w:rPr>
        <w:t>enotna vstopna točka za komunikacijo med vsemi uporabniki,</w:t>
      </w:r>
    </w:p>
    <w:p w14:paraId="0E87F26F" w14:textId="2111A7DB" w:rsidR="00EA50FF" w:rsidRPr="00556C32" w:rsidRDefault="00EA50FF" w:rsidP="00EA50FF">
      <w:pPr>
        <w:pStyle w:val="ListParagraph"/>
        <w:numPr>
          <w:ilvl w:val="0"/>
          <w:numId w:val="9"/>
        </w:numPr>
        <w:rPr>
          <w:rFonts w:cs="Open Sans"/>
        </w:rPr>
      </w:pPr>
      <w:r w:rsidRPr="00556C32">
        <w:rPr>
          <w:rFonts w:cs="Open Sans"/>
        </w:rPr>
        <w:t>elektronska oddaja vseh elaboratov – predlogov sprememb,</w:t>
      </w:r>
    </w:p>
    <w:p w14:paraId="70A86FB6" w14:textId="3D614D2F" w:rsidR="00EA50FF" w:rsidRPr="00556C32" w:rsidRDefault="00EA50FF" w:rsidP="00EA50FF">
      <w:pPr>
        <w:pStyle w:val="ListParagraph"/>
        <w:numPr>
          <w:ilvl w:val="0"/>
          <w:numId w:val="9"/>
        </w:numPr>
        <w:rPr>
          <w:rFonts w:cs="Open Sans"/>
        </w:rPr>
      </w:pPr>
      <w:r w:rsidRPr="00556C32">
        <w:rPr>
          <w:rFonts w:cs="Open Sans"/>
        </w:rPr>
        <w:t>kontrola elaboratov v vseh fazah spreminjanja podatkov,</w:t>
      </w:r>
    </w:p>
    <w:p w14:paraId="48DA2997" w14:textId="58DAC8A2" w:rsidR="00EA50FF" w:rsidRPr="00556C32" w:rsidRDefault="00EA50FF" w:rsidP="00EA50FF">
      <w:pPr>
        <w:pStyle w:val="ListParagraph"/>
        <w:numPr>
          <w:ilvl w:val="0"/>
          <w:numId w:val="9"/>
        </w:numPr>
        <w:rPr>
          <w:rFonts w:cs="Open Sans"/>
        </w:rPr>
      </w:pPr>
      <w:r w:rsidRPr="00556C32">
        <w:rPr>
          <w:rFonts w:cs="Open Sans"/>
        </w:rPr>
        <w:t>povezava z drugimi informacijskimi sistemi,</w:t>
      </w:r>
    </w:p>
    <w:p w14:paraId="0F769163" w14:textId="5C4FD068" w:rsidR="00EA50FF" w:rsidRPr="00556C32" w:rsidRDefault="00EA50FF" w:rsidP="00EA50FF">
      <w:pPr>
        <w:pStyle w:val="ListParagraph"/>
        <w:numPr>
          <w:ilvl w:val="0"/>
          <w:numId w:val="9"/>
        </w:numPr>
        <w:rPr>
          <w:rFonts w:cs="Open Sans"/>
        </w:rPr>
      </w:pPr>
      <w:r w:rsidRPr="00556C32">
        <w:rPr>
          <w:rFonts w:cs="Open Sans"/>
        </w:rPr>
        <w:t>elektronsko poslovanje med akterji in uporabniki sistema,</w:t>
      </w:r>
    </w:p>
    <w:p w14:paraId="58240423" w14:textId="7CFB12A6" w:rsidR="00EA50FF" w:rsidRPr="00556C32" w:rsidRDefault="00EA50FF" w:rsidP="00EA50FF">
      <w:pPr>
        <w:pStyle w:val="ListParagraph"/>
        <w:numPr>
          <w:ilvl w:val="0"/>
          <w:numId w:val="9"/>
        </w:numPr>
        <w:rPr>
          <w:rFonts w:cs="Open Sans"/>
        </w:rPr>
      </w:pPr>
      <w:r w:rsidRPr="00556C32">
        <w:rPr>
          <w:rFonts w:cs="Open Sans"/>
        </w:rPr>
        <w:t>optimizacija in enoten način vzdrževanja podatkov in vodenja postopkov.</w:t>
      </w:r>
    </w:p>
    <w:p w14:paraId="2E4E6D9B" w14:textId="77777777" w:rsidR="00EA50FF" w:rsidRPr="00556C32" w:rsidRDefault="00EA50FF" w:rsidP="00273A7D">
      <w:pPr>
        <w:rPr>
          <w:rFonts w:cs="Open Sans"/>
        </w:rPr>
      </w:pPr>
    </w:p>
    <w:p w14:paraId="2C2DA9B6" w14:textId="77777777" w:rsidR="00672227" w:rsidRPr="00872CCB" w:rsidRDefault="00672227" w:rsidP="00672227">
      <w:r w:rsidRPr="00872CCB">
        <w:t xml:space="preserve">Tudi v letu 2021 so se v okviru pogodbe za financiranje nalog javnega pooblastila in za financiranje nalog javne službe izvajale razvojno tehnične naloge </w:t>
      </w:r>
      <w:r>
        <w:t>za</w:t>
      </w:r>
      <w:r w:rsidRPr="00872CCB">
        <w:t xml:space="preserve"> informacijsk</w:t>
      </w:r>
      <w:r>
        <w:t>o</w:t>
      </w:r>
      <w:r w:rsidRPr="00872CCB">
        <w:t xml:space="preserve"> prenov</w:t>
      </w:r>
      <w:r>
        <w:t>o</w:t>
      </w:r>
      <w:r w:rsidRPr="00872CCB">
        <w:t xml:space="preserve"> nepremičninskih evidenc, v okviru katerih so se urejali podatki za </w:t>
      </w:r>
      <w:r>
        <w:t>prenos</w:t>
      </w:r>
      <w:r w:rsidRPr="00872CCB">
        <w:t xml:space="preserve"> v nov podatkovni sistem, izvajale periodične migracije podatkov ter spremljanje in nadzor del informacijske prenove nepremičninskih evidenc.</w:t>
      </w:r>
    </w:p>
    <w:p w14:paraId="6ED485F7" w14:textId="77777777" w:rsidR="00672227" w:rsidRPr="00872CCB" w:rsidRDefault="00672227" w:rsidP="00672227"/>
    <w:p w14:paraId="6A244AED" w14:textId="77777777" w:rsidR="00672227" w:rsidRPr="00872CCB" w:rsidRDefault="00672227" w:rsidP="00672227">
      <w:pPr>
        <w:autoSpaceDE w:val="0"/>
        <w:autoSpaceDN w:val="0"/>
        <w:adjustRightInd w:val="0"/>
        <w:spacing w:before="120" w:after="120"/>
        <w:rPr>
          <w:rFonts w:cs="Tahoma"/>
        </w:rPr>
      </w:pPr>
      <w:r w:rsidRPr="00872CCB">
        <w:t xml:space="preserve">Razvita aplikativna rešitev </w:t>
      </w:r>
      <w:r>
        <w:t>IS</w:t>
      </w:r>
      <w:r w:rsidRPr="00872CCB">
        <w:t xml:space="preserve"> </w:t>
      </w:r>
      <w:r>
        <w:t>K</w:t>
      </w:r>
      <w:r w:rsidRPr="00872CCB">
        <w:t xml:space="preserve">ataster, ki vključuje dva vsebinska modula (IR </w:t>
      </w:r>
      <w:r>
        <w:t>K</w:t>
      </w:r>
      <w:r w:rsidRPr="00872CCB">
        <w:t xml:space="preserve">ataster in IR </w:t>
      </w:r>
      <w:r>
        <w:t>D</w:t>
      </w:r>
      <w:r w:rsidRPr="00872CCB">
        <w:t xml:space="preserve">elovodnik), se je dopolnjevala </w:t>
      </w:r>
      <w:r w:rsidRPr="00342850">
        <w:rPr>
          <w:rFonts w:cs="Tahoma"/>
        </w:rPr>
        <w:t xml:space="preserve">s servisi za povezavo na zunanje sisteme izmenjave podatkov (CRP, PRS, zemljiška knjiga) in z uporabo </w:t>
      </w:r>
      <w:proofErr w:type="spellStart"/>
      <w:r w:rsidRPr="00342850">
        <w:rPr>
          <w:rFonts w:cs="Tahoma"/>
        </w:rPr>
        <w:t>mikrostoritev</w:t>
      </w:r>
      <w:proofErr w:type="spellEnd"/>
      <w:r w:rsidRPr="00342850">
        <w:rPr>
          <w:rFonts w:cs="Tahoma"/>
        </w:rPr>
        <w:t xml:space="preserve"> informacijsk</w:t>
      </w:r>
      <w:r w:rsidRPr="009F00FE">
        <w:rPr>
          <w:rFonts w:cs="Tahoma"/>
        </w:rPr>
        <w:t>e</w:t>
      </w:r>
      <w:r w:rsidRPr="00342850">
        <w:rPr>
          <w:rFonts w:cs="Tahoma"/>
        </w:rPr>
        <w:t xml:space="preserve"> rešitve za</w:t>
      </w:r>
      <w:r w:rsidRPr="00872CCB">
        <w:rPr>
          <w:rFonts w:cs="Tahoma"/>
        </w:rPr>
        <w:t xml:space="preserve"> pisarniško poslovanj</w:t>
      </w:r>
      <w:r>
        <w:rPr>
          <w:rFonts w:cs="Tahoma"/>
        </w:rPr>
        <w:t>e</w:t>
      </w:r>
      <w:r w:rsidRPr="00872CCB">
        <w:rPr>
          <w:rFonts w:cs="Tahoma"/>
        </w:rPr>
        <w:t xml:space="preserve"> (IS Krpan) ter s sistemom za shranjevanje dokumentov v arhivu.</w:t>
      </w:r>
    </w:p>
    <w:p w14:paraId="0D5B67CD" w14:textId="77777777" w:rsidR="00672227" w:rsidRPr="00872CCB" w:rsidRDefault="00672227" w:rsidP="00672227"/>
    <w:p w14:paraId="06A9E710" w14:textId="77777777" w:rsidR="00672227" w:rsidRPr="00872CCB" w:rsidRDefault="00672227" w:rsidP="00672227">
      <w:pPr>
        <w:rPr>
          <w:rFonts w:cs="Tahoma"/>
        </w:rPr>
      </w:pPr>
      <w:r w:rsidRPr="00872CCB">
        <w:rPr>
          <w:rFonts w:cs="Tahoma"/>
        </w:rPr>
        <w:t xml:space="preserve">Na področju implementacije prenovljenega sistema nepremičninskih evidenc je izvajalec naloge sodeloval z izdelovalci aplikativne rešitve IS </w:t>
      </w:r>
      <w:r>
        <w:rPr>
          <w:rFonts w:cs="Tahoma"/>
        </w:rPr>
        <w:t>K</w:t>
      </w:r>
      <w:r w:rsidRPr="00872CCB">
        <w:rPr>
          <w:rFonts w:cs="Tahoma"/>
        </w:rPr>
        <w:t xml:space="preserve">ataster </w:t>
      </w:r>
      <w:r>
        <w:rPr>
          <w:rFonts w:cs="Tahoma"/>
        </w:rPr>
        <w:t>za</w:t>
      </w:r>
      <w:r w:rsidRPr="00872CCB">
        <w:rPr>
          <w:rFonts w:cs="Tahoma"/>
        </w:rPr>
        <w:t xml:space="preserve"> potrebn</w:t>
      </w:r>
      <w:r>
        <w:rPr>
          <w:rFonts w:cs="Tahoma"/>
        </w:rPr>
        <w:t>e</w:t>
      </w:r>
      <w:r w:rsidRPr="00872CCB">
        <w:rPr>
          <w:rFonts w:cs="Tahoma"/>
        </w:rPr>
        <w:t xml:space="preserve"> dopolnit</w:t>
      </w:r>
      <w:r>
        <w:rPr>
          <w:rFonts w:cs="Tahoma"/>
        </w:rPr>
        <w:t>ve</w:t>
      </w:r>
      <w:r w:rsidRPr="00872CCB">
        <w:rPr>
          <w:rFonts w:cs="Tahoma"/>
        </w:rPr>
        <w:t xml:space="preserve"> in medsebojn</w:t>
      </w:r>
      <w:r>
        <w:rPr>
          <w:rFonts w:cs="Tahoma"/>
        </w:rPr>
        <w:t>e</w:t>
      </w:r>
      <w:r w:rsidRPr="00872CCB">
        <w:rPr>
          <w:rFonts w:cs="Tahoma"/>
        </w:rPr>
        <w:t xml:space="preserve"> povezav</w:t>
      </w:r>
      <w:r>
        <w:rPr>
          <w:rFonts w:cs="Tahoma"/>
        </w:rPr>
        <w:t>e</w:t>
      </w:r>
      <w:r w:rsidRPr="00872CCB">
        <w:rPr>
          <w:rFonts w:cs="Tahoma"/>
        </w:rPr>
        <w:t xml:space="preserve"> aplikativnih rešitev. Na osnovi izdelanih načrtov implementacije se je izvedel del izobraževanj uporabnikov.</w:t>
      </w:r>
    </w:p>
    <w:p w14:paraId="3F11FE25" w14:textId="77777777" w:rsidR="00672227" w:rsidRPr="00872CCB" w:rsidRDefault="00672227" w:rsidP="00672227">
      <w:pPr>
        <w:rPr>
          <w:rFonts w:cs="Tahoma"/>
        </w:rPr>
      </w:pPr>
      <w:r w:rsidRPr="00872CCB">
        <w:rPr>
          <w:rFonts w:cs="Tahoma"/>
        </w:rPr>
        <w:t xml:space="preserve">Izvedena je bila pilotna </w:t>
      </w:r>
      <w:proofErr w:type="spellStart"/>
      <w:r w:rsidRPr="00872CCB">
        <w:rPr>
          <w:rFonts w:cs="Tahoma"/>
        </w:rPr>
        <w:t>vektorizacija</w:t>
      </w:r>
      <w:proofErr w:type="spellEnd"/>
      <w:r w:rsidRPr="00872CCB">
        <w:rPr>
          <w:rFonts w:cs="Tahoma"/>
        </w:rPr>
        <w:t xml:space="preserve"> obstoječih etažnih načrtov, ki so sestavni del elaboratov za vpis stavb v kataster stavb in so bili izdelani v analogni obliki. </w:t>
      </w:r>
      <w:r>
        <w:rPr>
          <w:rFonts w:cs="Tahoma"/>
        </w:rPr>
        <w:t>I</w:t>
      </w:r>
      <w:r w:rsidRPr="00872CCB">
        <w:rPr>
          <w:rFonts w:cs="Tahoma"/>
        </w:rPr>
        <w:t>zvedena</w:t>
      </w:r>
      <w:r>
        <w:rPr>
          <w:rFonts w:cs="Tahoma"/>
        </w:rPr>
        <w:t xml:space="preserve"> je bila </w:t>
      </w:r>
      <w:proofErr w:type="spellStart"/>
      <w:r>
        <w:rPr>
          <w:rFonts w:cs="Tahoma"/>
        </w:rPr>
        <w:t>v</w:t>
      </w:r>
      <w:r w:rsidRPr="00872CCB">
        <w:rPr>
          <w:rFonts w:cs="Tahoma"/>
        </w:rPr>
        <w:t>ektorizacija</w:t>
      </w:r>
      <w:proofErr w:type="spellEnd"/>
      <w:r w:rsidRPr="00872CCB">
        <w:rPr>
          <w:rFonts w:cs="Tahoma"/>
        </w:rPr>
        <w:t xml:space="preserve"> za etažne načrte 574 stavb.</w:t>
      </w:r>
    </w:p>
    <w:p w14:paraId="304FA729" w14:textId="77777777" w:rsidR="00672227" w:rsidRPr="00872CCB" w:rsidRDefault="00672227" w:rsidP="00672227"/>
    <w:p w14:paraId="7ACCA1F0" w14:textId="77777777" w:rsidR="00672227" w:rsidRPr="00872CCB" w:rsidRDefault="00672227" w:rsidP="00672227">
      <w:pPr>
        <w:rPr>
          <w:rFonts w:cs="Tahoma"/>
        </w:rPr>
      </w:pPr>
      <w:r w:rsidRPr="00872CCB">
        <w:rPr>
          <w:rFonts w:cs="Tahoma"/>
        </w:rPr>
        <w:lastRenderedPageBreak/>
        <w:t>Za področje gospodarske javne infrastrukture (GJI) se je na osnovi projekta za izvedbo izdela</w:t>
      </w:r>
      <w:r>
        <w:rPr>
          <w:rFonts w:cs="Tahoma"/>
        </w:rPr>
        <w:t>la</w:t>
      </w:r>
      <w:r w:rsidRPr="00872CCB">
        <w:rPr>
          <w:rFonts w:cs="Tahoma"/>
        </w:rPr>
        <w:t xml:space="preserve"> informacijsk</w:t>
      </w:r>
      <w:r>
        <w:rPr>
          <w:rFonts w:cs="Tahoma"/>
        </w:rPr>
        <w:t>a</w:t>
      </w:r>
      <w:r w:rsidRPr="00872CCB">
        <w:rPr>
          <w:rFonts w:cs="Tahoma"/>
        </w:rPr>
        <w:t xml:space="preserve"> rešit</w:t>
      </w:r>
      <w:r>
        <w:rPr>
          <w:rFonts w:cs="Tahoma"/>
        </w:rPr>
        <w:t>e</w:t>
      </w:r>
      <w:r w:rsidRPr="00872CCB">
        <w:rPr>
          <w:rFonts w:cs="Tahoma"/>
        </w:rPr>
        <w:t>v za vodenje in vzdrževanje podatkov zbirnega katastra gospodarske javne infrastrukture.</w:t>
      </w:r>
    </w:p>
    <w:p w14:paraId="176D706C" w14:textId="77777777" w:rsidR="00672227" w:rsidRPr="00872CCB" w:rsidRDefault="00672227" w:rsidP="00672227">
      <w:pPr>
        <w:autoSpaceDE w:val="0"/>
        <w:autoSpaceDN w:val="0"/>
        <w:adjustRightInd w:val="0"/>
        <w:spacing w:before="120" w:after="120"/>
        <w:rPr>
          <w:rFonts w:cs="Tahoma"/>
        </w:rPr>
      </w:pPr>
      <w:r>
        <w:rPr>
          <w:rFonts w:cs="Tahoma"/>
        </w:rPr>
        <w:t>I</w:t>
      </w:r>
      <w:r w:rsidRPr="00872CCB">
        <w:rPr>
          <w:rFonts w:cs="Tahoma"/>
        </w:rPr>
        <w:t>zdela</w:t>
      </w:r>
      <w:r>
        <w:rPr>
          <w:rFonts w:cs="Tahoma"/>
        </w:rPr>
        <w:t>le</w:t>
      </w:r>
      <w:r w:rsidRPr="00872CCB">
        <w:rPr>
          <w:rFonts w:cs="Tahoma"/>
        </w:rPr>
        <w:t xml:space="preserve"> in testira</w:t>
      </w:r>
      <w:r>
        <w:rPr>
          <w:rFonts w:cs="Tahoma"/>
        </w:rPr>
        <w:t>l</w:t>
      </w:r>
      <w:r w:rsidRPr="00872CCB">
        <w:rPr>
          <w:rFonts w:cs="Tahoma"/>
        </w:rPr>
        <w:t>e</w:t>
      </w:r>
      <w:r>
        <w:rPr>
          <w:rFonts w:cs="Tahoma"/>
        </w:rPr>
        <w:t xml:space="preserve"> so se</w:t>
      </w:r>
      <w:r w:rsidRPr="00872CCB">
        <w:rPr>
          <w:rFonts w:cs="Tahoma"/>
        </w:rPr>
        <w:t xml:space="preserve"> aplikativne rešitve za vodenje podatkov o državni meji.</w:t>
      </w:r>
    </w:p>
    <w:p w14:paraId="44F9F36F" w14:textId="71F9969E" w:rsidR="00273A7D" w:rsidRDefault="00672227" w:rsidP="00672227">
      <w:pPr>
        <w:rPr>
          <w:rFonts w:cs="Tahoma"/>
        </w:rPr>
      </w:pPr>
      <w:r w:rsidRPr="00872CCB">
        <w:rPr>
          <w:rFonts w:cs="Tahoma"/>
        </w:rPr>
        <w:t>Sprejet je bil Zakon o katastru nepremičnin</w:t>
      </w:r>
      <w:r>
        <w:rPr>
          <w:rFonts w:cs="Tahoma"/>
        </w:rPr>
        <w:t xml:space="preserve"> - ZKN</w:t>
      </w:r>
      <w:r w:rsidRPr="00872CCB">
        <w:rPr>
          <w:rFonts w:cs="Tahoma"/>
        </w:rPr>
        <w:t xml:space="preserve"> (Uradni list RS, št. 54/21). Prav tako je bila po izdelanih predlogih in izvedenem medresorskem usklajevanju, sprejeta večina z zakonom predpisanih podzakonskih predpisov</w:t>
      </w:r>
      <w:r>
        <w:rPr>
          <w:rFonts w:cs="Tahoma"/>
        </w:rPr>
        <w:t>.</w:t>
      </w:r>
    </w:p>
    <w:p w14:paraId="0F142BC1" w14:textId="13DF4470" w:rsidR="00672227" w:rsidRDefault="00672227" w:rsidP="00672227">
      <w:pPr>
        <w:rPr>
          <w:rFonts w:cs="Tahoma"/>
        </w:rPr>
      </w:pPr>
    </w:p>
    <w:p w14:paraId="77512E70" w14:textId="77777777" w:rsidR="00672227" w:rsidRPr="00556C32" w:rsidRDefault="00672227" w:rsidP="00672227">
      <w:pPr>
        <w:rPr>
          <w:rFonts w:cs="Open Sans"/>
        </w:rPr>
      </w:pPr>
    </w:p>
    <w:p w14:paraId="5395AB65" w14:textId="650DA83B" w:rsidR="00273A7D" w:rsidRPr="00556C32" w:rsidRDefault="00273A7D" w:rsidP="00273A7D">
      <w:pPr>
        <w:rPr>
          <w:rFonts w:cs="Open Sans"/>
        </w:rPr>
      </w:pPr>
    </w:p>
    <w:p w14:paraId="73ED1056" w14:textId="77777777" w:rsidR="00273A7D" w:rsidRPr="00556C32" w:rsidRDefault="00273A7D" w:rsidP="00273A7D">
      <w:pPr>
        <w:rPr>
          <w:rFonts w:cs="Open Sans"/>
        </w:rPr>
      </w:pPr>
    </w:p>
    <w:p w14:paraId="16F0BAC7" w14:textId="77777777" w:rsidR="00273A7D" w:rsidRPr="00556C32" w:rsidRDefault="00273A7D" w:rsidP="00273A7D">
      <w:pPr>
        <w:pStyle w:val="Heading2"/>
        <w:rPr>
          <w:rFonts w:cs="Open Sans"/>
        </w:rPr>
      </w:pPr>
      <w:r w:rsidRPr="00556C32">
        <w:rPr>
          <w:rFonts w:cs="Open Sans"/>
        </w:rPr>
        <w:br w:type="column"/>
      </w:r>
      <w:bookmarkStart w:id="15" w:name="_Toc104471895"/>
      <w:r w:rsidRPr="00556C32">
        <w:rPr>
          <w:rFonts w:cs="Open Sans"/>
        </w:rPr>
        <w:lastRenderedPageBreak/>
        <w:t>ZAJEM IN IZBOLJŠAVA PODATKOV</w:t>
      </w:r>
      <w:bookmarkEnd w:id="15"/>
    </w:p>
    <w:p w14:paraId="2C3A307F" w14:textId="77777777" w:rsidR="00273A7D" w:rsidRPr="00556C32" w:rsidRDefault="00273A7D" w:rsidP="00273A7D">
      <w:pPr>
        <w:rPr>
          <w:rFonts w:cs="Open Sans"/>
          <w:color w:val="7F7F7F" w:themeColor="text1" w:themeTint="80"/>
        </w:rPr>
      </w:pPr>
    </w:p>
    <w:p w14:paraId="72DB4418" w14:textId="77777777" w:rsidR="00672227" w:rsidRPr="00872CCB" w:rsidRDefault="00672227" w:rsidP="00672227">
      <w:r w:rsidRPr="00872CCB">
        <w:t>Večji del ciljev projekta je bil dosežen že v preteklih letih, ko je bilo izvedeno skeniranje arhiva zemljiškega katastra, katastra stavb, dokumentov arhiva državnih prostorskih aktov in prostorskega umeščanja podatkov arhiva državnih prostorskih aktov ter zaključena lokacijska izboljšava grafičnega dela zemljiškega katastra v vseh katastrskih občinah. Rezultati lokacijske izboljšave so za uporabnike podatkov izkazani v obliki zemljiškokatastrskega načrta. Podatki zemljiškokatastrskega načrta (podatki o mejah parcel) se v skladu s sprejetim Zakonom o katastru nepremičnin prevzemajo v novo evidenco katastr</w:t>
      </w:r>
      <w:r>
        <w:t>a</w:t>
      </w:r>
      <w:r w:rsidRPr="00872CCB">
        <w:t xml:space="preserve"> nepremičnin, ki nadomešča dosedanje evidence (zemljiški kataster, kataster stavb in register nepremičnin).</w:t>
      </w:r>
    </w:p>
    <w:p w14:paraId="60D04607" w14:textId="77777777" w:rsidR="00672227" w:rsidRPr="00872CCB" w:rsidRDefault="00672227" w:rsidP="00672227"/>
    <w:p w14:paraId="311B5761" w14:textId="77777777" w:rsidR="00672227" w:rsidRPr="00872CCB" w:rsidRDefault="00672227" w:rsidP="00672227">
      <w:pPr>
        <w:autoSpaceDE w:val="0"/>
        <w:autoSpaceDN w:val="0"/>
        <w:adjustRightInd w:val="0"/>
        <w:spacing w:before="120" w:after="120"/>
        <w:rPr>
          <w:rFonts w:cs="Tahoma"/>
        </w:rPr>
      </w:pPr>
      <w:r w:rsidRPr="00872CCB">
        <w:t xml:space="preserve">V letu 2021 se je </w:t>
      </w:r>
      <w:r w:rsidRPr="003E717B">
        <w:t>nadaljeval in zaključil še zajem podatkov o poseljenih zemljiščih, ki se je izvajal v</w:t>
      </w:r>
      <w:r w:rsidRPr="003E717B">
        <w:rPr>
          <w:rFonts w:cs="Tahoma"/>
        </w:rPr>
        <w:t xml:space="preserve"> sklopu naloge Masovnega zajema poseljenih zemljišč in dejanske rabe poseljenih zemljišč za 15 % pripadajočih</w:t>
      </w:r>
      <w:r w:rsidRPr="00872CCB">
        <w:rPr>
          <w:rFonts w:cs="Tahoma"/>
        </w:rPr>
        <w:t xml:space="preserve"> zemljišč v Sloveniji. Zajem podatkov je bil izveden na območju treh faz</w:t>
      </w:r>
      <w:r>
        <w:rPr>
          <w:rFonts w:cs="Tahoma"/>
        </w:rPr>
        <w:t>,</w:t>
      </w:r>
      <w:r w:rsidRPr="00872CCB">
        <w:rPr>
          <w:rFonts w:cs="Tahoma"/>
        </w:rPr>
        <w:t xml:space="preserve"> in sicer: del 9. faze (Gorenjska regija in del Osrednjeslovenske regije), del 10. faze (Goriška regija) in 11.</w:t>
      </w:r>
      <w:r>
        <w:rPr>
          <w:rFonts w:cs="Tahoma"/>
        </w:rPr>
        <w:t xml:space="preserve"> </w:t>
      </w:r>
      <w:r w:rsidRPr="00872CCB">
        <w:rPr>
          <w:rFonts w:cs="Tahoma"/>
        </w:rPr>
        <w:t xml:space="preserve">faza (Obalno-kraška in del Primorsko-notranjske regije). Podatki masovnega zajema poseljenih zemljišč in dejanske rabe poseljenih zemljišč bodo uporabljeni za vzpostavitev evidence stavbnih zemljišč, na Geodetski upravi </w:t>
      </w:r>
      <w:r>
        <w:rPr>
          <w:rFonts w:cs="Tahoma"/>
        </w:rPr>
        <w:t>RS</w:t>
      </w:r>
      <w:r w:rsidRPr="00872CCB">
        <w:rPr>
          <w:rFonts w:cs="Tahoma"/>
        </w:rPr>
        <w:t xml:space="preserve"> pa so uporabljeni v procesu kreiranja skupnega sloja dejanske rabe zemljišč in pripisa podatkov o dejanski rabi zemljišč na parcelo. </w:t>
      </w:r>
    </w:p>
    <w:p w14:paraId="4E54F9A0" w14:textId="77777777" w:rsidR="00672227" w:rsidRPr="00996E98" w:rsidRDefault="00672227" w:rsidP="00672227"/>
    <w:p w14:paraId="2CF952F8" w14:textId="77777777" w:rsidR="00672227" w:rsidRDefault="00672227" w:rsidP="00672227">
      <w:pPr>
        <w:rPr>
          <w:rFonts w:cs="Tahoma"/>
        </w:rPr>
      </w:pPr>
      <w:r w:rsidRPr="00872CCB">
        <w:rPr>
          <w:rFonts w:cs="Tahoma"/>
        </w:rPr>
        <w:t xml:space="preserve">Pomemben del masovnega zajema je zajem dejanske rabe poseljenih zemljišč. Rezultati kažejo, da je med poseljenimi zemljišči </w:t>
      </w:r>
      <w:r w:rsidRPr="00872CCB">
        <w:rPr>
          <w:rFonts w:cs="Tahoma"/>
          <w:b/>
        </w:rPr>
        <w:t>55,0</w:t>
      </w:r>
      <w:r>
        <w:rPr>
          <w:rFonts w:cs="Tahoma"/>
          <w:b/>
        </w:rPr>
        <w:t> </w:t>
      </w:r>
      <w:r w:rsidRPr="00872CCB">
        <w:rPr>
          <w:rFonts w:cs="Tahoma"/>
          <w:b/>
        </w:rPr>
        <w:t xml:space="preserve">% </w:t>
      </w:r>
      <w:r w:rsidRPr="00872CCB">
        <w:rPr>
          <w:rFonts w:cs="Tahoma"/>
        </w:rPr>
        <w:t xml:space="preserve">območij za bivanje, </w:t>
      </w:r>
      <w:r w:rsidRPr="00872CCB">
        <w:rPr>
          <w:rFonts w:cs="Tahoma"/>
          <w:b/>
        </w:rPr>
        <w:t>11,3</w:t>
      </w:r>
      <w:r>
        <w:rPr>
          <w:rFonts w:cs="Tahoma"/>
          <w:b/>
        </w:rPr>
        <w:t> </w:t>
      </w:r>
      <w:r w:rsidRPr="00872CCB">
        <w:rPr>
          <w:rFonts w:cs="Tahoma"/>
          <w:b/>
        </w:rPr>
        <w:t xml:space="preserve">% </w:t>
      </w:r>
      <w:r w:rsidRPr="00872CCB">
        <w:rPr>
          <w:rFonts w:cs="Tahoma"/>
        </w:rPr>
        <w:t>območij kmetijskih dejavnosti</w:t>
      </w:r>
      <w:r>
        <w:rPr>
          <w:rFonts w:cs="Tahoma"/>
        </w:rPr>
        <w:t xml:space="preserve">, </w:t>
      </w:r>
      <w:r w:rsidRPr="00872CCB">
        <w:rPr>
          <w:rFonts w:cs="Tahoma"/>
          <w:b/>
        </w:rPr>
        <w:t>7,6</w:t>
      </w:r>
      <w:r>
        <w:rPr>
          <w:rFonts w:cs="Tahoma"/>
          <w:b/>
        </w:rPr>
        <w:t> </w:t>
      </w:r>
      <w:r w:rsidRPr="00872CCB">
        <w:rPr>
          <w:rFonts w:cs="Tahoma"/>
          <w:b/>
        </w:rPr>
        <w:t xml:space="preserve">% </w:t>
      </w:r>
      <w:r w:rsidRPr="00996E98">
        <w:rPr>
          <w:rFonts w:cs="Tahoma"/>
          <w:bCs/>
        </w:rPr>
        <w:t>pa</w:t>
      </w:r>
      <w:r>
        <w:rPr>
          <w:rFonts w:cs="Tahoma"/>
          <w:b/>
        </w:rPr>
        <w:t xml:space="preserve"> </w:t>
      </w:r>
      <w:r w:rsidRPr="00872CCB">
        <w:rPr>
          <w:rFonts w:cs="Tahoma"/>
        </w:rPr>
        <w:t>predstavljajo območja za industrijo, skladiščenje in obrt.</w:t>
      </w:r>
    </w:p>
    <w:p w14:paraId="535FFFC2" w14:textId="4F9FFF0B" w:rsidR="000E1B62" w:rsidRDefault="000E1B62" w:rsidP="00273A7D">
      <w:pPr>
        <w:jc w:val="left"/>
        <w:rPr>
          <w:rFonts w:cs="Open Sans"/>
          <w:color w:val="FF0000"/>
        </w:rPr>
      </w:pPr>
    </w:p>
    <w:p w14:paraId="7C834E05" w14:textId="3911B8E8" w:rsidR="00CA3E53" w:rsidRPr="00556C32" w:rsidRDefault="00CA3E53" w:rsidP="00CA3E53">
      <w:pPr>
        <w:pStyle w:val="Caption"/>
        <w:rPr>
          <w:rFonts w:cs="Open Sans"/>
        </w:rPr>
      </w:pPr>
      <w:r w:rsidRPr="00556C32">
        <w:rPr>
          <w:rFonts w:cs="Open Sans"/>
        </w:rPr>
        <w:t xml:space="preserve">Preglednica </w:t>
      </w:r>
      <w:r w:rsidRPr="00556C32">
        <w:rPr>
          <w:rFonts w:cs="Open Sans"/>
        </w:rPr>
        <w:fldChar w:fldCharType="begin"/>
      </w:r>
      <w:r w:rsidRPr="00556C32">
        <w:rPr>
          <w:rFonts w:cs="Open Sans"/>
        </w:rPr>
        <w:instrText xml:space="preserve"> SEQ Preglednica \* ARABIC </w:instrText>
      </w:r>
      <w:r w:rsidRPr="00556C32">
        <w:rPr>
          <w:rFonts w:cs="Open Sans"/>
        </w:rPr>
        <w:fldChar w:fldCharType="separate"/>
      </w:r>
      <w:r>
        <w:rPr>
          <w:rFonts w:cs="Open Sans"/>
          <w:noProof/>
        </w:rPr>
        <w:t>4</w:t>
      </w:r>
      <w:r w:rsidRPr="00556C32">
        <w:rPr>
          <w:rFonts w:cs="Open Sans"/>
        </w:rPr>
        <w:fldChar w:fldCharType="end"/>
      </w:r>
      <w:r w:rsidRPr="00556C32">
        <w:rPr>
          <w:rFonts w:cs="Open Sans"/>
        </w:rPr>
        <w:t xml:space="preserve">: </w:t>
      </w:r>
      <w:r>
        <w:rPr>
          <w:rFonts w:cs="Open Sans"/>
        </w:rPr>
        <w:t>D</w:t>
      </w:r>
      <w:r w:rsidRPr="00CA3E53">
        <w:rPr>
          <w:rFonts w:cs="Open Sans"/>
        </w:rPr>
        <w:t xml:space="preserve">elež vrste dejanske rabe poseljenih zemljišč na območju </w:t>
      </w:r>
      <w:r>
        <w:rPr>
          <w:rFonts w:cs="Open Sans"/>
        </w:rPr>
        <w:t>S</w:t>
      </w:r>
      <w:r w:rsidRPr="00CA3E53">
        <w:rPr>
          <w:rFonts w:cs="Open Sans"/>
        </w:rPr>
        <w:t>lovenije</w:t>
      </w:r>
    </w:p>
    <w:tbl>
      <w:tblPr>
        <w:tblStyle w:val="GridTable1Light"/>
        <w:tblW w:w="8500" w:type="dxa"/>
        <w:tblLook w:val="04A0" w:firstRow="1" w:lastRow="0" w:firstColumn="1" w:lastColumn="0" w:noHBand="0" w:noVBand="1"/>
      </w:tblPr>
      <w:tblGrid>
        <w:gridCol w:w="6374"/>
        <w:gridCol w:w="2126"/>
      </w:tblGrid>
      <w:tr w:rsidR="0049631C" w:rsidRPr="0049631C" w14:paraId="223FBEEC" w14:textId="77777777" w:rsidTr="00904BC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374" w:type="dxa"/>
            <w:shd w:val="clear" w:color="auto" w:fill="B4C6E7" w:themeFill="accent1" w:themeFillTint="66"/>
            <w:noWrap/>
            <w:hideMark/>
          </w:tcPr>
          <w:p w14:paraId="00957A6E" w14:textId="44FE280A" w:rsidR="0049631C" w:rsidRPr="0049631C" w:rsidRDefault="0049631C" w:rsidP="0049631C">
            <w:pPr>
              <w:spacing w:line="240" w:lineRule="auto"/>
              <w:jc w:val="left"/>
              <w:rPr>
                <w:rFonts w:ascii="Calibri" w:eastAsia="Times New Roman" w:hAnsi="Calibri" w:cs="Calibri"/>
                <w:b w:val="0"/>
                <w:bCs w:val="0"/>
                <w:color w:val="000000"/>
                <w:sz w:val="24"/>
                <w:szCs w:val="24"/>
                <w:lang w:eastAsia="sl-SI"/>
              </w:rPr>
            </w:pPr>
            <w:r w:rsidRPr="0049631C">
              <w:rPr>
                <w:rFonts w:ascii="Calibri" w:eastAsia="Times New Roman" w:hAnsi="Calibri" w:cs="Calibri"/>
                <w:b w:val="0"/>
                <w:bCs w:val="0"/>
                <w:color w:val="000000"/>
                <w:sz w:val="24"/>
                <w:szCs w:val="24"/>
                <w:lang w:eastAsia="sl-SI"/>
              </w:rPr>
              <w:t>Vrsta dejanske rabe poseljenih zemljišč</w:t>
            </w:r>
            <w:r w:rsidR="00904BC3">
              <w:rPr>
                <w:rFonts w:ascii="Calibri" w:eastAsia="Times New Roman" w:hAnsi="Calibri" w:cs="Calibri"/>
                <w:b w:val="0"/>
                <w:bCs w:val="0"/>
                <w:color w:val="000000"/>
                <w:sz w:val="24"/>
                <w:szCs w:val="24"/>
                <w:lang w:eastAsia="sl-SI"/>
              </w:rPr>
              <w:t xml:space="preserve"> na območju Slovenije</w:t>
            </w:r>
          </w:p>
        </w:tc>
        <w:tc>
          <w:tcPr>
            <w:tcW w:w="2126" w:type="dxa"/>
            <w:shd w:val="clear" w:color="auto" w:fill="B4C6E7" w:themeFill="accent1" w:themeFillTint="66"/>
            <w:noWrap/>
            <w:hideMark/>
          </w:tcPr>
          <w:p w14:paraId="01868F9A" w14:textId="1763B06D" w:rsidR="0049631C" w:rsidRPr="0049631C" w:rsidRDefault="0049631C" w:rsidP="0049631C">
            <w:pPr>
              <w:spacing w:line="240" w:lineRule="auto"/>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4"/>
                <w:szCs w:val="24"/>
                <w:lang w:eastAsia="sl-SI"/>
              </w:rPr>
            </w:pPr>
            <w:r w:rsidRPr="0049631C">
              <w:rPr>
                <w:rFonts w:ascii="Calibri" w:eastAsia="Times New Roman" w:hAnsi="Calibri" w:cs="Calibri"/>
                <w:b w:val="0"/>
                <w:bCs w:val="0"/>
                <w:color w:val="000000"/>
                <w:sz w:val="24"/>
                <w:szCs w:val="24"/>
                <w:lang w:eastAsia="sl-SI"/>
              </w:rPr>
              <w:t xml:space="preserve">Delež </w:t>
            </w:r>
            <w:r w:rsidR="00904BC3">
              <w:rPr>
                <w:rFonts w:ascii="Calibri" w:eastAsia="Times New Roman" w:hAnsi="Calibri" w:cs="Calibri"/>
                <w:b w:val="0"/>
                <w:bCs w:val="0"/>
                <w:color w:val="000000"/>
                <w:sz w:val="24"/>
                <w:szCs w:val="24"/>
                <w:lang w:eastAsia="sl-SI"/>
              </w:rPr>
              <w:t>v procentih</w:t>
            </w:r>
          </w:p>
        </w:tc>
      </w:tr>
      <w:tr w:rsidR="0049631C" w:rsidRPr="0049631C" w14:paraId="63BD11CC" w14:textId="77777777" w:rsidTr="00904BC3">
        <w:trPr>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028C16A6" w14:textId="77777777" w:rsidR="0049631C" w:rsidRPr="0049631C" w:rsidRDefault="0049631C" w:rsidP="0049631C">
            <w:pPr>
              <w:spacing w:line="240" w:lineRule="auto"/>
              <w:jc w:val="left"/>
              <w:rPr>
                <w:rFonts w:ascii="Calibri" w:eastAsia="Times New Roman" w:hAnsi="Calibri" w:cs="Calibri"/>
                <w:b w:val="0"/>
                <w:bCs w:val="0"/>
                <w:color w:val="000000"/>
                <w:sz w:val="22"/>
                <w:lang w:eastAsia="sl-SI"/>
              </w:rPr>
            </w:pPr>
            <w:r w:rsidRPr="0049631C">
              <w:rPr>
                <w:rFonts w:ascii="Calibri" w:eastAsia="Times New Roman" w:hAnsi="Calibri" w:cs="Calibri"/>
                <w:b w:val="0"/>
                <w:bCs w:val="0"/>
                <w:color w:val="000000"/>
                <w:sz w:val="22"/>
                <w:lang w:eastAsia="sl-SI"/>
              </w:rPr>
              <w:t>3110 Območje za bivanje</w:t>
            </w:r>
          </w:p>
        </w:tc>
        <w:tc>
          <w:tcPr>
            <w:tcW w:w="2126" w:type="dxa"/>
            <w:noWrap/>
            <w:hideMark/>
          </w:tcPr>
          <w:p w14:paraId="534D9E41" w14:textId="77777777" w:rsidR="0049631C" w:rsidRPr="0049631C" w:rsidRDefault="0049631C" w:rsidP="00904BC3">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l-SI"/>
              </w:rPr>
            </w:pPr>
            <w:r w:rsidRPr="0049631C">
              <w:rPr>
                <w:rFonts w:ascii="Calibri" w:eastAsia="Times New Roman" w:hAnsi="Calibri" w:cs="Calibri"/>
                <w:color w:val="000000"/>
                <w:sz w:val="22"/>
                <w:lang w:eastAsia="sl-SI"/>
              </w:rPr>
              <w:t>55,7%</w:t>
            </w:r>
          </w:p>
        </w:tc>
      </w:tr>
      <w:tr w:rsidR="0049631C" w:rsidRPr="0049631C" w14:paraId="0C39A569" w14:textId="77777777" w:rsidTr="00904BC3">
        <w:trPr>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6760A0AA" w14:textId="77777777" w:rsidR="0049631C" w:rsidRPr="0049631C" w:rsidRDefault="0049631C" w:rsidP="0049631C">
            <w:pPr>
              <w:spacing w:line="240" w:lineRule="auto"/>
              <w:jc w:val="left"/>
              <w:rPr>
                <w:rFonts w:ascii="Calibri" w:eastAsia="Times New Roman" w:hAnsi="Calibri" w:cs="Calibri"/>
                <w:b w:val="0"/>
                <w:bCs w:val="0"/>
                <w:color w:val="000000"/>
                <w:sz w:val="22"/>
                <w:lang w:eastAsia="sl-SI"/>
              </w:rPr>
            </w:pPr>
            <w:r w:rsidRPr="0049631C">
              <w:rPr>
                <w:rFonts w:ascii="Calibri" w:eastAsia="Times New Roman" w:hAnsi="Calibri" w:cs="Calibri"/>
                <w:b w:val="0"/>
                <w:bCs w:val="0"/>
                <w:color w:val="000000"/>
                <w:sz w:val="22"/>
                <w:lang w:eastAsia="sl-SI"/>
              </w:rPr>
              <w:t>3120 Območje kmetijske dejavnosti</w:t>
            </w:r>
          </w:p>
        </w:tc>
        <w:tc>
          <w:tcPr>
            <w:tcW w:w="2126" w:type="dxa"/>
            <w:noWrap/>
            <w:hideMark/>
          </w:tcPr>
          <w:p w14:paraId="010086A2" w14:textId="77777777" w:rsidR="0049631C" w:rsidRPr="0049631C" w:rsidRDefault="0049631C" w:rsidP="00904BC3">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l-SI"/>
              </w:rPr>
            </w:pPr>
            <w:r w:rsidRPr="0049631C">
              <w:rPr>
                <w:rFonts w:ascii="Calibri" w:eastAsia="Times New Roman" w:hAnsi="Calibri" w:cs="Calibri"/>
                <w:color w:val="000000"/>
                <w:sz w:val="22"/>
                <w:lang w:eastAsia="sl-SI"/>
              </w:rPr>
              <w:t>11,3%</w:t>
            </w:r>
          </w:p>
        </w:tc>
      </w:tr>
      <w:tr w:rsidR="0049631C" w:rsidRPr="0049631C" w14:paraId="4D24297B" w14:textId="77777777" w:rsidTr="00904BC3">
        <w:trPr>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1A8B553C" w14:textId="77777777" w:rsidR="0049631C" w:rsidRPr="0049631C" w:rsidRDefault="0049631C" w:rsidP="0049631C">
            <w:pPr>
              <w:spacing w:line="240" w:lineRule="auto"/>
              <w:jc w:val="left"/>
              <w:rPr>
                <w:rFonts w:ascii="Calibri" w:eastAsia="Times New Roman" w:hAnsi="Calibri" w:cs="Calibri"/>
                <w:b w:val="0"/>
                <w:bCs w:val="0"/>
                <w:color w:val="000000"/>
                <w:sz w:val="22"/>
                <w:lang w:eastAsia="sl-SI"/>
              </w:rPr>
            </w:pPr>
            <w:r w:rsidRPr="0049631C">
              <w:rPr>
                <w:rFonts w:ascii="Calibri" w:eastAsia="Times New Roman" w:hAnsi="Calibri" w:cs="Calibri"/>
                <w:b w:val="0"/>
                <w:bCs w:val="0"/>
                <w:color w:val="000000"/>
                <w:sz w:val="22"/>
                <w:lang w:eastAsia="sl-SI"/>
              </w:rPr>
              <w:t>3160 Območje za industrijo, skladiščenje in obrt</w:t>
            </w:r>
          </w:p>
        </w:tc>
        <w:tc>
          <w:tcPr>
            <w:tcW w:w="2126" w:type="dxa"/>
            <w:noWrap/>
            <w:hideMark/>
          </w:tcPr>
          <w:p w14:paraId="6E51A497" w14:textId="77777777" w:rsidR="0049631C" w:rsidRPr="0049631C" w:rsidRDefault="0049631C" w:rsidP="00904BC3">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l-SI"/>
              </w:rPr>
            </w:pPr>
            <w:r w:rsidRPr="0049631C">
              <w:rPr>
                <w:rFonts w:ascii="Calibri" w:eastAsia="Times New Roman" w:hAnsi="Calibri" w:cs="Calibri"/>
                <w:color w:val="000000"/>
                <w:sz w:val="22"/>
                <w:lang w:eastAsia="sl-SI"/>
              </w:rPr>
              <w:t>7,6%</w:t>
            </w:r>
          </w:p>
        </w:tc>
      </w:tr>
      <w:tr w:rsidR="0049631C" w:rsidRPr="0049631C" w14:paraId="788E348C" w14:textId="77777777" w:rsidTr="00904BC3">
        <w:trPr>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7F583636" w14:textId="77777777" w:rsidR="0049631C" w:rsidRPr="0049631C" w:rsidRDefault="0049631C" w:rsidP="0049631C">
            <w:pPr>
              <w:spacing w:line="240" w:lineRule="auto"/>
              <w:jc w:val="left"/>
              <w:rPr>
                <w:rFonts w:ascii="Calibri" w:eastAsia="Times New Roman" w:hAnsi="Calibri" w:cs="Calibri"/>
                <w:b w:val="0"/>
                <w:bCs w:val="0"/>
                <w:color w:val="000000"/>
                <w:sz w:val="22"/>
                <w:lang w:eastAsia="sl-SI"/>
              </w:rPr>
            </w:pPr>
            <w:r w:rsidRPr="0049631C">
              <w:rPr>
                <w:rFonts w:ascii="Calibri" w:eastAsia="Times New Roman" w:hAnsi="Calibri" w:cs="Calibri"/>
                <w:b w:val="0"/>
                <w:bCs w:val="0"/>
                <w:color w:val="000000"/>
                <w:sz w:val="22"/>
                <w:lang w:eastAsia="sl-SI"/>
              </w:rPr>
              <w:t>3190 Območje za obrambo, zaščito in reševanje</w:t>
            </w:r>
          </w:p>
        </w:tc>
        <w:tc>
          <w:tcPr>
            <w:tcW w:w="2126" w:type="dxa"/>
            <w:noWrap/>
            <w:hideMark/>
          </w:tcPr>
          <w:p w14:paraId="7624B059" w14:textId="77777777" w:rsidR="0049631C" w:rsidRPr="0049631C" w:rsidRDefault="0049631C" w:rsidP="00904BC3">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l-SI"/>
              </w:rPr>
            </w:pPr>
            <w:r w:rsidRPr="0049631C">
              <w:rPr>
                <w:rFonts w:ascii="Calibri" w:eastAsia="Times New Roman" w:hAnsi="Calibri" w:cs="Calibri"/>
                <w:color w:val="000000"/>
                <w:sz w:val="22"/>
                <w:lang w:eastAsia="sl-SI"/>
              </w:rPr>
              <w:t>4,2%</w:t>
            </w:r>
          </w:p>
        </w:tc>
      </w:tr>
      <w:tr w:rsidR="0049631C" w:rsidRPr="0049631C" w14:paraId="3DB8BD60" w14:textId="77777777" w:rsidTr="00904BC3">
        <w:trPr>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0282E68F" w14:textId="77777777" w:rsidR="0049631C" w:rsidRPr="0049631C" w:rsidRDefault="0049631C" w:rsidP="0049631C">
            <w:pPr>
              <w:spacing w:line="240" w:lineRule="auto"/>
              <w:jc w:val="left"/>
              <w:rPr>
                <w:rFonts w:ascii="Calibri" w:eastAsia="Times New Roman" w:hAnsi="Calibri" w:cs="Calibri"/>
                <w:b w:val="0"/>
                <w:bCs w:val="0"/>
                <w:color w:val="000000"/>
                <w:sz w:val="22"/>
                <w:lang w:eastAsia="sl-SI"/>
              </w:rPr>
            </w:pPr>
            <w:r w:rsidRPr="0049631C">
              <w:rPr>
                <w:rFonts w:ascii="Calibri" w:eastAsia="Times New Roman" w:hAnsi="Calibri" w:cs="Calibri"/>
                <w:b w:val="0"/>
                <w:bCs w:val="0"/>
                <w:color w:val="000000"/>
                <w:sz w:val="22"/>
                <w:lang w:eastAsia="sl-SI"/>
              </w:rPr>
              <w:t>3400 Druga poseljena območja</w:t>
            </w:r>
          </w:p>
        </w:tc>
        <w:tc>
          <w:tcPr>
            <w:tcW w:w="2126" w:type="dxa"/>
            <w:noWrap/>
            <w:hideMark/>
          </w:tcPr>
          <w:p w14:paraId="72D3ADA0" w14:textId="77777777" w:rsidR="0049631C" w:rsidRPr="0049631C" w:rsidRDefault="0049631C" w:rsidP="00904BC3">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l-SI"/>
              </w:rPr>
            </w:pPr>
            <w:r w:rsidRPr="0049631C">
              <w:rPr>
                <w:rFonts w:ascii="Calibri" w:eastAsia="Times New Roman" w:hAnsi="Calibri" w:cs="Calibri"/>
                <w:color w:val="000000"/>
                <w:sz w:val="22"/>
                <w:lang w:eastAsia="sl-SI"/>
              </w:rPr>
              <w:t>4,2%</w:t>
            </w:r>
          </w:p>
        </w:tc>
      </w:tr>
      <w:tr w:rsidR="0049631C" w:rsidRPr="0049631C" w14:paraId="747E9727" w14:textId="77777777" w:rsidTr="00904BC3">
        <w:trPr>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7345EC28" w14:textId="77777777" w:rsidR="0049631C" w:rsidRPr="0049631C" w:rsidRDefault="0049631C" w:rsidP="0049631C">
            <w:pPr>
              <w:spacing w:line="240" w:lineRule="auto"/>
              <w:jc w:val="left"/>
              <w:rPr>
                <w:rFonts w:ascii="Calibri" w:eastAsia="Times New Roman" w:hAnsi="Calibri" w:cs="Calibri"/>
                <w:b w:val="0"/>
                <w:bCs w:val="0"/>
                <w:color w:val="000000"/>
                <w:sz w:val="22"/>
                <w:lang w:eastAsia="sl-SI"/>
              </w:rPr>
            </w:pPr>
            <w:r w:rsidRPr="0049631C">
              <w:rPr>
                <w:rFonts w:ascii="Calibri" w:eastAsia="Times New Roman" w:hAnsi="Calibri" w:cs="Calibri"/>
                <w:b w:val="0"/>
                <w:bCs w:val="0"/>
                <w:color w:val="000000"/>
                <w:sz w:val="22"/>
                <w:lang w:eastAsia="sl-SI"/>
              </w:rPr>
              <w:t>3130 Območje za javne storitve</w:t>
            </w:r>
          </w:p>
        </w:tc>
        <w:tc>
          <w:tcPr>
            <w:tcW w:w="2126" w:type="dxa"/>
            <w:noWrap/>
            <w:hideMark/>
          </w:tcPr>
          <w:p w14:paraId="5C81A407" w14:textId="77777777" w:rsidR="0049631C" w:rsidRPr="0049631C" w:rsidRDefault="0049631C" w:rsidP="00904BC3">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l-SI"/>
              </w:rPr>
            </w:pPr>
            <w:r w:rsidRPr="0049631C">
              <w:rPr>
                <w:rFonts w:ascii="Calibri" w:eastAsia="Times New Roman" w:hAnsi="Calibri" w:cs="Calibri"/>
                <w:color w:val="000000"/>
                <w:sz w:val="22"/>
                <w:lang w:eastAsia="sl-SI"/>
              </w:rPr>
              <w:t>3,8%</w:t>
            </w:r>
          </w:p>
        </w:tc>
      </w:tr>
      <w:tr w:rsidR="0049631C" w:rsidRPr="0049631C" w14:paraId="55863D1E" w14:textId="77777777" w:rsidTr="00904BC3">
        <w:trPr>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3779A19D" w14:textId="77777777" w:rsidR="0049631C" w:rsidRPr="0049631C" w:rsidRDefault="0049631C" w:rsidP="0049631C">
            <w:pPr>
              <w:spacing w:line="240" w:lineRule="auto"/>
              <w:jc w:val="left"/>
              <w:rPr>
                <w:rFonts w:ascii="Calibri" w:eastAsia="Times New Roman" w:hAnsi="Calibri" w:cs="Calibri"/>
                <w:b w:val="0"/>
                <w:bCs w:val="0"/>
                <w:color w:val="000000"/>
                <w:sz w:val="22"/>
                <w:lang w:eastAsia="sl-SI"/>
              </w:rPr>
            </w:pPr>
            <w:r w:rsidRPr="0049631C">
              <w:rPr>
                <w:rFonts w:ascii="Calibri" w:eastAsia="Times New Roman" w:hAnsi="Calibri" w:cs="Calibri"/>
                <w:b w:val="0"/>
                <w:bCs w:val="0"/>
                <w:color w:val="000000"/>
                <w:sz w:val="22"/>
                <w:lang w:eastAsia="sl-SI"/>
              </w:rPr>
              <w:t>3140 Območje za trgovino in storitve</w:t>
            </w:r>
          </w:p>
        </w:tc>
        <w:tc>
          <w:tcPr>
            <w:tcW w:w="2126" w:type="dxa"/>
            <w:noWrap/>
            <w:hideMark/>
          </w:tcPr>
          <w:p w14:paraId="5039D3FC" w14:textId="77777777" w:rsidR="0049631C" w:rsidRPr="0049631C" w:rsidRDefault="0049631C" w:rsidP="00904BC3">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l-SI"/>
              </w:rPr>
            </w:pPr>
            <w:r w:rsidRPr="0049631C">
              <w:rPr>
                <w:rFonts w:ascii="Calibri" w:eastAsia="Times New Roman" w:hAnsi="Calibri" w:cs="Calibri"/>
                <w:color w:val="000000"/>
                <w:sz w:val="22"/>
                <w:lang w:eastAsia="sl-SI"/>
              </w:rPr>
              <w:t>3,4%</w:t>
            </w:r>
          </w:p>
        </w:tc>
      </w:tr>
      <w:tr w:rsidR="0049631C" w:rsidRPr="0049631C" w14:paraId="28E885DE" w14:textId="77777777" w:rsidTr="00904BC3">
        <w:trPr>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19E3882F" w14:textId="77777777" w:rsidR="0049631C" w:rsidRPr="0049631C" w:rsidRDefault="0049631C" w:rsidP="0049631C">
            <w:pPr>
              <w:spacing w:line="240" w:lineRule="auto"/>
              <w:jc w:val="left"/>
              <w:rPr>
                <w:rFonts w:ascii="Calibri" w:eastAsia="Times New Roman" w:hAnsi="Calibri" w:cs="Calibri"/>
                <w:b w:val="0"/>
                <w:bCs w:val="0"/>
                <w:color w:val="000000"/>
                <w:sz w:val="22"/>
                <w:lang w:eastAsia="sl-SI"/>
              </w:rPr>
            </w:pPr>
            <w:r w:rsidRPr="0049631C">
              <w:rPr>
                <w:rFonts w:ascii="Calibri" w:eastAsia="Times New Roman" w:hAnsi="Calibri" w:cs="Calibri"/>
                <w:b w:val="0"/>
                <w:bCs w:val="0"/>
                <w:color w:val="000000"/>
                <w:sz w:val="22"/>
                <w:lang w:eastAsia="sl-SI"/>
              </w:rPr>
              <w:t>3170 Območje za šport in rekreacijo</w:t>
            </w:r>
          </w:p>
        </w:tc>
        <w:tc>
          <w:tcPr>
            <w:tcW w:w="2126" w:type="dxa"/>
            <w:noWrap/>
            <w:hideMark/>
          </w:tcPr>
          <w:p w14:paraId="48EC3636" w14:textId="77777777" w:rsidR="0049631C" w:rsidRPr="0049631C" w:rsidRDefault="0049631C" w:rsidP="00904BC3">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l-SI"/>
              </w:rPr>
            </w:pPr>
            <w:r w:rsidRPr="0049631C">
              <w:rPr>
                <w:rFonts w:ascii="Calibri" w:eastAsia="Times New Roman" w:hAnsi="Calibri" w:cs="Calibri"/>
                <w:color w:val="000000"/>
                <w:sz w:val="22"/>
                <w:lang w:eastAsia="sl-SI"/>
              </w:rPr>
              <w:t>2,4%</w:t>
            </w:r>
          </w:p>
        </w:tc>
      </w:tr>
      <w:tr w:rsidR="0049631C" w:rsidRPr="0049631C" w14:paraId="66125701" w14:textId="77777777" w:rsidTr="00904BC3">
        <w:trPr>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7B645DBA" w14:textId="77777777" w:rsidR="0049631C" w:rsidRPr="0049631C" w:rsidRDefault="0049631C" w:rsidP="0049631C">
            <w:pPr>
              <w:spacing w:line="240" w:lineRule="auto"/>
              <w:jc w:val="left"/>
              <w:rPr>
                <w:rFonts w:ascii="Calibri" w:eastAsia="Times New Roman" w:hAnsi="Calibri" w:cs="Calibri"/>
                <w:b w:val="0"/>
                <w:bCs w:val="0"/>
                <w:color w:val="000000"/>
                <w:sz w:val="22"/>
                <w:lang w:eastAsia="sl-SI"/>
              </w:rPr>
            </w:pPr>
            <w:r w:rsidRPr="0049631C">
              <w:rPr>
                <w:rFonts w:ascii="Calibri" w:eastAsia="Times New Roman" w:hAnsi="Calibri" w:cs="Calibri"/>
                <w:b w:val="0"/>
                <w:bCs w:val="0"/>
                <w:color w:val="000000"/>
                <w:sz w:val="22"/>
                <w:lang w:eastAsia="sl-SI"/>
              </w:rPr>
              <w:t>3150 Območje za turizem in gostinstvo</w:t>
            </w:r>
          </w:p>
        </w:tc>
        <w:tc>
          <w:tcPr>
            <w:tcW w:w="2126" w:type="dxa"/>
            <w:noWrap/>
            <w:hideMark/>
          </w:tcPr>
          <w:p w14:paraId="546C9EBB" w14:textId="77777777" w:rsidR="0049631C" w:rsidRPr="0049631C" w:rsidRDefault="0049631C" w:rsidP="00904BC3">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l-SI"/>
              </w:rPr>
            </w:pPr>
            <w:r w:rsidRPr="0049631C">
              <w:rPr>
                <w:rFonts w:ascii="Calibri" w:eastAsia="Times New Roman" w:hAnsi="Calibri" w:cs="Calibri"/>
                <w:color w:val="000000"/>
                <w:sz w:val="22"/>
                <w:lang w:eastAsia="sl-SI"/>
              </w:rPr>
              <w:t>1,3%</w:t>
            </w:r>
          </w:p>
        </w:tc>
      </w:tr>
      <w:tr w:rsidR="0049631C" w:rsidRPr="0049631C" w14:paraId="5BCD571A" w14:textId="77777777" w:rsidTr="00904BC3">
        <w:trPr>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68A0B0DB" w14:textId="77777777" w:rsidR="0049631C" w:rsidRPr="0049631C" w:rsidRDefault="0049631C" w:rsidP="0049631C">
            <w:pPr>
              <w:spacing w:line="240" w:lineRule="auto"/>
              <w:jc w:val="left"/>
              <w:rPr>
                <w:rFonts w:ascii="Calibri" w:eastAsia="Times New Roman" w:hAnsi="Calibri" w:cs="Calibri"/>
                <w:b w:val="0"/>
                <w:bCs w:val="0"/>
                <w:color w:val="000000"/>
                <w:sz w:val="22"/>
                <w:lang w:eastAsia="sl-SI"/>
              </w:rPr>
            </w:pPr>
            <w:r w:rsidRPr="0049631C">
              <w:rPr>
                <w:rFonts w:ascii="Calibri" w:eastAsia="Times New Roman" w:hAnsi="Calibri" w:cs="Calibri"/>
                <w:b w:val="0"/>
                <w:bCs w:val="0"/>
                <w:color w:val="000000"/>
                <w:sz w:val="22"/>
                <w:lang w:eastAsia="sl-SI"/>
              </w:rPr>
              <w:t>3180 Območje zelenih površin in površin v javni rabi</w:t>
            </w:r>
          </w:p>
        </w:tc>
        <w:tc>
          <w:tcPr>
            <w:tcW w:w="2126" w:type="dxa"/>
            <w:noWrap/>
            <w:hideMark/>
          </w:tcPr>
          <w:p w14:paraId="77ADA62F" w14:textId="77777777" w:rsidR="0049631C" w:rsidRPr="0049631C" w:rsidRDefault="0049631C" w:rsidP="00904BC3">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l-SI"/>
              </w:rPr>
            </w:pPr>
            <w:r w:rsidRPr="0049631C">
              <w:rPr>
                <w:rFonts w:ascii="Calibri" w:eastAsia="Times New Roman" w:hAnsi="Calibri" w:cs="Calibri"/>
                <w:color w:val="000000"/>
                <w:sz w:val="22"/>
                <w:lang w:eastAsia="sl-SI"/>
              </w:rPr>
              <w:t>0,8%</w:t>
            </w:r>
          </w:p>
        </w:tc>
      </w:tr>
      <w:tr w:rsidR="0049631C" w:rsidRPr="0049631C" w14:paraId="755C3009" w14:textId="77777777" w:rsidTr="00904BC3">
        <w:trPr>
          <w:trHeight w:val="300"/>
        </w:trPr>
        <w:tc>
          <w:tcPr>
            <w:cnfStyle w:val="001000000000" w:firstRow="0" w:lastRow="0" w:firstColumn="1" w:lastColumn="0" w:oddVBand="0" w:evenVBand="0" w:oddHBand="0" w:evenHBand="0" w:firstRowFirstColumn="0" w:firstRowLastColumn="0" w:lastRowFirstColumn="0" w:lastRowLastColumn="0"/>
            <w:tcW w:w="6374" w:type="dxa"/>
            <w:noWrap/>
            <w:hideMark/>
          </w:tcPr>
          <w:p w14:paraId="6F936E5D" w14:textId="77777777" w:rsidR="0049631C" w:rsidRPr="0049631C" w:rsidRDefault="0049631C" w:rsidP="0049631C">
            <w:pPr>
              <w:spacing w:line="240" w:lineRule="auto"/>
              <w:jc w:val="left"/>
              <w:rPr>
                <w:rFonts w:ascii="Calibri" w:eastAsia="Times New Roman" w:hAnsi="Calibri" w:cs="Calibri"/>
                <w:b w:val="0"/>
                <w:bCs w:val="0"/>
                <w:color w:val="000000"/>
                <w:sz w:val="22"/>
                <w:lang w:eastAsia="sl-SI"/>
              </w:rPr>
            </w:pPr>
            <w:r w:rsidRPr="0049631C">
              <w:rPr>
                <w:rFonts w:ascii="Calibri" w:eastAsia="Times New Roman" w:hAnsi="Calibri" w:cs="Calibri"/>
                <w:b w:val="0"/>
                <w:bCs w:val="0"/>
                <w:color w:val="000000"/>
                <w:sz w:val="22"/>
                <w:lang w:eastAsia="sl-SI"/>
              </w:rPr>
              <w:t>Ostale rabe*</w:t>
            </w:r>
          </w:p>
        </w:tc>
        <w:tc>
          <w:tcPr>
            <w:tcW w:w="2126" w:type="dxa"/>
            <w:noWrap/>
            <w:hideMark/>
          </w:tcPr>
          <w:p w14:paraId="05FDD189" w14:textId="77777777" w:rsidR="0049631C" w:rsidRPr="0049631C" w:rsidRDefault="0049631C" w:rsidP="00904BC3">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sl-SI"/>
              </w:rPr>
            </w:pPr>
            <w:r w:rsidRPr="0049631C">
              <w:rPr>
                <w:rFonts w:ascii="Calibri" w:eastAsia="Times New Roman" w:hAnsi="Calibri" w:cs="Calibri"/>
                <w:color w:val="000000"/>
                <w:sz w:val="22"/>
                <w:lang w:eastAsia="sl-SI"/>
              </w:rPr>
              <w:t>5,4%</w:t>
            </w:r>
          </w:p>
        </w:tc>
      </w:tr>
    </w:tbl>
    <w:p w14:paraId="4AD36EE6" w14:textId="77777777" w:rsidR="0049631C" w:rsidRPr="00556C32" w:rsidRDefault="0049631C" w:rsidP="00273A7D">
      <w:pPr>
        <w:jc w:val="left"/>
        <w:rPr>
          <w:rFonts w:cs="Open Sans"/>
          <w:color w:val="FF0000"/>
        </w:rPr>
      </w:pPr>
    </w:p>
    <w:p w14:paraId="63AC1055" w14:textId="77777777" w:rsidR="00B24044" w:rsidRDefault="00B24044" w:rsidP="00B24044">
      <w:pPr>
        <w:rPr>
          <w:rFonts w:cs="Tahoma"/>
        </w:rPr>
      </w:pPr>
      <w:r w:rsidRPr="00872CCB">
        <w:rPr>
          <w:rFonts w:cs="Tahoma"/>
        </w:rPr>
        <w:t xml:space="preserve">V masovnem zajemu je bilo zajetih </w:t>
      </w:r>
      <w:r w:rsidRPr="00872CCB">
        <w:rPr>
          <w:rFonts w:cs="Tahoma"/>
          <w:b/>
        </w:rPr>
        <w:t>625.994</w:t>
      </w:r>
      <w:r w:rsidRPr="00872CCB">
        <w:rPr>
          <w:rFonts w:cs="Tahoma"/>
        </w:rPr>
        <w:t xml:space="preserve"> pripadajoči</w:t>
      </w:r>
      <w:r>
        <w:rPr>
          <w:rFonts w:cs="Tahoma"/>
        </w:rPr>
        <w:t>h</w:t>
      </w:r>
      <w:r w:rsidRPr="00872CCB">
        <w:rPr>
          <w:rFonts w:cs="Tahoma"/>
        </w:rPr>
        <w:t xml:space="preserve"> zemljišč s skupno površino cca </w:t>
      </w:r>
      <w:r w:rsidRPr="00872CCB">
        <w:rPr>
          <w:rFonts w:cs="Tahoma"/>
          <w:b/>
        </w:rPr>
        <w:t>837 km</w:t>
      </w:r>
      <w:r w:rsidRPr="00872CCB">
        <w:rPr>
          <w:rFonts w:cs="Tahoma"/>
          <w:b/>
          <w:vertAlign w:val="superscript"/>
        </w:rPr>
        <w:t>2</w:t>
      </w:r>
      <w:r w:rsidRPr="00872CCB">
        <w:rPr>
          <w:rFonts w:cs="Tahoma"/>
        </w:rPr>
        <w:t xml:space="preserve"> (837.052.141 m</w:t>
      </w:r>
      <w:r w:rsidRPr="00872CCB">
        <w:rPr>
          <w:rFonts w:cs="Tahoma"/>
          <w:vertAlign w:val="superscript"/>
        </w:rPr>
        <w:t>2</w:t>
      </w:r>
      <w:r w:rsidRPr="00872CCB">
        <w:rPr>
          <w:rFonts w:cs="Tahoma"/>
        </w:rPr>
        <w:t xml:space="preserve">). Rezultati masovnega zajema kažejo, da je poseljenega </w:t>
      </w:r>
      <w:r w:rsidRPr="00872CCB">
        <w:rPr>
          <w:rFonts w:cs="Tahoma"/>
          <w:b/>
        </w:rPr>
        <w:t>4,1</w:t>
      </w:r>
      <w:r>
        <w:rPr>
          <w:rFonts w:cs="Tahoma"/>
        </w:rPr>
        <w:t> </w:t>
      </w:r>
      <w:r w:rsidRPr="00872CCB">
        <w:rPr>
          <w:rFonts w:cs="Tahoma"/>
          <w:b/>
        </w:rPr>
        <w:t>%</w:t>
      </w:r>
      <w:r w:rsidRPr="00872CCB">
        <w:rPr>
          <w:rFonts w:cs="Tahoma"/>
        </w:rPr>
        <w:t xml:space="preserve"> območja Slovenije.</w:t>
      </w:r>
    </w:p>
    <w:p w14:paraId="3FD4B230" w14:textId="77777777" w:rsidR="00273A7D" w:rsidRPr="00B24044" w:rsidRDefault="00273A7D" w:rsidP="00B24044">
      <w:pPr>
        <w:jc w:val="left"/>
        <w:rPr>
          <w:rFonts w:cs="Open Sans"/>
          <w:color w:val="7F7F7F" w:themeColor="text1" w:themeTint="80"/>
          <w:spacing w:val="-3"/>
          <w:sz w:val="18"/>
          <w:szCs w:val="18"/>
        </w:rPr>
      </w:pPr>
    </w:p>
    <w:p w14:paraId="3967DB80" w14:textId="09981F2E" w:rsidR="00A33BAF" w:rsidRPr="00556C32" w:rsidRDefault="00273A7D" w:rsidP="00A33BAF">
      <w:pPr>
        <w:pStyle w:val="Heading2"/>
        <w:rPr>
          <w:rFonts w:cs="Open Sans"/>
        </w:rPr>
      </w:pPr>
      <w:r w:rsidRPr="00556C32">
        <w:rPr>
          <w:rFonts w:cs="Open Sans"/>
        </w:rPr>
        <w:br w:type="column"/>
      </w:r>
      <w:bookmarkStart w:id="16" w:name="_Toc104471896"/>
      <w:r w:rsidR="00A33BAF" w:rsidRPr="00556C32">
        <w:rPr>
          <w:rFonts w:cs="Open Sans"/>
        </w:rPr>
        <w:lastRenderedPageBreak/>
        <w:t>PROSTORSKI INFORMACIJSKI SISTEM</w:t>
      </w:r>
      <w:bookmarkEnd w:id="16"/>
    </w:p>
    <w:p w14:paraId="605CA1D4" w14:textId="77777777" w:rsidR="00A33BAF" w:rsidRPr="00556C32" w:rsidRDefault="00A33BAF" w:rsidP="00A33BAF">
      <w:pPr>
        <w:rPr>
          <w:rFonts w:cs="Open Sans"/>
        </w:rPr>
      </w:pPr>
    </w:p>
    <w:p w14:paraId="77039EAE" w14:textId="77777777" w:rsidR="00343CBA" w:rsidRDefault="00343CBA" w:rsidP="00343CBA">
      <w:pPr>
        <w:rPr>
          <w:rFonts w:cs="Tahoma"/>
        </w:rPr>
      </w:pPr>
      <w:r w:rsidRPr="00872CCB">
        <w:rPr>
          <w:rFonts w:cs="Tahoma"/>
        </w:rPr>
        <w:t xml:space="preserve">Projekt vodi Ministrstvo za okolje in prostor, Direktorat za prostor, graditev in stanovanja. </w:t>
      </w:r>
    </w:p>
    <w:p w14:paraId="60EB75AA" w14:textId="77777777" w:rsidR="00343CBA" w:rsidRPr="00872CCB" w:rsidRDefault="00343CBA" w:rsidP="00343CBA">
      <w:pPr>
        <w:rPr>
          <w:rFonts w:cs="Tahoma"/>
        </w:rPr>
      </w:pPr>
    </w:p>
    <w:p w14:paraId="440DEFB9" w14:textId="77777777" w:rsidR="00343CBA" w:rsidRPr="00872CCB" w:rsidRDefault="00343CBA" w:rsidP="00343CBA">
      <w:pPr>
        <w:rPr>
          <w:rFonts w:cs="Tahoma"/>
        </w:rPr>
      </w:pPr>
      <w:r w:rsidRPr="00872CCB">
        <w:rPr>
          <w:rFonts w:cs="Tahoma"/>
        </w:rPr>
        <w:t>V okviru pogodbe za informacijsko podporo na področju prostorskega načrtovanja in graditve objektov je bilo pripravljeno testno in produkcijsko okolje Enotne vstopne točke</w:t>
      </w:r>
      <w:r>
        <w:rPr>
          <w:rFonts w:cs="Tahoma"/>
        </w:rPr>
        <w:t xml:space="preserve">, </w:t>
      </w:r>
      <w:r w:rsidRPr="00872CCB">
        <w:rPr>
          <w:rFonts w:cs="Tahoma"/>
        </w:rPr>
        <w:t xml:space="preserve">sistemov </w:t>
      </w:r>
      <w:proofErr w:type="spellStart"/>
      <w:r w:rsidRPr="00872CCB">
        <w:rPr>
          <w:rFonts w:cs="Tahoma"/>
        </w:rPr>
        <w:t>ePlan</w:t>
      </w:r>
      <w:proofErr w:type="spellEnd"/>
      <w:r w:rsidRPr="00872CCB">
        <w:rPr>
          <w:rFonts w:cs="Tahoma"/>
        </w:rPr>
        <w:t xml:space="preserve">, </w:t>
      </w:r>
      <w:proofErr w:type="spellStart"/>
      <w:r w:rsidRPr="00872CCB">
        <w:rPr>
          <w:rFonts w:cs="Tahoma"/>
        </w:rPr>
        <w:t>eGraditev</w:t>
      </w:r>
      <w:proofErr w:type="spellEnd"/>
      <w:r>
        <w:rPr>
          <w:rFonts w:cs="Tahoma"/>
        </w:rPr>
        <w:t xml:space="preserve"> in sistema za </w:t>
      </w:r>
      <w:r w:rsidRPr="009F00FE">
        <w:rPr>
          <w:rFonts w:cs="Tahoma"/>
        </w:rPr>
        <w:t>s</w:t>
      </w:r>
      <w:r w:rsidRPr="00342850">
        <w:rPr>
          <w:rFonts w:cs="Tahoma"/>
        </w:rPr>
        <w:t>premljanje</w:t>
      </w:r>
      <w:r w:rsidRPr="009F00FE">
        <w:rPr>
          <w:rFonts w:cs="Tahoma"/>
        </w:rPr>
        <w:t xml:space="preserve"> stanja</w:t>
      </w:r>
      <w:r w:rsidRPr="00342850">
        <w:rPr>
          <w:rFonts w:cs="Tahoma"/>
        </w:rPr>
        <w:t xml:space="preserve"> prostorskega razvoja. Največ aktivnosti je bilo namenjeno testiranju sistemov, dopolnjevanju in nadgrajevanju</w:t>
      </w:r>
      <w:r w:rsidRPr="00872CCB">
        <w:rPr>
          <w:rFonts w:cs="Tahoma"/>
        </w:rPr>
        <w:t xml:space="preserve"> sistemov, integracijam z zunanjimi sistemi ter pripravi podatkov za migracijo. Pričele so se aktivnosti</w:t>
      </w:r>
      <w:r>
        <w:rPr>
          <w:rFonts w:cs="Tahoma"/>
        </w:rPr>
        <w:t>,</w:t>
      </w:r>
      <w:r w:rsidRPr="00872CCB">
        <w:rPr>
          <w:rFonts w:cs="Tahoma"/>
        </w:rPr>
        <w:t xml:space="preserve"> povezane z uvajanjem in implementacijo sistemov v okolja uporabnikov.</w:t>
      </w:r>
    </w:p>
    <w:p w14:paraId="65B25470" w14:textId="77777777" w:rsidR="00343CBA" w:rsidRPr="00872CCB" w:rsidRDefault="00343CBA" w:rsidP="00343CBA">
      <w:pPr>
        <w:rPr>
          <w:rFonts w:cs="Tahoma"/>
        </w:rPr>
      </w:pPr>
    </w:p>
    <w:p w14:paraId="055E2A6D" w14:textId="77777777" w:rsidR="00343CBA" w:rsidRPr="00872CCB" w:rsidRDefault="00343CBA" w:rsidP="00343CBA">
      <w:pPr>
        <w:rPr>
          <w:rFonts w:cs="Tahoma"/>
        </w:rPr>
      </w:pPr>
      <w:r w:rsidRPr="00872CCB">
        <w:rPr>
          <w:rFonts w:cs="Tahoma"/>
        </w:rPr>
        <w:t>V letu 2021 se je nadaljevala izdelava informacijske rešitve za podporo vodenj</w:t>
      </w:r>
      <w:r>
        <w:rPr>
          <w:rFonts w:cs="Tahoma"/>
        </w:rPr>
        <w:t>a</w:t>
      </w:r>
      <w:r w:rsidRPr="00872CCB">
        <w:rPr>
          <w:rFonts w:cs="Tahoma"/>
        </w:rPr>
        <w:t xml:space="preserve"> podatkov o poseljenih zemljiščih in evidence stavbnih zemljišč (IS ESZ). Pripravljen je bil fizični model IS ESZ, specifikacije uporabniških vmesnikov IS ESZ, informacijske komponente IS ESZ, na osnovi pripravljenih testnih scenarijev je bilo izvedeno testiranje, dopolnjena so bila uporabniška navodila, pripravljen je bil protokol migracije podatkov, vzpostavljeno je bilo razvojno okolje in v zaključni fazi je bila vzpostavitev testnega okolja. </w:t>
      </w:r>
    </w:p>
    <w:p w14:paraId="088E53FE" w14:textId="77777777" w:rsidR="00343CBA" w:rsidRPr="00872CCB" w:rsidRDefault="00343CBA" w:rsidP="00343CBA">
      <w:pPr>
        <w:pStyle w:val="NoSpacing"/>
      </w:pPr>
    </w:p>
    <w:p w14:paraId="5738FA2F" w14:textId="77777777" w:rsidR="00343CBA" w:rsidRDefault="00343CBA" w:rsidP="00343CBA">
      <w:pPr>
        <w:rPr>
          <w:rFonts w:cs="Tahoma"/>
        </w:rPr>
      </w:pPr>
      <w:r w:rsidRPr="00872CCB">
        <w:rPr>
          <w:rFonts w:cs="Tahoma"/>
        </w:rPr>
        <w:t>V letu 2021 (zaključek 30. 4. 2021) so se redno in v skladu s terminskim planom pripravljale potrebne podatkovne podlage za masovni zajem in izvajale kontrole za zagotavljanje kakovosti podatkov masovnega zajema (zunanja kontrola)</w:t>
      </w:r>
      <w:r>
        <w:rPr>
          <w:rFonts w:cs="Tahoma"/>
        </w:rPr>
        <w:t>,</w:t>
      </w:r>
      <w:r w:rsidRPr="00872CCB">
        <w:rPr>
          <w:rFonts w:cs="Tahoma"/>
        </w:rPr>
        <w:t xml:space="preserve"> izvajalo se je redno in potrebno vzdrževanje sistema za spremljanje kontrole masovnega zajema.</w:t>
      </w:r>
    </w:p>
    <w:p w14:paraId="45AD83E0" w14:textId="2F9B61CC" w:rsidR="00A33BAF" w:rsidRPr="00556C32" w:rsidRDefault="00A33BAF" w:rsidP="00A33BAF">
      <w:pPr>
        <w:rPr>
          <w:rFonts w:cs="Open Sans"/>
        </w:rPr>
      </w:pPr>
    </w:p>
    <w:p w14:paraId="5363031B" w14:textId="77777777" w:rsidR="004E42CE" w:rsidRPr="00556C32" w:rsidRDefault="004E42CE" w:rsidP="004E42CE">
      <w:pPr>
        <w:pStyle w:val="Heading2"/>
        <w:rPr>
          <w:rFonts w:cs="Open Sans"/>
          <w:caps/>
        </w:rPr>
      </w:pPr>
      <w:r>
        <w:rPr>
          <w:rFonts w:cs="Open Sans"/>
        </w:rPr>
        <w:br w:type="column"/>
      </w:r>
      <w:bookmarkStart w:id="17" w:name="_Toc104471897"/>
      <w:r w:rsidRPr="00556C32">
        <w:rPr>
          <w:rFonts w:cs="Open Sans"/>
        </w:rPr>
        <w:lastRenderedPageBreak/>
        <w:t>PODPORA VODENJU PROJEKTOV IN INFORMIRANJE</w:t>
      </w:r>
      <w:bookmarkEnd w:id="17"/>
    </w:p>
    <w:p w14:paraId="187B10E2" w14:textId="77777777" w:rsidR="004E42CE" w:rsidRPr="00556C32" w:rsidRDefault="004E42CE" w:rsidP="004E42CE">
      <w:pPr>
        <w:rPr>
          <w:rFonts w:cs="Open Sans"/>
          <w:color w:val="7F7F7F" w:themeColor="text1" w:themeTint="80"/>
        </w:rPr>
      </w:pPr>
    </w:p>
    <w:p w14:paraId="6498C7DE" w14:textId="77777777" w:rsidR="00ED7B59" w:rsidRPr="00636A81" w:rsidRDefault="00ED7B59" w:rsidP="00ED7B59">
      <w:r w:rsidRPr="00636A81">
        <w:t xml:space="preserve">Projekt je namenjen operativni podpori vodenja programa projektov ter informiranju in izobraževanju udeležencev in širše strokovne javnosti. V njegovem okviru je bila v letu 2017 vzpostavljena projektna pisarna, ki organizacijsko in tehnično podpira upravljanje in izvedbo vseh projektov v okviru programa. Omenjene naloge podpore so se tekoče izvajale tudi v letu 2021. </w:t>
      </w:r>
    </w:p>
    <w:p w14:paraId="54386F7B" w14:textId="77777777" w:rsidR="00ED7B59" w:rsidRDefault="00ED7B59" w:rsidP="00ED7B59">
      <w:r w:rsidRPr="00636A81">
        <w:t xml:space="preserve">Izvajale so se storitve promocije, kamor sodijo naloge za izvedbo komunikacijskih aktivnosti, kot so </w:t>
      </w:r>
      <w:proofErr w:type="spellStart"/>
      <w:r w:rsidRPr="00636A81">
        <w:t>eNovice</w:t>
      </w:r>
      <w:proofErr w:type="spellEnd"/>
      <w:r w:rsidRPr="00636A81">
        <w:t xml:space="preserve">, dogodki, spletna stran, tiskana gradiva, promocijski izdelki itd. Objavljene so bile izdaje </w:t>
      </w:r>
      <w:proofErr w:type="spellStart"/>
      <w:r w:rsidRPr="00636A81">
        <w:t>eNovic</w:t>
      </w:r>
      <w:proofErr w:type="spellEnd"/>
      <w:r w:rsidRPr="00636A81">
        <w:t xml:space="preserve"> od št. 14 do 17, tekoče je bila vzdrževana spletna stran projekta </w:t>
      </w:r>
      <w:proofErr w:type="spellStart"/>
      <w:r w:rsidRPr="00636A81">
        <w:t>eProstor</w:t>
      </w:r>
      <w:proofErr w:type="spellEnd"/>
      <w:r w:rsidRPr="00636A81">
        <w:t xml:space="preserve"> in pripravljena vsebina za knjigo Od gosjega peresa do računalniškega oblaka. Knjiga, ki obsega približno 250 strani</w:t>
      </w:r>
      <w:r>
        <w:t>,</w:t>
      </w:r>
      <w:r w:rsidRPr="00636A81">
        <w:t xml:space="preserve"> je na voljo tudi v digitalni obliki in prevedena v angleški jezik. Zaradi razmer, povezanih z epidemijo COVID-19, je bilo pripravljenih manjše število dogodkov, konferenca INSPIRE dan je bila izvedena na videokonferenčni način.</w:t>
      </w:r>
    </w:p>
    <w:p w14:paraId="1419A7BD" w14:textId="77777777" w:rsidR="00ED7B59" w:rsidRPr="00636A81" w:rsidRDefault="00ED7B59" w:rsidP="00ED7B59"/>
    <w:p w14:paraId="3744C046" w14:textId="77777777" w:rsidR="00ED7B59" w:rsidRDefault="00ED7B59" w:rsidP="00ED7B59">
      <w:r w:rsidRPr="00636A81">
        <w:t>V letu 2021 so potekale nadaljnje aktivnosti z</w:t>
      </w:r>
      <w:r>
        <w:t>a</w:t>
      </w:r>
      <w:r w:rsidRPr="00636A81">
        <w:t xml:space="preserve"> nov</w:t>
      </w:r>
      <w:r>
        <w:t>e</w:t>
      </w:r>
      <w:r w:rsidRPr="00636A81">
        <w:t xml:space="preserve"> in nadomestn</w:t>
      </w:r>
      <w:r>
        <w:t>e</w:t>
      </w:r>
      <w:r w:rsidRPr="00636A81">
        <w:t xml:space="preserve"> zaposlitv</w:t>
      </w:r>
      <w:r>
        <w:t>e</w:t>
      </w:r>
      <w:r w:rsidRPr="00636A81">
        <w:t xml:space="preserve"> za prosta delovna mesta na projektu.</w:t>
      </w:r>
    </w:p>
    <w:p w14:paraId="63910343" w14:textId="77777777" w:rsidR="00ED7B59" w:rsidRPr="00636A81" w:rsidRDefault="00ED7B59" w:rsidP="00ED7B59"/>
    <w:p w14:paraId="4D370645" w14:textId="77777777" w:rsidR="00ED7B59" w:rsidRPr="00636A81" w:rsidRDefault="00ED7B59" w:rsidP="00ED7B59">
      <w:r w:rsidRPr="00636A81">
        <w:t xml:space="preserve">Na finančnem področju je bil usklajen podrobni prikaz izvedbenega načrta. V poročevalskem obdobju so zahtevki za izplačila potekali nemoteno, prav tako komunikacija s posredniškim organom. Delo pravnega in svetovalnega dela projektne pisarne je potekalo tekoče. </w:t>
      </w:r>
    </w:p>
    <w:p w14:paraId="15DF1B82" w14:textId="77777777" w:rsidR="00130939" w:rsidRPr="00ED7B59" w:rsidRDefault="00A2232D" w:rsidP="00ED7B59">
      <w:pPr>
        <w:pStyle w:val="Heading1"/>
        <w:rPr>
          <w:rStyle w:val="Green"/>
          <w:color w:val="323E4F" w:themeColor="text2" w:themeShade="BF"/>
        </w:rPr>
      </w:pPr>
      <w:r w:rsidRPr="00556C32">
        <w:br w:type="column"/>
      </w:r>
      <w:bookmarkStart w:id="18" w:name="_Toc104471898"/>
      <w:r w:rsidR="00130939" w:rsidRPr="00ED7B59">
        <w:rPr>
          <w:rStyle w:val="Green"/>
          <w:color w:val="323E4F" w:themeColor="text2" w:themeShade="BF"/>
        </w:rPr>
        <w:lastRenderedPageBreak/>
        <w:t>DOSTOP DO DIGITALNIH PODATKOV</w:t>
      </w:r>
      <w:bookmarkEnd w:id="18"/>
    </w:p>
    <w:p w14:paraId="4EDED887" w14:textId="2B2EF743" w:rsidR="007A5B54" w:rsidRPr="00556C32" w:rsidRDefault="007A5B54" w:rsidP="00130939">
      <w:pPr>
        <w:rPr>
          <w:rFonts w:cs="Open Sans"/>
        </w:rPr>
      </w:pPr>
    </w:p>
    <w:p w14:paraId="0E6648EA" w14:textId="77777777" w:rsidR="00ED7B59" w:rsidRPr="00762B85" w:rsidRDefault="00ED7B59" w:rsidP="00ED7B59">
      <w:r w:rsidRPr="004C2D45">
        <w:t xml:space="preserve">Poslanstvo Geodetske uprave RS je zagotavljanje kakovostne uradne prostorske podatkovne infrastrukture </w:t>
      </w:r>
      <w:r>
        <w:t>in</w:t>
      </w:r>
      <w:r w:rsidRPr="004C2D45">
        <w:t xml:space="preserve"> sistema zemljiške administracije ter uporabnikom zagotavljati učinkovite storitve in kakovostne uradne prostorske podatke na načine, ki ustrezajo visokim standardom </w:t>
      </w:r>
      <w:proofErr w:type="spellStart"/>
      <w:r w:rsidRPr="004C2D45">
        <w:t>geoinformacijsko</w:t>
      </w:r>
      <w:proofErr w:type="spellEnd"/>
      <w:r w:rsidRPr="004C2D45">
        <w:t xml:space="preserve"> usposobljene sodobne družbe. Potreba po digitalnih podatkih Geodetske uprave RS z vpeljavo učinkovitih orodij za spletni dostop do </w:t>
      </w:r>
      <w:r w:rsidRPr="00762B85">
        <w:t>digitalnih podatkov</w:t>
      </w:r>
      <w:r w:rsidRPr="004C2D45">
        <w:t xml:space="preserve"> v zadnjih letih eksponentno narašča</w:t>
      </w:r>
      <w:r w:rsidRPr="00762B85">
        <w:t xml:space="preserve">. </w:t>
      </w:r>
    </w:p>
    <w:p w14:paraId="0507F93A" w14:textId="77777777" w:rsidR="00ED7B59" w:rsidRPr="00762B85" w:rsidRDefault="00ED7B59" w:rsidP="00ED7B59"/>
    <w:p w14:paraId="1DF0CCBC" w14:textId="77777777" w:rsidR="00ED7B59" w:rsidRPr="00686EB0" w:rsidRDefault="00ED7B59" w:rsidP="00ED7B59">
      <w:r w:rsidRPr="00686EB0">
        <w:t>Pridobivanje podatkov iz zbirk prostorskih podatkov Geodetske uprave RS je še vedno mogoče preko oddaje pisne (analogne) vloge na Oddelku za izdajo podatkov (OIP) – v letu 2017 je bilo obravnavanih 1325 vlog, v letu 2021 pa 378 vlog. V časovnem obdobju od leta 2011 do leta 2021 se kaže trend zmanjšanja števila pisnih vlog, po drugi strani pa se za isto obdobje kaže trend povečanja števila vpogleda in prenosa podatkov preko vseh digitalnih kanalov, ki jih zagotavlja Geodetska uprava RS.</w:t>
      </w:r>
    </w:p>
    <w:p w14:paraId="5BF12CB0" w14:textId="7440FA50" w:rsidR="00130939" w:rsidRPr="00556C32" w:rsidRDefault="00130939" w:rsidP="00130939">
      <w:pPr>
        <w:rPr>
          <w:rFonts w:cs="Open Sans"/>
        </w:rPr>
      </w:pPr>
    </w:p>
    <w:p w14:paraId="7BCFC3DF" w14:textId="7C1069B3" w:rsidR="00C8101A" w:rsidRPr="00556C32" w:rsidRDefault="00C8101A" w:rsidP="00C8101A">
      <w:pPr>
        <w:rPr>
          <w:rFonts w:cs="Open Sans"/>
        </w:rPr>
      </w:pPr>
      <w:r w:rsidRPr="00556C32">
        <w:rPr>
          <w:rFonts w:cs="Open Sans"/>
        </w:rPr>
        <w:t>Podatki o prenosih, poizvedbah</w:t>
      </w:r>
      <w:r w:rsidR="0011353E" w:rsidRPr="00556C32">
        <w:rPr>
          <w:rFonts w:cs="Open Sans"/>
        </w:rPr>
        <w:t xml:space="preserve"> in </w:t>
      </w:r>
      <w:r w:rsidRPr="00556C32">
        <w:rPr>
          <w:rFonts w:cs="Open Sans"/>
        </w:rPr>
        <w:t xml:space="preserve">uporabnikih </w:t>
      </w:r>
      <w:r w:rsidR="0011353E" w:rsidRPr="00556C32">
        <w:rPr>
          <w:rFonts w:cs="Open Sans"/>
        </w:rPr>
        <w:t xml:space="preserve">podatkov </w:t>
      </w:r>
      <w:r w:rsidRPr="00556C32">
        <w:rPr>
          <w:rFonts w:cs="Open Sans"/>
        </w:rPr>
        <w:t>v letu 202</w:t>
      </w:r>
      <w:r w:rsidR="00ED7B59">
        <w:rPr>
          <w:rFonts w:cs="Open Sans"/>
        </w:rPr>
        <w:t>1</w:t>
      </w:r>
      <w:r w:rsidRPr="00556C32">
        <w:rPr>
          <w:rFonts w:cs="Open Sans"/>
        </w:rPr>
        <w:t>:</w:t>
      </w:r>
    </w:p>
    <w:p w14:paraId="3A64CE92" w14:textId="4A2F32B3" w:rsidR="00ED7B59" w:rsidRPr="00ED7B59" w:rsidRDefault="00ED7B59" w:rsidP="00ED7B59">
      <w:pPr>
        <w:pStyle w:val="ListParagraph"/>
        <w:numPr>
          <w:ilvl w:val="0"/>
          <w:numId w:val="14"/>
        </w:numPr>
        <w:rPr>
          <w:rFonts w:cs="Open Sans"/>
        </w:rPr>
      </w:pPr>
      <w:r w:rsidRPr="00ED7B59">
        <w:rPr>
          <w:rFonts w:cs="Open Sans"/>
        </w:rPr>
        <w:t>več kot 157.000.000 poizvedb po digitalnih prostorskih podatkih Geodetske uprave RS</w:t>
      </w:r>
      <w:r>
        <w:rPr>
          <w:rFonts w:cs="Open Sans"/>
        </w:rPr>
        <w:t>,</w:t>
      </w:r>
    </w:p>
    <w:p w14:paraId="48559706" w14:textId="0FB8C842" w:rsidR="00ED7B59" w:rsidRPr="00ED7B59" w:rsidRDefault="00ED7B59" w:rsidP="00ED7B59">
      <w:pPr>
        <w:pStyle w:val="ListParagraph"/>
        <w:numPr>
          <w:ilvl w:val="0"/>
          <w:numId w:val="14"/>
        </w:numPr>
        <w:rPr>
          <w:rFonts w:cs="Open Sans"/>
        </w:rPr>
      </w:pPr>
      <w:r w:rsidRPr="00ED7B59">
        <w:rPr>
          <w:rFonts w:cs="Open Sans"/>
        </w:rPr>
        <w:t>več kot 371.000 prenosov digitalnih prostorskih podatkov Geodetske uprave RS</w:t>
      </w:r>
      <w:r>
        <w:rPr>
          <w:rFonts w:cs="Open Sans"/>
        </w:rPr>
        <w:t>,</w:t>
      </w:r>
    </w:p>
    <w:p w14:paraId="47560FF5" w14:textId="5FDA0643" w:rsidR="00130939" w:rsidRPr="00ED7B59" w:rsidRDefault="00ED7B59" w:rsidP="00ED7B59">
      <w:pPr>
        <w:pStyle w:val="ListParagraph"/>
        <w:numPr>
          <w:ilvl w:val="0"/>
          <w:numId w:val="14"/>
        </w:numPr>
        <w:rPr>
          <w:rFonts w:cs="Open Sans"/>
        </w:rPr>
      </w:pPr>
      <w:r w:rsidRPr="00ED7B59">
        <w:rPr>
          <w:rFonts w:cs="Open Sans"/>
        </w:rPr>
        <w:t>več kot 45.000 aktivnih uporabnikov portala e-Geodetski podatki</w:t>
      </w:r>
      <w:r w:rsidR="00C8101A" w:rsidRPr="00ED7B59">
        <w:rPr>
          <w:rFonts w:cs="Open Sans"/>
        </w:rPr>
        <w:t>.</w:t>
      </w:r>
    </w:p>
    <w:p w14:paraId="70AD7D55" w14:textId="21716EA8" w:rsidR="00130939" w:rsidRDefault="00130939" w:rsidP="00130939">
      <w:pPr>
        <w:rPr>
          <w:rFonts w:cs="Open Sans"/>
        </w:rPr>
      </w:pPr>
    </w:p>
    <w:p w14:paraId="2A0343EB" w14:textId="77777777" w:rsidR="00626E13" w:rsidRPr="00686EB0" w:rsidRDefault="00626E13" w:rsidP="00626E13">
      <w:pPr>
        <w:rPr>
          <w:spacing w:val="-4"/>
        </w:rPr>
      </w:pPr>
      <w:r w:rsidRPr="00686EB0">
        <w:rPr>
          <w:spacing w:val="-4"/>
        </w:rPr>
        <w:t>Neposredna primerjava števila analognih vlog in števila digitalnih prenosov prostorskih podatkov izkazuje pozitivne trende digitalizacije poslovanja Geodetske uprave RS, povečan</w:t>
      </w:r>
      <w:r>
        <w:rPr>
          <w:spacing w:val="-4"/>
        </w:rPr>
        <w:t>o</w:t>
      </w:r>
      <w:r w:rsidRPr="00686EB0">
        <w:rPr>
          <w:spacing w:val="-4"/>
        </w:rPr>
        <w:t xml:space="preserve"> uporab</w:t>
      </w:r>
      <w:r>
        <w:rPr>
          <w:spacing w:val="-4"/>
        </w:rPr>
        <w:t>o</w:t>
      </w:r>
      <w:r w:rsidRPr="00686EB0">
        <w:rPr>
          <w:spacing w:val="-4"/>
        </w:rPr>
        <w:t xml:space="preserve"> prostorskih podatkov in s tem tudi povečanje njihove uporabne vrednosti.</w:t>
      </w:r>
    </w:p>
    <w:p w14:paraId="5A51490A" w14:textId="77777777" w:rsidR="00626E13" w:rsidRPr="00686EB0" w:rsidRDefault="00626E13" w:rsidP="00626E13">
      <w:pPr>
        <w:rPr>
          <w:spacing w:val="-4"/>
          <w:highlight w:val="yellow"/>
        </w:rPr>
      </w:pPr>
    </w:p>
    <w:p w14:paraId="7B6BE716" w14:textId="77777777" w:rsidR="00626E13" w:rsidRPr="00686EB0" w:rsidRDefault="00626E13" w:rsidP="00626E13">
      <w:pPr>
        <w:rPr>
          <w:spacing w:val="-4"/>
        </w:rPr>
      </w:pPr>
      <w:r w:rsidRPr="00686EB0">
        <w:rPr>
          <w:spacing w:val="-4"/>
        </w:rPr>
        <w:t xml:space="preserve">Konstantno rast uporabe </w:t>
      </w:r>
      <w:r>
        <w:rPr>
          <w:spacing w:val="-4"/>
        </w:rPr>
        <w:t>beleži</w:t>
      </w:r>
      <w:r w:rsidRPr="00686EB0">
        <w:rPr>
          <w:spacing w:val="-4"/>
        </w:rPr>
        <w:t xml:space="preserve"> tudi PORTAL e-GEODETSKI PODATKI (</w:t>
      </w:r>
      <w:proofErr w:type="spellStart"/>
      <w:r w:rsidRPr="00686EB0">
        <w:rPr>
          <w:spacing w:val="-4"/>
        </w:rPr>
        <w:t>eGP</w:t>
      </w:r>
      <w:proofErr w:type="spellEnd"/>
      <w:r w:rsidRPr="00686EB0">
        <w:rPr>
          <w:spacing w:val="-4"/>
        </w:rPr>
        <w:t xml:space="preserve">), ki je bil vzpostavljen </w:t>
      </w:r>
      <w:r>
        <w:rPr>
          <w:spacing w:val="-4"/>
        </w:rPr>
        <w:t xml:space="preserve">ob </w:t>
      </w:r>
      <w:r w:rsidRPr="00686EB0">
        <w:rPr>
          <w:spacing w:val="-4"/>
        </w:rPr>
        <w:t>konc</w:t>
      </w:r>
      <w:r>
        <w:rPr>
          <w:spacing w:val="-4"/>
        </w:rPr>
        <w:t>u</w:t>
      </w:r>
      <w:r w:rsidRPr="00686EB0">
        <w:rPr>
          <w:spacing w:val="-4"/>
        </w:rPr>
        <w:t xml:space="preserve"> leta 2016 z namenom zagotavljanja brezplačnega dostopa do javnih prostorskih podatkov Geodetske uprave RS</w:t>
      </w:r>
      <w:r>
        <w:rPr>
          <w:spacing w:val="-4"/>
        </w:rPr>
        <w:t>.</w:t>
      </w:r>
      <w:r w:rsidRPr="00686EB0">
        <w:rPr>
          <w:spacing w:val="-4"/>
        </w:rPr>
        <w:t xml:space="preserve"> </w:t>
      </w:r>
      <w:r>
        <w:rPr>
          <w:spacing w:val="-4"/>
        </w:rPr>
        <w:t>O</w:t>
      </w:r>
      <w:r w:rsidRPr="00686EB0">
        <w:rPr>
          <w:spacing w:val="-4"/>
        </w:rPr>
        <w:t xml:space="preserve">mogoča prenos redno osveženih podatkov, ki so pripravljeni za prenos v obliki paketov. </w:t>
      </w:r>
    </w:p>
    <w:p w14:paraId="17AEDA8E" w14:textId="77777777" w:rsidR="00626E13" w:rsidRPr="00556C32" w:rsidRDefault="00626E13" w:rsidP="00130939">
      <w:pPr>
        <w:rPr>
          <w:rFonts w:cs="Open Sans"/>
        </w:rPr>
      </w:pPr>
    </w:p>
    <w:p w14:paraId="39ABE5DB" w14:textId="61DA2A03" w:rsidR="00842759" w:rsidRPr="00556C32" w:rsidRDefault="00842759" w:rsidP="00842759">
      <w:pPr>
        <w:pStyle w:val="Caption"/>
        <w:rPr>
          <w:rFonts w:cs="Open Sans"/>
        </w:rPr>
      </w:pPr>
      <w:r w:rsidRPr="00556C32">
        <w:rPr>
          <w:rFonts w:cs="Open Sans"/>
        </w:rPr>
        <w:t xml:space="preserve">Preglednica </w:t>
      </w:r>
      <w:r w:rsidRPr="00556C32">
        <w:rPr>
          <w:rFonts w:cs="Open Sans"/>
        </w:rPr>
        <w:fldChar w:fldCharType="begin"/>
      </w:r>
      <w:r w:rsidRPr="00556C32">
        <w:rPr>
          <w:rFonts w:cs="Open Sans"/>
        </w:rPr>
        <w:instrText xml:space="preserve"> SEQ Preglednica \* ARABIC </w:instrText>
      </w:r>
      <w:r w:rsidRPr="00556C32">
        <w:rPr>
          <w:rFonts w:cs="Open Sans"/>
        </w:rPr>
        <w:fldChar w:fldCharType="separate"/>
      </w:r>
      <w:r w:rsidR="00CF5B63">
        <w:rPr>
          <w:rFonts w:cs="Open Sans"/>
          <w:noProof/>
        </w:rPr>
        <w:t>5</w:t>
      </w:r>
      <w:r w:rsidRPr="00556C32">
        <w:rPr>
          <w:rFonts w:cs="Open Sans"/>
        </w:rPr>
        <w:fldChar w:fldCharType="end"/>
      </w:r>
      <w:r w:rsidRPr="00556C32">
        <w:rPr>
          <w:rFonts w:cs="Open Sans"/>
        </w:rPr>
        <w:t>: Delež vseh prenosov digitalnih podatkov po zbirkah prostorskih podatkov</w:t>
      </w:r>
    </w:p>
    <w:tbl>
      <w:tblPr>
        <w:tblStyle w:val="TableGrid"/>
        <w:tblW w:w="8217" w:type="dxa"/>
        <w:tblLook w:val="04A0" w:firstRow="1" w:lastRow="0" w:firstColumn="1" w:lastColumn="0" w:noHBand="0" w:noVBand="1"/>
      </w:tblPr>
      <w:tblGrid>
        <w:gridCol w:w="5240"/>
        <w:gridCol w:w="2977"/>
      </w:tblGrid>
      <w:tr w:rsidR="00842759" w:rsidRPr="00556C32" w14:paraId="1BDFC910" w14:textId="77777777" w:rsidTr="00594892">
        <w:trPr>
          <w:trHeight w:val="465"/>
        </w:trPr>
        <w:tc>
          <w:tcPr>
            <w:tcW w:w="5240" w:type="dxa"/>
            <w:shd w:val="clear" w:color="auto" w:fill="D9E2F3" w:themeFill="accent1" w:themeFillTint="33"/>
            <w:noWrap/>
            <w:hideMark/>
          </w:tcPr>
          <w:p w14:paraId="6EB22821" w14:textId="76955EE0" w:rsidR="00842759" w:rsidRPr="00556C32" w:rsidRDefault="00F609DE" w:rsidP="00842759">
            <w:pPr>
              <w:spacing w:line="240" w:lineRule="auto"/>
              <w:jc w:val="left"/>
              <w:rPr>
                <w:rFonts w:eastAsia="Times New Roman" w:cs="Open Sans"/>
                <w:color w:val="000000"/>
                <w:lang w:eastAsia="sl-SI"/>
              </w:rPr>
            </w:pPr>
            <w:r w:rsidRPr="00556C32">
              <w:rPr>
                <w:rFonts w:eastAsia="Times New Roman" w:cs="Open Sans"/>
                <w:color w:val="000000"/>
                <w:lang w:eastAsia="sl-SI"/>
              </w:rPr>
              <w:t>ZBIRKE PROSTORSKIH PODATKOV</w:t>
            </w:r>
          </w:p>
        </w:tc>
        <w:tc>
          <w:tcPr>
            <w:tcW w:w="2977" w:type="dxa"/>
            <w:shd w:val="clear" w:color="auto" w:fill="D9E2F3" w:themeFill="accent1" w:themeFillTint="33"/>
            <w:noWrap/>
            <w:hideMark/>
          </w:tcPr>
          <w:p w14:paraId="63A3BEE8" w14:textId="3595CE24" w:rsidR="00842759" w:rsidRPr="00556C32" w:rsidRDefault="00F609DE" w:rsidP="00842759">
            <w:pPr>
              <w:spacing w:line="240" w:lineRule="auto"/>
              <w:jc w:val="left"/>
              <w:rPr>
                <w:rFonts w:eastAsia="Times New Roman" w:cs="Open Sans"/>
                <w:color w:val="000000"/>
                <w:lang w:eastAsia="sl-SI"/>
              </w:rPr>
            </w:pPr>
            <w:r w:rsidRPr="00556C32">
              <w:rPr>
                <w:rFonts w:eastAsia="Times New Roman" w:cs="Open Sans"/>
                <w:color w:val="000000"/>
                <w:lang w:eastAsia="sl-SI"/>
              </w:rPr>
              <w:t>DELEŽ VSEH PRENOSOV</w:t>
            </w:r>
          </w:p>
        </w:tc>
      </w:tr>
      <w:tr w:rsidR="00842759" w:rsidRPr="00556C32" w14:paraId="1C1645AA" w14:textId="77777777" w:rsidTr="00594892">
        <w:trPr>
          <w:trHeight w:val="288"/>
        </w:trPr>
        <w:tc>
          <w:tcPr>
            <w:tcW w:w="5240" w:type="dxa"/>
            <w:noWrap/>
            <w:hideMark/>
          </w:tcPr>
          <w:p w14:paraId="73312B2C" w14:textId="77777777" w:rsidR="00842759" w:rsidRPr="00556C32" w:rsidRDefault="00842759" w:rsidP="00842759">
            <w:pPr>
              <w:spacing w:line="240" w:lineRule="auto"/>
              <w:jc w:val="left"/>
              <w:rPr>
                <w:rFonts w:eastAsia="Times New Roman" w:cs="Open Sans"/>
                <w:color w:val="000000"/>
                <w:lang w:eastAsia="sl-SI"/>
              </w:rPr>
            </w:pPr>
            <w:r w:rsidRPr="00556C32">
              <w:rPr>
                <w:rFonts w:eastAsia="Times New Roman" w:cs="Open Sans"/>
                <w:color w:val="000000"/>
                <w:lang w:eastAsia="sl-SI"/>
              </w:rPr>
              <w:t>Nepremičninski podatki po občinah</w:t>
            </w:r>
          </w:p>
        </w:tc>
        <w:tc>
          <w:tcPr>
            <w:tcW w:w="2977" w:type="dxa"/>
            <w:noWrap/>
            <w:hideMark/>
          </w:tcPr>
          <w:p w14:paraId="2D471C52" w14:textId="3C76483A" w:rsidR="00842759" w:rsidRPr="00556C32" w:rsidRDefault="00626E13" w:rsidP="00626E13">
            <w:pPr>
              <w:spacing w:line="240" w:lineRule="auto"/>
              <w:jc w:val="center"/>
              <w:rPr>
                <w:rFonts w:eastAsia="Times New Roman" w:cs="Open Sans"/>
                <w:color w:val="000000"/>
                <w:lang w:eastAsia="sl-SI"/>
              </w:rPr>
            </w:pPr>
            <w:r>
              <w:rPr>
                <w:rFonts w:eastAsia="Times New Roman" w:cs="Open Sans"/>
                <w:color w:val="000000"/>
                <w:lang w:eastAsia="sl-SI"/>
              </w:rPr>
              <w:t>71</w:t>
            </w:r>
            <w:r w:rsidR="00842759" w:rsidRPr="00556C32">
              <w:rPr>
                <w:rFonts w:eastAsia="Times New Roman" w:cs="Open Sans"/>
                <w:color w:val="000000"/>
                <w:lang w:eastAsia="sl-SI"/>
              </w:rPr>
              <w:t>%</w:t>
            </w:r>
          </w:p>
        </w:tc>
      </w:tr>
      <w:tr w:rsidR="00842759" w:rsidRPr="00556C32" w14:paraId="73A5340F" w14:textId="77777777" w:rsidTr="00594892">
        <w:trPr>
          <w:trHeight w:val="288"/>
        </w:trPr>
        <w:tc>
          <w:tcPr>
            <w:tcW w:w="5240" w:type="dxa"/>
            <w:noWrap/>
            <w:hideMark/>
          </w:tcPr>
          <w:p w14:paraId="1D7B565D" w14:textId="77777777" w:rsidR="00842759" w:rsidRPr="00556C32" w:rsidRDefault="00842759" w:rsidP="00842759">
            <w:pPr>
              <w:spacing w:line="240" w:lineRule="auto"/>
              <w:jc w:val="left"/>
              <w:rPr>
                <w:rFonts w:eastAsia="Times New Roman" w:cs="Open Sans"/>
                <w:color w:val="000000"/>
                <w:lang w:eastAsia="sl-SI"/>
              </w:rPr>
            </w:pPr>
            <w:r w:rsidRPr="00556C32">
              <w:rPr>
                <w:rFonts w:eastAsia="Times New Roman" w:cs="Open Sans"/>
                <w:color w:val="000000"/>
                <w:lang w:eastAsia="sl-SI"/>
              </w:rPr>
              <w:t>Zbirni kataster gospodarske javne infrastrukture</w:t>
            </w:r>
          </w:p>
        </w:tc>
        <w:tc>
          <w:tcPr>
            <w:tcW w:w="2977" w:type="dxa"/>
            <w:noWrap/>
            <w:hideMark/>
          </w:tcPr>
          <w:p w14:paraId="47DFE6C7" w14:textId="77777777" w:rsidR="00842759" w:rsidRPr="00556C32" w:rsidRDefault="00842759" w:rsidP="00626E13">
            <w:pPr>
              <w:spacing w:line="240" w:lineRule="auto"/>
              <w:jc w:val="center"/>
              <w:rPr>
                <w:rFonts w:eastAsia="Times New Roman" w:cs="Open Sans"/>
                <w:color w:val="000000"/>
                <w:lang w:eastAsia="sl-SI"/>
              </w:rPr>
            </w:pPr>
            <w:r w:rsidRPr="00556C32">
              <w:rPr>
                <w:rFonts w:eastAsia="Times New Roman" w:cs="Open Sans"/>
                <w:color w:val="000000"/>
                <w:lang w:eastAsia="sl-SI"/>
              </w:rPr>
              <w:t>11%</w:t>
            </w:r>
          </w:p>
        </w:tc>
      </w:tr>
      <w:tr w:rsidR="00842759" w:rsidRPr="00556C32" w14:paraId="5F3EB775" w14:textId="77777777" w:rsidTr="00594892">
        <w:trPr>
          <w:trHeight w:val="288"/>
        </w:trPr>
        <w:tc>
          <w:tcPr>
            <w:tcW w:w="5240" w:type="dxa"/>
            <w:noWrap/>
            <w:hideMark/>
          </w:tcPr>
          <w:p w14:paraId="23CB2680" w14:textId="77777777" w:rsidR="00842759" w:rsidRPr="00556C32" w:rsidRDefault="00842759" w:rsidP="00842759">
            <w:pPr>
              <w:spacing w:line="240" w:lineRule="auto"/>
              <w:jc w:val="left"/>
              <w:rPr>
                <w:rFonts w:eastAsia="Times New Roman" w:cs="Open Sans"/>
                <w:color w:val="000000"/>
                <w:lang w:eastAsia="sl-SI"/>
              </w:rPr>
            </w:pPr>
            <w:r w:rsidRPr="00556C32">
              <w:rPr>
                <w:rFonts w:eastAsia="Times New Roman" w:cs="Open Sans"/>
                <w:color w:val="000000"/>
                <w:lang w:eastAsia="sl-SI"/>
              </w:rPr>
              <w:t>Register prostorskih enot</w:t>
            </w:r>
          </w:p>
        </w:tc>
        <w:tc>
          <w:tcPr>
            <w:tcW w:w="2977" w:type="dxa"/>
            <w:noWrap/>
            <w:hideMark/>
          </w:tcPr>
          <w:p w14:paraId="24B56DB6" w14:textId="26F8B82A" w:rsidR="00842759" w:rsidRPr="00556C32" w:rsidRDefault="00626E13" w:rsidP="00626E13">
            <w:pPr>
              <w:spacing w:line="240" w:lineRule="auto"/>
              <w:jc w:val="center"/>
              <w:rPr>
                <w:rFonts w:eastAsia="Times New Roman" w:cs="Open Sans"/>
                <w:color w:val="000000"/>
                <w:lang w:eastAsia="sl-SI"/>
              </w:rPr>
            </w:pPr>
            <w:r>
              <w:rPr>
                <w:rFonts w:eastAsia="Times New Roman" w:cs="Open Sans"/>
                <w:color w:val="000000"/>
                <w:lang w:eastAsia="sl-SI"/>
              </w:rPr>
              <w:t>7</w:t>
            </w:r>
            <w:r w:rsidR="00842759" w:rsidRPr="00556C32">
              <w:rPr>
                <w:rFonts w:eastAsia="Times New Roman" w:cs="Open Sans"/>
                <w:color w:val="000000"/>
                <w:lang w:eastAsia="sl-SI"/>
              </w:rPr>
              <w:t>%</w:t>
            </w:r>
          </w:p>
        </w:tc>
      </w:tr>
      <w:tr w:rsidR="00842759" w:rsidRPr="00556C32" w14:paraId="2B830E57" w14:textId="77777777" w:rsidTr="00594892">
        <w:trPr>
          <w:trHeight w:val="288"/>
        </w:trPr>
        <w:tc>
          <w:tcPr>
            <w:tcW w:w="5240" w:type="dxa"/>
            <w:noWrap/>
            <w:hideMark/>
          </w:tcPr>
          <w:p w14:paraId="0410E344" w14:textId="77777777" w:rsidR="00842759" w:rsidRPr="00556C32" w:rsidRDefault="00842759" w:rsidP="00842759">
            <w:pPr>
              <w:spacing w:line="240" w:lineRule="auto"/>
              <w:jc w:val="left"/>
              <w:rPr>
                <w:rFonts w:eastAsia="Times New Roman" w:cs="Open Sans"/>
                <w:color w:val="000000"/>
                <w:lang w:eastAsia="sl-SI"/>
              </w:rPr>
            </w:pPr>
            <w:r w:rsidRPr="00556C32">
              <w:rPr>
                <w:rFonts w:eastAsia="Times New Roman" w:cs="Open Sans"/>
                <w:color w:val="000000"/>
                <w:lang w:eastAsia="sl-SI"/>
              </w:rPr>
              <w:t>Zemljiški kataster</w:t>
            </w:r>
          </w:p>
        </w:tc>
        <w:tc>
          <w:tcPr>
            <w:tcW w:w="2977" w:type="dxa"/>
            <w:noWrap/>
            <w:hideMark/>
          </w:tcPr>
          <w:p w14:paraId="5EDEFC54" w14:textId="488F862B" w:rsidR="00842759" w:rsidRPr="00556C32" w:rsidRDefault="00626E13" w:rsidP="00626E13">
            <w:pPr>
              <w:spacing w:line="240" w:lineRule="auto"/>
              <w:jc w:val="center"/>
              <w:rPr>
                <w:rFonts w:eastAsia="Times New Roman" w:cs="Open Sans"/>
                <w:color w:val="000000"/>
                <w:lang w:eastAsia="sl-SI"/>
              </w:rPr>
            </w:pPr>
            <w:r>
              <w:rPr>
                <w:rFonts w:eastAsia="Times New Roman" w:cs="Open Sans"/>
                <w:color w:val="000000"/>
                <w:lang w:eastAsia="sl-SI"/>
              </w:rPr>
              <w:t>3</w:t>
            </w:r>
            <w:r w:rsidR="00842759" w:rsidRPr="00556C32">
              <w:rPr>
                <w:rFonts w:eastAsia="Times New Roman" w:cs="Open Sans"/>
                <w:color w:val="000000"/>
                <w:lang w:eastAsia="sl-SI"/>
              </w:rPr>
              <w:t>%</w:t>
            </w:r>
          </w:p>
        </w:tc>
      </w:tr>
      <w:tr w:rsidR="00842759" w:rsidRPr="00556C32" w14:paraId="5176DA8D" w14:textId="77777777" w:rsidTr="00594892">
        <w:trPr>
          <w:trHeight w:val="288"/>
        </w:trPr>
        <w:tc>
          <w:tcPr>
            <w:tcW w:w="5240" w:type="dxa"/>
            <w:noWrap/>
            <w:hideMark/>
          </w:tcPr>
          <w:p w14:paraId="5DC9E1B1" w14:textId="77777777" w:rsidR="00842759" w:rsidRPr="00556C32" w:rsidRDefault="00842759" w:rsidP="00842759">
            <w:pPr>
              <w:spacing w:line="240" w:lineRule="auto"/>
              <w:jc w:val="left"/>
              <w:rPr>
                <w:rFonts w:eastAsia="Times New Roman" w:cs="Open Sans"/>
                <w:color w:val="000000"/>
                <w:lang w:eastAsia="sl-SI"/>
              </w:rPr>
            </w:pPr>
            <w:r w:rsidRPr="00556C32">
              <w:rPr>
                <w:rFonts w:eastAsia="Times New Roman" w:cs="Open Sans"/>
                <w:color w:val="000000"/>
                <w:lang w:eastAsia="sl-SI"/>
              </w:rPr>
              <w:t>Kataster stavb</w:t>
            </w:r>
          </w:p>
        </w:tc>
        <w:tc>
          <w:tcPr>
            <w:tcW w:w="2977" w:type="dxa"/>
            <w:noWrap/>
            <w:hideMark/>
          </w:tcPr>
          <w:p w14:paraId="5F6F720A" w14:textId="389BA1A0" w:rsidR="00842759" w:rsidRPr="00556C32" w:rsidRDefault="00626E13" w:rsidP="00626E13">
            <w:pPr>
              <w:spacing w:line="240" w:lineRule="auto"/>
              <w:jc w:val="center"/>
              <w:rPr>
                <w:rFonts w:eastAsia="Times New Roman" w:cs="Open Sans"/>
                <w:color w:val="000000"/>
                <w:lang w:eastAsia="sl-SI"/>
              </w:rPr>
            </w:pPr>
            <w:r>
              <w:rPr>
                <w:rFonts w:eastAsia="Times New Roman" w:cs="Open Sans"/>
                <w:color w:val="000000"/>
                <w:lang w:eastAsia="sl-SI"/>
              </w:rPr>
              <w:t>2</w:t>
            </w:r>
            <w:r w:rsidR="00842759" w:rsidRPr="00556C32">
              <w:rPr>
                <w:rFonts w:eastAsia="Times New Roman" w:cs="Open Sans"/>
                <w:color w:val="000000"/>
                <w:lang w:eastAsia="sl-SI"/>
              </w:rPr>
              <w:t>%</w:t>
            </w:r>
          </w:p>
        </w:tc>
      </w:tr>
      <w:tr w:rsidR="00842759" w:rsidRPr="00556C32" w14:paraId="6812B122" w14:textId="77777777" w:rsidTr="00594892">
        <w:trPr>
          <w:trHeight w:val="288"/>
        </w:trPr>
        <w:tc>
          <w:tcPr>
            <w:tcW w:w="5240" w:type="dxa"/>
            <w:noWrap/>
            <w:hideMark/>
          </w:tcPr>
          <w:p w14:paraId="57AB22CC" w14:textId="77777777" w:rsidR="00842759" w:rsidRPr="00556C32" w:rsidRDefault="00842759" w:rsidP="00842759">
            <w:pPr>
              <w:spacing w:line="240" w:lineRule="auto"/>
              <w:jc w:val="left"/>
              <w:rPr>
                <w:rFonts w:eastAsia="Times New Roman" w:cs="Open Sans"/>
                <w:color w:val="000000"/>
                <w:lang w:eastAsia="sl-SI"/>
              </w:rPr>
            </w:pPr>
            <w:r w:rsidRPr="00556C32">
              <w:rPr>
                <w:rFonts w:eastAsia="Times New Roman" w:cs="Open Sans"/>
                <w:color w:val="000000"/>
                <w:lang w:eastAsia="sl-SI"/>
              </w:rPr>
              <w:t>Državna topografska karta</w:t>
            </w:r>
          </w:p>
        </w:tc>
        <w:tc>
          <w:tcPr>
            <w:tcW w:w="2977" w:type="dxa"/>
            <w:noWrap/>
            <w:hideMark/>
          </w:tcPr>
          <w:p w14:paraId="76C1136A" w14:textId="62C28A21" w:rsidR="00842759" w:rsidRPr="00556C32" w:rsidRDefault="00626E13" w:rsidP="00626E13">
            <w:pPr>
              <w:spacing w:line="240" w:lineRule="auto"/>
              <w:jc w:val="center"/>
              <w:rPr>
                <w:rFonts w:eastAsia="Times New Roman" w:cs="Open Sans"/>
                <w:color w:val="000000"/>
                <w:lang w:eastAsia="sl-SI"/>
              </w:rPr>
            </w:pPr>
            <w:r>
              <w:rPr>
                <w:rFonts w:eastAsia="Times New Roman" w:cs="Open Sans"/>
                <w:color w:val="000000"/>
                <w:lang w:eastAsia="sl-SI"/>
              </w:rPr>
              <w:t>1</w:t>
            </w:r>
            <w:r w:rsidR="00842759" w:rsidRPr="00556C32">
              <w:rPr>
                <w:rFonts w:eastAsia="Times New Roman" w:cs="Open Sans"/>
                <w:color w:val="000000"/>
                <w:lang w:eastAsia="sl-SI"/>
              </w:rPr>
              <w:t>%</w:t>
            </w:r>
          </w:p>
        </w:tc>
      </w:tr>
      <w:tr w:rsidR="00842759" w:rsidRPr="00556C32" w14:paraId="4DCB9575" w14:textId="77777777" w:rsidTr="00594892">
        <w:trPr>
          <w:trHeight w:val="288"/>
        </w:trPr>
        <w:tc>
          <w:tcPr>
            <w:tcW w:w="5240" w:type="dxa"/>
            <w:noWrap/>
            <w:hideMark/>
          </w:tcPr>
          <w:p w14:paraId="30224749" w14:textId="77777777" w:rsidR="00842759" w:rsidRPr="00556C32" w:rsidRDefault="00842759" w:rsidP="00842759">
            <w:pPr>
              <w:spacing w:line="240" w:lineRule="auto"/>
              <w:jc w:val="left"/>
              <w:rPr>
                <w:rFonts w:eastAsia="Times New Roman" w:cs="Open Sans"/>
                <w:color w:val="000000"/>
                <w:lang w:eastAsia="sl-SI"/>
              </w:rPr>
            </w:pPr>
            <w:r w:rsidRPr="00556C32">
              <w:rPr>
                <w:rFonts w:eastAsia="Times New Roman" w:cs="Open Sans"/>
                <w:color w:val="000000"/>
                <w:lang w:eastAsia="sl-SI"/>
              </w:rPr>
              <w:t>Register nepremičnin</w:t>
            </w:r>
          </w:p>
        </w:tc>
        <w:tc>
          <w:tcPr>
            <w:tcW w:w="2977" w:type="dxa"/>
            <w:noWrap/>
            <w:hideMark/>
          </w:tcPr>
          <w:p w14:paraId="09A3038B" w14:textId="383FCED7" w:rsidR="00842759" w:rsidRPr="00556C32" w:rsidRDefault="00626E13" w:rsidP="00626E13">
            <w:pPr>
              <w:spacing w:line="240" w:lineRule="auto"/>
              <w:jc w:val="center"/>
              <w:rPr>
                <w:rFonts w:eastAsia="Times New Roman" w:cs="Open Sans"/>
                <w:color w:val="000000"/>
                <w:lang w:eastAsia="sl-SI"/>
              </w:rPr>
            </w:pPr>
            <w:r>
              <w:rPr>
                <w:rFonts w:eastAsia="Times New Roman" w:cs="Open Sans"/>
                <w:color w:val="000000"/>
                <w:lang w:eastAsia="sl-SI"/>
              </w:rPr>
              <w:t>1</w:t>
            </w:r>
            <w:r w:rsidR="00842759" w:rsidRPr="00556C32">
              <w:rPr>
                <w:rFonts w:eastAsia="Times New Roman" w:cs="Open Sans"/>
                <w:color w:val="000000"/>
                <w:lang w:eastAsia="sl-SI"/>
              </w:rPr>
              <w:t>%</w:t>
            </w:r>
          </w:p>
        </w:tc>
      </w:tr>
      <w:tr w:rsidR="00842759" w:rsidRPr="00556C32" w14:paraId="64CDBF0A" w14:textId="77777777" w:rsidTr="00594892">
        <w:trPr>
          <w:trHeight w:val="288"/>
        </w:trPr>
        <w:tc>
          <w:tcPr>
            <w:tcW w:w="5240" w:type="dxa"/>
            <w:noWrap/>
            <w:hideMark/>
          </w:tcPr>
          <w:p w14:paraId="471FE37C" w14:textId="224C6C13" w:rsidR="00842759" w:rsidRPr="00556C32" w:rsidRDefault="00842759" w:rsidP="00842759">
            <w:pPr>
              <w:spacing w:line="240" w:lineRule="auto"/>
              <w:jc w:val="left"/>
              <w:rPr>
                <w:rFonts w:eastAsia="Times New Roman" w:cs="Open Sans"/>
                <w:color w:val="000000"/>
                <w:lang w:eastAsia="sl-SI"/>
              </w:rPr>
            </w:pPr>
            <w:r w:rsidRPr="00556C32">
              <w:rPr>
                <w:rFonts w:eastAsia="Times New Roman" w:cs="Open Sans"/>
                <w:color w:val="000000"/>
                <w:lang w:eastAsia="sl-SI"/>
              </w:rPr>
              <w:t>Drugo</w:t>
            </w:r>
          </w:p>
        </w:tc>
        <w:tc>
          <w:tcPr>
            <w:tcW w:w="2977" w:type="dxa"/>
            <w:noWrap/>
            <w:hideMark/>
          </w:tcPr>
          <w:p w14:paraId="5F268BCA" w14:textId="361913FC" w:rsidR="00842759" w:rsidRPr="00556C32" w:rsidRDefault="00CF5B63" w:rsidP="00CF5B63">
            <w:pPr>
              <w:spacing w:line="240" w:lineRule="auto"/>
              <w:jc w:val="center"/>
              <w:rPr>
                <w:rFonts w:eastAsia="Times New Roman" w:cs="Open Sans"/>
                <w:color w:val="000000"/>
                <w:lang w:eastAsia="sl-SI"/>
              </w:rPr>
            </w:pPr>
            <w:r>
              <w:rPr>
                <w:rFonts w:eastAsia="Times New Roman" w:cs="Open Sans"/>
                <w:color w:val="000000"/>
                <w:lang w:eastAsia="sl-SI"/>
              </w:rPr>
              <w:t>4</w:t>
            </w:r>
            <w:r w:rsidR="00842759" w:rsidRPr="00556C32">
              <w:rPr>
                <w:rFonts w:eastAsia="Times New Roman" w:cs="Open Sans"/>
                <w:color w:val="000000"/>
                <w:lang w:eastAsia="sl-SI"/>
              </w:rPr>
              <w:t>%</w:t>
            </w:r>
          </w:p>
        </w:tc>
      </w:tr>
    </w:tbl>
    <w:p w14:paraId="1840869A" w14:textId="28317ED7" w:rsidR="00842759" w:rsidRPr="00556C32" w:rsidRDefault="00842759" w:rsidP="00130939">
      <w:pPr>
        <w:rPr>
          <w:rFonts w:cs="Open Sans"/>
        </w:rPr>
      </w:pPr>
    </w:p>
    <w:p w14:paraId="0EAA289E" w14:textId="30E500C7" w:rsidR="00F609DE" w:rsidRPr="00556C32" w:rsidRDefault="00F609DE" w:rsidP="00130939">
      <w:pPr>
        <w:rPr>
          <w:rFonts w:cs="Open Sans"/>
        </w:rPr>
      </w:pPr>
    </w:p>
    <w:p w14:paraId="7270959F" w14:textId="1EA75C55" w:rsidR="003A1F32" w:rsidRPr="00556C32" w:rsidRDefault="00F609DE" w:rsidP="003A1F32">
      <w:pPr>
        <w:pStyle w:val="Caption"/>
        <w:jc w:val="both"/>
        <w:rPr>
          <w:rFonts w:cs="Open Sans"/>
        </w:rPr>
      </w:pPr>
      <w:r w:rsidRPr="00556C32">
        <w:rPr>
          <w:rFonts w:cs="Open Sans"/>
        </w:rPr>
        <w:t xml:space="preserve">Preglednica </w:t>
      </w:r>
      <w:r w:rsidRPr="00556C32">
        <w:rPr>
          <w:rFonts w:cs="Open Sans"/>
        </w:rPr>
        <w:fldChar w:fldCharType="begin"/>
      </w:r>
      <w:r w:rsidRPr="00556C32">
        <w:rPr>
          <w:rFonts w:cs="Open Sans"/>
        </w:rPr>
        <w:instrText xml:space="preserve"> SEQ Preglednica \* ARABIC </w:instrText>
      </w:r>
      <w:r w:rsidRPr="00556C32">
        <w:rPr>
          <w:rFonts w:cs="Open Sans"/>
        </w:rPr>
        <w:fldChar w:fldCharType="separate"/>
      </w:r>
      <w:r w:rsidR="00CF5B63">
        <w:rPr>
          <w:rFonts w:cs="Open Sans"/>
          <w:noProof/>
        </w:rPr>
        <w:t>6</w:t>
      </w:r>
      <w:r w:rsidRPr="00556C32">
        <w:rPr>
          <w:rFonts w:cs="Open Sans"/>
        </w:rPr>
        <w:fldChar w:fldCharType="end"/>
      </w:r>
      <w:r w:rsidRPr="00556C32">
        <w:rPr>
          <w:rFonts w:cs="Open Sans"/>
        </w:rPr>
        <w:t xml:space="preserve">: </w:t>
      </w:r>
      <w:r w:rsidR="003A1F32" w:rsidRPr="00556C32">
        <w:rPr>
          <w:rFonts w:cs="Open Sans"/>
        </w:rPr>
        <w:t xml:space="preserve">Število naročil v Oddelku za izdajo podatkov (OIP) in </w:t>
      </w:r>
      <w:r w:rsidR="007D029B" w:rsidRPr="00556C32">
        <w:rPr>
          <w:rFonts w:cs="Open Sans"/>
        </w:rPr>
        <w:t xml:space="preserve">število naročil </w:t>
      </w:r>
      <w:r w:rsidR="003A1F32" w:rsidRPr="00556C32">
        <w:rPr>
          <w:rFonts w:cs="Open Sans"/>
        </w:rPr>
        <w:t>preko portala e-Geodetski podatki (</w:t>
      </w:r>
      <w:proofErr w:type="spellStart"/>
      <w:r w:rsidR="003A1F32" w:rsidRPr="00556C32">
        <w:rPr>
          <w:rFonts w:cs="Open Sans"/>
        </w:rPr>
        <w:t>eGP</w:t>
      </w:r>
      <w:proofErr w:type="spellEnd"/>
      <w:r w:rsidR="003A1F32" w:rsidRPr="00556C32">
        <w:rPr>
          <w:rFonts w:cs="Open Sans"/>
        </w:rPr>
        <w:t>) – neposredna primerjava.</w:t>
      </w:r>
    </w:p>
    <w:tbl>
      <w:tblPr>
        <w:tblStyle w:val="TableGrid"/>
        <w:tblW w:w="6232" w:type="dxa"/>
        <w:tblLook w:val="04A0" w:firstRow="1" w:lastRow="0" w:firstColumn="1" w:lastColumn="0" w:noHBand="0" w:noVBand="1"/>
      </w:tblPr>
      <w:tblGrid>
        <w:gridCol w:w="1540"/>
        <w:gridCol w:w="2380"/>
        <w:gridCol w:w="2312"/>
      </w:tblGrid>
      <w:tr w:rsidR="00F609DE" w:rsidRPr="00556C32" w14:paraId="0B1AB951" w14:textId="77777777" w:rsidTr="00594892">
        <w:trPr>
          <w:trHeight w:val="377"/>
        </w:trPr>
        <w:tc>
          <w:tcPr>
            <w:tcW w:w="1540" w:type="dxa"/>
            <w:shd w:val="clear" w:color="auto" w:fill="D9E2F3" w:themeFill="accent1" w:themeFillTint="33"/>
            <w:noWrap/>
            <w:hideMark/>
          </w:tcPr>
          <w:p w14:paraId="4F743A70" w14:textId="77777777" w:rsidR="00F609DE" w:rsidRPr="00556C32" w:rsidRDefault="00F609DE" w:rsidP="00F609DE">
            <w:pPr>
              <w:spacing w:line="240" w:lineRule="auto"/>
              <w:jc w:val="center"/>
              <w:rPr>
                <w:rFonts w:eastAsia="Times New Roman" w:cs="Open Sans"/>
                <w:color w:val="000000"/>
                <w:lang w:eastAsia="sl-SI"/>
              </w:rPr>
            </w:pPr>
            <w:r w:rsidRPr="00556C32">
              <w:rPr>
                <w:rFonts w:eastAsia="Times New Roman" w:cs="Open Sans"/>
                <w:color w:val="000000"/>
                <w:lang w:eastAsia="sl-SI"/>
              </w:rPr>
              <w:t>LETO</w:t>
            </w:r>
          </w:p>
        </w:tc>
        <w:tc>
          <w:tcPr>
            <w:tcW w:w="2380" w:type="dxa"/>
            <w:shd w:val="clear" w:color="auto" w:fill="D9E2F3" w:themeFill="accent1" w:themeFillTint="33"/>
            <w:noWrap/>
            <w:hideMark/>
          </w:tcPr>
          <w:p w14:paraId="38F2C29D" w14:textId="23A7BCC9" w:rsidR="00F609DE" w:rsidRPr="00556C32" w:rsidRDefault="00F609DE" w:rsidP="00F609DE">
            <w:pPr>
              <w:spacing w:line="240" w:lineRule="auto"/>
              <w:jc w:val="center"/>
              <w:rPr>
                <w:rFonts w:eastAsia="Times New Roman" w:cs="Open Sans"/>
                <w:color w:val="000000"/>
                <w:lang w:eastAsia="sl-SI"/>
              </w:rPr>
            </w:pPr>
            <w:r w:rsidRPr="00556C32">
              <w:rPr>
                <w:rFonts w:eastAsia="Times New Roman" w:cs="Open Sans"/>
                <w:color w:val="000000"/>
                <w:lang w:eastAsia="sl-SI"/>
              </w:rPr>
              <w:t>ŠTEVILO NAROČIL OIP</w:t>
            </w:r>
          </w:p>
        </w:tc>
        <w:tc>
          <w:tcPr>
            <w:tcW w:w="2312" w:type="dxa"/>
            <w:shd w:val="clear" w:color="auto" w:fill="D9E2F3" w:themeFill="accent1" w:themeFillTint="33"/>
            <w:noWrap/>
            <w:hideMark/>
          </w:tcPr>
          <w:p w14:paraId="5420D867" w14:textId="77777777" w:rsidR="00F609DE" w:rsidRPr="00556C32" w:rsidRDefault="00F609DE" w:rsidP="00F609DE">
            <w:pPr>
              <w:spacing w:line="240" w:lineRule="auto"/>
              <w:jc w:val="center"/>
              <w:rPr>
                <w:rFonts w:eastAsia="Times New Roman" w:cs="Open Sans"/>
                <w:color w:val="000000"/>
                <w:lang w:eastAsia="sl-SI"/>
              </w:rPr>
            </w:pPr>
            <w:r w:rsidRPr="00556C32">
              <w:rPr>
                <w:rFonts w:eastAsia="Times New Roman" w:cs="Open Sans"/>
                <w:color w:val="000000"/>
                <w:lang w:eastAsia="sl-SI"/>
              </w:rPr>
              <w:t xml:space="preserve">ŠTEVILO NAROČIL </w:t>
            </w:r>
            <w:proofErr w:type="spellStart"/>
            <w:r w:rsidRPr="00556C32">
              <w:rPr>
                <w:rFonts w:eastAsia="Times New Roman" w:cs="Open Sans"/>
                <w:color w:val="000000"/>
                <w:lang w:eastAsia="sl-SI"/>
              </w:rPr>
              <w:t>eGP</w:t>
            </w:r>
            <w:proofErr w:type="spellEnd"/>
          </w:p>
        </w:tc>
      </w:tr>
      <w:tr w:rsidR="00A1221D" w:rsidRPr="00556C32" w14:paraId="2F947678" w14:textId="77777777" w:rsidTr="00594892">
        <w:trPr>
          <w:trHeight w:val="288"/>
        </w:trPr>
        <w:tc>
          <w:tcPr>
            <w:tcW w:w="1540" w:type="dxa"/>
            <w:noWrap/>
            <w:hideMark/>
          </w:tcPr>
          <w:p w14:paraId="1B44205C" w14:textId="7C548B70" w:rsidR="00A1221D" w:rsidRPr="00556C32" w:rsidRDefault="00A1221D" w:rsidP="00A1221D">
            <w:pPr>
              <w:spacing w:line="240" w:lineRule="auto"/>
              <w:jc w:val="center"/>
              <w:rPr>
                <w:rFonts w:eastAsia="Times New Roman" w:cs="Open Sans"/>
                <w:color w:val="000000"/>
                <w:lang w:eastAsia="sl-SI"/>
              </w:rPr>
            </w:pPr>
            <w:r w:rsidRPr="00AB3073">
              <w:t>2011</w:t>
            </w:r>
          </w:p>
        </w:tc>
        <w:tc>
          <w:tcPr>
            <w:tcW w:w="2380" w:type="dxa"/>
            <w:noWrap/>
            <w:hideMark/>
          </w:tcPr>
          <w:p w14:paraId="1F9A2B49" w14:textId="1D57E2A3" w:rsidR="00A1221D" w:rsidRPr="00556C32" w:rsidRDefault="00A1221D" w:rsidP="00A1221D">
            <w:pPr>
              <w:spacing w:line="240" w:lineRule="auto"/>
              <w:jc w:val="center"/>
              <w:rPr>
                <w:rFonts w:eastAsia="Times New Roman" w:cs="Open Sans"/>
                <w:color w:val="000000"/>
                <w:lang w:eastAsia="sl-SI"/>
              </w:rPr>
            </w:pPr>
            <w:r w:rsidRPr="00AB3073">
              <w:t>1363</w:t>
            </w:r>
          </w:p>
        </w:tc>
        <w:tc>
          <w:tcPr>
            <w:tcW w:w="2312" w:type="dxa"/>
            <w:noWrap/>
            <w:hideMark/>
          </w:tcPr>
          <w:p w14:paraId="787B5C65" w14:textId="77777777" w:rsidR="00A1221D" w:rsidRPr="00556C32" w:rsidRDefault="00A1221D" w:rsidP="00A1221D">
            <w:pPr>
              <w:spacing w:line="240" w:lineRule="auto"/>
              <w:jc w:val="center"/>
              <w:rPr>
                <w:rFonts w:eastAsia="Times New Roman" w:cs="Open Sans"/>
                <w:color w:val="000000"/>
                <w:lang w:eastAsia="sl-SI"/>
              </w:rPr>
            </w:pPr>
          </w:p>
        </w:tc>
      </w:tr>
      <w:tr w:rsidR="00A1221D" w:rsidRPr="00556C32" w14:paraId="17B52891" w14:textId="77777777" w:rsidTr="00594892">
        <w:trPr>
          <w:trHeight w:val="288"/>
        </w:trPr>
        <w:tc>
          <w:tcPr>
            <w:tcW w:w="1540" w:type="dxa"/>
            <w:noWrap/>
            <w:hideMark/>
          </w:tcPr>
          <w:p w14:paraId="6D91A319" w14:textId="046F47C7" w:rsidR="00A1221D" w:rsidRPr="00556C32" w:rsidRDefault="00A1221D" w:rsidP="00A1221D">
            <w:pPr>
              <w:spacing w:line="240" w:lineRule="auto"/>
              <w:jc w:val="center"/>
              <w:rPr>
                <w:rFonts w:eastAsia="Times New Roman" w:cs="Open Sans"/>
                <w:color w:val="000000"/>
                <w:lang w:eastAsia="sl-SI"/>
              </w:rPr>
            </w:pPr>
            <w:r w:rsidRPr="00AB3073">
              <w:t>2012</w:t>
            </w:r>
          </w:p>
        </w:tc>
        <w:tc>
          <w:tcPr>
            <w:tcW w:w="2380" w:type="dxa"/>
            <w:noWrap/>
            <w:hideMark/>
          </w:tcPr>
          <w:p w14:paraId="072AD731" w14:textId="6612FC81" w:rsidR="00A1221D" w:rsidRPr="00556C32" w:rsidRDefault="00A1221D" w:rsidP="00A1221D">
            <w:pPr>
              <w:spacing w:line="240" w:lineRule="auto"/>
              <w:jc w:val="center"/>
              <w:rPr>
                <w:rFonts w:eastAsia="Times New Roman" w:cs="Open Sans"/>
                <w:color w:val="000000"/>
                <w:lang w:eastAsia="sl-SI"/>
              </w:rPr>
            </w:pPr>
            <w:r w:rsidRPr="00AB3073">
              <w:t>1231</w:t>
            </w:r>
          </w:p>
        </w:tc>
        <w:tc>
          <w:tcPr>
            <w:tcW w:w="2312" w:type="dxa"/>
            <w:noWrap/>
            <w:hideMark/>
          </w:tcPr>
          <w:p w14:paraId="118E35DD" w14:textId="77777777" w:rsidR="00A1221D" w:rsidRPr="00556C32" w:rsidRDefault="00A1221D" w:rsidP="00A1221D">
            <w:pPr>
              <w:spacing w:line="240" w:lineRule="auto"/>
              <w:jc w:val="center"/>
              <w:rPr>
                <w:rFonts w:eastAsia="Times New Roman" w:cs="Open Sans"/>
                <w:color w:val="000000"/>
                <w:lang w:eastAsia="sl-SI"/>
              </w:rPr>
            </w:pPr>
          </w:p>
        </w:tc>
      </w:tr>
      <w:tr w:rsidR="00A1221D" w:rsidRPr="00556C32" w14:paraId="6069E546" w14:textId="77777777" w:rsidTr="00594892">
        <w:trPr>
          <w:trHeight w:val="288"/>
        </w:trPr>
        <w:tc>
          <w:tcPr>
            <w:tcW w:w="1540" w:type="dxa"/>
            <w:noWrap/>
            <w:hideMark/>
          </w:tcPr>
          <w:p w14:paraId="1BE20EE1" w14:textId="6A0AB846" w:rsidR="00A1221D" w:rsidRPr="00556C32" w:rsidRDefault="00A1221D" w:rsidP="00A1221D">
            <w:pPr>
              <w:spacing w:line="240" w:lineRule="auto"/>
              <w:jc w:val="center"/>
              <w:rPr>
                <w:rFonts w:eastAsia="Times New Roman" w:cs="Open Sans"/>
                <w:color w:val="000000"/>
                <w:lang w:eastAsia="sl-SI"/>
              </w:rPr>
            </w:pPr>
            <w:r w:rsidRPr="00AB3073">
              <w:t>2013</w:t>
            </w:r>
          </w:p>
        </w:tc>
        <w:tc>
          <w:tcPr>
            <w:tcW w:w="2380" w:type="dxa"/>
            <w:noWrap/>
            <w:hideMark/>
          </w:tcPr>
          <w:p w14:paraId="4A619D29" w14:textId="63922415" w:rsidR="00A1221D" w:rsidRPr="00556C32" w:rsidRDefault="00A1221D" w:rsidP="00A1221D">
            <w:pPr>
              <w:spacing w:line="240" w:lineRule="auto"/>
              <w:jc w:val="center"/>
              <w:rPr>
                <w:rFonts w:eastAsia="Times New Roman" w:cs="Open Sans"/>
                <w:color w:val="000000"/>
                <w:lang w:eastAsia="sl-SI"/>
              </w:rPr>
            </w:pPr>
            <w:r w:rsidRPr="00AB3073">
              <w:t>1377</w:t>
            </w:r>
          </w:p>
        </w:tc>
        <w:tc>
          <w:tcPr>
            <w:tcW w:w="2312" w:type="dxa"/>
            <w:noWrap/>
            <w:hideMark/>
          </w:tcPr>
          <w:p w14:paraId="1DD71C6B" w14:textId="77777777" w:rsidR="00A1221D" w:rsidRPr="00556C32" w:rsidRDefault="00A1221D" w:rsidP="00A1221D">
            <w:pPr>
              <w:spacing w:line="240" w:lineRule="auto"/>
              <w:jc w:val="center"/>
              <w:rPr>
                <w:rFonts w:eastAsia="Times New Roman" w:cs="Open Sans"/>
                <w:color w:val="000000"/>
                <w:lang w:eastAsia="sl-SI"/>
              </w:rPr>
            </w:pPr>
          </w:p>
        </w:tc>
      </w:tr>
      <w:tr w:rsidR="00A1221D" w:rsidRPr="00556C32" w14:paraId="7324503A" w14:textId="77777777" w:rsidTr="00594892">
        <w:trPr>
          <w:trHeight w:val="288"/>
        </w:trPr>
        <w:tc>
          <w:tcPr>
            <w:tcW w:w="1540" w:type="dxa"/>
            <w:noWrap/>
            <w:hideMark/>
          </w:tcPr>
          <w:p w14:paraId="598D954E" w14:textId="3E42F275" w:rsidR="00A1221D" w:rsidRPr="00556C32" w:rsidRDefault="00A1221D" w:rsidP="00A1221D">
            <w:pPr>
              <w:spacing w:line="240" w:lineRule="auto"/>
              <w:jc w:val="center"/>
              <w:rPr>
                <w:rFonts w:eastAsia="Times New Roman" w:cs="Open Sans"/>
                <w:color w:val="000000"/>
                <w:lang w:eastAsia="sl-SI"/>
              </w:rPr>
            </w:pPr>
            <w:r w:rsidRPr="00AB3073">
              <w:t>2014</w:t>
            </w:r>
          </w:p>
        </w:tc>
        <w:tc>
          <w:tcPr>
            <w:tcW w:w="2380" w:type="dxa"/>
            <w:noWrap/>
            <w:hideMark/>
          </w:tcPr>
          <w:p w14:paraId="27A5BA3D" w14:textId="51F2BFC8" w:rsidR="00A1221D" w:rsidRPr="00556C32" w:rsidRDefault="00A1221D" w:rsidP="00A1221D">
            <w:pPr>
              <w:spacing w:line="240" w:lineRule="auto"/>
              <w:jc w:val="center"/>
              <w:rPr>
                <w:rFonts w:eastAsia="Times New Roman" w:cs="Open Sans"/>
                <w:color w:val="000000"/>
                <w:lang w:eastAsia="sl-SI"/>
              </w:rPr>
            </w:pPr>
            <w:r w:rsidRPr="00AB3073">
              <w:t>1334</w:t>
            </w:r>
          </w:p>
        </w:tc>
        <w:tc>
          <w:tcPr>
            <w:tcW w:w="2312" w:type="dxa"/>
            <w:noWrap/>
            <w:hideMark/>
          </w:tcPr>
          <w:p w14:paraId="1BE67507" w14:textId="77777777" w:rsidR="00A1221D" w:rsidRPr="00556C32" w:rsidRDefault="00A1221D" w:rsidP="00A1221D">
            <w:pPr>
              <w:spacing w:line="240" w:lineRule="auto"/>
              <w:jc w:val="center"/>
              <w:rPr>
                <w:rFonts w:eastAsia="Times New Roman" w:cs="Open Sans"/>
                <w:color w:val="000000"/>
                <w:lang w:eastAsia="sl-SI"/>
              </w:rPr>
            </w:pPr>
          </w:p>
        </w:tc>
      </w:tr>
      <w:tr w:rsidR="00A1221D" w:rsidRPr="00556C32" w14:paraId="02079895" w14:textId="77777777" w:rsidTr="00594892">
        <w:trPr>
          <w:trHeight w:val="288"/>
        </w:trPr>
        <w:tc>
          <w:tcPr>
            <w:tcW w:w="1540" w:type="dxa"/>
            <w:noWrap/>
            <w:hideMark/>
          </w:tcPr>
          <w:p w14:paraId="5326B43C" w14:textId="6674C3C9" w:rsidR="00A1221D" w:rsidRPr="00556C32" w:rsidRDefault="00A1221D" w:rsidP="00A1221D">
            <w:pPr>
              <w:spacing w:line="240" w:lineRule="auto"/>
              <w:jc w:val="center"/>
              <w:rPr>
                <w:rFonts w:eastAsia="Times New Roman" w:cs="Open Sans"/>
                <w:color w:val="000000"/>
                <w:lang w:eastAsia="sl-SI"/>
              </w:rPr>
            </w:pPr>
            <w:r w:rsidRPr="00AB3073">
              <w:t>2015</w:t>
            </w:r>
          </w:p>
        </w:tc>
        <w:tc>
          <w:tcPr>
            <w:tcW w:w="2380" w:type="dxa"/>
            <w:noWrap/>
            <w:hideMark/>
          </w:tcPr>
          <w:p w14:paraId="0EDD42AF" w14:textId="023A432D" w:rsidR="00A1221D" w:rsidRPr="00556C32" w:rsidRDefault="00A1221D" w:rsidP="00A1221D">
            <w:pPr>
              <w:spacing w:line="240" w:lineRule="auto"/>
              <w:jc w:val="center"/>
              <w:rPr>
                <w:rFonts w:eastAsia="Times New Roman" w:cs="Open Sans"/>
                <w:color w:val="000000"/>
                <w:lang w:eastAsia="sl-SI"/>
              </w:rPr>
            </w:pPr>
            <w:r w:rsidRPr="00AB3073">
              <w:t>1582</w:t>
            </w:r>
          </w:p>
        </w:tc>
        <w:tc>
          <w:tcPr>
            <w:tcW w:w="2312" w:type="dxa"/>
            <w:noWrap/>
            <w:hideMark/>
          </w:tcPr>
          <w:p w14:paraId="5953E1BB" w14:textId="77777777" w:rsidR="00A1221D" w:rsidRPr="00556C32" w:rsidRDefault="00A1221D" w:rsidP="00A1221D">
            <w:pPr>
              <w:spacing w:line="240" w:lineRule="auto"/>
              <w:jc w:val="center"/>
              <w:rPr>
                <w:rFonts w:eastAsia="Times New Roman" w:cs="Open Sans"/>
                <w:color w:val="000000"/>
                <w:lang w:eastAsia="sl-SI"/>
              </w:rPr>
            </w:pPr>
          </w:p>
        </w:tc>
      </w:tr>
      <w:tr w:rsidR="00A1221D" w:rsidRPr="00556C32" w14:paraId="74A251FA" w14:textId="77777777" w:rsidTr="00594892">
        <w:trPr>
          <w:trHeight w:val="288"/>
        </w:trPr>
        <w:tc>
          <w:tcPr>
            <w:tcW w:w="1540" w:type="dxa"/>
            <w:noWrap/>
            <w:hideMark/>
          </w:tcPr>
          <w:p w14:paraId="787530D7" w14:textId="15E744EE" w:rsidR="00A1221D" w:rsidRPr="00556C32" w:rsidRDefault="00A1221D" w:rsidP="00A1221D">
            <w:pPr>
              <w:spacing w:line="240" w:lineRule="auto"/>
              <w:jc w:val="center"/>
              <w:rPr>
                <w:rFonts w:eastAsia="Times New Roman" w:cs="Open Sans"/>
                <w:color w:val="000000"/>
                <w:lang w:eastAsia="sl-SI"/>
              </w:rPr>
            </w:pPr>
            <w:r w:rsidRPr="00AB3073">
              <w:t>2016</w:t>
            </w:r>
          </w:p>
        </w:tc>
        <w:tc>
          <w:tcPr>
            <w:tcW w:w="2380" w:type="dxa"/>
            <w:noWrap/>
            <w:hideMark/>
          </w:tcPr>
          <w:p w14:paraId="42DFA876" w14:textId="5813766F" w:rsidR="00A1221D" w:rsidRPr="00556C32" w:rsidRDefault="00A1221D" w:rsidP="00A1221D">
            <w:pPr>
              <w:spacing w:line="240" w:lineRule="auto"/>
              <w:jc w:val="center"/>
              <w:rPr>
                <w:rFonts w:eastAsia="Times New Roman" w:cs="Open Sans"/>
                <w:color w:val="000000"/>
                <w:lang w:eastAsia="sl-SI"/>
              </w:rPr>
            </w:pPr>
            <w:r w:rsidRPr="00AB3073">
              <w:t>1772</w:t>
            </w:r>
          </w:p>
        </w:tc>
        <w:tc>
          <w:tcPr>
            <w:tcW w:w="2312" w:type="dxa"/>
            <w:noWrap/>
            <w:hideMark/>
          </w:tcPr>
          <w:p w14:paraId="194E871E" w14:textId="7DB355BD" w:rsidR="00A1221D" w:rsidRPr="00556C32" w:rsidRDefault="00A1221D" w:rsidP="00A1221D">
            <w:pPr>
              <w:spacing w:line="240" w:lineRule="auto"/>
              <w:jc w:val="center"/>
              <w:rPr>
                <w:rFonts w:eastAsia="Times New Roman" w:cs="Open Sans"/>
                <w:color w:val="000000"/>
                <w:lang w:eastAsia="sl-SI"/>
              </w:rPr>
            </w:pPr>
            <w:r w:rsidRPr="00AB3073">
              <w:t>15158</w:t>
            </w:r>
          </w:p>
        </w:tc>
      </w:tr>
      <w:tr w:rsidR="00A1221D" w:rsidRPr="00556C32" w14:paraId="0887CE71" w14:textId="77777777" w:rsidTr="00594892">
        <w:trPr>
          <w:trHeight w:val="288"/>
        </w:trPr>
        <w:tc>
          <w:tcPr>
            <w:tcW w:w="1540" w:type="dxa"/>
            <w:noWrap/>
            <w:hideMark/>
          </w:tcPr>
          <w:p w14:paraId="122FD9FC" w14:textId="1E52F261" w:rsidR="00A1221D" w:rsidRPr="00556C32" w:rsidRDefault="00A1221D" w:rsidP="00A1221D">
            <w:pPr>
              <w:spacing w:line="240" w:lineRule="auto"/>
              <w:jc w:val="center"/>
              <w:rPr>
                <w:rFonts w:eastAsia="Times New Roman" w:cs="Open Sans"/>
                <w:color w:val="000000"/>
                <w:lang w:eastAsia="sl-SI"/>
              </w:rPr>
            </w:pPr>
            <w:r w:rsidRPr="00AB3073">
              <w:t>2017</w:t>
            </w:r>
          </w:p>
        </w:tc>
        <w:tc>
          <w:tcPr>
            <w:tcW w:w="2380" w:type="dxa"/>
            <w:noWrap/>
            <w:hideMark/>
          </w:tcPr>
          <w:p w14:paraId="50CA5D41" w14:textId="1A7C981C" w:rsidR="00A1221D" w:rsidRPr="00556C32" w:rsidRDefault="00A1221D" w:rsidP="00A1221D">
            <w:pPr>
              <w:spacing w:line="240" w:lineRule="auto"/>
              <w:jc w:val="center"/>
              <w:rPr>
                <w:rFonts w:eastAsia="Times New Roman" w:cs="Open Sans"/>
                <w:color w:val="000000"/>
                <w:lang w:eastAsia="sl-SI"/>
              </w:rPr>
            </w:pPr>
            <w:r w:rsidRPr="00AB3073">
              <w:t>1325</w:t>
            </w:r>
          </w:p>
        </w:tc>
        <w:tc>
          <w:tcPr>
            <w:tcW w:w="2312" w:type="dxa"/>
            <w:noWrap/>
            <w:hideMark/>
          </w:tcPr>
          <w:p w14:paraId="7E68761A" w14:textId="2446647A" w:rsidR="00A1221D" w:rsidRPr="00556C32" w:rsidRDefault="00A1221D" w:rsidP="00A1221D">
            <w:pPr>
              <w:spacing w:line="240" w:lineRule="auto"/>
              <w:jc w:val="center"/>
              <w:rPr>
                <w:rFonts w:eastAsia="Times New Roman" w:cs="Open Sans"/>
                <w:color w:val="000000"/>
                <w:lang w:eastAsia="sl-SI"/>
              </w:rPr>
            </w:pPr>
            <w:r w:rsidRPr="00AB3073">
              <w:t>41324</w:t>
            </w:r>
          </w:p>
        </w:tc>
      </w:tr>
      <w:tr w:rsidR="00A1221D" w:rsidRPr="00556C32" w14:paraId="4C684890" w14:textId="77777777" w:rsidTr="00594892">
        <w:trPr>
          <w:trHeight w:val="288"/>
        </w:trPr>
        <w:tc>
          <w:tcPr>
            <w:tcW w:w="1540" w:type="dxa"/>
            <w:noWrap/>
            <w:hideMark/>
          </w:tcPr>
          <w:p w14:paraId="5D07766D" w14:textId="1F7C0320" w:rsidR="00A1221D" w:rsidRPr="00556C32" w:rsidRDefault="00A1221D" w:rsidP="00A1221D">
            <w:pPr>
              <w:spacing w:line="240" w:lineRule="auto"/>
              <w:jc w:val="center"/>
              <w:rPr>
                <w:rFonts w:eastAsia="Times New Roman" w:cs="Open Sans"/>
                <w:color w:val="000000"/>
                <w:lang w:eastAsia="sl-SI"/>
              </w:rPr>
            </w:pPr>
            <w:r w:rsidRPr="00AB3073">
              <w:t>2018</w:t>
            </w:r>
          </w:p>
        </w:tc>
        <w:tc>
          <w:tcPr>
            <w:tcW w:w="2380" w:type="dxa"/>
            <w:noWrap/>
            <w:hideMark/>
          </w:tcPr>
          <w:p w14:paraId="02572857" w14:textId="10A6C969" w:rsidR="00A1221D" w:rsidRPr="00556C32" w:rsidRDefault="00A1221D" w:rsidP="00A1221D">
            <w:pPr>
              <w:spacing w:line="240" w:lineRule="auto"/>
              <w:jc w:val="center"/>
              <w:rPr>
                <w:rFonts w:eastAsia="Times New Roman" w:cs="Open Sans"/>
                <w:color w:val="000000"/>
                <w:lang w:eastAsia="sl-SI"/>
              </w:rPr>
            </w:pPr>
            <w:r w:rsidRPr="00AB3073">
              <w:t>1284</w:t>
            </w:r>
          </w:p>
        </w:tc>
        <w:tc>
          <w:tcPr>
            <w:tcW w:w="2312" w:type="dxa"/>
            <w:noWrap/>
            <w:hideMark/>
          </w:tcPr>
          <w:p w14:paraId="64B344EE" w14:textId="57745EA4" w:rsidR="00A1221D" w:rsidRPr="00556C32" w:rsidRDefault="00A1221D" w:rsidP="00A1221D">
            <w:pPr>
              <w:spacing w:line="240" w:lineRule="auto"/>
              <w:jc w:val="center"/>
              <w:rPr>
                <w:rFonts w:eastAsia="Times New Roman" w:cs="Open Sans"/>
                <w:color w:val="000000"/>
                <w:lang w:eastAsia="sl-SI"/>
              </w:rPr>
            </w:pPr>
            <w:r w:rsidRPr="00AB3073">
              <w:t>56081</w:t>
            </w:r>
          </w:p>
        </w:tc>
      </w:tr>
      <w:tr w:rsidR="00A1221D" w:rsidRPr="00556C32" w14:paraId="6B0BFDE1" w14:textId="77777777" w:rsidTr="00594892">
        <w:trPr>
          <w:trHeight w:val="288"/>
        </w:trPr>
        <w:tc>
          <w:tcPr>
            <w:tcW w:w="1540" w:type="dxa"/>
            <w:noWrap/>
            <w:hideMark/>
          </w:tcPr>
          <w:p w14:paraId="57B48E95" w14:textId="3F225974" w:rsidR="00A1221D" w:rsidRPr="00556C32" w:rsidRDefault="00A1221D" w:rsidP="00A1221D">
            <w:pPr>
              <w:spacing w:line="240" w:lineRule="auto"/>
              <w:jc w:val="center"/>
              <w:rPr>
                <w:rFonts w:eastAsia="Times New Roman" w:cs="Open Sans"/>
                <w:color w:val="000000"/>
                <w:lang w:eastAsia="sl-SI"/>
              </w:rPr>
            </w:pPr>
            <w:r w:rsidRPr="00AB3073">
              <w:t>2019</w:t>
            </w:r>
          </w:p>
        </w:tc>
        <w:tc>
          <w:tcPr>
            <w:tcW w:w="2380" w:type="dxa"/>
            <w:noWrap/>
            <w:hideMark/>
          </w:tcPr>
          <w:p w14:paraId="44CED4E7" w14:textId="44D0D38C" w:rsidR="00A1221D" w:rsidRPr="00556C32" w:rsidRDefault="00A1221D" w:rsidP="00A1221D">
            <w:pPr>
              <w:spacing w:line="240" w:lineRule="auto"/>
              <w:jc w:val="center"/>
              <w:rPr>
                <w:rFonts w:eastAsia="Times New Roman" w:cs="Open Sans"/>
                <w:color w:val="000000"/>
                <w:lang w:eastAsia="sl-SI"/>
              </w:rPr>
            </w:pPr>
            <w:r w:rsidRPr="00AB3073">
              <w:t>749</w:t>
            </w:r>
          </w:p>
        </w:tc>
        <w:tc>
          <w:tcPr>
            <w:tcW w:w="2312" w:type="dxa"/>
            <w:noWrap/>
            <w:hideMark/>
          </w:tcPr>
          <w:p w14:paraId="4DCA758A" w14:textId="1DA90810" w:rsidR="00A1221D" w:rsidRPr="00556C32" w:rsidRDefault="00A1221D" w:rsidP="00A1221D">
            <w:pPr>
              <w:spacing w:line="240" w:lineRule="auto"/>
              <w:jc w:val="center"/>
              <w:rPr>
                <w:rFonts w:eastAsia="Times New Roman" w:cs="Open Sans"/>
                <w:color w:val="000000"/>
                <w:lang w:eastAsia="sl-SI"/>
              </w:rPr>
            </w:pPr>
            <w:r w:rsidRPr="00AB3073">
              <w:t>81042</w:t>
            </w:r>
          </w:p>
        </w:tc>
      </w:tr>
      <w:tr w:rsidR="00A1221D" w:rsidRPr="00556C32" w14:paraId="57F42227" w14:textId="77777777" w:rsidTr="00594892">
        <w:trPr>
          <w:trHeight w:val="288"/>
        </w:trPr>
        <w:tc>
          <w:tcPr>
            <w:tcW w:w="1540" w:type="dxa"/>
            <w:noWrap/>
            <w:hideMark/>
          </w:tcPr>
          <w:p w14:paraId="46179D45" w14:textId="3BC0B059" w:rsidR="00A1221D" w:rsidRPr="00556C32" w:rsidRDefault="00A1221D" w:rsidP="00A1221D">
            <w:pPr>
              <w:spacing w:line="240" w:lineRule="auto"/>
              <w:jc w:val="center"/>
              <w:rPr>
                <w:rFonts w:eastAsia="Times New Roman" w:cs="Open Sans"/>
                <w:color w:val="000000"/>
                <w:lang w:eastAsia="sl-SI"/>
              </w:rPr>
            </w:pPr>
            <w:r w:rsidRPr="00AB3073">
              <w:t>2020</w:t>
            </w:r>
          </w:p>
        </w:tc>
        <w:tc>
          <w:tcPr>
            <w:tcW w:w="2380" w:type="dxa"/>
            <w:noWrap/>
            <w:hideMark/>
          </w:tcPr>
          <w:p w14:paraId="12F935B6" w14:textId="4F59330A" w:rsidR="00A1221D" w:rsidRPr="00556C32" w:rsidRDefault="00A1221D" w:rsidP="00A1221D">
            <w:pPr>
              <w:spacing w:line="240" w:lineRule="auto"/>
              <w:jc w:val="center"/>
              <w:rPr>
                <w:rFonts w:eastAsia="Times New Roman" w:cs="Open Sans"/>
                <w:color w:val="000000"/>
                <w:lang w:eastAsia="sl-SI"/>
              </w:rPr>
            </w:pPr>
            <w:r w:rsidRPr="00AB3073">
              <w:t>492</w:t>
            </w:r>
          </w:p>
        </w:tc>
        <w:tc>
          <w:tcPr>
            <w:tcW w:w="2312" w:type="dxa"/>
            <w:noWrap/>
            <w:hideMark/>
          </w:tcPr>
          <w:p w14:paraId="7D8E5231" w14:textId="4751FB93" w:rsidR="00A1221D" w:rsidRPr="00556C32" w:rsidRDefault="00A1221D" w:rsidP="00A1221D">
            <w:pPr>
              <w:spacing w:line="240" w:lineRule="auto"/>
              <w:jc w:val="center"/>
              <w:rPr>
                <w:rFonts w:eastAsia="Times New Roman" w:cs="Open Sans"/>
                <w:color w:val="000000"/>
                <w:lang w:eastAsia="sl-SI"/>
              </w:rPr>
            </w:pPr>
            <w:r w:rsidRPr="00AB3073">
              <w:t>211074</w:t>
            </w:r>
          </w:p>
        </w:tc>
      </w:tr>
      <w:tr w:rsidR="00A1221D" w:rsidRPr="00556C32" w14:paraId="11807775" w14:textId="77777777" w:rsidTr="00594892">
        <w:trPr>
          <w:trHeight w:val="288"/>
        </w:trPr>
        <w:tc>
          <w:tcPr>
            <w:tcW w:w="1540" w:type="dxa"/>
            <w:noWrap/>
            <w:hideMark/>
          </w:tcPr>
          <w:p w14:paraId="4BCF11DA" w14:textId="6EE06BAD" w:rsidR="00A1221D" w:rsidRPr="00556C32" w:rsidRDefault="00A1221D" w:rsidP="00A1221D">
            <w:pPr>
              <w:spacing w:line="240" w:lineRule="auto"/>
              <w:jc w:val="center"/>
              <w:rPr>
                <w:rFonts w:eastAsia="Times New Roman" w:cs="Open Sans"/>
                <w:color w:val="000000"/>
                <w:lang w:eastAsia="sl-SI"/>
              </w:rPr>
            </w:pPr>
            <w:r w:rsidRPr="00AB3073">
              <w:t>2021</w:t>
            </w:r>
          </w:p>
        </w:tc>
        <w:tc>
          <w:tcPr>
            <w:tcW w:w="2380" w:type="dxa"/>
            <w:noWrap/>
            <w:hideMark/>
          </w:tcPr>
          <w:p w14:paraId="61ECB04F" w14:textId="4F0A3DB2" w:rsidR="00A1221D" w:rsidRPr="00556C32" w:rsidRDefault="00A1221D" w:rsidP="00A1221D">
            <w:pPr>
              <w:spacing w:line="240" w:lineRule="auto"/>
              <w:jc w:val="center"/>
              <w:rPr>
                <w:rFonts w:eastAsia="Times New Roman" w:cs="Open Sans"/>
                <w:color w:val="000000"/>
                <w:lang w:eastAsia="sl-SI"/>
              </w:rPr>
            </w:pPr>
            <w:r w:rsidRPr="00AB3073">
              <w:t>378</w:t>
            </w:r>
          </w:p>
        </w:tc>
        <w:tc>
          <w:tcPr>
            <w:tcW w:w="2312" w:type="dxa"/>
            <w:noWrap/>
            <w:hideMark/>
          </w:tcPr>
          <w:p w14:paraId="5034B7EA" w14:textId="7A04FBEB" w:rsidR="00A1221D" w:rsidRPr="00556C32" w:rsidRDefault="00A1221D" w:rsidP="00A1221D">
            <w:pPr>
              <w:spacing w:line="240" w:lineRule="auto"/>
              <w:jc w:val="center"/>
              <w:rPr>
                <w:rFonts w:eastAsia="Times New Roman" w:cs="Open Sans"/>
                <w:color w:val="000000"/>
                <w:lang w:eastAsia="sl-SI"/>
              </w:rPr>
            </w:pPr>
            <w:r w:rsidRPr="00AB3073">
              <w:t>371710</w:t>
            </w:r>
          </w:p>
        </w:tc>
      </w:tr>
      <w:tr w:rsidR="00A1221D" w:rsidRPr="00556C32" w14:paraId="28677793" w14:textId="77777777" w:rsidTr="00594892">
        <w:trPr>
          <w:trHeight w:val="288"/>
        </w:trPr>
        <w:tc>
          <w:tcPr>
            <w:tcW w:w="1540" w:type="dxa"/>
            <w:noWrap/>
            <w:hideMark/>
          </w:tcPr>
          <w:p w14:paraId="0873891E" w14:textId="60852FB4" w:rsidR="00A1221D" w:rsidRPr="00556C32" w:rsidRDefault="00A1221D" w:rsidP="00A1221D">
            <w:pPr>
              <w:spacing w:line="240" w:lineRule="auto"/>
              <w:jc w:val="center"/>
              <w:rPr>
                <w:rFonts w:eastAsia="Times New Roman" w:cs="Open Sans"/>
                <w:color w:val="000000"/>
                <w:lang w:eastAsia="sl-SI"/>
              </w:rPr>
            </w:pPr>
            <w:r w:rsidRPr="00AB3073">
              <w:t>2011</w:t>
            </w:r>
          </w:p>
        </w:tc>
        <w:tc>
          <w:tcPr>
            <w:tcW w:w="2380" w:type="dxa"/>
            <w:noWrap/>
            <w:hideMark/>
          </w:tcPr>
          <w:p w14:paraId="535FED8F" w14:textId="0EFED8CA" w:rsidR="00A1221D" w:rsidRPr="00556C32" w:rsidRDefault="00A1221D" w:rsidP="00A1221D">
            <w:pPr>
              <w:spacing w:line="240" w:lineRule="auto"/>
              <w:jc w:val="center"/>
              <w:rPr>
                <w:rFonts w:eastAsia="Times New Roman" w:cs="Open Sans"/>
                <w:color w:val="000000"/>
                <w:lang w:eastAsia="sl-SI"/>
              </w:rPr>
            </w:pPr>
            <w:r w:rsidRPr="00AB3073">
              <w:t>1363</w:t>
            </w:r>
          </w:p>
        </w:tc>
        <w:tc>
          <w:tcPr>
            <w:tcW w:w="2312" w:type="dxa"/>
            <w:noWrap/>
            <w:hideMark/>
          </w:tcPr>
          <w:p w14:paraId="2229607E" w14:textId="61CF7FB1" w:rsidR="00A1221D" w:rsidRPr="00556C32" w:rsidRDefault="00A1221D" w:rsidP="00A1221D">
            <w:pPr>
              <w:spacing w:line="240" w:lineRule="auto"/>
              <w:jc w:val="center"/>
              <w:rPr>
                <w:rFonts w:eastAsia="Times New Roman" w:cs="Open Sans"/>
                <w:color w:val="000000"/>
                <w:lang w:eastAsia="sl-SI"/>
              </w:rPr>
            </w:pPr>
          </w:p>
        </w:tc>
      </w:tr>
    </w:tbl>
    <w:p w14:paraId="3EC28076" w14:textId="77777777" w:rsidR="00F609DE" w:rsidRPr="00556C32" w:rsidRDefault="00F609DE" w:rsidP="00130939">
      <w:pPr>
        <w:rPr>
          <w:rFonts w:cs="Open Sans"/>
        </w:rPr>
      </w:pPr>
    </w:p>
    <w:p w14:paraId="54AF1165" w14:textId="56259AD1" w:rsidR="009D6C3A" w:rsidRPr="00A1221D" w:rsidRDefault="007A5B54" w:rsidP="00A1221D">
      <w:pPr>
        <w:pStyle w:val="Heading1"/>
        <w:rPr>
          <w:rStyle w:val="Hyperlink"/>
          <w:color w:val="323E4F" w:themeColor="text2" w:themeShade="BF"/>
          <w:u w:val="none"/>
        </w:rPr>
      </w:pPr>
      <w:r w:rsidRPr="00556C32">
        <w:br w:type="column"/>
      </w:r>
      <w:bookmarkStart w:id="19" w:name="_Toc104471899"/>
      <w:r w:rsidR="009D6C3A" w:rsidRPr="00A1221D">
        <w:rPr>
          <w:rStyle w:val="Hyperlink"/>
          <w:color w:val="323E4F" w:themeColor="text2" w:themeShade="BF"/>
          <w:u w:val="none"/>
        </w:rPr>
        <w:lastRenderedPageBreak/>
        <w:t>SLOVENIJA V ŠTEVILKAH</w:t>
      </w:r>
      <w:bookmarkEnd w:id="19"/>
    </w:p>
    <w:p w14:paraId="08874C40" w14:textId="34201719" w:rsidR="00273A7D" w:rsidRPr="00A1221D" w:rsidRDefault="008F3B42" w:rsidP="00273A7D">
      <w:pPr>
        <w:rPr>
          <w:rFonts w:cs="Open Sans"/>
          <w:color w:val="323E4F" w:themeColor="text2" w:themeShade="BF"/>
        </w:rPr>
      </w:pPr>
      <w:r w:rsidRPr="00A1221D">
        <w:rPr>
          <w:rFonts w:cs="Open Sans"/>
          <w:color w:val="323E4F" w:themeColor="text2" w:themeShade="BF"/>
        </w:rPr>
        <w:t>(</w:t>
      </w:r>
      <w:r w:rsidR="00273A7D" w:rsidRPr="00A1221D">
        <w:rPr>
          <w:rFonts w:cs="Open Sans"/>
          <w:color w:val="323E4F" w:themeColor="text2" w:themeShade="BF"/>
        </w:rPr>
        <w:t>podatki na dan 31.</w:t>
      </w:r>
      <w:r w:rsidR="00C86319" w:rsidRPr="00A1221D">
        <w:rPr>
          <w:rFonts w:cs="Open Sans"/>
          <w:color w:val="323E4F" w:themeColor="text2" w:themeShade="BF"/>
        </w:rPr>
        <w:t> </w:t>
      </w:r>
      <w:r w:rsidR="00273A7D" w:rsidRPr="00A1221D">
        <w:rPr>
          <w:rFonts w:cs="Open Sans"/>
          <w:color w:val="323E4F" w:themeColor="text2" w:themeShade="BF"/>
        </w:rPr>
        <w:t>12.</w:t>
      </w:r>
      <w:r w:rsidR="00C86319" w:rsidRPr="00A1221D">
        <w:rPr>
          <w:rFonts w:cs="Open Sans"/>
          <w:color w:val="323E4F" w:themeColor="text2" w:themeShade="BF"/>
        </w:rPr>
        <w:t> </w:t>
      </w:r>
      <w:r w:rsidR="00273A7D" w:rsidRPr="00A1221D">
        <w:rPr>
          <w:rFonts w:cs="Open Sans"/>
          <w:color w:val="323E4F" w:themeColor="text2" w:themeShade="BF"/>
        </w:rPr>
        <w:t>202</w:t>
      </w:r>
      <w:r w:rsidR="00A1221D">
        <w:rPr>
          <w:rFonts w:cs="Open Sans"/>
          <w:color w:val="323E4F" w:themeColor="text2" w:themeShade="BF"/>
        </w:rPr>
        <w:t>1</w:t>
      </w:r>
      <w:r w:rsidRPr="00A1221D">
        <w:rPr>
          <w:rFonts w:cs="Open Sans"/>
          <w:color w:val="323E4F" w:themeColor="text2" w:themeShade="BF"/>
        </w:rPr>
        <w:t>)</w:t>
      </w:r>
    </w:p>
    <w:p w14:paraId="4984ED78" w14:textId="29912FF6" w:rsidR="00273A7D" w:rsidRDefault="00273A7D" w:rsidP="00273A7D">
      <w:pPr>
        <w:rPr>
          <w:rFonts w:cs="Open Sans"/>
        </w:rPr>
      </w:pPr>
    </w:p>
    <w:p w14:paraId="41E9BF31" w14:textId="7D547FA9" w:rsidR="00164677" w:rsidRDefault="00164677" w:rsidP="007A4DEA">
      <w:pPr>
        <w:pStyle w:val="Caption"/>
        <w:rPr>
          <w:rFonts w:cs="Open Sans"/>
        </w:rPr>
      </w:pPr>
      <w:r w:rsidRPr="00556C32">
        <w:rPr>
          <w:rFonts w:cs="Open Sans"/>
        </w:rPr>
        <w:t xml:space="preserve">Preglednica </w:t>
      </w:r>
      <w:r w:rsidRPr="00556C32">
        <w:rPr>
          <w:rFonts w:cs="Open Sans"/>
        </w:rPr>
        <w:fldChar w:fldCharType="begin"/>
      </w:r>
      <w:r w:rsidRPr="00556C32">
        <w:rPr>
          <w:rFonts w:cs="Open Sans"/>
        </w:rPr>
        <w:instrText xml:space="preserve"> SEQ Preglednica \* ARABIC </w:instrText>
      </w:r>
      <w:r w:rsidRPr="00556C32">
        <w:rPr>
          <w:rFonts w:cs="Open Sans"/>
        </w:rPr>
        <w:fldChar w:fldCharType="separate"/>
      </w:r>
      <w:r w:rsidR="00A1221D">
        <w:rPr>
          <w:rFonts w:cs="Open Sans"/>
          <w:noProof/>
        </w:rPr>
        <w:t>7</w:t>
      </w:r>
      <w:r w:rsidRPr="00556C32">
        <w:rPr>
          <w:rFonts w:cs="Open Sans"/>
        </w:rPr>
        <w:fldChar w:fldCharType="end"/>
      </w:r>
      <w:r w:rsidRPr="00556C32">
        <w:rPr>
          <w:rFonts w:cs="Open Sans"/>
        </w:rPr>
        <w:t>:</w:t>
      </w:r>
      <w:r>
        <w:rPr>
          <w:rFonts w:cs="Open Sans"/>
        </w:rPr>
        <w:t xml:space="preserve"> Prikaz vrednosti števila </w:t>
      </w:r>
      <w:r w:rsidR="00E03E4F">
        <w:rPr>
          <w:rFonts w:cs="Open Sans"/>
        </w:rPr>
        <w:t xml:space="preserve">nekaterih </w:t>
      </w:r>
      <w:r>
        <w:rPr>
          <w:rFonts w:cs="Open Sans"/>
        </w:rPr>
        <w:t xml:space="preserve">prostorskih </w:t>
      </w:r>
      <w:r w:rsidR="00E03E4F">
        <w:rPr>
          <w:rFonts w:cs="Open Sans"/>
        </w:rPr>
        <w:t>enot v Sloveniji na dan 31. 12. 202</w:t>
      </w:r>
      <w:r w:rsidR="00A1221D">
        <w:rPr>
          <w:rFonts w:cs="Open Sans"/>
        </w:rPr>
        <w:t>1</w:t>
      </w:r>
    </w:p>
    <w:tbl>
      <w:tblPr>
        <w:tblStyle w:val="TableGrid"/>
        <w:tblW w:w="0" w:type="auto"/>
        <w:tblLook w:val="04A0" w:firstRow="1" w:lastRow="0" w:firstColumn="1" w:lastColumn="0" w:noHBand="0" w:noVBand="1"/>
      </w:tblPr>
      <w:tblGrid>
        <w:gridCol w:w="2266"/>
        <w:gridCol w:w="2978"/>
      </w:tblGrid>
      <w:tr w:rsidR="00F929E1" w14:paraId="01041DAF" w14:textId="77777777" w:rsidTr="00164677">
        <w:trPr>
          <w:trHeight w:val="467"/>
        </w:trPr>
        <w:tc>
          <w:tcPr>
            <w:tcW w:w="2266" w:type="dxa"/>
            <w:shd w:val="clear" w:color="auto" w:fill="D9E2F3" w:themeFill="accent1" w:themeFillTint="33"/>
            <w:vAlign w:val="center"/>
          </w:tcPr>
          <w:p w14:paraId="6BF3C4A4" w14:textId="7378F75E" w:rsidR="00F929E1" w:rsidRDefault="00F929E1" w:rsidP="00164677">
            <w:pPr>
              <w:jc w:val="left"/>
              <w:rPr>
                <w:rFonts w:cs="Open Sans"/>
              </w:rPr>
            </w:pPr>
            <w:r>
              <w:rPr>
                <w:rFonts w:cs="Open Sans"/>
              </w:rPr>
              <w:t>PROSTORSKE ENOTE</w:t>
            </w:r>
          </w:p>
        </w:tc>
        <w:tc>
          <w:tcPr>
            <w:tcW w:w="2978" w:type="dxa"/>
            <w:shd w:val="clear" w:color="auto" w:fill="D9E2F3" w:themeFill="accent1" w:themeFillTint="33"/>
            <w:vAlign w:val="center"/>
          </w:tcPr>
          <w:p w14:paraId="01CBC2FD" w14:textId="3355F725" w:rsidR="00F929E1" w:rsidRDefault="00F929E1" w:rsidP="00164677">
            <w:pPr>
              <w:jc w:val="left"/>
              <w:rPr>
                <w:rFonts w:cs="Open Sans"/>
              </w:rPr>
            </w:pPr>
            <w:r>
              <w:rPr>
                <w:rFonts w:cs="Open Sans"/>
              </w:rPr>
              <w:t>ŠTEVILO PROSTORSKIH ENOT</w:t>
            </w:r>
          </w:p>
        </w:tc>
      </w:tr>
      <w:tr w:rsidR="00F929E1" w14:paraId="54EFA71B" w14:textId="77777777" w:rsidTr="00164677">
        <w:tc>
          <w:tcPr>
            <w:tcW w:w="2266" w:type="dxa"/>
            <w:vAlign w:val="center"/>
          </w:tcPr>
          <w:p w14:paraId="685E8A0C" w14:textId="37C42CE1" w:rsidR="00F929E1" w:rsidRPr="00305CF2" w:rsidRDefault="00F929E1" w:rsidP="00164677">
            <w:pPr>
              <w:jc w:val="left"/>
            </w:pPr>
            <w:r w:rsidRPr="00305CF2">
              <w:t xml:space="preserve">hišne številke </w:t>
            </w:r>
          </w:p>
        </w:tc>
        <w:tc>
          <w:tcPr>
            <w:tcW w:w="2978" w:type="dxa"/>
            <w:vAlign w:val="center"/>
          </w:tcPr>
          <w:p w14:paraId="0DE2E81F" w14:textId="2C6D04A4" w:rsidR="00F929E1" w:rsidRPr="00305CF2" w:rsidRDefault="00A1221D" w:rsidP="00164677">
            <w:pPr>
              <w:jc w:val="center"/>
            </w:pPr>
            <w:r w:rsidRPr="00A1221D">
              <w:t>566.333</w:t>
            </w:r>
          </w:p>
        </w:tc>
      </w:tr>
      <w:tr w:rsidR="00F929E1" w14:paraId="109C9861" w14:textId="77777777" w:rsidTr="00164677">
        <w:tc>
          <w:tcPr>
            <w:tcW w:w="2266" w:type="dxa"/>
            <w:vAlign w:val="center"/>
          </w:tcPr>
          <w:p w14:paraId="15F377C7" w14:textId="7AB37805" w:rsidR="00F929E1" w:rsidRDefault="00F929E1" w:rsidP="00164677">
            <w:pPr>
              <w:jc w:val="left"/>
              <w:rPr>
                <w:rFonts w:cs="Open Sans"/>
              </w:rPr>
            </w:pPr>
            <w:r w:rsidRPr="00305CF2">
              <w:t xml:space="preserve">ulice </w:t>
            </w:r>
          </w:p>
        </w:tc>
        <w:tc>
          <w:tcPr>
            <w:tcW w:w="2978" w:type="dxa"/>
            <w:vAlign w:val="center"/>
          </w:tcPr>
          <w:p w14:paraId="3846D66B" w14:textId="400698B6" w:rsidR="00F929E1" w:rsidRDefault="00F929E1" w:rsidP="00164677">
            <w:pPr>
              <w:jc w:val="center"/>
              <w:rPr>
                <w:rFonts w:cs="Open Sans"/>
              </w:rPr>
            </w:pPr>
            <w:r w:rsidRPr="00305CF2">
              <w:t>10.</w:t>
            </w:r>
            <w:r w:rsidR="00A1221D">
              <w:t>445</w:t>
            </w:r>
          </w:p>
        </w:tc>
      </w:tr>
      <w:tr w:rsidR="00F929E1" w14:paraId="11744F13" w14:textId="77777777" w:rsidTr="00164677">
        <w:tc>
          <w:tcPr>
            <w:tcW w:w="2266" w:type="dxa"/>
            <w:vAlign w:val="center"/>
          </w:tcPr>
          <w:p w14:paraId="628E6E32" w14:textId="2AB614BE" w:rsidR="00F929E1" w:rsidRDefault="00F929E1" w:rsidP="00164677">
            <w:pPr>
              <w:jc w:val="left"/>
              <w:rPr>
                <w:rFonts w:cs="Open Sans"/>
              </w:rPr>
            </w:pPr>
            <w:r w:rsidRPr="00305CF2">
              <w:t xml:space="preserve">naselja </w:t>
            </w:r>
          </w:p>
        </w:tc>
        <w:tc>
          <w:tcPr>
            <w:tcW w:w="2978" w:type="dxa"/>
            <w:vAlign w:val="center"/>
          </w:tcPr>
          <w:p w14:paraId="0D264D68" w14:textId="26468B66" w:rsidR="00F929E1" w:rsidRDefault="00F929E1" w:rsidP="00164677">
            <w:pPr>
              <w:jc w:val="center"/>
              <w:rPr>
                <w:rFonts w:cs="Open Sans"/>
              </w:rPr>
            </w:pPr>
            <w:r w:rsidRPr="00305CF2">
              <w:t>6.036</w:t>
            </w:r>
          </w:p>
        </w:tc>
      </w:tr>
      <w:tr w:rsidR="00F929E1" w14:paraId="6995A98F" w14:textId="77777777" w:rsidTr="00164677">
        <w:tc>
          <w:tcPr>
            <w:tcW w:w="2266" w:type="dxa"/>
            <w:vAlign w:val="center"/>
          </w:tcPr>
          <w:p w14:paraId="360A3989" w14:textId="059ACEDE" w:rsidR="00F929E1" w:rsidRDefault="00F929E1" w:rsidP="00164677">
            <w:pPr>
              <w:jc w:val="left"/>
              <w:rPr>
                <w:rFonts w:cs="Open Sans"/>
              </w:rPr>
            </w:pPr>
            <w:r w:rsidRPr="00305CF2">
              <w:t xml:space="preserve">občine </w:t>
            </w:r>
          </w:p>
        </w:tc>
        <w:tc>
          <w:tcPr>
            <w:tcW w:w="2978" w:type="dxa"/>
            <w:vAlign w:val="center"/>
          </w:tcPr>
          <w:p w14:paraId="414E07FF" w14:textId="1EFEC5F6" w:rsidR="00F929E1" w:rsidRDefault="00F929E1" w:rsidP="00164677">
            <w:pPr>
              <w:jc w:val="center"/>
              <w:rPr>
                <w:rFonts w:cs="Open Sans"/>
              </w:rPr>
            </w:pPr>
            <w:r w:rsidRPr="00305CF2">
              <w:t>212</w:t>
            </w:r>
          </w:p>
        </w:tc>
      </w:tr>
      <w:tr w:rsidR="00F929E1" w14:paraId="11297B1B" w14:textId="77777777" w:rsidTr="00164677">
        <w:tc>
          <w:tcPr>
            <w:tcW w:w="2266" w:type="dxa"/>
            <w:vAlign w:val="center"/>
          </w:tcPr>
          <w:p w14:paraId="2D96D0AE" w14:textId="14D5CBFB" w:rsidR="00F929E1" w:rsidRDefault="00F929E1" w:rsidP="00164677">
            <w:pPr>
              <w:jc w:val="left"/>
              <w:rPr>
                <w:rFonts w:cs="Open Sans"/>
              </w:rPr>
            </w:pPr>
            <w:r w:rsidRPr="00305CF2">
              <w:t xml:space="preserve">parcele </w:t>
            </w:r>
          </w:p>
        </w:tc>
        <w:tc>
          <w:tcPr>
            <w:tcW w:w="2978" w:type="dxa"/>
            <w:vAlign w:val="center"/>
          </w:tcPr>
          <w:p w14:paraId="0DD0751C" w14:textId="36B6431E" w:rsidR="00F929E1" w:rsidRDefault="00A1221D" w:rsidP="00164677">
            <w:pPr>
              <w:jc w:val="center"/>
              <w:rPr>
                <w:rFonts w:cs="Open Sans"/>
              </w:rPr>
            </w:pPr>
            <w:r w:rsidRPr="00A1221D">
              <w:t>5.753.836</w:t>
            </w:r>
          </w:p>
        </w:tc>
      </w:tr>
      <w:tr w:rsidR="00F929E1" w14:paraId="6B617458" w14:textId="77777777" w:rsidTr="00164677">
        <w:tc>
          <w:tcPr>
            <w:tcW w:w="2266" w:type="dxa"/>
            <w:vAlign w:val="center"/>
          </w:tcPr>
          <w:p w14:paraId="7F647CAB" w14:textId="3D31E1AF" w:rsidR="00F929E1" w:rsidRDefault="00F929E1" w:rsidP="00164677">
            <w:pPr>
              <w:jc w:val="left"/>
              <w:rPr>
                <w:rFonts w:cs="Open Sans"/>
              </w:rPr>
            </w:pPr>
            <w:r w:rsidRPr="00305CF2">
              <w:t xml:space="preserve">stavbe </w:t>
            </w:r>
          </w:p>
        </w:tc>
        <w:tc>
          <w:tcPr>
            <w:tcW w:w="2978" w:type="dxa"/>
            <w:vAlign w:val="center"/>
          </w:tcPr>
          <w:p w14:paraId="4D0F9F5C" w14:textId="11737281" w:rsidR="00F929E1" w:rsidRDefault="00A1221D" w:rsidP="00164677">
            <w:pPr>
              <w:jc w:val="center"/>
              <w:rPr>
                <w:rFonts w:cs="Open Sans"/>
              </w:rPr>
            </w:pPr>
            <w:r w:rsidRPr="00A1221D">
              <w:t>1.196.928</w:t>
            </w:r>
          </w:p>
        </w:tc>
      </w:tr>
      <w:tr w:rsidR="00F929E1" w14:paraId="604238C5" w14:textId="77777777" w:rsidTr="00164677">
        <w:tc>
          <w:tcPr>
            <w:tcW w:w="2266" w:type="dxa"/>
            <w:vAlign w:val="center"/>
          </w:tcPr>
          <w:p w14:paraId="14B951B4" w14:textId="7283AABB" w:rsidR="00F929E1" w:rsidRDefault="00F929E1" w:rsidP="00164677">
            <w:pPr>
              <w:jc w:val="left"/>
              <w:rPr>
                <w:rFonts w:cs="Open Sans"/>
              </w:rPr>
            </w:pPr>
            <w:r w:rsidRPr="00305CF2">
              <w:t xml:space="preserve">deli stavb </w:t>
            </w:r>
          </w:p>
        </w:tc>
        <w:tc>
          <w:tcPr>
            <w:tcW w:w="2978" w:type="dxa"/>
            <w:vAlign w:val="center"/>
          </w:tcPr>
          <w:p w14:paraId="24801213" w14:textId="3D4199EF" w:rsidR="00F929E1" w:rsidRDefault="00A1221D" w:rsidP="00164677">
            <w:pPr>
              <w:jc w:val="center"/>
              <w:rPr>
                <w:rFonts w:cs="Open Sans"/>
              </w:rPr>
            </w:pPr>
            <w:r w:rsidRPr="00A1221D">
              <w:t>1.909.754</w:t>
            </w:r>
          </w:p>
        </w:tc>
      </w:tr>
      <w:tr w:rsidR="00F929E1" w14:paraId="40BA4091" w14:textId="77777777" w:rsidTr="00164677">
        <w:tc>
          <w:tcPr>
            <w:tcW w:w="2266" w:type="dxa"/>
            <w:vAlign w:val="center"/>
          </w:tcPr>
          <w:p w14:paraId="6788BD8C" w14:textId="06E32CBB" w:rsidR="00F929E1" w:rsidRDefault="00F929E1" w:rsidP="00164677">
            <w:pPr>
              <w:jc w:val="left"/>
              <w:rPr>
                <w:rFonts w:cs="Open Sans"/>
              </w:rPr>
            </w:pPr>
            <w:r w:rsidRPr="00305CF2">
              <w:t xml:space="preserve">katastrske občine </w:t>
            </w:r>
          </w:p>
        </w:tc>
        <w:tc>
          <w:tcPr>
            <w:tcW w:w="2978" w:type="dxa"/>
            <w:vAlign w:val="center"/>
          </w:tcPr>
          <w:p w14:paraId="03DC97DA" w14:textId="5437B974" w:rsidR="00F929E1" w:rsidRDefault="00F929E1" w:rsidP="00164677">
            <w:pPr>
              <w:jc w:val="center"/>
              <w:rPr>
                <w:rFonts w:cs="Open Sans"/>
              </w:rPr>
            </w:pPr>
            <w:r w:rsidRPr="00305CF2">
              <w:t>2.698</w:t>
            </w:r>
          </w:p>
        </w:tc>
      </w:tr>
    </w:tbl>
    <w:p w14:paraId="403C5F2A" w14:textId="77777777" w:rsidR="00F929E1" w:rsidRPr="00556C32" w:rsidRDefault="00F929E1" w:rsidP="00273A7D">
      <w:pPr>
        <w:rPr>
          <w:rFonts w:cs="Open Sans"/>
        </w:rPr>
      </w:pPr>
    </w:p>
    <w:p w14:paraId="0D5B4FA2" w14:textId="030AC4B5" w:rsidR="00A2232D" w:rsidRPr="00556C32" w:rsidRDefault="00A2232D" w:rsidP="009D6C3A">
      <w:pPr>
        <w:rPr>
          <w:rFonts w:cs="Open Sans"/>
        </w:rPr>
      </w:pPr>
    </w:p>
    <w:p w14:paraId="4F2918D6" w14:textId="76AAB5B7" w:rsidR="00A2232D" w:rsidRPr="00556C32" w:rsidRDefault="00A2232D" w:rsidP="009D6C3A">
      <w:pPr>
        <w:rPr>
          <w:rFonts w:cs="Open Sans"/>
        </w:rPr>
      </w:pPr>
    </w:p>
    <w:p w14:paraId="0E0A1483" w14:textId="33C18FC7" w:rsidR="00A2232D" w:rsidRPr="00556C32" w:rsidRDefault="00A2232D" w:rsidP="009D6C3A">
      <w:pPr>
        <w:rPr>
          <w:rFonts w:cs="Open Sans"/>
        </w:rPr>
      </w:pPr>
    </w:p>
    <w:p w14:paraId="4D9A9D38" w14:textId="0F31298E" w:rsidR="002B4EEE" w:rsidRPr="00556C32" w:rsidRDefault="005E5259" w:rsidP="00B32CAB">
      <w:pPr>
        <w:pStyle w:val="Caption"/>
        <w:jc w:val="both"/>
        <w:rPr>
          <w:rFonts w:cs="Open Sans"/>
        </w:rPr>
      </w:pPr>
      <w:r w:rsidRPr="00556C32">
        <w:rPr>
          <w:rStyle w:val="Hyperlink"/>
          <w:rFonts w:cs="Open Sans"/>
        </w:rPr>
        <w:br w:type="column"/>
      </w:r>
      <w:r w:rsidR="002B4EEE" w:rsidRPr="00556C32">
        <w:rPr>
          <w:rFonts w:cs="Open Sans"/>
        </w:rPr>
        <w:lastRenderedPageBreak/>
        <w:t xml:space="preserve">Slika </w:t>
      </w:r>
      <w:r w:rsidR="002B4EEE" w:rsidRPr="00556C32">
        <w:rPr>
          <w:rFonts w:cs="Open Sans"/>
        </w:rPr>
        <w:fldChar w:fldCharType="begin"/>
      </w:r>
      <w:r w:rsidR="002B4EEE" w:rsidRPr="00556C32">
        <w:rPr>
          <w:rFonts w:cs="Open Sans"/>
        </w:rPr>
        <w:instrText xml:space="preserve"> SEQ Slika \* ARABIC </w:instrText>
      </w:r>
      <w:r w:rsidR="002B4EEE" w:rsidRPr="00556C32">
        <w:rPr>
          <w:rFonts w:cs="Open Sans"/>
        </w:rPr>
        <w:fldChar w:fldCharType="separate"/>
      </w:r>
      <w:r w:rsidR="00A1221D">
        <w:rPr>
          <w:rFonts w:cs="Open Sans"/>
          <w:noProof/>
        </w:rPr>
        <w:t>1</w:t>
      </w:r>
      <w:r w:rsidR="002B4EEE" w:rsidRPr="00556C32">
        <w:rPr>
          <w:rFonts w:cs="Open Sans"/>
        </w:rPr>
        <w:fldChar w:fldCharType="end"/>
      </w:r>
      <w:r w:rsidR="002B4EEE" w:rsidRPr="00556C32">
        <w:rPr>
          <w:rFonts w:cs="Open Sans"/>
        </w:rPr>
        <w:t>: Napotki vlade RS Slovenije glede preprečevanja širjenja bolezni COVID</w:t>
      </w:r>
      <w:r w:rsidR="009623F0" w:rsidRPr="00556C32">
        <w:rPr>
          <w:rFonts w:cs="Open Sans"/>
        </w:rPr>
        <w:t xml:space="preserve"> - </w:t>
      </w:r>
      <w:r w:rsidR="002B4EEE" w:rsidRPr="00556C32">
        <w:rPr>
          <w:rFonts w:cs="Open Sans"/>
        </w:rPr>
        <w:t>19</w:t>
      </w:r>
    </w:p>
    <w:p w14:paraId="483D95C3" w14:textId="142CF412" w:rsidR="005E5259" w:rsidRPr="00556C32" w:rsidRDefault="005E5259" w:rsidP="008E558D">
      <w:pPr>
        <w:rPr>
          <w:rStyle w:val="Hyperlink"/>
          <w:rFonts w:cs="Open Sans"/>
        </w:rPr>
      </w:pPr>
      <w:r w:rsidRPr="00556C32">
        <w:rPr>
          <w:rFonts w:cs="Open Sans"/>
          <w:noProof/>
          <w:lang w:eastAsia="sl-SI"/>
        </w:rPr>
        <w:drawing>
          <wp:inline distT="0" distB="0" distL="0" distR="0" wp14:anchorId="5A3D88FF" wp14:editId="5DDD94F0">
            <wp:extent cx="5760720" cy="8162290"/>
            <wp:effectExtent l="0" t="0" r="0" b="0"/>
            <wp:docPr id="3" name="Picture 3" descr="Grafični prikaz napotkov vlade RS Slovenije glede preprečevanja širjenja bolezni COVID -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fični prikaz napotkov vlade RS Slovenije glede preprečevanja širjenja bolezni COVID - 19"/>
                    <pic:cNvPicPr/>
                  </pic:nvPicPr>
                  <pic:blipFill>
                    <a:blip r:embed="rId18"/>
                    <a:stretch>
                      <a:fillRect/>
                    </a:stretch>
                  </pic:blipFill>
                  <pic:spPr>
                    <a:xfrm>
                      <a:off x="0" y="0"/>
                      <a:ext cx="5760720" cy="8162290"/>
                    </a:xfrm>
                    <a:prstGeom prst="rect">
                      <a:avLst/>
                    </a:prstGeom>
                  </pic:spPr>
                </pic:pic>
              </a:graphicData>
            </a:graphic>
          </wp:inline>
        </w:drawing>
      </w:r>
    </w:p>
    <w:p w14:paraId="63048C45" w14:textId="77777777" w:rsidR="0086619E" w:rsidRPr="00556C32" w:rsidRDefault="0086619E" w:rsidP="008E558D">
      <w:pPr>
        <w:rPr>
          <w:rFonts w:cs="Open Sans"/>
        </w:rPr>
        <w:sectPr w:rsidR="0086619E" w:rsidRPr="00556C32" w:rsidSect="00BA45EE">
          <w:footerReference w:type="default" r:id="rId19"/>
          <w:headerReference w:type="first" r:id="rId20"/>
          <w:pgSz w:w="11906" w:h="16838" w:code="9"/>
          <w:pgMar w:top="1418" w:right="1274" w:bottom="1418" w:left="1418" w:header="709" w:footer="300" w:gutter="0"/>
          <w:cols w:space="708"/>
          <w:titlePg/>
          <w:docGrid w:linePitch="360"/>
        </w:sectPr>
      </w:pPr>
    </w:p>
    <w:p w14:paraId="4A232D55" w14:textId="684610EF" w:rsidR="00910F77" w:rsidRPr="00556C32" w:rsidRDefault="00910F77" w:rsidP="008E558D">
      <w:pPr>
        <w:rPr>
          <w:rFonts w:cs="Open Sans"/>
        </w:rPr>
      </w:pPr>
    </w:p>
    <w:sectPr w:rsidR="00910F77" w:rsidRPr="00556C32" w:rsidSect="0086619E">
      <w:headerReference w:type="first" r:id="rId2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A830" w14:textId="77777777" w:rsidR="00DA230E" w:rsidRDefault="00DA230E" w:rsidP="00513D7F">
      <w:pPr>
        <w:spacing w:line="240" w:lineRule="auto"/>
      </w:pPr>
      <w:r>
        <w:separator/>
      </w:r>
    </w:p>
  </w:endnote>
  <w:endnote w:type="continuationSeparator" w:id="0">
    <w:p w14:paraId="2827D804" w14:textId="77777777" w:rsidR="00DA230E" w:rsidRDefault="00DA230E" w:rsidP="00513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Light">
    <w:altName w:val="MS Gothic"/>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Bebas Neue Book">
    <w:panose1 w:val="00000500000000000000"/>
    <w:charset w:val="00"/>
    <w:family w:val="modern"/>
    <w:notTrueType/>
    <w:pitch w:val="variable"/>
    <w:sig w:usb0="A000022F" w:usb1="1000005B" w:usb2="00000000" w:usb3="00000000" w:csb0="00000097"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Bebas Neue Bold">
    <w:panose1 w:val="020B0606020202050201"/>
    <w:charset w:val="00"/>
    <w:family w:val="swiss"/>
    <w:notTrueType/>
    <w:pitch w:val="variable"/>
    <w:sig w:usb0="A000022F" w:usb1="0000005B" w:usb2="00000000" w:usb3="00000000" w:csb0="00000097" w:csb1="00000000"/>
  </w:font>
  <w:font w:name="Caviar Dreams Bold">
    <w:altName w:val="Calibri"/>
    <w:panose1 w:val="00000000000000000000"/>
    <w:charset w:val="00"/>
    <w:family w:val="auto"/>
    <w:notTrueType/>
    <w:pitch w:val="default"/>
    <w:sig w:usb0="00000003" w:usb1="00000000" w:usb2="00000000" w:usb3="00000000" w:csb0="00000001" w:csb1="00000000"/>
  </w:font>
  <w:font w:name="Open Sans Light">
    <w:altName w:val="Corbel Light"/>
    <w:panose1 w:val="020B03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49435384"/>
      <w:docPartObj>
        <w:docPartGallery w:val="Page Numbers (Bottom of Page)"/>
        <w:docPartUnique/>
      </w:docPartObj>
    </w:sdtPr>
    <w:sdtEndPr/>
    <w:sdtContent>
      <w:p w14:paraId="56A65AE6" w14:textId="01CB3B13" w:rsidR="00BD6FE4" w:rsidRPr="00BD6FE4" w:rsidRDefault="00BD6FE4">
        <w:pPr>
          <w:pStyle w:val="Footer"/>
          <w:jc w:val="right"/>
          <w:rPr>
            <w:sz w:val="18"/>
            <w:szCs w:val="18"/>
          </w:rPr>
        </w:pPr>
        <w:r w:rsidRPr="00BD6FE4">
          <w:rPr>
            <w:sz w:val="18"/>
            <w:szCs w:val="18"/>
          </w:rPr>
          <w:t xml:space="preserve">Stran | </w:t>
        </w:r>
        <w:r w:rsidRPr="00BD6FE4">
          <w:rPr>
            <w:sz w:val="18"/>
            <w:szCs w:val="18"/>
          </w:rPr>
          <w:fldChar w:fldCharType="begin"/>
        </w:r>
        <w:r w:rsidRPr="00BD6FE4">
          <w:rPr>
            <w:sz w:val="18"/>
            <w:szCs w:val="18"/>
          </w:rPr>
          <w:instrText>PAGE   \* MERGEFORMAT</w:instrText>
        </w:r>
        <w:r w:rsidRPr="00BD6FE4">
          <w:rPr>
            <w:sz w:val="18"/>
            <w:szCs w:val="18"/>
          </w:rPr>
          <w:fldChar w:fldCharType="separate"/>
        </w:r>
        <w:r w:rsidRPr="00BD6FE4">
          <w:rPr>
            <w:sz w:val="18"/>
            <w:szCs w:val="18"/>
          </w:rPr>
          <w:t>2</w:t>
        </w:r>
        <w:r w:rsidRPr="00BD6FE4">
          <w:rPr>
            <w:sz w:val="18"/>
            <w:szCs w:val="18"/>
          </w:rPr>
          <w:fldChar w:fldCharType="end"/>
        </w:r>
        <w:r w:rsidRPr="00BD6FE4">
          <w:rPr>
            <w:sz w:val="18"/>
            <w:szCs w:val="18"/>
          </w:rPr>
          <w:t xml:space="preserve"> </w:t>
        </w:r>
      </w:p>
    </w:sdtContent>
  </w:sdt>
  <w:p w14:paraId="751BF88A" w14:textId="77777777" w:rsidR="00DA230E" w:rsidRDefault="00DA23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C534" w14:textId="77777777" w:rsidR="00DA230E" w:rsidRDefault="00DA230E" w:rsidP="00513D7F">
      <w:pPr>
        <w:spacing w:line="240" w:lineRule="auto"/>
      </w:pPr>
      <w:r>
        <w:separator/>
      </w:r>
    </w:p>
  </w:footnote>
  <w:footnote w:type="continuationSeparator" w:id="0">
    <w:p w14:paraId="2F57B11C" w14:textId="77777777" w:rsidR="00DA230E" w:rsidRDefault="00DA230E" w:rsidP="00513D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C58F" w14:textId="10613090" w:rsidR="00DA230E" w:rsidRDefault="00333FB2">
    <w:pPr>
      <w:pStyle w:val="Header"/>
    </w:pPr>
    <w:r>
      <w:rPr>
        <w:noProof/>
      </w:rPr>
      <w:drawing>
        <wp:inline distT="0" distB="0" distL="0" distR="0" wp14:anchorId="7B90CC9D" wp14:editId="5807B5B1">
          <wp:extent cx="6496508" cy="9272161"/>
          <wp:effectExtent l="0" t="0" r="0" b="571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506686" cy="92866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B5DE" w14:textId="63937354" w:rsidR="0086619E" w:rsidRDefault="00A1221D">
    <w:pPr>
      <w:pStyle w:val="Header"/>
    </w:pPr>
    <w:r>
      <w:rPr>
        <w:noProof/>
      </w:rPr>
      <w:drawing>
        <wp:inline distT="0" distB="0" distL="0" distR="0" wp14:anchorId="2ABC3F60" wp14:editId="06BBBDED">
          <wp:extent cx="6639561" cy="9474001"/>
          <wp:effectExtent l="0" t="0" r="8890" b="0"/>
          <wp:docPr id="1" name="Picture 1" descr="Zadnja s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adnja stran"/>
                  <pic:cNvPicPr/>
                </pic:nvPicPr>
                <pic:blipFill>
                  <a:blip r:embed="rId1">
                    <a:extLst>
                      <a:ext uri="{28A0092B-C50C-407E-A947-70E740481C1C}">
                        <a14:useLocalDpi xmlns:a14="http://schemas.microsoft.com/office/drawing/2010/main" val="0"/>
                      </a:ext>
                    </a:extLst>
                  </a:blip>
                  <a:stretch>
                    <a:fillRect/>
                  </a:stretch>
                </pic:blipFill>
                <pic:spPr>
                  <a:xfrm>
                    <a:off x="0" y="0"/>
                    <a:ext cx="6650915" cy="9490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48A"/>
    <w:multiLevelType w:val="hybridMultilevel"/>
    <w:tmpl w:val="6C4E5182"/>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BC090C"/>
    <w:multiLevelType w:val="hybridMultilevel"/>
    <w:tmpl w:val="D3563C3C"/>
    <w:lvl w:ilvl="0" w:tplc="16647E62">
      <w:start w:val="1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310155"/>
    <w:multiLevelType w:val="hybridMultilevel"/>
    <w:tmpl w:val="283C0B90"/>
    <w:lvl w:ilvl="0" w:tplc="FE02342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AC6E18"/>
    <w:multiLevelType w:val="hybridMultilevel"/>
    <w:tmpl w:val="D018DDE0"/>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F1439B"/>
    <w:multiLevelType w:val="hybridMultilevel"/>
    <w:tmpl w:val="9BE6545A"/>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134DC7"/>
    <w:multiLevelType w:val="hybridMultilevel"/>
    <w:tmpl w:val="0D12CD4A"/>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0440B9"/>
    <w:multiLevelType w:val="hybridMultilevel"/>
    <w:tmpl w:val="9A181ED0"/>
    <w:lvl w:ilvl="0" w:tplc="9C5052EC">
      <w:start w:val="1"/>
      <w:numFmt w:val="bullet"/>
      <w:lvlText w:val="•"/>
      <w:lvlJc w:val="left"/>
      <w:pPr>
        <w:tabs>
          <w:tab w:val="num" w:pos="720"/>
        </w:tabs>
        <w:ind w:left="720" w:hanging="360"/>
      </w:pPr>
      <w:rPr>
        <w:rFonts w:ascii="Arial" w:hAnsi="Arial" w:hint="default"/>
      </w:rPr>
    </w:lvl>
    <w:lvl w:ilvl="1" w:tplc="956A9C90" w:tentative="1">
      <w:start w:val="1"/>
      <w:numFmt w:val="bullet"/>
      <w:lvlText w:val="•"/>
      <w:lvlJc w:val="left"/>
      <w:pPr>
        <w:tabs>
          <w:tab w:val="num" w:pos="1440"/>
        </w:tabs>
        <w:ind w:left="1440" w:hanging="360"/>
      </w:pPr>
      <w:rPr>
        <w:rFonts w:ascii="Arial" w:hAnsi="Arial" w:hint="default"/>
      </w:rPr>
    </w:lvl>
    <w:lvl w:ilvl="2" w:tplc="D8B0901A" w:tentative="1">
      <w:start w:val="1"/>
      <w:numFmt w:val="bullet"/>
      <w:lvlText w:val="•"/>
      <w:lvlJc w:val="left"/>
      <w:pPr>
        <w:tabs>
          <w:tab w:val="num" w:pos="2160"/>
        </w:tabs>
        <w:ind w:left="2160" w:hanging="360"/>
      </w:pPr>
      <w:rPr>
        <w:rFonts w:ascii="Arial" w:hAnsi="Arial" w:hint="default"/>
      </w:rPr>
    </w:lvl>
    <w:lvl w:ilvl="3" w:tplc="A66053E4" w:tentative="1">
      <w:start w:val="1"/>
      <w:numFmt w:val="bullet"/>
      <w:lvlText w:val="•"/>
      <w:lvlJc w:val="left"/>
      <w:pPr>
        <w:tabs>
          <w:tab w:val="num" w:pos="2880"/>
        </w:tabs>
        <w:ind w:left="2880" w:hanging="360"/>
      </w:pPr>
      <w:rPr>
        <w:rFonts w:ascii="Arial" w:hAnsi="Arial" w:hint="default"/>
      </w:rPr>
    </w:lvl>
    <w:lvl w:ilvl="4" w:tplc="A7FE5DFE" w:tentative="1">
      <w:start w:val="1"/>
      <w:numFmt w:val="bullet"/>
      <w:lvlText w:val="•"/>
      <w:lvlJc w:val="left"/>
      <w:pPr>
        <w:tabs>
          <w:tab w:val="num" w:pos="3600"/>
        </w:tabs>
        <w:ind w:left="3600" w:hanging="360"/>
      </w:pPr>
      <w:rPr>
        <w:rFonts w:ascii="Arial" w:hAnsi="Arial" w:hint="default"/>
      </w:rPr>
    </w:lvl>
    <w:lvl w:ilvl="5" w:tplc="30B8708C" w:tentative="1">
      <w:start w:val="1"/>
      <w:numFmt w:val="bullet"/>
      <w:lvlText w:val="•"/>
      <w:lvlJc w:val="left"/>
      <w:pPr>
        <w:tabs>
          <w:tab w:val="num" w:pos="4320"/>
        </w:tabs>
        <w:ind w:left="4320" w:hanging="360"/>
      </w:pPr>
      <w:rPr>
        <w:rFonts w:ascii="Arial" w:hAnsi="Arial" w:hint="default"/>
      </w:rPr>
    </w:lvl>
    <w:lvl w:ilvl="6" w:tplc="45C4D160" w:tentative="1">
      <w:start w:val="1"/>
      <w:numFmt w:val="bullet"/>
      <w:lvlText w:val="•"/>
      <w:lvlJc w:val="left"/>
      <w:pPr>
        <w:tabs>
          <w:tab w:val="num" w:pos="5040"/>
        </w:tabs>
        <w:ind w:left="5040" w:hanging="360"/>
      </w:pPr>
      <w:rPr>
        <w:rFonts w:ascii="Arial" w:hAnsi="Arial" w:hint="default"/>
      </w:rPr>
    </w:lvl>
    <w:lvl w:ilvl="7" w:tplc="EF8ED324" w:tentative="1">
      <w:start w:val="1"/>
      <w:numFmt w:val="bullet"/>
      <w:lvlText w:val="•"/>
      <w:lvlJc w:val="left"/>
      <w:pPr>
        <w:tabs>
          <w:tab w:val="num" w:pos="5760"/>
        </w:tabs>
        <w:ind w:left="5760" w:hanging="360"/>
      </w:pPr>
      <w:rPr>
        <w:rFonts w:ascii="Arial" w:hAnsi="Arial" w:hint="default"/>
      </w:rPr>
    </w:lvl>
    <w:lvl w:ilvl="8" w:tplc="BB32E4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63B24"/>
    <w:multiLevelType w:val="hybridMultilevel"/>
    <w:tmpl w:val="352ADDC2"/>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B7236E"/>
    <w:multiLevelType w:val="hybridMultilevel"/>
    <w:tmpl w:val="D8F48E1C"/>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CF211F"/>
    <w:multiLevelType w:val="hybridMultilevel"/>
    <w:tmpl w:val="D5AEF48E"/>
    <w:lvl w:ilvl="0" w:tplc="16647E62">
      <w:start w:val="1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461200"/>
    <w:multiLevelType w:val="hybridMultilevel"/>
    <w:tmpl w:val="983E0F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3D2362"/>
    <w:multiLevelType w:val="hybridMultilevel"/>
    <w:tmpl w:val="642687B0"/>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D472A4C"/>
    <w:multiLevelType w:val="hybridMultilevel"/>
    <w:tmpl w:val="CA1059CC"/>
    <w:lvl w:ilvl="0" w:tplc="16647E62">
      <w:start w:val="1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B82BBC"/>
    <w:multiLevelType w:val="hybridMultilevel"/>
    <w:tmpl w:val="1E9809D6"/>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3861FE"/>
    <w:multiLevelType w:val="hybridMultilevel"/>
    <w:tmpl w:val="376A4BEC"/>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4D5533F"/>
    <w:multiLevelType w:val="hybridMultilevel"/>
    <w:tmpl w:val="DB3879DE"/>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53426125">
    <w:abstractNumId w:val="6"/>
  </w:num>
  <w:num w:numId="2" w16cid:durableId="223835782">
    <w:abstractNumId w:val="1"/>
  </w:num>
  <w:num w:numId="3" w16cid:durableId="1303343685">
    <w:abstractNumId w:val="9"/>
  </w:num>
  <w:num w:numId="4" w16cid:durableId="1074547246">
    <w:abstractNumId w:val="2"/>
  </w:num>
  <w:num w:numId="5" w16cid:durableId="1147934872">
    <w:abstractNumId w:val="12"/>
  </w:num>
  <w:num w:numId="6" w16cid:durableId="896477942">
    <w:abstractNumId w:val="13"/>
  </w:num>
  <w:num w:numId="7" w16cid:durableId="1019744211">
    <w:abstractNumId w:val="14"/>
  </w:num>
  <w:num w:numId="8" w16cid:durableId="529759405">
    <w:abstractNumId w:val="0"/>
  </w:num>
  <w:num w:numId="9" w16cid:durableId="300578553">
    <w:abstractNumId w:val="11"/>
  </w:num>
  <w:num w:numId="10" w16cid:durableId="581336800">
    <w:abstractNumId w:val="4"/>
  </w:num>
  <w:num w:numId="11" w16cid:durableId="1873111533">
    <w:abstractNumId w:val="7"/>
  </w:num>
  <w:num w:numId="12" w16cid:durableId="1754542570">
    <w:abstractNumId w:val="8"/>
  </w:num>
  <w:num w:numId="13" w16cid:durableId="1100831410">
    <w:abstractNumId w:val="10"/>
  </w:num>
  <w:num w:numId="14" w16cid:durableId="286131757">
    <w:abstractNumId w:val="15"/>
  </w:num>
  <w:num w:numId="15" w16cid:durableId="1925339959">
    <w:abstractNumId w:val="3"/>
  </w:num>
  <w:num w:numId="16" w16cid:durableId="1307081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NTI3NjQ3MzE3NjZS0lEKTi0uzszPAykwqgUAsFCYpCwAAAA="/>
  </w:docVars>
  <w:rsids>
    <w:rsidRoot w:val="00B749EA"/>
    <w:rsid w:val="000106C7"/>
    <w:rsid w:val="00014CA4"/>
    <w:rsid w:val="00015BA0"/>
    <w:rsid w:val="00016E3F"/>
    <w:rsid w:val="000318F1"/>
    <w:rsid w:val="00032273"/>
    <w:rsid w:val="000409EC"/>
    <w:rsid w:val="00040D8A"/>
    <w:rsid w:val="000444E2"/>
    <w:rsid w:val="00045735"/>
    <w:rsid w:val="00045EF8"/>
    <w:rsid w:val="00046C08"/>
    <w:rsid w:val="000606C0"/>
    <w:rsid w:val="00064728"/>
    <w:rsid w:val="00070EF7"/>
    <w:rsid w:val="000723E1"/>
    <w:rsid w:val="00075528"/>
    <w:rsid w:val="00076E2D"/>
    <w:rsid w:val="00083740"/>
    <w:rsid w:val="000844D0"/>
    <w:rsid w:val="00095575"/>
    <w:rsid w:val="000A3BF8"/>
    <w:rsid w:val="000A60A3"/>
    <w:rsid w:val="000B2EC0"/>
    <w:rsid w:val="000C0BB2"/>
    <w:rsid w:val="000D06AF"/>
    <w:rsid w:val="000D09AC"/>
    <w:rsid w:val="000D2A66"/>
    <w:rsid w:val="000E1B62"/>
    <w:rsid w:val="000E2917"/>
    <w:rsid w:val="000F1E07"/>
    <w:rsid w:val="000F242A"/>
    <w:rsid w:val="000F47BB"/>
    <w:rsid w:val="000F4E70"/>
    <w:rsid w:val="000F66CF"/>
    <w:rsid w:val="0011353E"/>
    <w:rsid w:val="0011657D"/>
    <w:rsid w:val="0012087D"/>
    <w:rsid w:val="001221EF"/>
    <w:rsid w:val="00127383"/>
    <w:rsid w:val="00130939"/>
    <w:rsid w:val="0013717B"/>
    <w:rsid w:val="00154FE5"/>
    <w:rsid w:val="001600D0"/>
    <w:rsid w:val="00162F33"/>
    <w:rsid w:val="001637F8"/>
    <w:rsid w:val="00164677"/>
    <w:rsid w:val="00165045"/>
    <w:rsid w:val="00175369"/>
    <w:rsid w:val="001859CC"/>
    <w:rsid w:val="001927CD"/>
    <w:rsid w:val="0019316B"/>
    <w:rsid w:val="00194611"/>
    <w:rsid w:val="00195563"/>
    <w:rsid w:val="00197FDA"/>
    <w:rsid w:val="001A16CF"/>
    <w:rsid w:val="001A1DA3"/>
    <w:rsid w:val="001A2DC7"/>
    <w:rsid w:val="001B10C1"/>
    <w:rsid w:val="001B3FF6"/>
    <w:rsid w:val="001C3209"/>
    <w:rsid w:val="001C37F7"/>
    <w:rsid w:val="001D56A0"/>
    <w:rsid w:val="001D7DA3"/>
    <w:rsid w:val="001E2E1A"/>
    <w:rsid w:val="001E6D72"/>
    <w:rsid w:val="001E7818"/>
    <w:rsid w:val="00200D01"/>
    <w:rsid w:val="00213AF7"/>
    <w:rsid w:val="00215CCA"/>
    <w:rsid w:val="002206F4"/>
    <w:rsid w:val="00241897"/>
    <w:rsid w:val="00241DDA"/>
    <w:rsid w:val="00242FBC"/>
    <w:rsid w:val="00244B0B"/>
    <w:rsid w:val="00245529"/>
    <w:rsid w:val="00247069"/>
    <w:rsid w:val="00252C8E"/>
    <w:rsid w:val="002535F1"/>
    <w:rsid w:val="002602F0"/>
    <w:rsid w:val="002609D1"/>
    <w:rsid w:val="00267046"/>
    <w:rsid w:val="00273A7D"/>
    <w:rsid w:val="00273AD4"/>
    <w:rsid w:val="00282D59"/>
    <w:rsid w:val="002853D7"/>
    <w:rsid w:val="00286F76"/>
    <w:rsid w:val="0029522B"/>
    <w:rsid w:val="0029524D"/>
    <w:rsid w:val="002966B9"/>
    <w:rsid w:val="002A2630"/>
    <w:rsid w:val="002B4EEE"/>
    <w:rsid w:val="002B61D7"/>
    <w:rsid w:val="002B6412"/>
    <w:rsid w:val="002D0D38"/>
    <w:rsid w:val="002D3514"/>
    <w:rsid w:val="002D5F38"/>
    <w:rsid w:val="002D5F57"/>
    <w:rsid w:val="002D78F5"/>
    <w:rsid w:val="002E0E0E"/>
    <w:rsid w:val="002F1BDD"/>
    <w:rsid w:val="002F360C"/>
    <w:rsid w:val="002F48FC"/>
    <w:rsid w:val="002F5663"/>
    <w:rsid w:val="002F5B83"/>
    <w:rsid w:val="002F604B"/>
    <w:rsid w:val="002F728A"/>
    <w:rsid w:val="0030697B"/>
    <w:rsid w:val="00307104"/>
    <w:rsid w:val="003124D1"/>
    <w:rsid w:val="00314429"/>
    <w:rsid w:val="00316BDD"/>
    <w:rsid w:val="00322E12"/>
    <w:rsid w:val="0032736B"/>
    <w:rsid w:val="00330167"/>
    <w:rsid w:val="00330E19"/>
    <w:rsid w:val="0033324F"/>
    <w:rsid w:val="00333FB2"/>
    <w:rsid w:val="00334BE7"/>
    <w:rsid w:val="00336037"/>
    <w:rsid w:val="00343CBA"/>
    <w:rsid w:val="00355168"/>
    <w:rsid w:val="00355F75"/>
    <w:rsid w:val="0036047D"/>
    <w:rsid w:val="00365D67"/>
    <w:rsid w:val="00374085"/>
    <w:rsid w:val="00374485"/>
    <w:rsid w:val="003767B9"/>
    <w:rsid w:val="00377B49"/>
    <w:rsid w:val="003818DE"/>
    <w:rsid w:val="0038740D"/>
    <w:rsid w:val="00390CCF"/>
    <w:rsid w:val="003966A8"/>
    <w:rsid w:val="003A1B3C"/>
    <w:rsid w:val="003A1F32"/>
    <w:rsid w:val="003A1F58"/>
    <w:rsid w:val="003A2A28"/>
    <w:rsid w:val="003B407B"/>
    <w:rsid w:val="003C08BC"/>
    <w:rsid w:val="003C39FD"/>
    <w:rsid w:val="003D1BEC"/>
    <w:rsid w:val="003D20F2"/>
    <w:rsid w:val="003D64DF"/>
    <w:rsid w:val="003E02A2"/>
    <w:rsid w:val="003E2F53"/>
    <w:rsid w:val="003E411A"/>
    <w:rsid w:val="003F229E"/>
    <w:rsid w:val="003F5680"/>
    <w:rsid w:val="004069A0"/>
    <w:rsid w:val="0041094D"/>
    <w:rsid w:val="004125CA"/>
    <w:rsid w:val="00424B0E"/>
    <w:rsid w:val="00425175"/>
    <w:rsid w:val="00427BE2"/>
    <w:rsid w:val="0043637D"/>
    <w:rsid w:val="004363DD"/>
    <w:rsid w:val="00440DEB"/>
    <w:rsid w:val="00441FC3"/>
    <w:rsid w:val="004529DB"/>
    <w:rsid w:val="00453880"/>
    <w:rsid w:val="00460897"/>
    <w:rsid w:val="0046194B"/>
    <w:rsid w:val="00470805"/>
    <w:rsid w:val="00470EF3"/>
    <w:rsid w:val="004755B9"/>
    <w:rsid w:val="004766F6"/>
    <w:rsid w:val="00493F36"/>
    <w:rsid w:val="0049631C"/>
    <w:rsid w:val="004B5FD9"/>
    <w:rsid w:val="004B7CEE"/>
    <w:rsid w:val="004C1986"/>
    <w:rsid w:val="004C1B1E"/>
    <w:rsid w:val="004C3F84"/>
    <w:rsid w:val="004C4C6F"/>
    <w:rsid w:val="004E1CBF"/>
    <w:rsid w:val="004E3142"/>
    <w:rsid w:val="004E3A49"/>
    <w:rsid w:val="004E42CE"/>
    <w:rsid w:val="004F1867"/>
    <w:rsid w:val="004F2894"/>
    <w:rsid w:val="004F362F"/>
    <w:rsid w:val="00505969"/>
    <w:rsid w:val="005114D2"/>
    <w:rsid w:val="00511665"/>
    <w:rsid w:val="00513C12"/>
    <w:rsid w:val="00513D7F"/>
    <w:rsid w:val="00515224"/>
    <w:rsid w:val="0052500E"/>
    <w:rsid w:val="00526F53"/>
    <w:rsid w:val="00531013"/>
    <w:rsid w:val="00542B9D"/>
    <w:rsid w:val="00545DC4"/>
    <w:rsid w:val="005508E8"/>
    <w:rsid w:val="00550A34"/>
    <w:rsid w:val="005527C0"/>
    <w:rsid w:val="00556C32"/>
    <w:rsid w:val="00556C3D"/>
    <w:rsid w:val="00571944"/>
    <w:rsid w:val="00572CC1"/>
    <w:rsid w:val="00582EAF"/>
    <w:rsid w:val="00584095"/>
    <w:rsid w:val="0058638B"/>
    <w:rsid w:val="00594892"/>
    <w:rsid w:val="005A2CF7"/>
    <w:rsid w:val="005B444E"/>
    <w:rsid w:val="005B46BC"/>
    <w:rsid w:val="005B4B36"/>
    <w:rsid w:val="005B7DFF"/>
    <w:rsid w:val="005C7650"/>
    <w:rsid w:val="005D372D"/>
    <w:rsid w:val="005D42BA"/>
    <w:rsid w:val="005D752B"/>
    <w:rsid w:val="005D790D"/>
    <w:rsid w:val="005E5259"/>
    <w:rsid w:val="005E6A02"/>
    <w:rsid w:val="005E7BCA"/>
    <w:rsid w:val="005F0474"/>
    <w:rsid w:val="005F0B74"/>
    <w:rsid w:val="006000C8"/>
    <w:rsid w:val="00615FA9"/>
    <w:rsid w:val="00616BAD"/>
    <w:rsid w:val="00620FC0"/>
    <w:rsid w:val="00625D8C"/>
    <w:rsid w:val="00626E13"/>
    <w:rsid w:val="00634E5F"/>
    <w:rsid w:val="00643327"/>
    <w:rsid w:val="0064682C"/>
    <w:rsid w:val="006478F3"/>
    <w:rsid w:val="00650388"/>
    <w:rsid w:val="00651AE4"/>
    <w:rsid w:val="00652CE0"/>
    <w:rsid w:val="00656249"/>
    <w:rsid w:val="00663B5F"/>
    <w:rsid w:val="00664F70"/>
    <w:rsid w:val="00666770"/>
    <w:rsid w:val="00672227"/>
    <w:rsid w:val="00675578"/>
    <w:rsid w:val="00680299"/>
    <w:rsid w:val="0068595A"/>
    <w:rsid w:val="00685C06"/>
    <w:rsid w:val="00690E1F"/>
    <w:rsid w:val="00693DF5"/>
    <w:rsid w:val="006A0F5E"/>
    <w:rsid w:val="006B0168"/>
    <w:rsid w:val="006C1A27"/>
    <w:rsid w:val="006C51EC"/>
    <w:rsid w:val="006D671B"/>
    <w:rsid w:val="006D7C9C"/>
    <w:rsid w:val="006E2586"/>
    <w:rsid w:val="006E3A54"/>
    <w:rsid w:val="006E3C4F"/>
    <w:rsid w:val="006E5CD6"/>
    <w:rsid w:val="00705A92"/>
    <w:rsid w:val="00706361"/>
    <w:rsid w:val="00706CFB"/>
    <w:rsid w:val="00706D77"/>
    <w:rsid w:val="00706EF6"/>
    <w:rsid w:val="00712F5F"/>
    <w:rsid w:val="00715FE7"/>
    <w:rsid w:val="00727E76"/>
    <w:rsid w:val="00732BCC"/>
    <w:rsid w:val="00734429"/>
    <w:rsid w:val="007345EC"/>
    <w:rsid w:val="00741844"/>
    <w:rsid w:val="00743340"/>
    <w:rsid w:val="007514D9"/>
    <w:rsid w:val="00754DB6"/>
    <w:rsid w:val="007616A9"/>
    <w:rsid w:val="007631C1"/>
    <w:rsid w:val="00764361"/>
    <w:rsid w:val="007742EC"/>
    <w:rsid w:val="00776043"/>
    <w:rsid w:val="007763E3"/>
    <w:rsid w:val="00777620"/>
    <w:rsid w:val="007828B8"/>
    <w:rsid w:val="007838E8"/>
    <w:rsid w:val="00784249"/>
    <w:rsid w:val="00790D0B"/>
    <w:rsid w:val="00796EDD"/>
    <w:rsid w:val="007A3369"/>
    <w:rsid w:val="007A4DEA"/>
    <w:rsid w:val="007A5B54"/>
    <w:rsid w:val="007C0D51"/>
    <w:rsid w:val="007C153F"/>
    <w:rsid w:val="007C231A"/>
    <w:rsid w:val="007C4675"/>
    <w:rsid w:val="007D029B"/>
    <w:rsid w:val="007D40BA"/>
    <w:rsid w:val="007E0AB9"/>
    <w:rsid w:val="007E0E02"/>
    <w:rsid w:val="007E206B"/>
    <w:rsid w:val="007F6C51"/>
    <w:rsid w:val="008011C0"/>
    <w:rsid w:val="00802784"/>
    <w:rsid w:val="00822F9D"/>
    <w:rsid w:val="00832F07"/>
    <w:rsid w:val="008333F2"/>
    <w:rsid w:val="00840346"/>
    <w:rsid w:val="00842759"/>
    <w:rsid w:val="008470E2"/>
    <w:rsid w:val="00854D90"/>
    <w:rsid w:val="00861722"/>
    <w:rsid w:val="0086619E"/>
    <w:rsid w:val="00867C13"/>
    <w:rsid w:val="00880F27"/>
    <w:rsid w:val="00890EF8"/>
    <w:rsid w:val="00891388"/>
    <w:rsid w:val="008929F0"/>
    <w:rsid w:val="008939AF"/>
    <w:rsid w:val="008B101B"/>
    <w:rsid w:val="008B16EF"/>
    <w:rsid w:val="008B39F7"/>
    <w:rsid w:val="008B50EA"/>
    <w:rsid w:val="008C0466"/>
    <w:rsid w:val="008C0F94"/>
    <w:rsid w:val="008D33F0"/>
    <w:rsid w:val="008D6AC0"/>
    <w:rsid w:val="008E3ABA"/>
    <w:rsid w:val="008E558D"/>
    <w:rsid w:val="008F30B1"/>
    <w:rsid w:val="008F3B42"/>
    <w:rsid w:val="008F72F3"/>
    <w:rsid w:val="00900B40"/>
    <w:rsid w:val="00904BC3"/>
    <w:rsid w:val="00910F77"/>
    <w:rsid w:val="009211F3"/>
    <w:rsid w:val="009212D9"/>
    <w:rsid w:val="00925241"/>
    <w:rsid w:val="009276C6"/>
    <w:rsid w:val="0093114B"/>
    <w:rsid w:val="0093236A"/>
    <w:rsid w:val="00940BD7"/>
    <w:rsid w:val="00942EFB"/>
    <w:rsid w:val="0094561A"/>
    <w:rsid w:val="009514D4"/>
    <w:rsid w:val="00954F19"/>
    <w:rsid w:val="00957987"/>
    <w:rsid w:val="009623F0"/>
    <w:rsid w:val="00964839"/>
    <w:rsid w:val="00964DBC"/>
    <w:rsid w:val="0097180B"/>
    <w:rsid w:val="00973ADA"/>
    <w:rsid w:val="009828C2"/>
    <w:rsid w:val="00983744"/>
    <w:rsid w:val="00986FEF"/>
    <w:rsid w:val="009972A3"/>
    <w:rsid w:val="009A154A"/>
    <w:rsid w:val="009A362F"/>
    <w:rsid w:val="009A4608"/>
    <w:rsid w:val="009A6E16"/>
    <w:rsid w:val="009B02C9"/>
    <w:rsid w:val="009B108E"/>
    <w:rsid w:val="009C2AD5"/>
    <w:rsid w:val="009D5E59"/>
    <w:rsid w:val="009D6C3A"/>
    <w:rsid w:val="009E2674"/>
    <w:rsid w:val="009E2A87"/>
    <w:rsid w:val="009E5003"/>
    <w:rsid w:val="009F4919"/>
    <w:rsid w:val="00A044EB"/>
    <w:rsid w:val="00A0600E"/>
    <w:rsid w:val="00A07978"/>
    <w:rsid w:val="00A1221D"/>
    <w:rsid w:val="00A134C9"/>
    <w:rsid w:val="00A142D5"/>
    <w:rsid w:val="00A15190"/>
    <w:rsid w:val="00A1700F"/>
    <w:rsid w:val="00A2232D"/>
    <w:rsid w:val="00A238F6"/>
    <w:rsid w:val="00A23F7A"/>
    <w:rsid w:val="00A2742C"/>
    <w:rsid w:val="00A33BAF"/>
    <w:rsid w:val="00A369EA"/>
    <w:rsid w:val="00A36D0C"/>
    <w:rsid w:val="00A45C86"/>
    <w:rsid w:val="00A46200"/>
    <w:rsid w:val="00A46334"/>
    <w:rsid w:val="00A50EA0"/>
    <w:rsid w:val="00A575C6"/>
    <w:rsid w:val="00A60DBE"/>
    <w:rsid w:val="00A64074"/>
    <w:rsid w:val="00A703D6"/>
    <w:rsid w:val="00A72D67"/>
    <w:rsid w:val="00A73A73"/>
    <w:rsid w:val="00A7707D"/>
    <w:rsid w:val="00A7735A"/>
    <w:rsid w:val="00A92747"/>
    <w:rsid w:val="00A95DE5"/>
    <w:rsid w:val="00AB5200"/>
    <w:rsid w:val="00AD56B5"/>
    <w:rsid w:val="00AD5FB0"/>
    <w:rsid w:val="00AE3A87"/>
    <w:rsid w:val="00AF0455"/>
    <w:rsid w:val="00AF0B1F"/>
    <w:rsid w:val="00AF35DF"/>
    <w:rsid w:val="00B0158A"/>
    <w:rsid w:val="00B01B6C"/>
    <w:rsid w:val="00B10D98"/>
    <w:rsid w:val="00B11589"/>
    <w:rsid w:val="00B156BC"/>
    <w:rsid w:val="00B15C4A"/>
    <w:rsid w:val="00B22334"/>
    <w:rsid w:val="00B2250C"/>
    <w:rsid w:val="00B24044"/>
    <w:rsid w:val="00B24981"/>
    <w:rsid w:val="00B249F0"/>
    <w:rsid w:val="00B30AE5"/>
    <w:rsid w:val="00B3299F"/>
    <w:rsid w:val="00B32CAB"/>
    <w:rsid w:val="00B338F4"/>
    <w:rsid w:val="00B3490B"/>
    <w:rsid w:val="00B372C9"/>
    <w:rsid w:val="00B40178"/>
    <w:rsid w:val="00B434E4"/>
    <w:rsid w:val="00B4766C"/>
    <w:rsid w:val="00B608B9"/>
    <w:rsid w:val="00B6603F"/>
    <w:rsid w:val="00B677CC"/>
    <w:rsid w:val="00B71EF1"/>
    <w:rsid w:val="00B731EB"/>
    <w:rsid w:val="00B749EA"/>
    <w:rsid w:val="00B75F47"/>
    <w:rsid w:val="00B803B6"/>
    <w:rsid w:val="00B8040F"/>
    <w:rsid w:val="00B83086"/>
    <w:rsid w:val="00B8415E"/>
    <w:rsid w:val="00B85468"/>
    <w:rsid w:val="00B92BDB"/>
    <w:rsid w:val="00B933DB"/>
    <w:rsid w:val="00B967B0"/>
    <w:rsid w:val="00BA45EE"/>
    <w:rsid w:val="00BB117A"/>
    <w:rsid w:val="00BB51A6"/>
    <w:rsid w:val="00BC5357"/>
    <w:rsid w:val="00BC589A"/>
    <w:rsid w:val="00BD3303"/>
    <w:rsid w:val="00BD6FE4"/>
    <w:rsid w:val="00BE6B1A"/>
    <w:rsid w:val="00BF0235"/>
    <w:rsid w:val="00BF0882"/>
    <w:rsid w:val="00C01209"/>
    <w:rsid w:val="00C021F4"/>
    <w:rsid w:val="00C038BC"/>
    <w:rsid w:val="00C04200"/>
    <w:rsid w:val="00C0614F"/>
    <w:rsid w:val="00C07F26"/>
    <w:rsid w:val="00C13169"/>
    <w:rsid w:val="00C213DE"/>
    <w:rsid w:val="00C245B7"/>
    <w:rsid w:val="00C263FA"/>
    <w:rsid w:val="00C30D08"/>
    <w:rsid w:val="00C41EAA"/>
    <w:rsid w:val="00C47782"/>
    <w:rsid w:val="00C54861"/>
    <w:rsid w:val="00C633AD"/>
    <w:rsid w:val="00C64F84"/>
    <w:rsid w:val="00C66B64"/>
    <w:rsid w:val="00C757CC"/>
    <w:rsid w:val="00C75F3E"/>
    <w:rsid w:val="00C808A4"/>
    <w:rsid w:val="00C8101A"/>
    <w:rsid w:val="00C86319"/>
    <w:rsid w:val="00C90F35"/>
    <w:rsid w:val="00C953BD"/>
    <w:rsid w:val="00CA3E53"/>
    <w:rsid w:val="00CA65D8"/>
    <w:rsid w:val="00CB4040"/>
    <w:rsid w:val="00CB4459"/>
    <w:rsid w:val="00CC04BB"/>
    <w:rsid w:val="00CC2C4E"/>
    <w:rsid w:val="00CC356E"/>
    <w:rsid w:val="00CD0E5D"/>
    <w:rsid w:val="00CD438A"/>
    <w:rsid w:val="00CD677F"/>
    <w:rsid w:val="00CD7ECC"/>
    <w:rsid w:val="00CE1891"/>
    <w:rsid w:val="00CE2607"/>
    <w:rsid w:val="00CF0AEE"/>
    <w:rsid w:val="00CF5B63"/>
    <w:rsid w:val="00D03C39"/>
    <w:rsid w:val="00D104DF"/>
    <w:rsid w:val="00D1050B"/>
    <w:rsid w:val="00D229F2"/>
    <w:rsid w:val="00D30913"/>
    <w:rsid w:val="00D332AF"/>
    <w:rsid w:val="00D33DD2"/>
    <w:rsid w:val="00D44BB0"/>
    <w:rsid w:val="00D51C4E"/>
    <w:rsid w:val="00D53121"/>
    <w:rsid w:val="00D567B2"/>
    <w:rsid w:val="00D66A85"/>
    <w:rsid w:val="00D71FCF"/>
    <w:rsid w:val="00D824FC"/>
    <w:rsid w:val="00D834E4"/>
    <w:rsid w:val="00D86C26"/>
    <w:rsid w:val="00D90FD9"/>
    <w:rsid w:val="00D928AF"/>
    <w:rsid w:val="00D959A8"/>
    <w:rsid w:val="00D96AB9"/>
    <w:rsid w:val="00D96B3A"/>
    <w:rsid w:val="00D97E15"/>
    <w:rsid w:val="00DA230E"/>
    <w:rsid w:val="00DA2784"/>
    <w:rsid w:val="00DB35A8"/>
    <w:rsid w:val="00DB40C2"/>
    <w:rsid w:val="00DB50BE"/>
    <w:rsid w:val="00DB54F0"/>
    <w:rsid w:val="00DC489B"/>
    <w:rsid w:val="00DD7A93"/>
    <w:rsid w:val="00DE1686"/>
    <w:rsid w:val="00DE71BF"/>
    <w:rsid w:val="00DF0BD9"/>
    <w:rsid w:val="00DF3A75"/>
    <w:rsid w:val="00E00D82"/>
    <w:rsid w:val="00E03E4F"/>
    <w:rsid w:val="00E12290"/>
    <w:rsid w:val="00E16798"/>
    <w:rsid w:val="00E2778E"/>
    <w:rsid w:val="00E27864"/>
    <w:rsid w:val="00E304CD"/>
    <w:rsid w:val="00E4127B"/>
    <w:rsid w:val="00E43FFE"/>
    <w:rsid w:val="00E50906"/>
    <w:rsid w:val="00E53C06"/>
    <w:rsid w:val="00E559D4"/>
    <w:rsid w:val="00E55EA9"/>
    <w:rsid w:val="00E57F48"/>
    <w:rsid w:val="00E62AAE"/>
    <w:rsid w:val="00E6319F"/>
    <w:rsid w:val="00E70F86"/>
    <w:rsid w:val="00E7308B"/>
    <w:rsid w:val="00E77E93"/>
    <w:rsid w:val="00E94010"/>
    <w:rsid w:val="00E96145"/>
    <w:rsid w:val="00E96BB5"/>
    <w:rsid w:val="00EA007B"/>
    <w:rsid w:val="00EA3395"/>
    <w:rsid w:val="00EA50FF"/>
    <w:rsid w:val="00EB2A9A"/>
    <w:rsid w:val="00EC194D"/>
    <w:rsid w:val="00EC2221"/>
    <w:rsid w:val="00EC3633"/>
    <w:rsid w:val="00ED2001"/>
    <w:rsid w:val="00ED6F6E"/>
    <w:rsid w:val="00ED7B59"/>
    <w:rsid w:val="00EE00AD"/>
    <w:rsid w:val="00EE0CC1"/>
    <w:rsid w:val="00EE4507"/>
    <w:rsid w:val="00EF5331"/>
    <w:rsid w:val="00EF7F15"/>
    <w:rsid w:val="00F035E1"/>
    <w:rsid w:val="00F1145D"/>
    <w:rsid w:val="00F17028"/>
    <w:rsid w:val="00F43EDE"/>
    <w:rsid w:val="00F47AF5"/>
    <w:rsid w:val="00F47CCB"/>
    <w:rsid w:val="00F53216"/>
    <w:rsid w:val="00F55A34"/>
    <w:rsid w:val="00F5624D"/>
    <w:rsid w:val="00F567E9"/>
    <w:rsid w:val="00F57A8B"/>
    <w:rsid w:val="00F609DE"/>
    <w:rsid w:val="00F61203"/>
    <w:rsid w:val="00F676E6"/>
    <w:rsid w:val="00F929E1"/>
    <w:rsid w:val="00F9339B"/>
    <w:rsid w:val="00F94B11"/>
    <w:rsid w:val="00F95FC0"/>
    <w:rsid w:val="00FA354D"/>
    <w:rsid w:val="00FA53CE"/>
    <w:rsid w:val="00FA71BA"/>
    <w:rsid w:val="00FA76D1"/>
    <w:rsid w:val="00FB0813"/>
    <w:rsid w:val="00FB59EA"/>
    <w:rsid w:val="00FC1268"/>
    <w:rsid w:val="00FC239A"/>
    <w:rsid w:val="00FC4709"/>
    <w:rsid w:val="00FC75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AB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E1"/>
    <w:pPr>
      <w:spacing w:after="0" w:line="288" w:lineRule="auto"/>
      <w:jc w:val="both"/>
    </w:pPr>
    <w:rPr>
      <w:rFonts w:ascii="Open Sans" w:hAnsi="Open Sans"/>
      <w:sz w:val="20"/>
    </w:rPr>
  </w:style>
  <w:style w:type="paragraph" w:styleId="Heading1">
    <w:name w:val="heading 1"/>
    <w:basedOn w:val="Normal"/>
    <w:next w:val="Normal"/>
    <w:link w:val="Heading1Char"/>
    <w:uiPriority w:val="9"/>
    <w:qFormat/>
    <w:rsid w:val="00333FB2"/>
    <w:pPr>
      <w:keepNext/>
      <w:keepLines/>
      <w:spacing w:before="240" w:line="240" w:lineRule="auto"/>
      <w:jc w:val="left"/>
      <w:outlineLvl w:val="0"/>
    </w:pPr>
    <w:rPr>
      <w:rFonts w:eastAsiaTheme="majorEastAsia" w:cstheme="majorBidi"/>
      <w:b/>
      <w:color w:val="323E4F" w:themeColor="text2" w:themeShade="BF"/>
      <w:sz w:val="56"/>
      <w:szCs w:val="32"/>
    </w:rPr>
  </w:style>
  <w:style w:type="paragraph" w:styleId="Heading2">
    <w:name w:val="heading 2"/>
    <w:basedOn w:val="Normal"/>
    <w:next w:val="Normal"/>
    <w:link w:val="Heading2Char"/>
    <w:uiPriority w:val="9"/>
    <w:unhideWhenUsed/>
    <w:qFormat/>
    <w:rsid w:val="00C66B64"/>
    <w:pPr>
      <w:keepNext/>
      <w:keepLines/>
      <w:spacing w:before="40"/>
      <w:jc w:val="left"/>
      <w:outlineLvl w:val="1"/>
    </w:pPr>
    <w:rPr>
      <w:rFonts w:eastAsiaTheme="majorEastAsia" w:cstheme="majorBidi"/>
      <w:b/>
      <w:color w:val="595959" w:themeColor="text1" w:themeTint="A6"/>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556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56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3FB2"/>
    <w:rPr>
      <w:rFonts w:ascii="Open Sans" w:eastAsiaTheme="majorEastAsia" w:hAnsi="Open Sans" w:cstheme="majorBidi"/>
      <w:b/>
      <w:color w:val="323E4F" w:themeColor="text2" w:themeShade="BF"/>
      <w:sz w:val="56"/>
      <w:szCs w:val="32"/>
    </w:rPr>
  </w:style>
  <w:style w:type="paragraph" w:styleId="TOCHeading">
    <w:name w:val="TOC Heading"/>
    <w:basedOn w:val="Heading1"/>
    <w:next w:val="Normal"/>
    <w:uiPriority w:val="39"/>
    <w:unhideWhenUsed/>
    <w:qFormat/>
    <w:rsid w:val="00CF0AEE"/>
    <w:pPr>
      <w:outlineLvl w:val="9"/>
    </w:pPr>
    <w:rPr>
      <w:lang w:eastAsia="sl-SI"/>
    </w:rPr>
  </w:style>
  <w:style w:type="paragraph" w:styleId="TOC2">
    <w:name w:val="toc 2"/>
    <w:basedOn w:val="Normal"/>
    <w:next w:val="Normal"/>
    <w:autoRedefine/>
    <w:uiPriority w:val="39"/>
    <w:unhideWhenUsed/>
    <w:rsid w:val="00CF0AEE"/>
    <w:pPr>
      <w:spacing w:after="100"/>
      <w:ind w:left="220"/>
    </w:pPr>
    <w:rPr>
      <w:rFonts w:eastAsiaTheme="minorEastAsia" w:cs="Times New Roman"/>
      <w:lang w:eastAsia="sl-SI"/>
    </w:rPr>
  </w:style>
  <w:style w:type="paragraph" w:styleId="TOC1">
    <w:name w:val="toc 1"/>
    <w:basedOn w:val="Normal"/>
    <w:next w:val="Normal"/>
    <w:autoRedefine/>
    <w:uiPriority w:val="39"/>
    <w:unhideWhenUsed/>
    <w:rsid w:val="00CF0AEE"/>
    <w:pPr>
      <w:spacing w:after="100"/>
    </w:pPr>
    <w:rPr>
      <w:rFonts w:eastAsiaTheme="minorEastAsia" w:cs="Times New Roman"/>
      <w:lang w:eastAsia="sl-SI"/>
    </w:rPr>
  </w:style>
  <w:style w:type="paragraph" w:styleId="TOC3">
    <w:name w:val="toc 3"/>
    <w:basedOn w:val="Normal"/>
    <w:next w:val="Normal"/>
    <w:autoRedefine/>
    <w:uiPriority w:val="39"/>
    <w:unhideWhenUsed/>
    <w:rsid w:val="00CF0AEE"/>
    <w:pPr>
      <w:spacing w:after="100"/>
      <w:ind w:left="440"/>
    </w:pPr>
    <w:rPr>
      <w:rFonts w:eastAsiaTheme="minorEastAsia" w:cs="Times New Roman"/>
      <w:lang w:eastAsia="sl-SI"/>
    </w:rPr>
  </w:style>
  <w:style w:type="character" w:styleId="Hyperlink">
    <w:name w:val="Hyperlink"/>
    <w:basedOn w:val="DefaultParagraphFont"/>
    <w:uiPriority w:val="99"/>
    <w:unhideWhenUsed/>
    <w:rsid w:val="00CF0AEE"/>
    <w:rPr>
      <w:color w:val="0563C1" w:themeColor="hyperlink"/>
      <w:u w:val="single"/>
    </w:rPr>
  </w:style>
  <w:style w:type="paragraph" w:customStyle="1" w:styleId="14ContentgrayBebasNeueBebasNeue">
    <w:name w:val="14 Content gray Bebas Neue (Bebas Neue)"/>
    <w:basedOn w:val="Normal"/>
    <w:uiPriority w:val="99"/>
    <w:rsid w:val="008E558D"/>
    <w:pPr>
      <w:autoSpaceDE w:val="0"/>
      <w:autoSpaceDN w:val="0"/>
      <w:adjustRightInd w:val="0"/>
      <w:spacing w:after="170" w:line="340" w:lineRule="atLeast"/>
      <w:jc w:val="left"/>
      <w:textAlignment w:val="center"/>
    </w:pPr>
    <w:rPr>
      <w:rFonts w:ascii="Bebas Neue Book" w:hAnsi="Bebas Neue Book" w:cs="Bebas Neue Book"/>
      <w:color w:val="676D6F"/>
      <w:sz w:val="28"/>
      <w:szCs w:val="28"/>
      <w:lang w:val="en-US"/>
    </w:rPr>
  </w:style>
  <w:style w:type="character" w:customStyle="1" w:styleId="White">
    <w:name w:val="White"/>
    <w:uiPriority w:val="99"/>
    <w:rsid w:val="008E558D"/>
    <w:rPr>
      <w:outline/>
      <w:color w:val="000000"/>
      <w14:textOutline w14:w="9525" w14:cap="flat" w14:cmpd="sng" w14:algn="ctr">
        <w14:solidFill>
          <w14:srgbClr w14:val="000000"/>
        </w14:solidFill>
        <w14:prstDash w14:val="solid"/>
        <w14:round/>
      </w14:textOutline>
      <w14:textFill>
        <w14:noFill/>
      </w14:textFill>
    </w:rPr>
  </w:style>
  <w:style w:type="character" w:customStyle="1" w:styleId="UnresolvedMention1">
    <w:name w:val="Unresolved Mention1"/>
    <w:basedOn w:val="DefaultParagraphFont"/>
    <w:uiPriority w:val="99"/>
    <w:semiHidden/>
    <w:unhideWhenUsed/>
    <w:rsid w:val="008E558D"/>
    <w:rPr>
      <w:color w:val="605E5C"/>
      <w:shd w:val="clear" w:color="auto" w:fill="E1DFDD"/>
    </w:rPr>
  </w:style>
  <w:style w:type="character" w:customStyle="1" w:styleId="Heading2Char">
    <w:name w:val="Heading 2 Char"/>
    <w:basedOn w:val="DefaultParagraphFont"/>
    <w:link w:val="Heading2"/>
    <w:uiPriority w:val="9"/>
    <w:rsid w:val="00C66B64"/>
    <w:rPr>
      <w:rFonts w:ascii="Tahoma" w:eastAsiaTheme="majorEastAsia" w:hAnsi="Tahoma" w:cstheme="majorBidi"/>
      <w:b/>
      <w:color w:val="595959" w:themeColor="text1" w:themeTint="A6"/>
      <w:sz w:val="36"/>
      <w:szCs w:val="26"/>
    </w:rPr>
  </w:style>
  <w:style w:type="paragraph" w:styleId="ListParagraph">
    <w:name w:val="List Paragraph"/>
    <w:basedOn w:val="Normal"/>
    <w:uiPriority w:val="34"/>
    <w:qFormat/>
    <w:rsid w:val="00076E2D"/>
    <w:pPr>
      <w:ind w:left="720"/>
      <w:contextualSpacing/>
    </w:pPr>
  </w:style>
  <w:style w:type="paragraph" w:customStyle="1" w:styleId="BasicParagraph">
    <w:name w:val="[Basic Paragraph]"/>
    <w:basedOn w:val="Normal"/>
    <w:uiPriority w:val="99"/>
    <w:rsid w:val="004125CA"/>
    <w:pPr>
      <w:autoSpaceDE w:val="0"/>
      <w:autoSpaceDN w:val="0"/>
      <w:adjustRightInd w:val="0"/>
      <w:textAlignment w:val="center"/>
    </w:pPr>
    <w:rPr>
      <w:rFonts w:ascii="MinionPro-Regular" w:hAnsi="MinionPro-Regular" w:cs="MinionPro-Regular"/>
      <w:color w:val="000000"/>
      <w:sz w:val="24"/>
      <w:szCs w:val="24"/>
      <w:lang w:val="en-US"/>
    </w:rPr>
  </w:style>
  <w:style w:type="character" w:styleId="FollowedHyperlink">
    <w:name w:val="FollowedHyperlink"/>
    <w:basedOn w:val="DefaultParagraphFont"/>
    <w:uiPriority w:val="99"/>
    <w:semiHidden/>
    <w:unhideWhenUsed/>
    <w:rsid w:val="00A2232D"/>
    <w:rPr>
      <w:color w:val="954F72" w:themeColor="followedHyperlink"/>
      <w:u w:val="single"/>
    </w:rPr>
  </w:style>
  <w:style w:type="character" w:styleId="CommentReference">
    <w:name w:val="annotation reference"/>
    <w:basedOn w:val="DefaultParagraphFont"/>
    <w:uiPriority w:val="99"/>
    <w:semiHidden/>
    <w:unhideWhenUsed/>
    <w:rsid w:val="008C0466"/>
    <w:rPr>
      <w:sz w:val="16"/>
      <w:szCs w:val="16"/>
    </w:rPr>
  </w:style>
  <w:style w:type="paragraph" w:styleId="CommentText">
    <w:name w:val="annotation text"/>
    <w:basedOn w:val="Normal"/>
    <w:link w:val="CommentTextChar"/>
    <w:uiPriority w:val="99"/>
    <w:semiHidden/>
    <w:unhideWhenUsed/>
    <w:rsid w:val="008C0466"/>
    <w:pPr>
      <w:spacing w:line="240" w:lineRule="auto"/>
    </w:pPr>
    <w:rPr>
      <w:szCs w:val="20"/>
    </w:rPr>
  </w:style>
  <w:style w:type="character" w:customStyle="1" w:styleId="CommentTextChar">
    <w:name w:val="Comment Text Char"/>
    <w:basedOn w:val="DefaultParagraphFont"/>
    <w:link w:val="CommentText"/>
    <w:uiPriority w:val="99"/>
    <w:semiHidden/>
    <w:rsid w:val="008C046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C0466"/>
    <w:rPr>
      <w:b/>
      <w:bCs/>
    </w:rPr>
  </w:style>
  <w:style w:type="character" w:customStyle="1" w:styleId="CommentSubjectChar">
    <w:name w:val="Comment Subject Char"/>
    <w:basedOn w:val="CommentTextChar"/>
    <w:link w:val="CommentSubject"/>
    <w:uiPriority w:val="99"/>
    <w:semiHidden/>
    <w:rsid w:val="008C0466"/>
    <w:rPr>
      <w:rFonts w:ascii="Tahoma" w:hAnsi="Tahoma"/>
      <w:b/>
      <w:bCs/>
      <w:sz w:val="20"/>
      <w:szCs w:val="20"/>
    </w:rPr>
  </w:style>
  <w:style w:type="paragraph" w:styleId="Caption">
    <w:name w:val="caption"/>
    <w:basedOn w:val="Normal"/>
    <w:next w:val="Normal"/>
    <w:uiPriority w:val="35"/>
    <w:unhideWhenUsed/>
    <w:qFormat/>
    <w:rsid w:val="007828B8"/>
    <w:pPr>
      <w:spacing w:after="200" w:line="240" w:lineRule="auto"/>
      <w:jc w:val="left"/>
    </w:pPr>
    <w:rPr>
      <w:i/>
      <w:iCs/>
      <w:color w:val="44546A" w:themeColor="text2"/>
      <w:szCs w:val="18"/>
    </w:rPr>
  </w:style>
  <w:style w:type="table" w:customStyle="1" w:styleId="GridTable4-Accent21">
    <w:name w:val="Grid Table 4 - Accent 21"/>
    <w:basedOn w:val="TableNormal"/>
    <w:uiPriority w:val="49"/>
    <w:rsid w:val="007828B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4F36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13D7F"/>
    <w:pPr>
      <w:tabs>
        <w:tab w:val="center" w:pos="4536"/>
        <w:tab w:val="right" w:pos="9072"/>
      </w:tabs>
      <w:spacing w:line="240" w:lineRule="auto"/>
    </w:pPr>
  </w:style>
  <w:style w:type="character" w:customStyle="1" w:styleId="HeaderChar">
    <w:name w:val="Header Char"/>
    <w:basedOn w:val="DefaultParagraphFont"/>
    <w:link w:val="Header"/>
    <w:uiPriority w:val="99"/>
    <w:rsid w:val="00513D7F"/>
    <w:rPr>
      <w:rFonts w:ascii="Tahoma" w:hAnsi="Tahoma"/>
    </w:rPr>
  </w:style>
  <w:style w:type="paragraph" w:styleId="Footer">
    <w:name w:val="footer"/>
    <w:basedOn w:val="Normal"/>
    <w:link w:val="FooterChar"/>
    <w:uiPriority w:val="99"/>
    <w:unhideWhenUsed/>
    <w:rsid w:val="00513D7F"/>
    <w:pPr>
      <w:tabs>
        <w:tab w:val="center" w:pos="4536"/>
        <w:tab w:val="right" w:pos="9072"/>
      </w:tabs>
      <w:spacing w:line="240" w:lineRule="auto"/>
    </w:pPr>
  </w:style>
  <w:style w:type="character" w:customStyle="1" w:styleId="FooterChar">
    <w:name w:val="Footer Char"/>
    <w:basedOn w:val="DefaultParagraphFont"/>
    <w:link w:val="Footer"/>
    <w:uiPriority w:val="99"/>
    <w:rsid w:val="00513D7F"/>
    <w:rPr>
      <w:rFonts w:ascii="Tahoma" w:hAnsi="Tahoma"/>
    </w:rPr>
  </w:style>
  <w:style w:type="paragraph" w:styleId="BalloonText">
    <w:name w:val="Balloon Text"/>
    <w:basedOn w:val="Normal"/>
    <w:link w:val="BalloonTextChar"/>
    <w:uiPriority w:val="99"/>
    <w:semiHidden/>
    <w:unhideWhenUsed/>
    <w:rsid w:val="009972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2A3"/>
    <w:rPr>
      <w:rFonts w:ascii="Segoe UI" w:hAnsi="Segoe UI" w:cs="Segoe UI"/>
      <w:sz w:val="18"/>
      <w:szCs w:val="18"/>
    </w:rPr>
  </w:style>
  <w:style w:type="paragraph" w:styleId="BodyText">
    <w:name w:val="Body Text"/>
    <w:basedOn w:val="Normal"/>
    <w:link w:val="BodyTextChar"/>
    <w:semiHidden/>
    <w:rsid w:val="002F728A"/>
    <w:pPr>
      <w:spacing w:line="240" w:lineRule="auto"/>
    </w:pPr>
    <w:rPr>
      <w:rFonts w:ascii="Times New Roman" w:eastAsia="Times New Roman" w:hAnsi="Times New Roman" w:cs="Times New Roman"/>
      <w:sz w:val="24"/>
      <w:szCs w:val="20"/>
      <w:lang w:eastAsia="sl-SI"/>
    </w:rPr>
  </w:style>
  <w:style w:type="character" w:customStyle="1" w:styleId="BodyTextChar">
    <w:name w:val="Body Text Char"/>
    <w:basedOn w:val="DefaultParagraphFont"/>
    <w:link w:val="BodyText"/>
    <w:semiHidden/>
    <w:rsid w:val="002F728A"/>
    <w:rPr>
      <w:rFonts w:ascii="Times New Roman" w:eastAsia="Times New Roman" w:hAnsi="Times New Roman" w:cs="Times New Roman"/>
      <w:sz w:val="24"/>
      <w:szCs w:val="20"/>
      <w:lang w:eastAsia="sl-SI"/>
    </w:rPr>
  </w:style>
  <w:style w:type="character" w:styleId="Strong">
    <w:name w:val="Strong"/>
    <w:basedOn w:val="DefaultParagraphFont"/>
    <w:uiPriority w:val="22"/>
    <w:qFormat/>
    <w:rsid w:val="0019316B"/>
    <w:rPr>
      <w:b/>
      <w:bCs/>
    </w:rPr>
  </w:style>
  <w:style w:type="character" w:customStyle="1" w:styleId="NAPISpZnak">
    <w:name w:val="NAPISp Znak"/>
    <w:basedOn w:val="DefaultParagraphFont"/>
    <w:link w:val="NAPISp"/>
    <w:locked/>
    <w:rsid w:val="00910F77"/>
    <w:rPr>
      <w:i/>
      <w:iCs/>
      <w:sz w:val="24"/>
      <w:szCs w:val="18"/>
    </w:rPr>
  </w:style>
  <w:style w:type="paragraph" w:customStyle="1" w:styleId="NAPISp">
    <w:name w:val="NAPISp"/>
    <w:basedOn w:val="Caption"/>
    <w:link w:val="NAPISpZnak"/>
    <w:qFormat/>
    <w:rsid w:val="00910F77"/>
    <w:rPr>
      <w:rFonts w:asciiTheme="minorHAnsi" w:hAnsiTheme="minorHAnsi"/>
      <w:color w:val="auto"/>
      <w:sz w:val="24"/>
    </w:rPr>
  </w:style>
  <w:style w:type="character" w:styleId="UnresolvedMention">
    <w:name w:val="Unresolved Mention"/>
    <w:basedOn w:val="DefaultParagraphFont"/>
    <w:uiPriority w:val="99"/>
    <w:semiHidden/>
    <w:unhideWhenUsed/>
    <w:rsid w:val="00796EDD"/>
    <w:rPr>
      <w:color w:val="605E5C"/>
      <w:shd w:val="clear" w:color="auto" w:fill="E1DFDD"/>
    </w:rPr>
  </w:style>
  <w:style w:type="table" w:styleId="TableGridLight">
    <w:name w:val="Grid Table Light"/>
    <w:basedOn w:val="TableNormal"/>
    <w:uiPriority w:val="40"/>
    <w:rsid w:val="00440D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40D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964839"/>
    <w:pPr>
      <w:autoSpaceDE w:val="0"/>
      <w:autoSpaceDN w:val="0"/>
      <w:adjustRightInd w:val="0"/>
      <w:spacing w:after="0" w:line="240" w:lineRule="auto"/>
    </w:pPr>
    <w:rPr>
      <w:rFonts w:ascii="Open Sans" w:hAnsi="Open Sans" w:cs="Open Sans"/>
      <w:color w:val="000000"/>
      <w:sz w:val="24"/>
      <w:szCs w:val="24"/>
    </w:rPr>
  </w:style>
  <w:style w:type="table" w:styleId="TableGrid">
    <w:name w:val="Table Grid"/>
    <w:basedOn w:val="TableNormal"/>
    <w:uiPriority w:val="39"/>
    <w:rsid w:val="0096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54F1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6">
    <w:name w:val="A6"/>
    <w:uiPriority w:val="99"/>
    <w:rsid w:val="000E1B62"/>
    <w:rPr>
      <w:rFonts w:cs="Source Sans Pro"/>
      <w:b/>
      <w:bCs/>
      <w:color w:val="6B7B62"/>
      <w:sz w:val="14"/>
      <w:szCs w:val="14"/>
    </w:rPr>
  </w:style>
  <w:style w:type="character" w:customStyle="1" w:styleId="A21">
    <w:name w:val="A21"/>
    <w:uiPriority w:val="99"/>
    <w:rsid w:val="000E1B62"/>
    <w:rPr>
      <w:rFonts w:cs="Source Sans Pro"/>
      <w:color w:val="000000"/>
    </w:rPr>
  </w:style>
  <w:style w:type="paragraph" w:customStyle="1" w:styleId="Osnovnitekst">
    <w:name w:val="Osnovni tekst"/>
    <w:basedOn w:val="Normal"/>
    <w:uiPriority w:val="99"/>
    <w:rsid w:val="00130939"/>
    <w:pPr>
      <w:autoSpaceDE w:val="0"/>
      <w:autoSpaceDN w:val="0"/>
      <w:adjustRightInd w:val="0"/>
      <w:spacing w:after="28" w:line="240" w:lineRule="atLeast"/>
      <w:textAlignment w:val="center"/>
    </w:pPr>
    <w:rPr>
      <w:rFonts w:cs="Open Sans"/>
      <w:color w:val="000000"/>
      <w:sz w:val="18"/>
      <w:szCs w:val="18"/>
    </w:rPr>
  </w:style>
  <w:style w:type="character" w:customStyle="1" w:styleId="Bold">
    <w:name w:val="Bold"/>
    <w:uiPriority w:val="99"/>
    <w:rsid w:val="00130939"/>
    <w:rPr>
      <w:b/>
      <w:bCs/>
    </w:rPr>
  </w:style>
  <w:style w:type="paragraph" w:customStyle="1" w:styleId="Naslov1zelenBebasNeue">
    <w:name w:val="Naslov1_zelen (Bebas Neue)"/>
    <w:basedOn w:val="Normal"/>
    <w:uiPriority w:val="99"/>
    <w:rsid w:val="00130939"/>
    <w:pPr>
      <w:suppressAutoHyphens/>
      <w:autoSpaceDE w:val="0"/>
      <w:autoSpaceDN w:val="0"/>
      <w:adjustRightInd w:val="0"/>
      <w:spacing w:after="117" w:line="900" w:lineRule="atLeast"/>
      <w:jc w:val="left"/>
      <w:textAlignment w:val="center"/>
    </w:pPr>
    <w:rPr>
      <w:rFonts w:ascii="Bebas Neue Bold" w:hAnsi="Bebas Neue Bold" w:cs="Bebas Neue Bold"/>
      <w:b/>
      <w:bCs/>
      <w:caps/>
      <w:color w:val="94C83D"/>
      <w:sz w:val="100"/>
      <w:szCs w:val="100"/>
      <w:lang w:val="en-US"/>
    </w:rPr>
  </w:style>
  <w:style w:type="character" w:customStyle="1" w:styleId="Green">
    <w:name w:val="Green"/>
    <w:uiPriority w:val="99"/>
    <w:rsid w:val="00130939"/>
    <w:rPr>
      <w:color w:val="94C83D"/>
    </w:rPr>
  </w:style>
  <w:style w:type="paragraph" w:customStyle="1" w:styleId="Heading">
    <w:name w:val="Heading"/>
    <w:basedOn w:val="Normal"/>
    <w:uiPriority w:val="99"/>
    <w:rsid w:val="00C8101A"/>
    <w:pPr>
      <w:autoSpaceDE w:val="0"/>
      <w:autoSpaceDN w:val="0"/>
      <w:adjustRightInd w:val="0"/>
      <w:jc w:val="left"/>
      <w:textAlignment w:val="center"/>
    </w:pPr>
    <w:rPr>
      <w:rFonts w:ascii="Caviar Dreams Bold" w:hAnsi="Caviar Dreams Bold" w:cs="Caviar Dreams Bold"/>
      <w:b/>
      <w:bCs/>
      <w:color w:val="000000"/>
      <w:sz w:val="60"/>
      <w:szCs w:val="60"/>
      <w:lang w:val="en-US"/>
    </w:rPr>
  </w:style>
  <w:style w:type="paragraph" w:customStyle="1" w:styleId="Podpisslike">
    <w:name w:val="Podpis slike"/>
    <w:basedOn w:val="Osnovnitekst"/>
    <w:uiPriority w:val="99"/>
    <w:rsid w:val="00842759"/>
    <w:pPr>
      <w:spacing w:line="180" w:lineRule="atLeast"/>
      <w:jc w:val="left"/>
    </w:pPr>
    <w:rPr>
      <w:rFonts w:ascii="Open Sans Light" w:hAnsi="Open Sans Light" w:cs="Open Sans Light"/>
      <w:i/>
      <w:iCs/>
    </w:rPr>
  </w:style>
  <w:style w:type="paragraph" w:styleId="NoSpacing">
    <w:name w:val="No Spacing"/>
    <w:uiPriority w:val="1"/>
    <w:qFormat/>
    <w:rsid w:val="00343CBA"/>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262">
      <w:bodyDiv w:val="1"/>
      <w:marLeft w:val="0"/>
      <w:marRight w:val="0"/>
      <w:marTop w:val="0"/>
      <w:marBottom w:val="0"/>
      <w:divBdr>
        <w:top w:val="none" w:sz="0" w:space="0" w:color="auto"/>
        <w:left w:val="none" w:sz="0" w:space="0" w:color="auto"/>
        <w:bottom w:val="none" w:sz="0" w:space="0" w:color="auto"/>
        <w:right w:val="none" w:sz="0" w:space="0" w:color="auto"/>
      </w:divBdr>
    </w:div>
    <w:div w:id="107630896">
      <w:bodyDiv w:val="1"/>
      <w:marLeft w:val="0"/>
      <w:marRight w:val="0"/>
      <w:marTop w:val="0"/>
      <w:marBottom w:val="0"/>
      <w:divBdr>
        <w:top w:val="none" w:sz="0" w:space="0" w:color="auto"/>
        <w:left w:val="none" w:sz="0" w:space="0" w:color="auto"/>
        <w:bottom w:val="none" w:sz="0" w:space="0" w:color="auto"/>
        <w:right w:val="none" w:sz="0" w:space="0" w:color="auto"/>
      </w:divBdr>
    </w:div>
    <w:div w:id="162867195">
      <w:bodyDiv w:val="1"/>
      <w:marLeft w:val="0"/>
      <w:marRight w:val="0"/>
      <w:marTop w:val="0"/>
      <w:marBottom w:val="0"/>
      <w:divBdr>
        <w:top w:val="none" w:sz="0" w:space="0" w:color="auto"/>
        <w:left w:val="none" w:sz="0" w:space="0" w:color="auto"/>
        <w:bottom w:val="none" w:sz="0" w:space="0" w:color="auto"/>
        <w:right w:val="none" w:sz="0" w:space="0" w:color="auto"/>
      </w:divBdr>
    </w:div>
    <w:div w:id="315456700">
      <w:bodyDiv w:val="1"/>
      <w:marLeft w:val="0"/>
      <w:marRight w:val="0"/>
      <w:marTop w:val="0"/>
      <w:marBottom w:val="0"/>
      <w:divBdr>
        <w:top w:val="none" w:sz="0" w:space="0" w:color="auto"/>
        <w:left w:val="none" w:sz="0" w:space="0" w:color="auto"/>
        <w:bottom w:val="none" w:sz="0" w:space="0" w:color="auto"/>
        <w:right w:val="none" w:sz="0" w:space="0" w:color="auto"/>
      </w:divBdr>
    </w:div>
    <w:div w:id="323512341">
      <w:bodyDiv w:val="1"/>
      <w:marLeft w:val="0"/>
      <w:marRight w:val="0"/>
      <w:marTop w:val="0"/>
      <w:marBottom w:val="0"/>
      <w:divBdr>
        <w:top w:val="none" w:sz="0" w:space="0" w:color="auto"/>
        <w:left w:val="none" w:sz="0" w:space="0" w:color="auto"/>
        <w:bottom w:val="none" w:sz="0" w:space="0" w:color="auto"/>
        <w:right w:val="none" w:sz="0" w:space="0" w:color="auto"/>
      </w:divBdr>
    </w:div>
    <w:div w:id="450977844">
      <w:bodyDiv w:val="1"/>
      <w:marLeft w:val="0"/>
      <w:marRight w:val="0"/>
      <w:marTop w:val="0"/>
      <w:marBottom w:val="0"/>
      <w:divBdr>
        <w:top w:val="none" w:sz="0" w:space="0" w:color="auto"/>
        <w:left w:val="none" w:sz="0" w:space="0" w:color="auto"/>
        <w:bottom w:val="none" w:sz="0" w:space="0" w:color="auto"/>
        <w:right w:val="none" w:sz="0" w:space="0" w:color="auto"/>
      </w:divBdr>
    </w:div>
    <w:div w:id="675546541">
      <w:bodyDiv w:val="1"/>
      <w:marLeft w:val="0"/>
      <w:marRight w:val="0"/>
      <w:marTop w:val="0"/>
      <w:marBottom w:val="0"/>
      <w:divBdr>
        <w:top w:val="none" w:sz="0" w:space="0" w:color="auto"/>
        <w:left w:val="none" w:sz="0" w:space="0" w:color="auto"/>
        <w:bottom w:val="none" w:sz="0" w:space="0" w:color="auto"/>
        <w:right w:val="none" w:sz="0" w:space="0" w:color="auto"/>
      </w:divBdr>
    </w:div>
    <w:div w:id="722755548">
      <w:bodyDiv w:val="1"/>
      <w:marLeft w:val="0"/>
      <w:marRight w:val="0"/>
      <w:marTop w:val="0"/>
      <w:marBottom w:val="0"/>
      <w:divBdr>
        <w:top w:val="none" w:sz="0" w:space="0" w:color="auto"/>
        <w:left w:val="none" w:sz="0" w:space="0" w:color="auto"/>
        <w:bottom w:val="none" w:sz="0" w:space="0" w:color="auto"/>
        <w:right w:val="none" w:sz="0" w:space="0" w:color="auto"/>
      </w:divBdr>
    </w:div>
    <w:div w:id="767309255">
      <w:bodyDiv w:val="1"/>
      <w:marLeft w:val="0"/>
      <w:marRight w:val="0"/>
      <w:marTop w:val="0"/>
      <w:marBottom w:val="0"/>
      <w:divBdr>
        <w:top w:val="none" w:sz="0" w:space="0" w:color="auto"/>
        <w:left w:val="none" w:sz="0" w:space="0" w:color="auto"/>
        <w:bottom w:val="none" w:sz="0" w:space="0" w:color="auto"/>
        <w:right w:val="none" w:sz="0" w:space="0" w:color="auto"/>
      </w:divBdr>
    </w:div>
    <w:div w:id="862936384">
      <w:bodyDiv w:val="1"/>
      <w:marLeft w:val="0"/>
      <w:marRight w:val="0"/>
      <w:marTop w:val="0"/>
      <w:marBottom w:val="0"/>
      <w:divBdr>
        <w:top w:val="none" w:sz="0" w:space="0" w:color="auto"/>
        <w:left w:val="none" w:sz="0" w:space="0" w:color="auto"/>
        <w:bottom w:val="none" w:sz="0" w:space="0" w:color="auto"/>
        <w:right w:val="none" w:sz="0" w:space="0" w:color="auto"/>
      </w:divBdr>
      <w:divsChild>
        <w:div w:id="2088375539">
          <w:marLeft w:val="360"/>
          <w:marRight w:val="0"/>
          <w:marTop w:val="200"/>
          <w:marBottom w:val="0"/>
          <w:divBdr>
            <w:top w:val="none" w:sz="0" w:space="0" w:color="auto"/>
            <w:left w:val="none" w:sz="0" w:space="0" w:color="auto"/>
            <w:bottom w:val="none" w:sz="0" w:space="0" w:color="auto"/>
            <w:right w:val="none" w:sz="0" w:space="0" w:color="auto"/>
          </w:divBdr>
        </w:div>
      </w:divsChild>
    </w:div>
    <w:div w:id="940576067">
      <w:bodyDiv w:val="1"/>
      <w:marLeft w:val="0"/>
      <w:marRight w:val="0"/>
      <w:marTop w:val="0"/>
      <w:marBottom w:val="0"/>
      <w:divBdr>
        <w:top w:val="none" w:sz="0" w:space="0" w:color="auto"/>
        <w:left w:val="none" w:sz="0" w:space="0" w:color="auto"/>
        <w:bottom w:val="none" w:sz="0" w:space="0" w:color="auto"/>
        <w:right w:val="none" w:sz="0" w:space="0" w:color="auto"/>
      </w:divBdr>
    </w:div>
    <w:div w:id="1018194394">
      <w:bodyDiv w:val="1"/>
      <w:marLeft w:val="0"/>
      <w:marRight w:val="0"/>
      <w:marTop w:val="0"/>
      <w:marBottom w:val="0"/>
      <w:divBdr>
        <w:top w:val="none" w:sz="0" w:space="0" w:color="auto"/>
        <w:left w:val="none" w:sz="0" w:space="0" w:color="auto"/>
        <w:bottom w:val="none" w:sz="0" w:space="0" w:color="auto"/>
        <w:right w:val="none" w:sz="0" w:space="0" w:color="auto"/>
      </w:divBdr>
    </w:div>
    <w:div w:id="1497646639">
      <w:bodyDiv w:val="1"/>
      <w:marLeft w:val="0"/>
      <w:marRight w:val="0"/>
      <w:marTop w:val="0"/>
      <w:marBottom w:val="0"/>
      <w:divBdr>
        <w:top w:val="none" w:sz="0" w:space="0" w:color="auto"/>
        <w:left w:val="none" w:sz="0" w:space="0" w:color="auto"/>
        <w:bottom w:val="none" w:sz="0" w:space="0" w:color="auto"/>
        <w:right w:val="none" w:sz="0" w:space="0" w:color="auto"/>
      </w:divBdr>
    </w:div>
    <w:div w:id="1600916495">
      <w:bodyDiv w:val="1"/>
      <w:marLeft w:val="0"/>
      <w:marRight w:val="0"/>
      <w:marTop w:val="0"/>
      <w:marBottom w:val="0"/>
      <w:divBdr>
        <w:top w:val="none" w:sz="0" w:space="0" w:color="auto"/>
        <w:left w:val="none" w:sz="0" w:space="0" w:color="auto"/>
        <w:bottom w:val="none" w:sz="0" w:space="0" w:color="auto"/>
        <w:right w:val="none" w:sz="0" w:space="0" w:color="auto"/>
      </w:divBdr>
    </w:div>
    <w:div w:id="191307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hyperlink" Target="http://www.eurocadastre.org/"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nece.org/info/ece-homepage.html" TargetMode="External"/><Relationship Id="rId17" Type="http://schemas.openxmlformats.org/officeDocument/2006/relationships/hyperlink" Target="http://www.euref.eu/" TargetMode="External"/><Relationship Id="rId2" Type="http://schemas.openxmlformats.org/officeDocument/2006/relationships/numbering" Target="numbering.xml"/><Relationship Id="rId16" Type="http://schemas.openxmlformats.org/officeDocument/2006/relationships/hyperlink" Target="http://www.eupo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stats.un.org/unsd/ungegn/" TargetMode="External"/><Relationship Id="rId5" Type="http://schemas.openxmlformats.org/officeDocument/2006/relationships/webSettings" Target="webSettings.xml"/><Relationship Id="rId15" Type="http://schemas.openxmlformats.org/officeDocument/2006/relationships/hyperlink" Target="http://www.eurosdr.net/" TargetMode="External"/><Relationship Id="rId23" Type="http://schemas.openxmlformats.org/officeDocument/2006/relationships/theme" Target="theme/theme1.xml"/><Relationship Id="rId10" Type="http://schemas.openxmlformats.org/officeDocument/2006/relationships/hyperlink" Target="https://eurogeographic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drzavni-organi/organi-v-sestavi/geodetska-uprava/" TargetMode="External"/><Relationship Id="rId14" Type="http://schemas.openxmlformats.org/officeDocument/2006/relationships/hyperlink" Target="https://un-ggim-europe.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23124-A341-4907-8670-6001C080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7325</Words>
  <Characters>41758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2022-05-26T12:46:00Z</dcterms:created>
  <dcterms:modified xsi:type="dcterms:W3CDTF">2022-05-26T13:39:00Z</dcterms:modified>
</cp:coreProperties>
</file>